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交银施罗德多策略回报灵活配置混合型证券投资基金（A类份额）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2026-10-31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2026-11-04</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交银多策略回报灵活配置混合A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519755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2015-06-02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姜承操</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2011-07-11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徐森洲</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2025-01-09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本基金通过灵活运用多种投资策略，充分挖掘和利用市场中潜在的投资机会，在控制下行风险的前提下，力争为投资者提供长期稳健的投资回报。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和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结合宏观经济环境、政策形势、证券市场走势的综合分析，灵活运用多种投资策略，主动判断市场时机，进行积极的资产配置，合理确定基金在股票、债券等各类资产类别上的投资比例，以最大限度地降低投资组合的风险、提高稳健投资收益。</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1、大类资产配置；2、股票投资策略；3、债券投资策略；4、权证投资；5、资产支持证券投资；6、股指期货投资。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详见《交银施罗德多策略回报灵活配置混合型证券投资基金招募说明书》“基金的投资”。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20000.00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0.85%</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《交银施罗德多策略回报灵活配置混合型证券投资基金招募说明书》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D5AC2"/>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1EFA22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738</Words>
  <Characters>4211</Characters>
  <Lines>35</Lines>
  <Paragraphs>9</Paragraphs>
  <TotalTime>9</TotalTime>
  <ScaleCrop>false</ScaleCrop>
  <LinksUpToDate>false</LinksUpToDate>
  <CharactersWithSpaces>4940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2026-11-03T01:30:00Z</dcterms:created>
  <dc:creator>Cc</dc:creator>
  <cp:lastModifiedBy>haotingting</cp:lastModifiedBy>
  <dcterms:modified xsi:type="dcterms:W3CDTF">2026-11-03T05:36:40Z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AEFB7AAE95074A7588073543A466DDBB</vt:lpwstr>
  </property>
</Properties>
</file>