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5CA3B9">
      <w:pPr>
        <w:widowControl/>
        <w:jc w:val="center"/>
        <w:rPr>
          <w:rFonts w:eastAsiaTheme="minorEastAsia"/>
          <w:b/>
          <w:kern w:val="0"/>
          <w:sz w:val="30"/>
          <w:szCs w:val="30"/>
        </w:rPr>
      </w:pPr>
      <w:r>
        <w:rPr>
          <w:rFonts w:hint="eastAsia" w:eastAsiaTheme="minorEastAsia"/>
          <w:b/>
          <w:kern w:val="0"/>
          <w:sz w:val="30"/>
          <w:szCs w:val="30"/>
        </w:rPr>
        <w:t>交银施罗德基金管理有限公司关于交银施罗德</w:t>
      </w:r>
      <w:r>
        <w:rPr>
          <w:rFonts w:hint="eastAsia" w:eastAsia="宋体"/>
          <w:b/>
          <w:bCs/>
          <w:color w:val="000000"/>
          <w:sz w:val="30"/>
          <w:szCs w:val="30"/>
          <w:lang w:eastAsia="zh-CN"/>
        </w:rPr>
        <w:t>天利宝</w:t>
      </w:r>
      <w:r>
        <w:rPr>
          <w:rFonts w:hint="eastAsia" w:eastAsia="宋体"/>
          <w:b/>
          <w:bCs/>
          <w:color w:val="000000"/>
          <w:sz w:val="30"/>
          <w:szCs w:val="30"/>
        </w:rPr>
        <w:t>货币市场基金</w:t>
      </w:r>
      <w:r>
        <w:rPr>
          <w:rFonts w:hint="eastAsia" w:eastAsia="宋体"/>
          <w:b/>
          <w:bCs/>
          <w:color w:val="000000"/>
          <w:sz w:val="30"/>
          <w:szCs w:val="30"/>
          <w:lang w:val="en-US" w:eastAsia="zh-CN"/>
        </w:rPr>
        <w:t>C类、E类基金份额</w:t>
      </w:r>
      <w:r>
        <w:rPr>
          <w:rFonts w:hint="eastAsia" w:eastAsiaTheme="minorEastAsia"/>
          <w:b/>
          <w:kern w:val="0"/>
          <w:sz w:val="30"/>
          <w:szCs w:val="30"/>
        </w:rPr>
        <w:t>调整大额申购（转换转入、定期定额投资）业务限额的公告</w:t>
      </w:r>
    </w:p>
    <w:p w14:paraId="0FE0C89E">
      <w:pPr>
        <w:spacing w:line="560" w:lineRule="exact"/>
        <w:jc w:val="center"/>
        <w:rPr>
          <w:rFonts w:hint="eastAsia" w:eastAsiaTheme="minorEastAsia"/>
          <w:color w:val="000000"/>
          <w:sz w:val="24"/>
          <w:szCs w:val="24"/>
          <w:lang w:eastAsia="zh-CN"/>
        </w:rPr>
      </w:pPr>
      <w:r>
        <w:rPr>
          <w:rFonts w:eastAsiaTheme="minorEastAsia"/>
          <w:color w:val="000000"/>
          <w:sz w:val="24"/>
          <w:szCs w:val="24"/>
        </w:rPr>
        <w:t>公告送出日期：</w:t>
      </w:r>
      <w:r>
        <w:rPr>
          <w:rFonts w:hint="eastAsia" w:eastAsiaTheme="minorEastAsia"/>
          <w:bCs/>
          <w:sz w:val="24"/>
          <w:szCs w:val="24"/>
          <w:lang w:eastAsia="zh-CN"/>
        </w:rPr>
        <w:t>2026年</w:t>
      </w:r>
      <w:r>
        <w:rPr>
          <w:rFonts w:hint="eastAsia" w:eastAsiaTheme="minorEastAsia"/>
          <w:bCs/>
          <w:sz w:val="24"/>
          <w:szCs w:val="24"/>
          <w:lang w:val="en-US" w:eastAsia="zh-CN"/>
        </w:rPr>
        <w:t>10</w:t>
      </w:r>
      <w:r>
        <w:rPr>
          <w:rFonts w:hint="eastAsia" w:eastAsiaTheme="minorEastAsia"/>
          <w:bCs/>
          <w:sz w:val="24"/>
          <w:szCs w:val="24"/>
          <w:lang w:eastAsia="zh-CN"/>
        </w:rPr>
        <w:t>月</w:t>
      </w:r>
      <w:r>
        <w:rPr>
          <w:rFonts w:hint="eastAsia" w:eastAsiaTheme="minorEastAsia"/>
          <w:bCs/>
          <w:sz w:val="24"/>
          <w:szCs w:val="24"/>
          <w:lang w:val="en-US" w:eastAsia="zh-CN"/>
        </w:rPr>
        <w:t>31</w:t>
      </w:r>
      <w:r>
        <w:rPr>
          <w:rFonts w:hint="eastAsia" w:eastAsiaTheme="minorEastAsia"/>
          <w:bCs/>
          <w:sz w:val="24"/>
          <w:szCs w:val="24"/>
          <w:lang w:eastAsia="zh-CN"/>
        </w:rPr>
        <w:t>日</w:t>
      </w:r>
    </w:p>
    <w:p w14:paraId="59CF97DC">
      <w:pPr>
        <w:pStyle w:val="3"/>
        <w:spacing w:line="560" w:lineRule="exact"/>
        <w:rPr>
          <w:rFonts w:ascii="Times New Roman" w:hAnsi="Times New Roman" w:eastAsiaTheme="minorEastAsia"/>
          <w:bCs w:val="0"/>
          <w:color w:val="000000"/>
          <w:sz w:val="24"/>
          <w:szCs w:val="24"/>
        </w:rPr>
      </w:pPr>
      <w:bookmarkStart w:id="0" w:name="_Toc275961405"/>
      <w:r>
        <w:rPr>
          <w:rFonts w:ascii="Times New Roman" w:hAnsi="Times New Roman" w:eastAsiaTheme="minorEastAsia"/>
          <w:bCs w:val="0"/>
          <w:color w:val="000000"/>
          <w:sz w:val="24"/>
          <w:szCs w:val="24"/>
        </w:rPr>
        <w:t>1 公告基本信息</w:t>
      </w:r>
      <w:bookmarkEnd w:id="0"/>
    </w:p>
    <w:tbl>
      <w:tblPr>
        <w:tblStyle w:val="10"/>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82"/>
        <w:gridCol w:w="1979"/>
        <w:gridCol w:w="1051"/>
        <w:gridCol w:w="928"/>
        <w:gridCol w:w="1981"/>
      </w:tblGrid>
      <w:tr w14:paraId="28973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15" w:type="pct"/>
          </w:tcPr>
          <w:p w14:paraId="0FEBEC21">
            <w:pPr>
              <w:rPr>
                <w:rFonts w:eastAsiaTheme="minorEastAsia"/>
                <w:color w:val="000000"/>
                <w:sz w:val="24"/>
                <w:szCs w:val="24"/>
              </w:rPr>
            </w:pPr>
            <w:r>
              <w:rPr>
                <w:rFonts w:eastAsiaTheme="minorEastAsia"/>
                <w:color w:val="000000"/>
                <w:sz w:val="24"/>
                <w:szCs w:val="24"/>
              </w:rPr>
              <w:t>基金名称</w:t>
            </w:r>
          </w:p>
        </w:tc>
        <w:tc>
          <w:tcPr>
            <w:tcW w:w="3484" w:type="pct"/>
            <w:gridSpan w:val="4"/>
            <w:vAlign w:val="center"/>
          </w:tcPr>
          <w:p w14:paraId="627252AD">
            <w:pPr>
              <w:rPr>
                <w:rFonts w:eastAsia="宋体"/>
                <w:sz w:val="24"/>
                <w:szCs w:val="24"/>
              </w:rPr>
            </w:pPr>
            <w:r>
              <w:rPr>
                <w:rFonts w:hint="eastAsia" w:eastAsia="宋体"/>
                <w:sz w:val="24"/>
                <w:szCs w:val="24"/>
              </w:rPr>
              <w:t>交银施罗德</w:t>
            </w:r>
            <w:r>
              <w:rPr>
                <w:rFonts w:hint="eastAsia" w:eastAsia="宋体"/>
                <w:sz w:val="24"/>
                <w:szCs w:val="24"/>
                <w:lang w:eastAsia="zh-CN"/>
              </w:rPr>
              <w:t>天利宝</w:t>
            </w:r>
            <w:r>
              <w:rPr>
                <w:rFonts w:hint="eastAsia" w:eastAsia="宋体"/>
                <w:sz w:val="24"/>
                <w:szCs w:val="24"/>
              </w:rPr>
              <w:t>货币市场基金</w:t>
            </w:r>
          </w:p>
        </w:tc>
      </w:tr>
      <w:tr w14:paraId="620B6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15" w:type="pct"/>
          </w:tcPr>
          <w:p w14:paraId="3DC982FE">
            <w:pPr>
              <w:rPr>
                <w:rFonts w:eastAsiaTheme="minorEastAsia"/>
                <w:color w:val="000000"/>
                <w:sz w:val="24"/>
                <w:szCs w:val="24"/>
              </w:rPr>
            </w:pPr>
            <w:r>
              <w:rPr>
                <w:rFonts w:eastAsiaTheme="minorEastAsia"/>
                <w:color w:val="000000"/>
                <w:sz w:val="24"/>
                <w:szCs w:val="24"/>
              </w:rPr>
              <w:t>基金简称</w:t>
            </w:r>
          </w:p>
        </w:tc>
        <w:tc>
          <w:tcPr>
            <w:tcW w:w="3484" w:type="pct"/>
            <w:gridSpan w:val="4"/>
            <w:vAlign w:val="center"/>
          </w:tcPr>
          <w:p w14:paraId="07CFAC56">
            <w:pPr>
              <w:rPr>
                <w:rFonts w:eastAsia="宋体"/>
                <w:sz w:val="24"/>
                <w:szCs w:val="24"/>
              </w:rPr>
            </w:pPr>
            <w:r>
              <w:rPr>
                <w:rFonts w:hint="eastAsia" w:eastAsia="宋体"/>
                <w:sz w:val="24"/>
                <w:szCs w:val="24"/>
              </w:rPr>
              <w:t>交银</w:t>
            </w:r>
            <w:r>
              <w:rPr>
                <w:rFonts w:hint="eastAsia" w:eastAsia="宋体"/>
                <w:sz w:val="24"/>
                <w:szCs w:val="24"/>
                <w:lang w:eastAsia="zh-CN"/>
              </w:rPr>
              <w:t>天利宝</w:t>
            </w:r>
            <w:r>
              <w:rPr>
                <w:rFonts w:hint="eastAsia" w:eastAsia="宋体"/>
                <w:sz w:val="24"/>
                <w:szCs w:val="24"/>
              </w:rPr>
              <w:t>货币</w:t>
            </w:r>
          </w:p>
        </w:tc>
      </w:tr>
      <w:tr w14:paraId="5534E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15" w:type="pct"/>
            <w:vAlign w:val="center"/>
          </w:tcPr>
          <w:p w14:paraId="7E8EFB95">
            <w:pPr>
              <w:rPr>
                <w:rFonts w:eastAsiaTheme="minorEastAsia"/>
                <w:color w:val="000000"/>
                <w:sz w:val="24"/>
                <w:szCs w:val="24"/>
              </w:rPr>
            </w:pPr>
            <w:r>
              <w:rPr>
                <w:rFonts w:eastAsiaTheme="minorEastAsia"/>
                <w:color w:val="000000"/>
                <w:sz w:val="24"/>
                <w:szCs w:val="24"/>
              </w:rPr>
              <w:t>基金主代码</w:t>
            </w:r>
          </w:p>
        </w:tc>
        <w:tc>
          <w:tcPr>
            <w:tcW w:w="3484" w:type="pct"/>
            <w:gridSpan w:val="4"/>
            <w:vAlign w:val="center"/>
          </w:tcPr>
          <w:p w14:paraId="62F91A8C">
            <w:pPr>
              <w:rPr>
                <w:rFonts w:hint="eastAsia" w:eastAsia="宋体"/>
                <w:sz w:val="24"/>
                <w:szCs w:val="24"/>
                <w:lang w:eastAsia="zh-CN"/>
              </w:rPr>
            </w:pPr>
            <w:r>
              <w:rPr>
                <w:rFonts w:hint="eastAsia" w:eastAsia="宋体"/>
                <w:sz w:val="24"/>
                <w:szCs w:val="24"/>
                <w:lang w:eastAsia="zh-CN"/>
              </w:rPr>
              <w:t>002889</w:t>
            </w:r>
          </w:p>
        </w:tc>
      </w:tr>
      <w:tr w14:paraId="13F8A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15" w:type="pct"/>
          </w:tcPr>
          <w:p w14:paraId="336C4A05">
            <w:pPr>
              <w:rPr>
                <w:rFonts w:eastAsiaTheme="minorEastAsia"/>
                <w:color w:val="000000"/>
                <w:sz w:val="24"/>
                <w:szCs w:val="24"/>
              </w:rPr>
            </w:pPr>
            <w:r>
              <w:rPr>
                <w:rFonts w:eastAsiaTheme="minorEastAsia"/>
                <w:color w:val="000000"/>
                <w:sz w:val="24"/>
                <w:szCs w:val="24"/>
              </w:rPr>
              <w:t>基金管理人名称</w:t>
            </w:r>
          </w:p>
        </w:tc>
        <w:tc>
          <w:tcPr>
            <w:tcW w:w="3484" w:type="pct"/>
            <w:gridSpan w:val="4"/>
            <w:vAlign w:val="center"/>
          </w:tcPr>
          <w:p w14:paraId="34C00538">
            <w:pPr>
              <w:rPr>
                <w:rFonts w:eastAsia="宋体"/>
                <w:sz w:val="24"/>
                <w:szCs w:val="24"/>
              </w:rPr>
            </w:pPr>
            <w:r>
              <w:rPr>
                <w:rFonts w:eastAsia="宋体"/>
                <w:sz w:val="24"/>
                <w:szCs w:val="24"/>
              </w:rPr>
              <w:t>交银施罗德基金管理有限公司</w:t>
            </w:r>
          </w:p>
        </w:tc>
      </w:tr>
      <w:tr w14:paraId="0A626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15" w:type="pct"/>
          </w:tcPr>
          <w:p w14:paraId="3968B94C">
            <w:pPr>
              <w:rPr>
                <w:rFonts w:eastAsiaTheme="minorEastAsia"/>
                <w:color w:val="000000"/>
                <w:sz w:val="24"/>
                <w:szCs w:val="24"/>
              </w:rPr>
            </w:pPr>
            <w:r>
              <w:rPr>
                <w:rFonts w:eastAsiaTheme="minorEastAsia"/>
                <w:color w:val="000000"/>
                <w:sz w:val="24"/>
                <w:szCs w:val="24"/>
              </w:rPr>
              <w:t>公告依据</w:t>
            </w:r>
          </w:p>
        </w:tc>
        <w:tc>
          <w:tcPr>
            <w:tcW w:w="3484" w:type="pct"/>
            <w:gridSpan w:val="4"/>
            <w:vAlign w:val="center"/>
          </w:tcPr>
          <w:p w14:paraId="02482390">
            <w:pPr>
              <w:rPr>
                <w:rFonts w:eastAsia="宋体"/>
                <w:sz w:val="24"/>
                <w:szCs w:val="24"/>
              </w:rPr>
            </w:pPr>
            <w:r>
              <w:rPr>
                <w:rFonts w:hint="eastAsia" w:eastAsia="宋体"/>
                <w:sz w:val="24"/>
                <w:szCs w:val="24"/>
              </w:rPr>
              <w:t>《交银施罗德</w:t>
            </w:r>
            <w:r>
              <w:rPr>
                <w:rFonts w:hint="eastAsia" w:eastAsia="宋体"/>
                <w:sz w:val="24"/>
                <w:szCs w:val="24"/>
                <w:lang w:eastAsia="zh-CN"/>
              </w:rPr>
              <w:t>天利宝</w:t>
            </w:r>
            <w:r>
              <w:rPr>
                <w:rFonts w:hint="eastAsia" w:eastAsia="宋体"/>
                <w:sz w:val="24"/>
                <w:szCs w:val="24"/>
              </w:rPr>
              <w:t>货币市场基金基金合同》、《交银施罗德</w:t>
            </w:r>
            <w:r>
              <w:rPr>
                <w:rFonts w:hint="eastAsia" w:eastAsia="宋体"/>
                <w:sz w:val="24"/>
                <w:szCs w:val="24"/>
                <w:lang w:eastAsia="zh-CN"/>
              </w:rPr>
              <w:t>天利宝</w:t>
            </w:r>
            <w:r>
              <w:rPr>
                <w:rFonts w:hint="eastAsia" w:eastAsia="宋体"/>
                <w:sz w:val="24"/>
                <w:szCs w:val="24"/>
              </w:rPr>
              <w:t>货币市场基金招募说明书》等</w:t>
            </w:r>
          </w:p>
        </w:tc>
      </w:tr>
      <w:tr w14:paraId="4B6F2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jc w:val="center"/>
        </w:trPr>
        <w:tc>
          <w:tcPr>
            <w:tcW w:w="1515" w:type="pct"/>
            <w:vMerge w:val="restart"/>
            <w:vAlign w:val="center"/>
          </w:tcPr>
          <w:p w14:paraId="7D272990">
            <w:pPr>
              <w:rPr>
                <w:rFonts w:eastAsiaTheme="minorEastAsia"/>
                <w:color w:val="000000"/>
                <w:sz w:val="24"/>
                <w:szCs w:val="24"/>
              </w:rPr>
            </w:pPr>
            <w:r>
              <w:rPr>
                <w:rFonts w:hint="eastAsia" w:eastAsiaTheme="minorEastAsia"/>
                <w:color w:val="000000"/>
                <w:sz w:val="24"/>
                <w:szCs w:val="24"/>
                <w:lang w:val="en-US" w:eastAsia="zh-CN"/>
              </w:rPr>
              <w:t>调整</w:t>
            </w:r>
            <w:r>
              <w:rPr>
                <w:rFonts w:eastAsiaTheme="minorEastAsia"/>
                <w:color w:val="000000"/>
                <w:sz w:val="24"/>
                <w:szCs w:val="24"/>
              </w:rPr>
              <w:t>相关业务的起始日、金额及原因说明</w:t>
            </w:r>
          </w:p>
        </w:tc>
        <w:tc>
          <w:tcPr>
            <w:tcW w:w="1777" w:type="pct"/>
            <w:gridSpan w:val="2"/>
            <w:vAlign w:val="center"/>
          </w:tcPr>
          <w:p w14:paraId="1F896583">
            <w:pPr>
              <w:rPr>
                <w:rFonts w:eastAsiaTheme="minorEastAsia"/>
                <w:color w:val="000000"/>
                <w:sz w:val="24"/>
                <w:szCs w:val="24"/>
              </w:rPr>
            </w:pPr>
            <w:r>
              <w:rPr>
                <w:rFonts w:hint="eastAsia" w:eastAsiaTheme="minorEastAsia"/>
                <w:color w:val="000000"/>
                <w:sz w:val="24"/>
                <w:szCs w:val="24"/>
                <w:lang w:eastAsia="zh-CN"/>
              </w:rPr>
              <w:t>调整</w:t>
            </w:r>
            <w:r>
              <w:rPr>
                <w:rFonts w:hint="eastAsia" w:eastAsiaTheme="minorEastAsia"/>
                <w:color w:val="000000"/>
                <w:sz w:val="24"/>
                <w:szCs w:val="24"/>
              </w:rPr>
              <w:t>大额申购起始日</w:t>
            </w:r>
          </w:p>
        </w:tc>
        <w:tc>
          <w:tcPr>
            <w:tcW w:w="1706" w:type="pct"/>
            <w:gridSpan w:val="2"/>
            <w:vAlign w:val="center"/>
          </w:tcPr>
          <w:p w14:paraId="51863C4E">
            <w:pPr>
              <w:rPr>
                <w:rFonts w:hint="eastAsia" w:eastAsiaTheme="minorEastAsia"/>
                <w:color w:val="000000"/>
                <w:sz w:val="24"/>
                <w:szCs w:val="24"/>
                <w:lang w:eastAsia="zh-CN"/>
              </w:rPr>
            </w:pPr>
            <w:r>
              <w:rPr>
                <w:rFonts w:hint="eastAsia" w:eastAsiaTheme="minorEastAsia"/>
                <w:color w:val="000000"/>
                <w:sz w:val="24"/>
                <w:szCs w:val="24"/>
                <w:lang w:eastAsia="zh-CN"/>
              </w:rPr>
              <w:t>2026年11月3日</w:t>
            </w:r>
          </w:p>
        </w:tc>
      </w:tr>
      <w:tr w14:paraId="404C6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jc w:val="center"/>
        </w:trPr>
        <w:tc>
          <w:tcPr>
            <w:tcW w:w="1515" w:type="pct"/>
            <w:vMerge w:val="continue"/>
            <w:vAlign w:val="center"/>
          </w:tcPr>
          <w:p w14:paraId="7D62B847">
            <w:pPr>
              <w:rPr>
                <w:rFonts w:eastAsiaTheme="minorEastAsia"/>
                <w:color w:val="000000"/>
                <w:sz w:val="24"/>
                <w:szCs w:val="24"/>
              </w:rPr>
            </w:pPr>
          </w:p>
        </w:tc>
        <w:tc>
          <w:tcPr>
            <w:tcW w:w="1777" w:type="pct"/>
            <w:gridSpan w:val="2"/>
            <w:vAlign w:val="center"/>
          </w:tcPr>
          <w:p w14:paraId="487AE381">
            <w:pPr>
              <w:rPr>
                <w:rFonts w:eastAsiaTheme="minorEastAsia"/>
                <w:color w:val="000000"/>
                <w:sz w:val="24"/>
                <w:szCs w:val="24"/>
              </w:rPr>
            </w:pPr>
            <w:r>
              <w:rPr>
                <w:rFonts w:hint="eastAsia" w:eastAsiaTheme="minorEastAsia"/>
                <w:color w:val="000000"/>
                <w:sz w:val="24"/>
                <w:szCs w:val="24"/>
                <w:lang w:eastAsia="zh-CN"/>
              </w:rPr>
              <w:t>调整</w:t>
            </w:r>
            <w:r>
              <w:rPr>
                <w:rFonts w:hint="eastAsia" w:eastAsia="宋体"/>
                <w:sz w:val="24"/>
                <w:szCs w:val="24"/>
              </w:rPr>
              <w:t>大额</w:t>
            </w:r>
            <w:r>
              <w:rPr>
                <w:rFonts w:eastAsia="宋体"/>
                <w:sz w:val="24"/>
                <w:szCs w:val="24"/>
              </w:rPr>
              <w:t>转换转入起始日</w:t>
            </w:r>
          </w:p>
        </w:tc>
        <w:tc>
          <w:tcPr>
            <w:tcW w:w="1706" w:type="pct"/>
            <w:gridSpan w:val="2"/>
            <w:vAlign w:val="center"/>
          </w:tcPr>
          <w:p w14:paraId="3175AA58">
            <w:pPr>
              <w:rPr>
                <w:rFonts w:hint="eastAsia" w:eastAsia="宋体"/>
                <w:color w:val="000000"/>
                <w:sz w:val="24"/>
                <w:szCs w:val="24"/>
                <w:lang w:eastAsia="zh-CN"/>
              </w:rPr>
            </w:pPr>
            <w:r>
              <w:rPr>
                <w:rFonts w:hint="eastAsia" w:eastAsia="宋体"/>
                <w:color w:val="000000"/>
                <w:sz w:val="24"/>
                <w:szCs w:val="24"/>
                <w:lang w:eastAsia="zh-CN"/>
              </w:rPr>
              <w:t>2026年11月3日</w:t>
            </w:r>
          </w:p>
        </w:tc>
      </w:tr>
      <w:tr w14:paraId="2C755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15" w:type="pct"/>
            <w:vMerge w:val="continue"/>
          </w:tcPr>
          <w:p w14:paraId="15A0C82A">
            <w:pPr>
              <w:rPr>
                <w:rFonts w:eastAsiaTheme="minorEastAsia"/>
                <w:color w:val="000000"/>
                <w:sz w:val="24"/>
                <w:szCs w:val="24"/>
              </w:rPr>
            </w:pPr>
          </w:p>
        </w:tc>
        <w:tc>
          <w:tcPr>
            <w:tcW w:w="1777" w:type="pct"/>
            <w:gridSpan w:val="2"/>
            <w:vAlign w:val="center"/>
          </w:tcPr>
          <w:p w14:paraId="52EA6E08">
            <w:pPr>
              <w:rPr>
                <w:rFonts w:eastAsiaTheme="minorEastAsia"/>
                <w:color w:val="000000"/>
                <w:sz w:val="24"/>
                <w:szCs w:val="24"/>
              </w:rPr>
            </w:pPr>
            <w:r>
              <w:rPr>
                <w:rFonts w:hint="eastAsia" w:eastAsiaTheme="minorEastAsia"/>
                <w:color w:val="000000"/>
                <w:sz w:val="24"/>
                <w:szCs w:val="24"/>
                <w:lang w:eastAsia="zh-CN"/>
              </w:rPr>
              <w:t>调整</w:t>
            </w:r>
            <w:r>
              <w:rPr>
                <w:rFonts w:hint="eastAsia" w:eastAsia="宋体"/>
                <w:sz w:val="24"/>
                <w:szCs w:val="24"/>
              </w:rPr>
              <w:t>大额定期定额投资</w:t>
            </w:r>
            <w:r>
              <w:rPr>
                <w:rFonts w:eastAsia="宋体"/>
                <w:sz w:val="24"/>
                <w:szCs w:val="24"/>
              </w:rPr>
              <w:t>起始日</w:t>
            </w:r>
          </w:p>
        </w:tc>
        <w:tc>
          <w:tcPr>
            <w:tcW w:w="1706" w:type="pct"/>
            <w:gridSpan w:val="2"/>
            <w:vAlign w:val="center"/>
          </w:tcPr>
          <w:p w14:paraId="7341A230">
            <w:pPr>
              <w:rPr>
                <w:rFonts w:hint="eastAsia" w:eastAsia="宋体"/>
                <w:color w:val="000000"/>
                <w:sz w:val="24"/>
                <w:szCs w:val="24"/>
                <w:lang w:eastAsia="zh-CN"/>
              </w:rPr>
            </w:pPr>
            <w:r>
              <w:rPr>
                <w:rFonts w:hint="eastAsia" w:eastAsia="宋体"/>
                <w:color w:val="000000"/>
                <w:sz w:val="24"/>
                <w:szCs w:val="24"/>
                <w:lang w:eastAsia="zh-CN"/>
              </w:rPr>
              <w:t>2026年11月3日</w:t>
            </w:r>
          </w:p>
        </w:tc>
      </w:tr>
      <w:tr w14:paraId="33C85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15" w:type="pct"/>
            <w:vMerge w:val="continue"/>
          </w:tcPr>
          <w:p w14:paraId="2E26A2AF">
            <w:pPr>
              <w:rPr>
                <w:rFonts w:eastAsiaTheme="minorEastAsia"/>
                <w:color w:val="000000"/>
                <w:sz w:val="24"/>
                <w:szCs w:val="24"/>
              </w:rPr>
            </w:pPr>
          </w:p>
        </w:tc>
        <w:tc>
          <w:tcPr>
            <w:tcW w:w="1777" w:type="pct"/>
            <w:gridSpan w:val="2"/>
            <w:vAlign w:val="center"/>
          </w:tcPr>
          <w:p w14:paraId="282FB9F4">
            <w:pPr>
              <w:rPr>
                <w:rFonts w:eastAsiaTheme="minorEastAsia"/>
                <w:color w:val="000000"/>
                <w:sz w:val="24"/>
                <w:szCs w:val="24"/>
              </w:rPr>
            </w:pPr>
            <w:r>
              <w:rPr>
                <w:rFonts w:hint="eastAsia" w:eastAsiaTheme="minorEastAsia"/>
                <w:color w:val="000000"/>
                <w:sz w:val="24"/>
                <w:szCs w:val="24"/>
                <w:lang w:eastAsia="zh-CN"/>
              </w:rPr>
              <w:t>调整</w:t>
            </w:r>
            <w:r>
              <w:rPr>
                <w:rFonts w:eastAsiaTheme="minorEastAsia"/>
                <w:color w:val="000000"/>
                <w:sz w:val="24"/>
                <w:szCs w:val="24"/>
              </w:rPr>
              <w:t>大额申购</w:t>
            </w:r>
            <w:r>
              <w:rPr>
                <w:rFonts w:hint="eastAsia" w:eastAsiaTheme="minorEastAsia"/>
                <w:color w:val="000000"/>
                <w:sz w:val="24"/>
                <w:szCs w:val="24"/>
              </w:rPr>
              <w:t>（</w:t>
            </w:r>
            <w:r>
              <w:rPr>
                <w:rFonts w:eastAsiaTheme="minorEastAsia"/>
                <w:color w:val="000000"/>
                <w:sz w:val="24"/>
                <w:szCs w:val="24"/>
              </w:rPr>
              <w:t>转换转入</w:t>
            </w:r>
            <w:r>
              <w:rPr>
                <w:rFonts w:hint="eastAsia" w:eastAsiaTheme="minorEastAsia"/>
                <w:color w:val="000000"/>
                <w:sz w:val="24"/>
                <w:szCs w:val="24"/>
              </w:rPr>
              <w:t>、定期定额投资）业务</w:t>
            </w:r>
            <w:r>
              <w:rPr>
                <w:rFonts w:eastAsiaTheme="minorEastAsia"/>
                <w:color w:val="000000"/>
                <w:sz w:val="24"/>
                <w:szCs w:val="24"/>
              </w:rPr>
              <w:t>的原因说明</w:t>
            </w:r>
          </w:p>
        </w:tc>
        <w:tc>
          <w:tcPr>
            <w:tcW w:w="1706" w:type="pct"/>
            <w:gridSpan w:val="2"/>
            <w:vAlign w:val="center"/>
          </w:tcPr>
          <w:p w14:paraId="5E928030">
            <w:pPr>
              <w:rPr>
                <w:rFonts w:eastAsiaTheme="minorEastAsia"/>
                <w:color w:val="000000"/>
                <w:sz w:val="24"/>
                <w:szCs w:val="24"/>
              </w:rPr>
            </w:pPr>
            <w:r>
              <w:rPr>
                <w:rFonts w:eastAsia="宋体"/>
                <w:sz w:val="24"/>
              </w:rPr>
              <w:t>为保护</w:t>
            </w:r>
            <w:r>
              <w:rPr>
                <w:rFonts w:hint="eastAsia" w:eastAsia="宋体"/>
                <w:sz w:val="24"/>
              </w:rPr>
              <w:t>现有</w:t>
            </w:r>
            <w:r>
              <w:rPr>
                <w:rFonts w:eastAsia="宋体"/>
                <w:sz w:val="24"/>
              </w:rPr>
              <w:t>基金份额持有人的利益</w:t>
            </w:r>
            <w:r>
              <w:rPr>
                <w:rFonts w:hint="eastAsia" w:eastAsia="宋体"/>
                <w:sz w:val="24"/>
              </w:rPr>
              <w:t>，稳定基金规模，追求平稳运作</w:t>
            </w:r>
          </w:p>
        </w:tc>
      </w:tr>
      <w:tr w14:paraId="6D4B4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15" w:type="pct"/>
            <w:vAlign w:val="center"/>
          </w:tcPr>
          <w:p w14:paraId="76E07245">
            <w:pPr>
              <w:rPr>
                <w:rFonts w:eastAsiaTheme="minorEastAsia"/>
                <w:color w:val="000000"/>
                <w:kern w:val="0"/>
                <w:sz w:val="24"/>
                <w:szCs w:val="24"/>
              </w:rPr>
            </w:pPr>
            <w:r>
              <w:rPr>
                <w:rFonts w:eastAsiaTheme="minorEastAsia"/>
                <w:color w:val="000000"/>
                <w:sz w:val="24"/>
                <w:szCs w:val="24"/>
              </w:rPr>
              <w:t>下属分级基金的基金简称</w:t>
            </w:r>
          </w:p>
        </w:tc>
        <w:tc>
          <w:tcPr>
            <w:tcW w:w="1161" w:type="pct"/>
            <w:vAlign w:val="center"/>
          </w:tcPr>
          <w:p w14:paraId="61F4D042">
            <w:pPr>
              <w:rPr>
                <w:rFonts w:eastAsiaTheme="minorEastAsia"/>
                <w:color w:val="000000"/>
                <w:sz w:val="24"/>
                <w:szCs w:val="24"/>
              </w:rPr>
            </w:pPr>
            <w:r>
              <w:rPr>
                <w:rFonts w:hint="eastAsia" w:eastAsiaTheme="minorEastAsia"/>
                <w:color w:val="000000"/>
                <w:sz w:val="24"/>
                <w:szCs w:val="24"/>
              </w:rPr>
              <w:t>交银</w:t>
            </w:r>
            <w:r>
              <w:rPr>
                <w:rFonts w:hint="eastAsia" w:eastAsiaTheme="minorEastAsia"/>
                <w:color w:val="000000"/>
                <w:sz w:val="24"/>
                <w:szCs w:val="24"/>
                <w:lang w:eastAsia="zh-CN"/>
              </w:rPr>
              <w:t>天利宝</w:t>
            </w:r>
            <w:r>
              <w:rPr>
                <w:rFonts w:hint="eastAsia" w:eastAsiaTheme="minorEastAsia"/>
                <w:color w:val="000000"/>
                <w:sz w:val="24"/>
                <w:szCs w:val="24"/>
              </w:rPr>
              <w:t>货币A</w:t>
            </w:r>
          </w:p>
        </w:tc>
        <w:tc>
          <w:tcPr>
            <w:tcW w:w="1161" w:type="pct"/>
            <w:gridSpan w:val="2"/>
            <w:vAlign w:val="center"/>
          </w:tcPr>
          <w:p w14:paraId="2E392B1B">
            <w:pPr>
              <w:rPr>
                <w:rFonts w:hint="eastAsia" w:eastAsiaTheme="minorEastAsia"/>
                <w:color w:val="000000"/>
                <w:sz w:val="24"/>
                <w:szCs w:val="24"/>
                <w:lang w:eastAsia="zh-CN"/>
              </w:rPr>
            </w:pPr>
            <w:r>
              <w:rPr>
                <w:rFonts w:hint="eastAsia" w:eastAsiaTheme="minorEastAsia"/>
                <w:color w:val="000000"/>
                <w:sz w:val="24"/>
                <w:szCs w:val="24"/>
              </w:rPr>
              <w:t>交银</w:t>
            </w:r>
            <w:r>
              <w:rPr>
                <w:rFonts w:hint="eastAsia" w:eastAsiaTheme="minorEastAsia"/>
                <w:color w:val="000000"/>
                <w:sz w:val="24"/>
                <w:szCs w:val="24"/>
                <w:lang w:eastAsia="zh-CN"/>
              </w:rPr>
              <w:t>天利宝</w:t>
            </w:r>
            <w:r>
              <w:rPr>
                <w:rFonts w:hint="eastAsia" w:eastAsiaTheme="minorEastAsia"/>
                <w:color w:val="000000"/>
                <w:sz w:val="24"/>
                <w:szCs w:val="24"/>
              </w:rPr>
              <w:t>货币</w:t>
            </w:r>
            <w:r>
              <w:rPr>
                <w:rFonts w:hint="eastAsia" w:eastAsiaTheme="minorEastAsia"/>
                <w:color w:val="000000"/>
                <w:sz w:val="24"/>
                <w:szCs w:val="24"/>
                <w:lang w:val="en-US" w:eastAsia="zh-CN"/>
              </w:rPr>
              <w:t>C</w:t>
            </w:r>
          </w:p>
        </w:tc>
        <w:tc>
          <w:tcPr>
            <w:tcW w:w="1162" w:type="pct"/>
            <w:vAlign w:val="center"/>
          </w:tcPr>
          <w:p w14:paraId="13741E7F">
            <w:pPr>
              <w:rPr>
                <w:rFonts w:hint="eastAsia" w:eastAsiaTheme="minorEastAsia"/>
                <w:color w:val="000000"/>
                <w:sz w:val="24"/>
                <w:szCs w:val="24"/>
                <w:lang w:val="en-US" w:eastAsia="zh-CN"/>
              </w:rPr>
            </w:pPr>
            <w:r>
              <w:rPr>
                <w:rFonts w:hint="eastAsia" w:eastAsiaTheme="minorEastAsia"/>
                <w:color w:val="000000"/>
                <w:sz w:val="24"/>
                <w:szCs w:val="24"/>
              </w:rPr>
              <w:t>交银</w:t>
            </w:r>
            <w:r>
              <w:rPr>
                <w:rFonts w:hint="eastAsia" w:eastAsiaTheme="minorEastAsia"/>
                <w:color w:val="000000"/>
                <w:sz w:val="24"/>
                <w:szCs w:val="24"/>
                <w:lang w:eastAsia="zh-CN"/>
              </w:rPr>
              <w:t>天利宝</w:t>
            </w:r>
            <w:r>
              <w:rPr>
                <w:rFonts w:hint="eastAsia" w:eastAsiaTheme="minorEastAsia"/>
                <w:color w:val="000000"/>
                <w:sz w:val="24"/>
                <w:szCs w:val="24"/>
              </w:rPr>
              <w:t>货币</w:t>
            </w:r>
            <w:r>
              <w:rPr>
                <w:rFonts w:hint="eastAsia" w:eastAsiaTheme="minorEastAsia"/>
                <w:color w:val="000000"/>
                <w:sz w:val="24"/>
                <w:szCs w:val="24"/>
                <w:lang w:val="en-US" w:eastAsia="zh-CN"/>
              </w:rPr>
              <w:t>E</w:t>
            </w:r>
          </w:p>
        </w:tc>
      </w:tr>
      <w:tr w14:paraId="3491A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15" w:type="pct"/>
            <w:vAlign w:val="center"/>
          </w:tcPr>
          <w:p w14:paraId="378DA091">
            <w:pPr>
              <w:rPr>
                <w:rFonts w:eastAsiaTheme="minorEastAsia"/>
                <w:color w:val="000000"/>
                <w:sz w:val="24"/>
                <w:szCs w:val="24"/>
              </w:rPr>
            </w:pPr>
            <w:r>
              <w:rPr>
                <w:rFonts w:eastAsiaTheme="minorEastAsia"/>
                <w:color w:val="000000"/>
                <w:sz w:val="24"/>
                <w:szCs w:val="24"/>
              </w:rPr>
              <w:t>下属分级基金的交易代码</w:t>
            </w:r>
          </w:p>
        </w:tc>
        <w:tc>
          <w:tcPr>
            <w:tcW w:w="1161" w:type="pct"/>
            <w:vAlign w:val="center"/>
          </w:tcPr>
          <w:p w14:paraId="025B8839">
            <w:pPr>
              <w:rPr>
                <w:rFonts w:hint="eastAsia" w:eastAsiaTheme="minorEastAsia"/>
                <w:color w:val="000000"/>
                <w:sz w:val="24"/>
                <w:szCs w:val="24"/>
                <w:lang w:eastAsia="zh-CN"/>
              </w:rPr>
            </w:pPr>
            <w:r>
              <w:rPr>
                <w:rFonts w:hint="eastAsia" w:eastAsiaTheme="minorEastAsia"/>
                <w:color w:val="000000"/>
                <w:sz w:val="24"/>
                <w:szCs w:val="24"/>
                <w:lang w:eastAsia="zh-CN"/>
              </w:rPr>
              <w:t>002889</w:t>
            </w:r>
          </w:p>
        </w:tc>
        <w:tc>
          <w:tcPr>
            <w:tcW w:w="1161" w:type="pct"/>
            <w:gridSpan w:val="2"/>
            <w:vAlign w:val="center"/>
          </w:tcPr>
          <w:p w14:paraId="4805AA8A">
            <w:pPr>
              <w:rPr>
                <w:rFonts w:hint="eastAsia" w:eastAsiaTheme="minorEastAsia"/>
                <w:color w:val="000000"/>
                <w:sz w:val="24"/>
                <w:szCs w:val="24"/>
                <w:lang w:eastAsia="zh-CN"/>
              </w:rPr>
            </w:pPr>
            <w:r>
              <w:rPr>
                <w:rFonts w:hint="eastAsia" w:eastAsiaTheme="minorEastAsia"/>
                <w:color w:val="000000"/>
                <w:sz w:val="24"/>
                <w:szCs w:val="24"/>
                <w:lang w:val="en-US" w:eastAsia="zh-CN"/>
              </w:rPr>
              <w:t>018599</w:t>
            </w:r>
          </w:p>
        </w:tc>
        <w:tc>
          <w:tcPr>
            <w:tcW w:w="1162" w:type="pct"/>
            <w:vAlign w:val="center"/>
          </w:tcPr>
          <w:p w14:paraId="1C23EA18">
            <w:pPr>
              <w:rPr>
                <w:rFonts w:hint="default" w:eastAsiaTheme="minorEastAsia"/>
                <w:color w:val="000000"/>
                <w:sz w:val="24"/>
                <w:szCs w:val="24"/>
                <w:lang w:val="en-US" w:eastAsia="zh-CN"/>
              </w:rPr>
            </w:pPr>
            <w:r>
              <w:rPr>
                <w:rFonts w:hint="eastAsia" w:eastAsiaTheme="minorEastAsia"/>
                <w:color w:val="000000"/>
                <w:sz w:val="24"/>
                <w:szCs w:val="24"/>
                <w:lang w:eastAsia="zh-CN"/>
              </w:rPr>
              <w:t>002890</w:t>
            </w:r>
          </w:p>
        </w:tc>
      </w:tr>
      <w:tr w14:paraId="3A014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15" w:type="pct"/>
          </w:tcPr>
          <w:p w14:paraId="0BB59662">
            <w:pPr>
              <w:rPr>
                <w:rFonts w:eastAsiaTheme="minorEastAsia"/>
                <w:color w:val="000000"/>
                <w:sz w:val="24"/>
                <w:szCs w:val="24"/>
              </w:rPr>
            </w:pPr>
            <w:r>
              <w:rPr>
                <w:rFonts w:eastAsiaTheme="minorEastAsia"/>
                <w:color w:val="000000"/>
                <w:sz w:val="24"/>
                <w:szCs w:val="24"/>
              </w:rPr>
              <w:t>该分级基金是否</w:t>
            </w:r>
            <w:r>
              <w:rPr>
                <w:rFonts w:hint="eastAsia" w:eastAsiaTheme="minorEastAsia"/>
                <w:color w:val="000000"/>
                <w:sz w:val="24"/>
                <w:szCs w:val="24"/>
                <w:lang w:eastAsia="zh-CN"/>
              </w:rPr>
              <w:t>调整</w:t>
            </w:r>
            <w:r>
              <w:rPr>
                <w:rFonts w:eastAsiaTheme="minorEastAsia"/>
                <w:color w:val="000000"/>
                <w:sz w:val="24"/>
                <w:szCs w:val="24"/>
              </w:rPr>
              <w:t>大额申购</w:t>
            </w:r>
            <w:r>
              <w:rPr>
                <w:rFonts w:hint="eastAsia" w:eastAsiaTheme="minorEastAsia"/>
                <w:color w:val="000000"/>
                <w:sz w:val="24"/>
                <w:szCs w:val="24"/>
              </w:rPr>
              <w:t>（转换转入、定期定额投资）业务</w:t>
            </w:r>
          </w:p>
        </w:tc>
        <w:tc>
          <w:tcPr>
            <w:tcW w:w="1161" w:type="pct"/>
            <w:vAlign w:val="center"/>
          </w:tcPr>
          <w:p w14:paraId="3F68BE11">
            <w:pPr>
              <w:rPr>
                <w:rFonts w:eastAsiaTheme="minorEastAsia"/>
                <w:color w:val="000000"/>
                <w:sz w:val="24"/>
                <w:szCs w:val="24"/>
              </w:rPr>
            </w:pPr>
            <w:r>
              <w:rPr>
                <w:rFonts w:hint="eastAsia" w:eastAsiaTheme="minorEastAsia"/>
                <w:color w:val="000000"/>
                <w:sz w:val="24"/>
                <w:szCs w:val="24"/>
                <w:lang w:val="en-US" w:eastAsia="zh-CN"/>
              </w:rPr>
              <w:t>否</w:t>
            </w:r>
          </w:p>
        </w:tc>
        <w:tc>
          <w:tcPr>
            <w:tcW w:w="1161" w:type="pct"/>
            <w:gridSpan w:val="2"/>
            <w:vAlign w:val="center"/>
          </w:tcPr>
          <w:p w14:paraId="55833B5C">
            <w:pPr>
              <w:rPr>
                <w:rFonts w:eastAsiaTheme="minorEastAsia"/>
                <w:color w:val="000000"/>
                <w:sz w:val="24"/>
                <w:szCs w:val="24"/>
              </w:rPr>
            </w:pPr>
            <w:r>
              <w:rPr>
                <w:rFonts w:hint="eastAsia" w:eastAsiaTheme="minorEastAsia"/>
                <w:color w:val="000000"/>
                <w:sz w:val="24"/>
                <w:szCs w:val="24"/>
              </w:rPr>
              <w:t>是</w:t>
            </w:r>
          </w:p>
        </w:tc>
        <w:tc>
          <w:tcPr>
            <w:tcW w:w="1162" w:type="pct"/>
            <w:vAlign w:val="center"/>
          </w:tcPr>
          <w:p w14:paraId="7C20F29F">
            <w:pPr>
              <w:rPr>
                <w:rFonts w:hint="eastAsia" w:eastAsiaTheme="minorEastAsia"/>
                <w:color w:val="000000"/>
                <w:sz w:val="24"/>
                <w:szCs w:val="24"/>
                <w:lang w:val="en-US" w:eastAsia="zh-CN"/>
              </w:rPr>
            </w:pPr>
            <w:r>
              <w:rPr>
                <w:rFonts w:hint="eastAsia" w:eastAsiaTheme="minorEastAsia"/>
                <w:color w:val="000000"/>
                <w:sz w:val="24"/>
                <w:szCs w:val="24"/>
                <w:lang w:val="en-US" w:eastAsia="zh-CN"/>
              </w:rPr>
              <w:t>是</w:t>
            </w:r>
          </w:p>
        </w:tc>
      </w:tr>
    </w:tbl>
    <w:p w14:paraId="3F8FA0FB">
      <w:pPr>
        <w:spacing w:line="360" w:lineRule="auto"/>
        <w:rPr>
          <w:rFonts w:eastAsia="宋体"/>
          <w:color w:val="000000"/>
          <w:sz w:val="24"/>
          <w:szCs w:val="24"/>
        </w:rPr>
      </w:pPr>
      <w:bookmarkStart w:id="1" w:name="_Toc275961406"/>
      <w:r>
        <w:rPr>
          <w:rFonts w:hint="eastAsia" w:eastAsia="宋体"/>
          <w:color w:val="000000"/>
          <w:sz w:val="24"/>
        </w:rPr>
        <w:t>注：</w:t>
      </w:r>
      <w:r>
        <w:rPr>
          <w:rFonts w:hint="eastAsia" w:eastAsia="宋体"/>
          <w:color w:val="000000"/>
          <w:sz w:val="24"/>
          <w:szCs w:val="24"/>
        </w:rPr>
        <w:t>本公告所指的转换转入、定期定额投资业务是指实际开通（如适用）的情形。</w:t>
      </w:r>
    </w:p>
    <w:p w14:paraId="24F9FACE">
      <w:pPr>
        <w:spacing w:line="360" w:lineRule="auto"/>
        <w:rPr>
          <w:rFonts w:eastAsia="宋体"/>
          <w:color w:val="000000"/>
          <w:sz w:val="24"/>
        </w:rPr>
      </w:pPr>
    </w:p>
    <w:p w14:paraId="68C96095">
      <w:pPr>
        <w:pStyle w:val="3"/>
        <w:spacing w:line="560" w:lineRule="exact"/>
        <w:rPr>
          <w:rFonts w:ascii="Times New Roman" w:hAnsi="Times New Roman" w:eastAsiaTheme="minorEastAsia"/>
          <w:bCs w:val="0"/>
          <w:color w:val="000000"/>
          <w:sz w:val="24"/>
          <w:szCs w:val="24"/>
        </w:rPr>
      </w:pPr>
      <w:r>
        <w:rPr>
          <w:rFonts w:ascii="Times New Roman" w:hAnsi="Times New Roman" w:eastAsiaTheme="minorEastAsia"/>
          <w:bCs w:val="0"/>
          <w:color w:val="000000"/>
          <w:sz w:val="24"/>
          <w:szCs w:val="24"/>
        </w:rPr>
        <w:t>2其他需要提示的事项</w:t>
      </w:r>
      <w:bookmarkEnd w:id="1"/>
    </w:p>
    <w:p w14:paraId="1EE80EAE">
      <w:pPr>
        <w:spacing w:line="360" w:lineRule="auto"/>
        <w:ind w:firstLine="480" w:firstLineChars="200"/>
        <w:rPr>
          <w:rFonts w:hint="eastAsia" w:eastAsia="宋体"/>
          <w:sz w:val="24"/>
        </w:rPr>
      </w:pPr>
      <w:r>
        <w:rPr>
          <w:rFonts w:eastAsia="宋体"/>
          <w:sz w:val="24"/>
        </w:rPr>
        <w:t>1</w:t>
      </w:r>
      <w:r>
        <w:rPr>
          <w:rFonts w:hint="eastAsia" w:eastAsia="宋体"/>
          <w:sz w:val="24"/>
        </w:rPr>
        <w:t>、交银施罗德天利宝货币市场基金（以下简称“本基金”）C类</w:t>
      </w:r>
      <w:r>
        <w:rPr>
          <w:rFonts w:hint="eastAsia" w:eastAsia="宋体"/>
          <w:sz w:val="24"/>
          <w:lang w:eastAsia="zh-CN"/>
        </w:rPr>
        <w:t>、</w:t>
      </w:r>
      <w:r>
        <w:rPr>
          <w:rFonts w:hint="eastAsia" w:eastAsia="宋体"/>
          <w:sz w:val="24"/>
          <w:lang w:val="en-US" w:eastAsia="zh-CN"/>
        </w:rPr>
        <w:t>E类基金份额</w:t>
      </w:r>
      <w:r>
        <w:rPr>
          <w:rFonts w:hint="eastAsia" w:eastAsia="宋体"/>
          <w:sz w:val="24"/>
        </w:rPr>
        <w:t>自2026 年1</w:t>
      </w:r>
      <w:r>
        <w:rPr>
          <w:rFonts w:hint="eastAsia" w:eastAsia="宋体"/>
          <w:sz w:val="24"/>
          <w:lang w:val="en-US" w:eastAsia="zh-CN"/>
        </w:rPr>
        <w:t>1</w:t>
      </w:r>
      <w:r>
        <w:rPr>
          <w:rFonts w:hint="eastAsia" w:eastAsia="宋体"/>
          <w:sz w:val="24"/>
        </w:rPr>
        <w:t>月</w:t>
      </w:r>
      <w:r>
        <w:rPr>
          <w:rFonts w:hint="eastAsia" w:eastAsia="宋体"/>
          <w:sz w:val="24"/>
          <w:lang w:val="en-US" w:eastAsia="zh-CN"/>
        </w:rPr>
        <w:t>3</w:t>
      </w:r>
      <w:r>
        <w:rPr>
          <w:rFonts w:hint="eastAsia" w:eastAsia="宋体"/>
          <w:sz w:val="24"/>
        </w:rPr>
        <w:t xml:space="preserve">日起，单日单个基金账户累计申购、转换转入和定期定额投资金额调整为 </w:t>
      </w:r>
      <w:r>
        <w:rPr>
          <w:rFonts w:hint="eastAsia" w:eastAsia="宋体"/>
          <w:sz w:val="24"/>
          <w:lang w:val="en-US" w:eastAsia="zh-CN"/>
        </w:rPr>
        <w:t>10</w:t>
      </w:r>
      <w:r>
        <w:rPr>
          <w:rFonts w:hint="eastAsia" w:eastAsia="宋体"/>
          <w:sz w:val="24"/>
        </w:rPr>
        <w:t>元。对于投资者单日单个基金账户单笔或多笔累计申购、转换转入及定期定额投资的金额超过人民币</w:t>
      </w:r>
      <w:r>
        <w:rPr>
          <w:rFonts w:hint="eastAsia" w:eastAsia="宋体"/>
          <w:sz w:val="24"/>
          <w:lang w:eastAsia="zh-CN"/>
        </w:rPr>
        <w:t>1</w:t>
      </w:r>
      <w:r>
        <w:rPr>
          <w:rFonts w:hint="eastAsia" w:eastAsia="宋体"/>
          <w:sz w:val="24"/>
          <w:lang w:val="en-US" w:eastAsia="zh-CN"/>
        </w:rPr>
        <w:t>0</w:t>
      </w:r>
      <w:bookmarkStart w:id="2" w:name="_GoBack"/>
      <w:bookmarkEnd w:id="2"/>
      <w:r>
        <w:rPr>
          <w:rFonts w:hint="eastAsia" w:eastAsia="宋体"/>
          <w:sz w:val="24"/>
        </w:rPr>
        <w:t>元（不含）的申请，本基金管理人有权拒绝。</w:t>
      </w:r>
    </w:p>
    <w:p w14:paraId="0B0D95BA">
      <w:pPr>
        <w:spacing w:line="360" w:lineRule="auto"/>
        <w:ind w:firstLine="480" w:firstLineChars="200"/>
        <w:rPr>
          <w:rFonts w:eastAsia="宋体"/>
          <w:sz w:val="24"/>
        </w:rPr>
      </w:pPr>
      <w:r>
        <w:rPr>
          <w:rFonts w:hint="eastAsia" w:eastAsia="宋体"/>
          <w:sz w:val="24"/>
          <w:lang w:val="en-US" w:eastAsia="zh-CN"/>
        </w:rPr>
        <w:t>2、</w:t>
      </w:r>
      <w:r>
        <w:rPr>
          <w:rFonts w:hint="eastAsia" w:eastAsia="宋体"/>
          <w:sz w:val="24"/>
        </w:rPr>
        <w:t>本基金继续暂停A类</w:t>
      </w:r>
      <w:r>
        <w:rPr>
          <w:rFonts w:hint="eastAsia" w:eastAsia="宋体"/>
          <w:sz w:val="24"/>
          <w:lang w:val="en-US" w:eastAsia="zh-CN"/>
        </w:rPr>
        <w:t>基金</w:t>
      </w:r>
      <w:r>
        <w:rPr>
          <w:rFonts w:hint="eastAsia" w:eastAsia="宋体"/>
          <w:sz w:val="24"/>
        </w:rPr>
        <w:t>份额个人投资者在非直销销售机构500万元以上大额申购（转换转入、定期定额投资）业务</w:t>
      </w:r>
      <w:r>
        <w:rPr>
          <w:rFonts w:hint="eastAsia" w:eastAsia="宋体"/>
          <w:sz w:val="24"/>
          <w:lang w:eastAsia="zh-CN"/>
        </w:rPr>
        <w:t>、</w:t>
      </w:r>
      <w:r>
        <w:rPr>
          <w:rFonts w:hint="eastAsia" w:eastAsia="宋体"/>
          <w:sz w:val="24"/>
        </w:rPr>
        <w:t>机构投资者在非直销销售机构5万元以上大额申购（转换转入、定期定额投资）业务。对于个人投资者单日单个基金账户单笔或多笔累计申购、转换转入及定期定额投资A类</w:t>
      </w:r>
      <w:r>
        <w:rPr>
          <w:rFonts w:hint="eastAsia" w:eastAsia="宋体"/>
          <w:sz w:val="24"/>
          <w:lang w:val="en-US" w:eastAsia="zh-CN"/>
        </w:rPr>
        <w:t>基金</w:t>
      </w:r>
      <w:r>
        <w:rPr>
          <w:rFonts w:hint="eastAsia" w:eastAsia="宋体"/>
          <w:sz w:val="24"/>
        </w:rPr>
        <w:t>份额的金额超过人民币500万元（不含）的申请</w:t>
      </w:r>
      <w:r>
        <w:rPr>
          <w:rFonts w:hint="eastAsia" w:eastAsia="宋体"/>
          <w:sz w:val="24"/>
          <w:lang w:val="en-US" w:eastAsia="zh-CN"/>
        </w:rPr>
        <w:t>以及</w:t>
      </w:r>
      <w:r>
        <w:rPr>
          <w:rFonts w:hint="eastAsia" w:eastAsia="宋体"/>
          <w:sz w:val="24"/>
        </w:rPr>
        <w:t>机构投资者单日单个基金账户单笔或多笔累计申购、转换转入及定期定额投资A类</w:t>
      </w:r>
      <w:r>
        <w:rPr>
          <w:rFonts w:hint="eastAsia" w:eastAsia="宋体"/>
          <w:sz w:val="24"/>
          <w:lang w:val="en-US" w:eastAsia="zh-CN"/>
        </w:rPr>
        <w:t>基金</w:t>
      </w:r>
      <w:r>
        <w:rPr>
          <w:rFonts w:hint="eastAsia" w:eastAsia="宋体"/>
          <w:sz w:val="24"/>
        </w:rPr>
        <w:t>份额的金额超过人民币5万元（不含）的申请，本基金管理人有权拒绝。</w:t>
      </w:r>
    </w:p>
    <w:p w14:paraId="1B9DCC7C">
      <w:pPr>
        <w:spacing w:line="360" w:lineRule="auto"/>
        <w:ind w:firstLine="480" w:firstLineChars="200"/>
        <w:rPr>
          <w:rFonts w:eastAsia="宋体"/>
          <w:color w:val="000000"/>
          <w:sz w:val="24"/>
        </w:rPr>
      </w:pPr>
      <w:r>
        <w:rPr>
          <w:rFonts w:hint="eastAsia" w:eastAsia="宋体"/>
          <w:color w:val="000000"/>
          <w:sz w:val="24"/>
          <w:lang w:val="en-US" w:eastAsia="zh-CN"/>
        </w:rPr>
        <w:t>3</w:t>
      </w:r>
      <w:r>
        <w:rPr>
          <w:rFonts w:hint="eastAsia" w:eastAsia="宋体"/>
          <w:color w:val="000000"/>
          <w:sz w:val="24"/>
        </w:rPr>
        <w:t>、本基金</w:t>
      </w:r>
      <w:r>
        <w:rPr>
          <w:rFonts w:hint="eastAsia" w:eastAsia="宋体"/>
          <w:color w:val="000000"/>
          <w:sz w:val="24"/>
          <w:lang w:val="en-US" w:eastAsia="zh-CN"/>
        </w:rPr>
        <w:t>A类份额</w:t>
      </w:r>
      <w:r>
        <w:rPr>
          <w:rFonts w:hint="eastAsia" w:eastAsia="宋体"/>
          <w:color w:val="000000"/>
          <w:sz w:val="24"/>
        </w:rPr>
        <w:t>直销机构的申购、赎回、转换</w:t>
      </w:r>
      <w:r>
        <w:rPr>
          <w:rFonts w:hint="eastAsia" w:eastAsia="宋体"/>
          <w:color w:val="000000"/>
          <w:sz w:val="24"/>
          <w:szCs w:val="24"/>
        </w:rPr>
        <w:t>、定期定额投资</w:t>
      </w:r>
      <w:r>
        <w:rPr>
          <w:rFonts w:hint="eastAsia" w:eastAsia="宋体"/>
          <w:color w:val="000000"/>
          <w:sz w:val="24"/>
        </w:rPr>
        <w:t>等业务正常进行。本基金直销机构为基金管理人直销柜台以及基金管理人的网上直销交易平台（网站及手机APP）。</w:t>
      </w:r>
    </w:p>
    <w:p w14:paraId="5A583D99">
      <w:pPr>
        <w:spacing w:line="360" w:lineRule="auto"/>
        <w:ind w:firstLine="480" w:firstLineChars="200"/>
        <w:rPr>
          <w:rFonts w:eastAsia="宋体"/>
          <w:color w:val="000000"/>
          <w:sz w:val="24"/>
        </w:rPr>
      </w:pPr>
      <w:r>
        <w:rPr>
          <w:rFonts w:hint="eastAsia" w:eastAsia="宋体"/>
          <w:color w:val="000000"/>
          <w:sz w:val="24"/>
          <w:lang w:val="en-US" w:eastAsia="zh-CN"/>
        </w:rPr>
        <w:t>4</w:t>
      </w:r>
      <w:r>
        <w:rPr>
          <w:rFonts w:hint="eastAsia" w:eastAsia="宋体"/>
          <w:color w:val="000000"/>
          <w:sz w:val="24"/>
        </w:rPr>
        <w:t>、关于</w:t>
      </w:r>
      <w:r>
        <w:rPr>
          <w:rFonts w:hint="eastAsia" w:eastAsia="宋体"/>
          <w:color w:val="000000"/>
          <w:sz w:val="24"/>
          <w:lang w:val="en-US" w:eastAsia="zh-CN"/>
        </w:rPr>
        <w:t>取消暂停</w:t>
      </w:r>
      <w:r>
        <w:rPr>
          <w:rFonts w:hint="eastAsia" w:eastAsia="宋体"/>
          <w:color w:val="000000"/>
          <w:sz w:val="24"/>
        </w:rPr>
        <w:t>本基金的大额申购</w:t>
      </w:r>
      <w:r>
        <w:rPr>
          <w:rFonts w:hint="eastAsia" w:eastAsiaTheme="minorEastAsia"/>
          <w:color w:val="000000"/>
          <w:sz w:val="24"/>
          <w:szCs w:val="24"/>
        </w:rPr>
        <w:t>（</w:t>
      </w:r>
      <w:r>
        <w:rPr>
          <w:rFonts w:eastAsiaTheme="minorEastAsia"/>
          <w:color w:val="000000"/>
          <w:sz w:val="24"/>
          <w:szCs w:val="24"/>
        </w:rPr>
        <w:t>转换转入</w:t>
      </w:r>
      <w:r>
        <w:rPr>
          <w:rFonts w:hint="eastAsia" w:eastAsiaTheme="minorEastAsia"/>
          <w:color w:val="000000"/>
          <w:sz w:val="24"/>
          <w:szCs w:val="24"/>
        </w:rPr>
        <w:t>、定期定额投资）</w:t>
      </w:r>
      <w:r>
        <w:rPr>
          <w:rFonts w:hint="eastAsia" w:eastAsia="宋体"/>
          <w:color w:val="000000"/>
          <w:sz w:val="24"/>
        </w:rPr>
        <w:t>业务</w:t>
      </w:r>
      <w:r>
        <w:rPr>
          <w:rFonts w:hint="eastAsia" w:eastAsia="宋体"/>
          <w:color w:val="000000"/>
          <w:sz w:val="24"/>
          <w:lang w:val="en-US" w:eastAsia="zh-CN"/>
        </w:rPr>
        <w:t>限制</w:t>
      </w:r>
      <w:r>
        <w:rPr>
          <w:rFonts w:hint="eastAsia" w:eastAsia="宋体"/>
          <w:color w:val="000000"/>
          <w:sz w:val="24"/>
        </w:rPr>
        <w:t>或调整上述业务限制的时间，本基金管理人将另行公告。</w:t>
      </w:r>
    </w:p>
    <w:p w14:paraId="52EF152A">
      <w:pPr>
        <w:spacing w:line="360" w:lineRule="auto"/>
        <w:ind w:firstLine="480" w:firstLineChars="200"/>
        <w:rPr>
          <w:rFonts w:eastAsia="宋体"/>
          <w:color w:val="000000"/>
          <w:sz w:val="24"/>
        </w:rPr>
      </w:pPr>
      <w:r>
        <w:rPr>
          <w:rFonts w:hint="eastAsia" w:eastAsia="宋体"/>
          <w:color w:val="000000"/>
          <w:sz w:val="24"/>
          <w:lang w:val="en-US" w:eastAsia="zh-CN"/>
        </w:rPr>
        <w:t>5</w:t>
      </w:r>
      <w:r>
        <w:rPr>
          <w:rFonts w:hint="eastAsia" w:eastAsia="宋体"/>
          <w:color w:val="000000"/>
          <w:sz w:val="24"/>
        </w:rPr>
        <w:t>、</w:t>
      </w:r>
      <w:r>
        <w:rPr>
          <w:rFonts w:hint="eastAsia" w:eastAsia="宋体"/>
          <w:sz w:val="24"/>
          <w:szCs w:val="24"/>
        </w:rPr>
        <w:t>投资者可以通过本基金管理人网站（</w:t>
      </w:r>
      <w:r>
        <w:rPr>
          <w:rFonts w:eastAsia="宋体"/>
          <w:sz w:val="24"/>
          <w:szCs w:val="24"/>
        </w:rPr>
        <w:t>www.fund001.com</w:t>
      </w:r>
      <w:r>
        <w:rPr>
          <w:rFonts w:hint="eastAsia" w:eastAsia="宋体"/>
          <w:sz w:val="24"/>
          <w:szCs w:val="24"/>
        </w:rPr>
        <w:t>）或客户服务电话</w:t>
      </w:r>
      <w:r>
        <w:rPr>
          <w:rFonts w:eastAsia="宋体"/>
          <w:sz w:val="24"/>
          <w:szCs w:val="24"/>
        </w:rPr>
        <w:t>400-700-5000</w:t>
      </w:r>
      <w:r>
        <w:rPr>
          <w:rFonts w:hint="eastAsia" w:eastAsia="宋体"/>
          <w:sz w:val="24"/>
          <w:szCs w:val="24"/>
        </w:rPr>
        <w:t>（免长途话费），</w:t>
      </w:r>
      <w:r>
        <w:rPr>
          <w:rFonts w:eastAsia="宋体"/>
          <w:sz w:val="24"/>
          <w:szCs w:val="24"/>
        </w:rPr>
        <w:t>021-61055000</w:t>
      </w:r>
      <w:r>
        <w:rPr>
          <w:rFonts w:hint="eastAsia" w:eastAsia="宋体"/>
          <w:sz w:val="24"/>
          <w:szCs w:val="24"/>
        </w:rPr>
        <w:t>咨询有关详情。</w:t>
      </w:r>
    </w:p>
    <w:p w14:paraId="27E1FFE6">
      <w:pPr>
        <w:spacing w:line="360" w:lineRule="auto"/>
        <w:ind w:firstLine="480" w:firstLineChars="200"/>
        <w:rPr>
          <w:rFonts w:eastAsia="宋体"/>
          <w:color w:val="000000"/>
          <w:sz w:val="24"/>
        </w:rPr>
      </w:pPr>
    </w:p>
    <w:p w14:paraId="111B9260">
      <w:pPr>
        <w:spacing w:line="360" w:lineRule="auto"/>
        <w:ind w:firstLine="480" w:firstLineChars="200"/>
        <w:rPr>
          <w:rFonts w:eastAsia="宋体"/>
          <w:color w:val="000000"/>
          <w:sz w:val="24"/>
        </w:rPr>
      </w:pPr>
      <w:r>
        <w:rPr>
          <w:rFonts w:hint="eastAsia" w:eastAsia="宋体"/>
          <w:color w:val="000000"/>
          <w:sz w:val="24"/>
        </w:rPr>
        <w:t>风险提示：基金管理人承诺以诚实信用、勤勉尽责的原则管理和运用基金财产，但不保证基金一定盈利，也不保证最低收益。基金的过往业绩并不代表其未来表现。投资有风险，敬请投资者认真阅读基金的相关法律文件，并选择适合自身风险承受能力的投资品种进行投资。</w:t>
      </w:r>
    </w:p>
    <w:p w14:paraId="2A21A1C3">
      <w:pPr>
        <w:spacing w:line="360" w:lineRule="auto"/>
        <w:ind w:firstLine="480" w:firstLineChars="200"/>
        <w:rPr>
          <w:rFonts w:eastAsia="宋体"/>
          <w:color w:val="000000"/>
          <w:sz w:val="24"/>
        </w:rPr>
      </w:pPr>
    </w:p>
    <w:p w14:paraId="32584C15">
      <w:pPr>
        <w:spacing w:line="360" w:lineRule="auto"/>
        <w:ind w:firstLine="480" w:firstLineChars="200"/>
        <w:rPr>
          <w:rFonts w:eastAsia="宋体"/>
          <w:color w:val="000000"/>
          <w:sz w:val="24"/>
        </w:rPr>
      </w:pPr>
      <w:r>
        <w:rPr>
          <w:rFonts w:hint="eastAsia" w:eastAsia="宋体"/>
          <w:color w:val="000000"/>
          <w:sz w:val="24"/>
        </w:rPr>
        <w:t>特此公告。</w:t>
      </w:r>
    </w:p>
    <w:p w14:paraId="4A59D9A6">
      <w:pPr>
        <w:spacing w:line="560" w:lineRule="exact"/>
        <w:rPr>
          <w:rFonts w:eastAsiaTheme="minorEastAsia"/>
          <w:color w:val="000000"/>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简体">
    <w:altName w:val="宋体"/>
    <w:panose1 w:val="00000000000000000000"/>
    <w:charset w:val="86"/>
    <w:family w:val="auto"/>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27FA"/>
    <w:rsid w:val="00012E62"/>
    <w:rsid w:val="000138D7"/>
    <w:rsid w:val="00014582"/>
    <w:rsid w:val="00020378"/>
    <w:rsid w:val="00022B0F"/>
    <w:rsid w:val="0002766C"/>
    <w:rsid w:val="00031B61"/>
    <w:rsid w:val="00032A34"/>
    <w:rsid w:val="0003427B"/>
    <w:rsid w:val="00041353"/>
    <w:rsid w:val="00044AB5"/>
    <w:rsid w:val="00052EA6"/>
    <w:rsid w:val="00056493"/>
    <w:rsid w:val="000654ED"/>
    <w:rsid w:val="00070024"/>
    <w:rsid w:val="000746EF"/>
    <w:rsid w:val="00076F52"/>
    <w:rsid w:val="00083C49"/>
    <w:rsid w:val="00086610"/>
    <w:rsid w:val="000E2B3D"/>
    <w:rsid w:val="000E4CBF"/>
    <w:rsid w:val="000E5092"/>
    <w:rsid w:val="00103BCB"/>
    <w:rsid w:val="001069BA"/>
    <w:rsid w:val="001113FB"/>
    <w:rsid w:val="001161A4"/>
    <w:rsid w:val="001169BB"/>
    <w:rsid w:val="001342D7"/>
    <w:rsid w:val="00134A4F"/>
    <w:rsid w:val="001412F9"/>
    <w:rsid w:val="0017187C"/>
    <w:rsid w:val="0017411B"/>
    <w:rsid w:val="00174A34"/>
    <w:rsid w:val="00175B47"/>
    <w:rsid w:val="00180DA3"/>
    <w:rsid w:val="00183217"/>
    <w:rsid w:val="00192910"/>
    <w:rsid w:val="001A08AC"/>
    <w:rsid w:val="001A3CA1"/>
    <w:rsid w:val="001B4A63"/>
    <w:rsid w:val="001B4F9F"/>
    <w:rsid w:val="001E4CD3"/>
    <w:rsid w:val="001F193F"/>
    <w:rsid w:val="001F7660"/>
    <w:rsid w:val="002061D4"/>
    <w:rsid w:val="00207484"/>
    <w:rsid w:val="002149CF"/>
    <w:rsid w:val="00233A87"/>
    <w:rsid w:val="00236B30"/>
    <w:rsid w:val="00245724"/>
    <w:rsid w:val="00250A78"/>
    <w:rsid w:val="00253972"/>
    <w:rsid w:val="002634AE"/>
    <w:rsid w:val="00265B63"/>
    <w:rsid w:val="00266CC2"/>
    <w:rsid w:val="00283245"/>
    <w:rsid w:val="00284018"/>
    <w:rsid w:val="0028791D"/>
    <w:rsid w:val="0028798D"/>
    <w:rsid w:val="002935EF"/>
    <w:rsid w:val="00297148"/>
    <w:rsid w:val="002B30E7"/>
    <w:rsid w:val="002C2B69"/>
    <w:rsid w:val="002C360B"/>
    <w:rsid w:val="002D70F7"/>
    <w:rsid w:val="002E230B"/>
    <w:rsid w:val="002E26DF"/>
    <w:rsid w:val="002F2D6A"/>
    <w:rsid w:val="002F7241"/>
    <w:rsid w:val="00302C60"/>
    <w:rsid w:val="00327DA7"/>
    <w:rsid w:val="00327E01"/>
    <w:rsid w:val="0033513C"/>
    <w:rsid w:val="00337610"/>
    <w:rsid w:val="003417FE"/>
    <w:rsid w:val="00352256"/>
    <w:rsid w:val="003612CB"/>
    <w:rsid w:val="0036784E"/>
    <w:rsid w:val="00370663"/>
    <w:rsid w:val="003841C4"/>
    <w:rsid w:val="00386A1F"/>
    <w:rsid w:val="00387AF9"/>
    <w:rsid w:val="00392083"/>
    <w:rsid w:val="003A23B0"/>
    <w:rsid w:val="003A7E55"/>
    <w:rsid w:val="003B70B9"/>
    <w:rsid w:val="003C014B"/>
    <w:rsid w:val="003D218F"/>
    <w:rsid w:val="003D2DA1"/>
    <w:rsid w:val="003D5F37"/>
    <w:rsid w:val="004130C8"/>
    <w:rsid w:val="00423ECF"/>
    <w:rsid w:val="0042542C"/>
    <w:rsid w:val="00435187"/>
    <w:rsid w:val="00442DC4"/>
    <w:rsid w:val="004569F5"/>
    <w:rsid w:val="004674D9"/>
    <w:rsid w:val="0048692B"/>
    <w:rsid w:val="00491C0A"/>
    <w:rsid w:val="004966BA"/>
    <w:rsid w:val="00496C13"/>
    <w:rsid w:val="00496CEB"/>
    <w:rsid w:val="004972CF"/>
    <w:rsid w:val="004A7B99"/>
    <w:rsid w:val="004D6346"/>
    <w:rsid w:val="004D7B21"/>
    <w:rsid w:val="004E2421"/>
    <w:rsid w:val="004F0521"/>
    <w:rsid w:val="004F51E8"/>
    <w:rsid w:val="00512455"/>
    <w:rsid w:val="00513884"/>
    <w:rsid w:val="00521006"/>
    <w:rsid w:val="00540343"/>
    <w:rsid w:val="00564298"/>
    <w:rsid w:val="00577CF2"/>
    <w:rsid w:val="005934E1"/>
    <w:rsid w:val="005C54F6"/>
    <w:rsid w:val="005E0B5C"/>
    <w:rsid w:val="005F1AF0"/>
    <w:rsid w:val="0060067C"/>
    <w:rsid w:val="00614995"/>
    <w:rsid w:val="00621D60"/>
    <w:rsid w:val="006419AC"/>
    <w:rsid w:val="00645EF0"/>
    <w:rsid w:val="00646522"/>
    <w:rsid w:val="00653A8C"/>
    <w:rsid w:val="00656652"/>
    <w:rsid w:val="0066679E"/>
    <w:rsid w:val="00667DE7"/>
    <w:rsid w:val="006A0B52"/>
    <w:rsid w:val="006A0EEB"/>
    <w:rsid w:val="006D736A"/>
    <w:rsid w:val="00702420"/>
    <w:rsid w:val="00706049"/>
    <w:rsid w:val="0071339B"/>
    <w:rsid w:val="00724F73"/>
    <w:rsid w:val="00727899"/>
    <w:rsid w:val="00753DDE"/>
    <w:rsid w:val="0075449B"/>
    <w:rsid w:val="00754BF4"/>
    <w:rsid w:val="00760ADD"/>
    <w:rsid w:val="00770DB7"/>
    <w:rsid w:val="0078235C"/>
    <w:rsid w:val="007B1D31"/>
    <w:rsid w:val="007E0329"/>
    <w:rsid w:val="007E15FD"/>
    <w:rsid w:val="00821825"/>
    <w:rsid w:val="00823609"/>
    <w:rsid w:val="0082571C"/>
    <w:rsid w:val="00827D4A"/>
    <w:rsid w:val="0083445C"/>
    <w:rsid w:val="00836196"/>
    <w:rsid w:val="00841AFE"/>
    <w:rsid w:val="008472DB"/>
    <w:rsid w:val="00847E66"/>
    <w:rsid w:val="00853A75"/>
    <w:rsid w:val="00862191"/>
    <w:rsid w:val="00875F57"/>
    <w:rsid w:val="00877C67"/>
    <w:rsid w:val="008923FE"/>
    <w:rsid w:val="008B2914"/>
    <w:rsid w:val="008C2C1C"/>
    <w:rsid w:val="008C4E80"/>
    <w:rsid w:val="008D3261"/>
    <w:rsid w:val="008F225D"/>
    <w:rsid w:val="008F4790"/>
    <w:rsid w:val="008F6C34"/>
    <w:rsid w:val="00907303"/>
    <w:rsid w:val="0091304D"/>
    <w:rsid w:val="0091589B"/>
    <w:rsid w:val="00931B33"/>
    <w:rsid w:val="00932FF1"/>
    <w:rsid w:val="00936257"/>
    <w:rsid w:val="009531AE"/>
    <w:rsid w:val="00956B0F"/>
    <w:rsid w:val="009968BA"/>
    <w:rsid w:val="009A0B67"/>
    <w:rsid w:val="009A4662"/>
    <w:rsid w:val="009B269C"/>
    <w:rsid w:val="009B403A"/>
    <w:rsid w:val="009C33A5"/>
    <w:rsid w:val="009C3D95"/>
    <w:rsid w:val="009C5858"/>
    <w:rsid w:val="009C6873"/>
    <w:rsid w:val="009D4307"/>
    <w:rsid w:val="009F2805"/>
    <w:rsid w:val="00A443AB"/>
    <w:rsid w:val="00A479DE"/>
    <w:rsid w:val="00A516C4"/>
    <w:rsid w:val="00A65CFB"/>
    <w:rsid w:val="00A81371"/>
    <w:rsid w:val="00A842D6"/>
    <w:rsid w:val="00A85AEC"/>
    <w:rsid w:val="00A93BFC"/>
    <w:rsid w:val="00AB6D5F"/>
    <w:rsid w:val="00AD1490"/>
    <w:rsid w:val="00AE6A19"/>
    <w:rsid w:val="00AF68A9"/>
    <w:rsid w:val="00B0547A"/>
    <w:rsid w:val="00B101F7"/>
    <w:rsid w:val="00B13229"/>
    <w:rsid w:val="00B13C6C"/>
    <w:rsid w:val="00B243AE"/>
    <w:rsid w:val="00B36746"/>
    <w:rsid w:val="00B40A5A"/>
    <w:rsid w:val="00B5053A"/>
    <w:rsid w:val="00B67727"/>
    <w:rsid w:val="00BA6967"/>
    <w:rsid w:val="00BB1C79"/>
    <w:rsid w:val="00BB78A2"/>
    <w:rsid w:val="00BD601B"/>
    <w:rsid w:val="00BD6D93"/>
    <w:rsid w:val="00BE5E33"/>
    <w:rsid w:val="00C50193"/>
    <w:rsid w:val="00C74043"/>
    <w:rsid w:val="00C806BD"/>
    <w:rsid w:val="00C84FBF"/>
    <w:rsid w:val="00C902C9"/>
    <w:rsid w:val="00C94351"/>
    <w:rsid w:val="00CB21B3"/>
    <w:rsid w:val="00CB5C07"/>
    <w:rsid w:val="00CD0AD5"/>
    <w:rsid w:val="00CE20B4"/>
    <w:rsid w:val="00D0420C"/>
    <w:rsid w:val="00D100C9"/>
    <w:rsid w:val="00D114B7"/>
    <w:rsid w:val="00D327FA"/>
    <w:rsid w:val="00D33E60"/>
    <w:rsid w:val="00D43404"/>
    <w:rsid w:val="00D64175"/>
    <w:rsid w:val="00D82740"/>
    <w:rsid w:val="00D86042"/>
    <w:rsid w:val="00D906EB"/>
    <w:rsid w:val="00D9205C"/>
    <w:rsid w:val="00DA11A0"/>
    <w:rsid w:val="00DA4370"/>
    <w:rsid w:val="00DB2A18"/>
    <w:rsid w:val="00DB4932"/>
    <w:rsid w:val="00DB69DD"/>
    <w:rsid w:val="00DD0B21"/>
    <w:rsid w:val="00DE57D9"/>
    <w:rsid w:val="00DE5C1C"/>
    <w:rsid w:val="00DE5E75"/>
    <w:rsid w:val="00DE678B"/>
    <w:rsid w:val="00E1349A"/>
    <w:rsid w:val="00E31264"/>
    <w:rsid w:val="00E41442"/>
    <w:rsid w:val="00E72255"/>
    <w:rsid w:val="00E77D74"/>
    <w:rsid w:val="00E83B80"/>
    <w:rsid w:val="00E94314"/>
    <w:rsid w:val="00E948D3"/>
    <w:rsid w:val="00EB5388"/>
    <w:rsid w:val="00EC31FE"/>
    <w:rsid w:val="00EC4EDE"/>
    <w:rsid w:val="00ED0C20"/>
    <w:rsid w:val="00ED427E"/>
    <w:rsid w:val="00EE1823"/>
    <w:rsid w:val="00EE3F14"/>
    <w:rsid w:val="00EF318C"/>
    <w:rsid w:val="00F028DF"/>
    <w:rsid w:val="00F14414"/>
    <w:rsid w:val="00F32852"/>
    <w:rsid w:val="00F5252D"/>
    <w:rsid w:val="00F560AE"/>
    <w:rsid w:val="00F577CF"/>
    <w:rsid w:val="00F64447"/>
    <w:rsid w:val="00F66F83"/>
    <w:rsid w:val="00F706B3"/>
    <w:rsid w:val="00F8116F"/>
    <w:rsid w:val="00F875F9"/>
    <w:rsid w:val="00F91CEB"/>
    <w:rsid w:val="00F95610"/>
    <w:rsid w:val="00FA2A05"/>
    <w:rsid w:val="00FA4F1E"/>
    <w:rsid w:val="00FA5EED"/>
    <w:rsid w:val="00FA7551"/>
    <w:rsid w:val="00FD7428"/>
    <w:rsid w:val="00FE4905"/>
    <w:rsid w:val="00FF71CD"/>
    <w:rsid w:val="18FC3DCA"/>
    <w:rsid w:val="19311D89"/>
    <w:rsid w:val="1C203B2E"/>
    <w:rsid w:val="213603EA"/>
    <w:rsid w:val="27243B9A"/>
    <w:rsid w:val="2B7643F8"/>
    <w:rsid w:val="30FA341A"/>
    <w:rsid w:val="37B70732"/>
    <w:rsid w:val="4895713D"/>
    <w:rsid w:val="4B1C0B21"/>
    <w:rsid w:val="58BA0696"/>
    <w:rsid w:val="63CD4C17"/>
    <w:rsid w:val="648E4514"/>
    <w:rsid w:val="66C22EDF"/>
    <w:rsid w:val="6BAE15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semiHidden="0"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0" w:semiHidden="0"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方正仿宋简体" w:cs="Times New Roman"/>
      <w:kern w:val="2"/>
      <w:sz w:val="32"/>
      <w:szCs w:val="20"/>
      <w:lang w:val="en-US" w:eastAsia="zh-CN" w:bidi="ar-SA"/>
    </w:rPr>
  </w:style>
  <w:style w:type="paragraph" w:styleId="2">
    <w:name w:val="heading 1"/>
    <w:basedOn w:val="1"/>
    <w:next w:val="1"/>
    <w:link w:val="14"/>
    <w:qFormat/>
    <w:uiPriority w:val="0"/>
    <w:pPr>
      <w:keepNext/>
      <w:keepLines/>
      <w:spacing w:before="340" w:after="330" w:line="578" w:lineRule="auto"/>
      <w:outlineLvl w:val="0"/>
    </w:pPr>
    <w:rPr>
      <w:rFonts w:eastAsia="宋体"/>
      <w:b/>
      <w:bCs/>
      <w:kern w:val="44"/>
      <w:sz w:val="44"/>
      <w:szCs w:val="44"/>
    </w:rPr>
  </w:style>
  <w:style w:type="paragraph" w:styleId="3">
    <w:name w:val="heading 2"/>
    <w:basedOn w:val="1"/>
    <w:next w:val="1"/>
    <w:link w:val="15"/>
    <w:qFormat/>
    <w:uiPriority w:val="0"/>
    <w:pPr>
      <w:keepNext/>
      <w:keepLines/>
      <w:spacing w:before="260" w:after="260" w:line="416" w:lineRule="auto"/>
      <w:outlineLvl w:val="1"/>
    </w:pPr>
    <w:rPr>
      <w:rFonts w:ascii="Arial" w:hAnsi="Arial" w:eastAsia="黑体"/>
      <w:b/>
      <w:bCs/>
      <w:szCs w:val="32"/>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21"/>
    <w:semiHidden/>
    <w:unhideWhenUsed/>
    <w:qFormat/>
    <w:uiPriority w:val="99"/>
    <w:pPr>
      <w:jc w:val="left"/>
    </w:pPr>
  </w:style>
  <w:style w:type="paragraph" w:styleId="5">
    <w:name w:val="Balloon Text"/>
    <w:basedOn w:val="1"/>
    <w:link w:val="17"/>
    <w:semiHidden/>
    <w:unhideWhenUsed/>
    <w:qFormat/>
    <w:uiPriority w:val="99"/>
    <w:rPr>
      <w:sz w:val="18"/>
      <w:szCs w:val="18"/>
    </w:rPr>
  </w:style>
  <w:style w:type="paragraph" w:styleId="6">
    <w:name w:val="footer"/>
    <w:basedOn w:val="1"/>
    <w:link w:val="19"/>
    <w:unhideWhenUsed/>
    <w:qFormat/>
    <w:uiPriority w:val="99"/>
    <w:pPr>
      <w:tabs>
        <w:tab w:val="center" w:pos="4153"/>
        <w:tab w:val="right" w:pos="8306"/>
      </w:tabs>
      <w:snapToGrid w:val="0"/>
      <w:jc w:val="left"/>
    </w:pPr>
    <w:rPr>
      <w:sz w:val="18"/>
      <w:szCs w:val="18"/>
    </w:rPr>
  </w:style>
  <w:style w:type="paragraph" w:styleId="7">
    <w:name w:val="header"/>
    <w:basedOn w:val="1"/>
    <w:link w:val="18"/>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footnote text"/>
    <w:basedOn w:val="1"/>
    <w:link w:val="16"/>
    <w:qFormat/>
    <w:uiPriority w:val="0"/>
    <w:pPr>
      <w:snapToGrid w:val="0"/>
      <w:jc w:val="left"/>
    </w:pPr>
    <w:rPr>
      <w:rFonts w:eastAsia="宋体"/>
      <w:sz w:val="18"/>
    </w:rPr>
  </w:style>
  <w:style w:type="paragraph" w:styleId="9">
    <w:name w:val="annotation subject"/>
    <w:basedOn w:val="4"/>
    <w:next w:val="4"/>
    <w:link w:val="22"/>
    <w:semiHidden/>
    <w:unhideWhenUsed/>
    <w:qFormat/>
    <w:uiPriority w:val="99"/>
    <w:rPr>
      <w:b/>
      <w:bCs/>
    </w:rPr>
  </w:style>
  <w:style w:type="character" w:styleId="12">
    <w:name w:val="annotation reference"/>
    <w:basedOn w:val="11"/>
    <w:semiHidden/>
    <w:unhideWhenUsed/>
    <w:qFormat/>
    <w:uiPriority w:val="99"/>
    <w:rPr>
      <w:sz w:val="21"/>
      <w:szCs w:val="21"/>
    </w:rPr>
  </w:style>
  <w:style w:type="character" w:styleId="13">
    <w:name w:val="footnote reference"/>
    <w:basedOn w:val="11"/>
    <w:qFormat/>
    <w:uiPriority w:val="0"/>
    <w:rPr>
      <w:vertAlign w:val="superscript"/>
    </w:rPr>
  </w:style>
  <w:style w:type="character" w:customStyle="1" w:styleId="14">
    <w:name w:val="标题 1 字符"/>
    <w:basedOn w:val="11"/>
    <w:link w:val="2"/>
    <w:qFormat/>
    <w:uiPriority w:val="0"/>
    <w:rPr>
      <w:rFonts w:ascii="Times New Roman" w:hAnsi="Times New Roman" w:eastAsia="宋体" w:cs="Times New Roman"/>
      <w:b/>
      <w:bCs/>
      <w:kern w:val="44"/>
      <w:sz w:val="44"/>
      <w:szCs w:val="44"/>
    </w:rPr>
  </w:style>
  <w:style w:type="character" w:customStyle="1" w:styleId="15">
    <w:name w:val="标题 2 字符"/>
    <w:basedOn w:val="11"/>
    <w:link w:val="3"/>
    <w:qFormat/>
    <w:uiPriority w:val="0"/>
    <w:rPr>
      <w:rFonts w:ascii="Arial" w:hAnsi="Arial" w:eastAsia="黑体" w:cs="Times New Roman"/>
      <w:b/>
      <w:bCs/>
      <w:sz w:val="32"/>
      <w:szCs w:val="32"/>
    </w:rPr>
  </w:style>
  <w:style w:type="character" w:customStyle="1" w:styleId="16">
    <w:name w:val="脚注文本 字符"/>
    <w:basedOn w:val="11"/>
    <w:link w:val="8"/>
    <w:qFormat/>
    <w:uiPriority w:val="0"/>
    <w:rPr>
      <w:rFonts w:ascii="Times New Roman" w:hAnsi="Times New Roman" w:eastAsia="宋体" w:cs="Times New Roman"/>
      <w:sz w:val="18"/>
      <w:szCs w:val="20"/>
    </w:rPr>
  </w:style>
  <w:style w:type="character" w:customStyle="1" w:styleId="17">
    <w:name w:val="批注框文本 字符"/>
    <w:basedOn w:val="11"/>
    <w:link w:val="5"/>
    <w:semiHidden/>
    <w:qFormat/>
    <w:uiPriority w:val="99"/>
    <w:rPr>
      <w:rFonts w:ascii="Times New Roman" w:hAnsi="Times New Roman" w:eastAsia="方正仿宋简体" w:cs="Times New Roman"/>
      <w:sz w:val="18"/>
      <w:szCs w:val="18"/>
    </w:rPr>
  </w:style>
  <w:style w:type="character" w:customStyle="1" w:styleId="18">
    <w:name w:val="页眉 字符"/>
    <w:basedOn w:val="11"/>
    <w:link w:val="7"/>
    <w:qFormat/>
    <w:uiPriority w:val="99"/>
    <w:rPr>
      <w:rFonts w:ascii="Times New Roman" w:hAnsi="Times New Roman" w:eastAsia="方正仿宋简体" w:cs="Times New Roman"/>
      <w:sz w:val="18"/>
      <w:szCs w:val="18"/>
    </w:rPr>
  </w:style>
  <w:style w:type="character" w:customStyle="1" w:styleId="19">
    <w:name w:val="页脚 字符"/>
    <w:basedOn w:val="11"/>
    <w:link w:val="6"/>
    <w:qFormat/>
    <w:uiPriority w:val="99"/>
    <w:rPr>
      <w:rFonts w:ascii="Times New Roman" w:hAnsi="Times New Roman" w:eastAsia="方正仿宋简体" w:cs="Times New Roman"/>
      <w:sz w:val="18"/>
      <w:szCs w:val="18"/>
    </w:rPr>
  </w:style>
  <w:style w:type="paragraph" w:customStyle="1" w:styleId="20">
    <w:name w:val="Default"/>
    <w:qFormat/>
    <w:uiPriority w:val="0"/>
    <w:pPr>
      <w:widowControl w:val="0"/>
      <w:autoSpaceDE w:val="0"/>
      <w:autoSpaceDN w:val="0"/>
      <w:adjustRightInd w:val="0"/>
    </w:pPr>
    <w:rPr>
      <w:rFonts w:ascii="宋体" w:eastAsia="宋体" w:cs="宋体" w:hAnsiTheme="minorHAnsi"/>
      <w:color w:val="000000"/>
      <w:kern w:val="0"/>
      <w:sz w:val="24"/>
      <w:szCs w:val="24"/>
      <w:lang w:val="en-US" w:eastAsia="zh-CN" w:bidi="ar-SA"/>
    </w:rPr>
  </w:style>
  <w:style w:type="character" w:customStyle="1" w:styleId="21">
    <w:name w:val="批注文字 字符"/>
    <w:basedOn w:val="11"/>
    <w:link w:val="4"/>
    <w:semiHidden/>
    <w:qFormat/>
    <w:uiPriority w:val="99"/>
    <w:rPr>
      <w:rFonts w:ascii="Times New Roman" w:hAnsi="Times New Roman" w:eastAsia="方正仿宋简体" w:cs="Times New Roman"/>
      <w:sz w:val="32"/>
      <w:szCs w:val="20"/>
    </w:rPr>
  </w:style>
  <w:style w:type="character" w:customStyle="1" w:styleId="22">
    <w:name w:val="批注主题 字符"/>
    <w:basedOn w:val="21"/>
    <w:link w:val="9"/>
    <w:semiHidden/>
    <w:qFormat/>
    <w:uiPriority w:val="99"/>
    <w:rPr>
      <w:rFonts w:ascii="Times New Roman" w:hAnsi="Times New Roman" w:eastAsia="方正仿宋简体" w:cs="Times New Roman"/>
      <w:b/>
      <w:bCs/>
      <w:sz w:val="32"/>
      <w:szCs w:val="20"/>
    </w:rPr>
  </w:style>
  <w:style w:type="paragraph" w:customStyle="1" w:styleId="23">
    <w:name w:val="Revision"/>
    <w:hidden/>
    <w:semiHidden/>
    <w:qFormat/>
    <w:uiPriority w:val="99"/>
    <w:rPr>
      <w:rFonts w:ascii="Times New Roman" w:hAnsi="Times New Roman" w:eastAsia="方正仿宋简体" w:cs="Times New Roman"/>
      <w:kern w:val="2"/>
      <w:sz w:val="32"/>
      <w:szCs w:val="20"/>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2758C1C-DF8F-4563-9644-38D55D5CE4B1}">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2</Pages>
  <Words>1111</Words>
  <Characters>1199</Characters>
  <Lines>9</Lines>
  <Paragraphs>2</Paragraphs>
  <TotalTime>13</TotalTime>
  <ScaleCrop>false</ScaleCrop>
  <LinksUpToDate>false</LinksUpToDate>
  <CharactersWithSpaces>1205</CharactersWithSpaces>
  <Application>WPS Office_12.8.2.19823_F1E327BC-269C-435d-A152-05C5408002CA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2021-03-15T09:07:00Z</dcterms:created>
  <dc:creator>User</dc:creator>
  <cp:lastModifiedBy>陈尚清</cp:lastModifiedBy>
  <dcterms:modified xsi:type="dcterms:W3CDTF">2026-10-30T06:23:46Z</dcterms:modified>
  <cp:revision>70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2052-12.8.2.19823</vt:lpwstr>
  </property>
  <property fmtid="{D5CDD505-2E9C-101B-9397-08002B2CF9AE}" pid="3" name="ICV">
    <vt:lpwstr>0DB2CE70740A4A6E934D7D30C2D61E8A</vt:lpwstr>
  </property>
</Properties>
</file>