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880E4">
      <w:pPr>
        <w:adjustRightInd w:val="0"/>
        <w:snapToGrid w:val="0"/>
        <w:spacing w:line="460" w:lineRule="exact"/>
        <w:ind w:right="84" w:rightChars="40"/>
        <w:jc w:val="center"/>
        <w:rPr>
          <w:b/>
          <w:sz w:val="28"/>
          <w:szCs w:val="28"/>
        </w:rPr>
      </w:pPr>
      <w:bookmarkStart w:id="0" w:name="OLE_LINK6"/>
      <w:bookmarkStart w:id="1" w:name="OLE_LINK5"/>
      <w:bookmarkStart w:id="2" w:name="OLE_LINK4"/>
      <w:bookmarkStart w:id="3" w:name="OLE_LINK7"/>
      <w:r>
        <w:rPr>
          <w:rFonts w:hint="eastAsia"/>
          <w:b/>
          <w:sz w:val="28"/>
          <w:szCs w:val="28"/>
        </w:rPr>
        <w:t>交银施罗德</w:t>
      </w:r>
      <w:r>
        <w:rPr>
          <w:b/>
          <w:sz w:val="28"/>
          <w:szCs w:val="28"/>
        </w:rPr>
        <w:t>基金管理有限公司关于旗下部分基金调整业绩比较基准</w:t>
      </w:r>
    </w:p>
    <w:p w14:paraId="2F0EE630">
      <w:pPr>
        <w:adjustRightInd w:val="0"/>
        <w:snapToGrid w:val="0"/>
        <w:spacing w:line="460" w:lineRule="exact"/>
        <w:ind w:right="84" w:rightChars="40"/>
        <w:jc w:val="center"/>
        <w:rPr>
          <w:b/>
          <w:szCs w:val="21"/>
        </w:rPr>
      </w:pPr>
      <w:r>
        <w:rPr>
          <w:b/>
          <w:kern w:val="0"/>
          <w:sz w:val="28"/>
          <w:szCs w:val="28"/>
        </w:rPr>
        <w:t>并</w:t>
      </w:r>
      <w:r>
        <w:rPr>
          <w:b/>
          <w:sz w:val="28"/>
          <w:szCs w:val="28"/>
        </w:rPr>
        <w:t>修订基金合同</w:t>
      </w:r>
      <w:r>
        <w:rPr>
          <w:rFonts w:hint="eastAsia"/>
          <w:b/>
          <w:sz w:val="28"/>
          <w:szCs w:val="28"/>
        </w:rPr>
        <w:t>等法律文件</w:t>
      </w:r>
      <w:r>
        <w:rPr>
          <w:b/>
          <w:sz w:val="28"/>
          <w:szCs w:val="28"/>
        </w:rPr>
        <w:t>的公告</w:t>
      </w:r>
    </w:p>
    <w:p w14:paraId="4AD0D4FE">
      <w:pPr>
        <w:pStyle w:val="19"/>
        <w:adjustRightInd w:val="0"/>
        <w:snapToGrid w:val="0"/>
        <w:spacing w:line="460" w:lineRule="exact"/>
        <w:ind w:firstLine="480"/>
        <w:rPr>
          <w:sz w:val="24"/>
        </w:rPr>
      </w:pPr>
    </w:p>
    <w:p w14:paraId="0F5D4447">
      <w:pPr>
        <w:adjustRightInd w:val="0"/>
        <w:snapToGrid w:val="0"/>
        <w:spacing w:line="460" w:lineRule="exact"/>
        <w:ind w:firstLine="480" w:firstLineChars="200"/>
        <w:rPr>
          <w:sz w:val="24"/>
        </w:rPr>
      </w:pPr>
      <w:r>
        <w:rPr>
          <w:rFonts w:hint="eastAsia"/>
          <w:bCs/>
          <w:sz w:val="24"/>
        </w:rPr>
        <w:t>根据</w:t>
      </w:r>
      <w:r>
        <w:rPr>
          <w:bCs/>
          <w:sz w:val="24"/>
        </w:rPr>
        <w:t>《公开募集证券投资基金业绩比较基准指引》</w:t>
      </w:r>
      <w:r>
        <w:rPr>
          <w:rFonts w:hint="eastAsia"/>
          <w:bCs/>
          <w:sz w:val="24"/>
        </w:rPr>
        <w:t>的相关规定</w:t>
      </w:r>
      <w:r>
        <w:rPr>
          <w:bCs/>
          <w:sz w:val="24"/>
        </w:rPr>
        <w:t>，</w:t>
      </w:r>
      <w:r>
        <w:rPr>
          <w:rFonts w:hint="eastAsia"/>
          <w:bCs/>
          <w:sz w:val="24"/>
        </w:rPr>
        <w:t>为</w:t>
      </w:r>
      <w:r>
        <w:rPr>
          <w:bCs/>
          <w:sz w:val="24"/>
        </w:rPr>
        <w:t>更好地反映基金</w:t>
      </w:r>
      <w:r>
        <w:rPr>
          <w:rFonts w:hint="eastAsia"/>
          <w:bCs/>
          <w:sz w:val="24"/>
        </w:rPr>
        <w:t>投资风格</w:t>
      </w:r>
      <w:r>
        <w:rPr>
          <w:bCs/>
          <w:sz w:val="24"/>
        </w:rPr>
        <w:t>，提高基金业绩表现与业绩比较基准的可比性，</w:t>
      </w:r>
      <w:r>
        <w:rPr>
          <w:sz w:val="24"/>
        </w:rPr>
        <w:t>经与各基金托管人协商一致，</w:t>
      </w:r>
      <w:r>
        <w:rPr>
          <w:rFonts w:hint="eastAsia"/>
          <w:sz w:val="24"/>
        </w:rPr>
        <w:t>交银施罗德</w:t>
      </w:r>
      <w:r>
        <w:rPr>
          <w:sz w:val="24"/>
        </w:rPr>
        <w:t>基金管理有限公司（以下简称</w:t>
      </w:r>
      <w:r>
        <w:rPr>
          <w:rFonts w:hint="eastAsia"/>
          <w:sz w:val="24"/>
        </w:rPr>
        <w:t>“</w:t>
      </w:r>
      <w:r>
        <w:rPr>
          <w:sz w:val="24"/>
        </w:rPr>
        <w:t>基金管理人</w:t>
      </w:r>
      <w:r>
        <w:rPr>
          <w:rFonts w:hint="eastAsia"/>
          <w:sz w:val="24"/>
        </w:rPr>
        <w:t>”</w:t>
      </w:r>
      <w:r>
        <w:rPr>
          <w:sz w:val="24"/>
        </w:rPr>
        <w:t>）决定自</w:t>
      </w:r>
      <w:r>
        <w:rPr>
          <w:rFonts w:hint="eastAsia"/>
          <w:sz w:val="24"/>
        </w:rPr>
        <w:t>2</w:t>
      </w:r>
      <w:r>
        <w:rPr>
          <w:sz w:val="24"/>
        </w:rPr>
        <w:t>026年</w:t>
      </w:r>
      <w:r>
        <w:rPr>
          <w:rFonts w:hint="eastAsia"/>
          <w:sz w:val="24"/>
          <w:lang w:val="en-US" w:eastAsia="zh-CN"/>
        </w:rPr>
        <w:t>11</w:t>
      </w:r>
      <w:r>
        <w:rPr>
          <w:rFonts w:hint="eastAsia"/>
          <w:sz w:val="24"/>
        </w:rPr>
        <w:t>月</w:t>
      </w:r>
      <w:r>
        <w:rPr>
          <w:rFonts w:hint="eastAsia"/>
          <w:sz w:val="24"/>
          <w:lang w:val="en-US" w:eastAsia="zh-CN"/>
        </w:rPr>
        <w:t>30</w:t>
      </w:r>
      <w:r>
        <w:rPr>
          <w:rFonts w:hint="eastAsia"/>
          <w:sz w:val="24"/>
        </w:rPr>
        <w:t>日起</w:t>
      </w:r>
      <w:r>
        <w:rPr>
          <w:sz w:val="24"/>
        </w:rPr>
        <w:t>调整旗下部分基金的</w:t>
      </w:r>
      <w:r>
        <w:rPr>
          <w:bCs/>
          <w:sz w:val="24"/>
        </w:rPr>
        <w:t>业绩比较基准并对基金合同</w:t>
      </w:r>
      <w:r>
        <w:rPr>
          <w:rFonts w:hint="eastAsia"/>
          <w:bCs/>
          <w:sz w:val="24"/>
        </w:rPr>
        <w:t>等法律文件</w:t>
      </w:r>
      <w:r>
        <w:rPr>
          <w:bCs/>
          <w:sz w:val="24"/>
        </w:rPr>
        <w:t>有关条款进行修订。</w:t>
      </w:r>
      <w:r>
        <w:rPr>
          <w:sz w:val="24"/>
        </w:rPr>
        <w:t>现将相关事宜公告如下：</w:t>
      </w:r>
    </w:p>
    <w:p w14:paraId="10544932">
      <w:pPr>
        <w:pStyle w:val="7"/>
        <w:adjustRightInd w:val="0"/>
        <w:snapToGrid w:val="0"/>
        <w:spacing w:line="460" w:lineRule="exact"/>
        <w:ind w:firstLine="482" w:firstLineChars="200"/>
        <w:rPr>
          <w:rFonts w:ascii="Times New Roman" w:hAnsi="Times New Roman" w:cs="Times New Roman"/>
          <w:b/>
          <w:bCs/>
          <w:sz w:val="24"/>
          <w:szCs w:val="24"/>
        </w:rPr>
      </w:pPr>
      <w:r>
        <w:rPr>
          <w:rFonts w:ascii="Times New Roman" w:hAnsi="Times New Roman" w:cs="Times New Roman"/>
          <w:b/>
          <w:bCs/>
          <w:sz w:val="24"/>
          <w:szCs w:val="24"/>
        </w:rPr>
        <w:t>一、</w:t>
      </w:r>
      <w:r>
        <w:rPr>
          <w:rFonts w:hint="eastAsia" w:ascii="Times New Roman" w:hAnsi="Times New Roman" w:cs="Times New Roman"/>
          <w:b/>
          <w:bCs/>
          <w:sz w:val="24"/>
          <w:szCs w:val="24"/>
        </w:rPr>
        <w:t>业绩比较基准调整情况</w:t>
      </w:r>
    </w:p>
    <w:p w14:paraId="59E3B404">
      <w:pPr>
        <w:pStyle w:val="7"/>
        <w:adjustRightInd w:val="0"/>
        <w:snapToGrid w:val="0"/>
        <w:spacing w:line="460" w:lineRule="exact"/>
        <w:ind w:firstLine="480" w:firstLineChars="200"/>
        <w:rPr>
          <w:rFonts w:ascii="Times New Roman" w:hAnsi="Times New Roman" w:cs="Times New Roman"/>
          <w:bCs/>
          <w:sz w:val="24"/>
          <w:szCs w:val="24"/>
        </w:rPr>
      </w:pPr>
      <w:r>
        <w:rPr>
          <w:rFonts w:ascii="Times New Roman" w:hAnsi="Times New Roman" w:cs="Times New Roman"/>
          <w:bCs/>
          <w:sz w:val="24"/>
          <w:szCs w:val="24"/>
        </w:rPr>
        <w:t>本次调整业绩比较基准的基金及调整前后的业绩比较基准情况如下：</w:t>
      </w:r>
    </w:p>
    <w:tbl>
      <w:tblPr>
        <w:tblStyle w:val="15"/>
        <w:tblW w:w="8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750"/>
        <w:gridCol w:w="2742"/>
        <w:gridCol w:w="3108"/>
      </w:tblGrid>
      <w:tr w14:paraId="4E5B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467DB188">
            <w:pPr>
              <w:pStyle w:val="19"/>
              <w:adjustRightInd w:val="0"/>
              <w:snapToGrid w:val="0"/>
              <w:spacing w:line="460" w:lineRule="exact"/>
              <w:ind w:firstLine="0" w:firstLineChars="0"/>
              <w:jc w:val="center"/>
              <w:rPr>
                <w:sz w:val="24"/>
              </w:rPr>
            </w:pPr>
            <w:r>
              <w:rPr>
                <w:sz w:val="24"/>
              </w:rPr>
              <w:t>序号</w:t>
            </w:r>
          </w:p>
        </w:tc>
        <w:tc>
          <w:tcPr>
            <w:tcW w:w="1750" w:type="dxa"/>
            <w:vAlign w:val="center"/>
          </w:tcPr>
          <w:p w14:paraId="63FA0266">
            <w:pPr>
              <w:pStyle w:val="19"/>
              <w:adjustRightInd w:val="0"/>
              <w:snapToGrid w:val="0"/>
              <w:spacing w:line="460" w:lineRule="exact"/>
              <w:ind w:firstLine="0" w:firstLineChars="0"/>
              <w:jc w:val="center"/>
              <w:rPr>
                <w:sz w:val="24"/>
              </w:rPr>
            </w:pPr>
            <w:r>
              <w:rPr>
                <w:sz w:val="24"/>
              </w:rPr>
              <w:t>基金全称</w:t>
            </w:r>
          </w:p>
        </w:tc>
        <w:tc>
          <w:tcPr>
            <w:tcW w:w="2742" w:type="dxa"/>
            <w:vAlign w:val="center"/>
          </w:tcPr>
          <w:p w14:paraId="0FD28439">
            <w:pPr>
              <w:pStyle w:val="19"/>
              <w:adjustRightInd w:val="0"/>
              <w:snapToGrid w:val="0"/>
              <w:spacing w:line="460" w:lineRule="exact"/>
              <w:ind w:firstLine="0" w:firstLineChars="0"/>
              <w:jc w:val="center"/>
              <w:rPr>
                <w:sz w:val="24"/>
              </w:rPr>
            </w:pPr>
            <w:r>
              <w:rPr>
                <w:sz w:val="24"/>
              </w:rPr>
              <w:t>原基金合同业绩比较基准</w:t>
            </w:r>
          </w:p>
        </w:tc>
        <w:tc>
          <w:tcPr>
            <w:tcW w:w="3108" w:type="dxa"/>
            <w:vAlign w:val="center"/>
          </w:tcPr>
          <w:p w14:paraId="4D5A63CC">
            <w:pPr>
              <w:pStyle w:val="19"/>
              <w:adjustRightInd w:val="0"/>
              <w:snapToGrid w:val="0"/>
              <w:spacing w:line="460" w:lineRule="exact"/>
              <w:ind w:firstLine="0" w:firstLineChars="0"/>
              <w:jc w:val="center"/>
              <w:rPr>
                <w:sz w:val="24"/>
              </w:rPr>
            </w:pPr>
            <w:r>
              <w:rPr>
                <w:sz w:val="24"/>
              </w:rPr>
              <w:t>调整后的</w:t>
            </w:r>
            <w:r>
              <w:rPr>
                <w:rFonts w:hint="eastAsia"/>
                <w:sz w:val="24"/>
              </w:rPr>
              <w:t>新</w:t>
            </w:r>
            <w:r>
              <w:rPr>
                <w:sz w:val="24"/>
              </w:rPr>
              <w:t>业绩比较基准</w:t>
            </w:r>
          </w:p>
        </w:tc>
      </w:tr>
      <w:tr w14:paraId="201F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5EC70E02">
            <w:pPr>
              <w:pStyle w:val="19"/>
              <w:adjustRightInd w:val="0"/>
              <w:snapToGrid w:val="0"/>
              <w:spacing w:line="460" w:lineRule="exact"/>
              <w:ind w:firstLine="0" w:firstLineChars="0"/>
              <w:jc w:val="center"/>
              <w:rPr>
                <w:sz w:val="24"/>
              </w:rPr>
            </w:pPr>
            <w:r>
              <w:rPr>
                <w:rFonts w:hint="eastAsia"/>
                <w:sz w:val="24"/>
              </w:rPr>
              <w:t>1</w:t>
            </w:r>
          </w:p>
        </w:tc>
        <w:tc>
          <w:tcPr>
            <w:tcW w:w="1750" w:type="dxa"/>
            <w:shd w:val="clear" w:color="auto" w:fill="auto"/>
            <w:vAlign w:val="center"/>
          </w:tcPr>
          <w:p w14:paraId="10EEC6C3">
            <w:pPr>
              <w:widowControl/>
              <w:textAlignment w:val="center"/>
              <w:rPr>
                <w:sz w:val="24"/>
              </w:rPr>
            </w:pPr>
            <w:r>
              <w:rPr>
                <w:rFonts w:hint="eastAsia"/>
                <w:sz w:val="24"/>
              </w:rPr>
              <w:t>交银施罗德定期支付双息平衡混合型证券投资基金</w:t>
            </w:r>
          </w:p>
        </w:tc>
        <w:tc>
          <w:tcPr>
            <w:tcW w:w="2742" w:type="dxa"/>
            <w:shd w:val="clear" w:color="auto" w:fill="auto"/>
            <w:vAlign w:val="center"/>
          </w:tcPr>
          <w:p w14:paraId="6781B1CA">
            <w:pPr>
              <w:widowControl/>
              <w:textAlignment w:val="center"/>
              <w:rPr>
                <w:sz w:val="24"/>
              </w:rPr>
            </w:pPr>
            <w:r>
              <w:rPr>
                <w:rFonts w:hint="eastAsia"/>
                <w:sz w:val="24"/>
              </w:rPr>
              <w:t>中证红利指数收益率×50%+中债综合全价指数收益率×50%</w:t>
            </w:r>
          </w:p>
        </w:tc>
        <w:tc>
          <w:tcPr>
            <w:tcW w:w="3108" w:type="dxa"/>
            <w:shd w:val="clear" w:color="auto" w:fill="auto"/>
            <w:vAlign w:val="center"/>
          </w:tcPr>
          <w:p w14:paraId="42B594B3">
            <w:pPr>
              <w:widowControl/>
              <w:textAlignment w:val="center"/>
              <w:rPr>
                <w:sz w:val="24"/>
              </w:rPr>
            </w:pPr>
            <w:r>
              <w:rPr>
                <w:rFonts w:hint="eastAsia"/>
                <w:sz w:val="24"/>
              </w:rPr>
              <w:t>沪深300指数收益率×65%+中债-国债总全价（1-3年）指数收益率×35%</w:t>
            </w:r>
          </w:p>
        </w:tc>
      </w:tr>
      <w:tr w14:paraId="239F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21" w:type="dxa"/>
            <w:vAlign w:val="center"/>
          </w:tcPr>
          <w:p w14:paraId="2EE9A659">
            <w:pPr>
              <w:pStyle w:val="19"/>
              <w:adjustRightInd w:val="0"/>
              <w:snapToGrid w:val="0"/>
              <w:spacing w:line="460" w:lineRule="exact"/>
              <w:ind w:firstLine="0" w:firstLineChars="0"/>
              <w:jc w:val="center"/>
              <w:rPr>
                <w:sz w:val="24"/>
              </w:rPr>
            </w:pPr>
            <w:r>
              <w:rPr>
                <w:rFonts w:hint="eastAsia"/>
                <w:sz w:val="24"/>
              </w:rPr>
              <w:t>2</w:t>
            </w:r>
          </w:p>
        </w:tc>
        <w:tc>
          <w:tcPr>
            <w:tcW w:w="1750" w:type="dxa"/>
            <w:shd w:val="clear" w:color="auto" w:fill="auto"/>
            <w:vAlign w:val="center"/>
          </w:tcPr>
          <w:p w14:paraId="3533F322">
            <w:pPr>
              <w:widowControl/>
              <w:textAlignment w:val="center"/>
              <w:rPr>
                <w:sz w:val="24"/>
              </w:rPr>
            </w:pPr>
            <w:r>
              <w:rPr>
                <w:rFonts w:hint="eastAsia"/>
                <w:sz w:val="24"/>
              </w:rPr>
              <w:t>交银施罗德启欣混合型证券投资基金</w:t>
            </w:r>
          </w:p>
        </w:tc>
        <w:tc>
          <w:tcPr>
            <w:tcW w:w="2742" w:type="dxa"/>
            <w:shd w:val="clear" w:color="auto" w:fill="auto"/>
            <w:vAlign w:val="center"/>
          </w:tcPr>
          <w:p w14:paraId="40A4AF31">
            <w:pPr>
              <w:widowControl/>
              <w:textAlignment w:val="center"/>
              <w:rPr>
                <w:sz w:val="24"/>
              </w:rPr>
            </w:pPr>
            <w:r>
              <w:rPr>
                <w:rFonts w:hint="eastAsia"/>
                <w:sz w:val="24"/>
              </w:rPr>
              <w:t>沪深300指数收益率×70%+恒生指数收益率×5%+中证综合债券指数收益率×25%</w:t>
            </w:r>
          </w:p>
        </w:tc>
        <w:tc>
          <w:tcPr>
            <w:tcW w:w="3108" w:type="dxa"/>
            <w:shd w:val="clear" w:color="auto" w:fill="auto"/>
            <w:vAlign w:val="center"/>
          </w:tcPr>
          <w:p w14:paraId="1CE163BF">
            <w:pPr>
              <w:widowControl/>
              <w:textAlignment w:val="center"/>
              <w:rPr>
                <w:sz w:val="24"/>
              </w:rPr>
            </w:pPr>
            <w:r>
              <w:rPr>
                <w:rFonts w:hint="eastAsia"/>
                <w:sz w:val="24"/>
              </w:rPr>
              <w:t>沪深300指数收益率×50%+中证港股通综合指数（人民币）收益率×35%+中债-国债总财富（1-3年）指数收益率×15%</w:t>
            </w:r>
          </w:p>
        </w:tc>
      </w:tr>
      <w:tr w14:paraId="6DD65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6C785086">
            <w:pPr>
              <w:pStyle w:val="19"/>
              <w:adjustRightInd w:val="0"/>
              <w:snapToGrid w:val="0"/>
              <w:spacing w:line="460" w:lineRule="exact"/>
              <w:ind w:firstLine="0" w:firstLineChars="0"/>
              <w:jc w:val="center"/>
              <w:rPr>
                <w:sz w:val="24"/>
              </w:rPr>
            </w:pPr>
            <w:r>
              <w:rPr>
                <w:rFonts w:hint="eastAsia"/>
                <w:sz w:val="24"/>
              </w:rPr>
              <w:t>3</w:t>
            </w:r>
          </w:p>
        </w:tc>
        <w:tc>
          <w:tcPr>
            <w:tcW w:w="1750" w:type="dxa"/>
            <w:shd w:val="clear" w:color="auto" w:fill="auto"/>
            <w:vAlign w:val="center"/>
          </w:tcPr>
          <w:p w14:paraId="76C18542">
            <w:pPr>
              <w:widowControl/>
              <w:textAlignment w:val="center"/>
              <w:rPr>
                <w:sz w:val="24"/>
              </w:rPr>
            </w:pPr>
            <w:r>
              <w:rPr>
                <w:rFonts w:hint="eastAsia"/>
                <w:sz w:val="24"/>
              </w:rPr>
              <w:t>交银施罗德科锐科技创新混合型证券投资基金</w:t>
            </w:r>
          </w:p>
        </w:tc>
        <w:tc>
          <w:tcPr>
            <w:tcW w:w="2742" w:type="dxa"/>
            <w:shd w:val="clear" w:color="auto" w:fill="auto"/>
            <w:vAlign w:val="center"/>
          </w:tcPr>
          <w:p w14:paraId="6506538D">
            <w:pPr>
              <w:widowControl/>
              <w:textAlignment w:val="center"/>
              <w:rPr>
                <w:sz w:val="24"/>
              </w:rPr>
            </w:pPr>
            <w:r>
              <w:rPr>
                <w:rFonts w:hint="eastAsia"/>
                <w:sz w:val="24"/>
              </w:rPr>
              <w:t>中国战略新兴产业成份指数收益率×65%+中证综合债券指数收益率×35%</w:t>
            </w:r>
          </w:p>
        </w:tc>
        <w:tc>
          <w:tcPr>
            <w:tcW w:w="3108" w:type="dxa"/>
            <w:shd w:val="clear" w:color="auto" w:fill="auto"/>
            <w:vAlign w:val="center"/>
          </w:tcPr>
          <w:p w14:paraId="720C6CB6">
            <w:pPr>
              <w:widowControl/>
              <w:textAlignment w:val="center"/>
              <w:rPr>
                <w:sz w:val="24"/>
              </w:rPr>
            </w:pPr>
            <w:r>
              <w:rPr>
                <w:rFonts w:hint="eastAsia"/>
                <w:sz w:val="24"/>
              </w:rPr>
              <w:t>中国战略新兴产业成份指数收益率×80%+中债-国债总财富（1-3年）指数收益率×20%</w:t>
            </w:r>
          </w:p>
        </w:tc>
      </w:tr>
      <w:tr w14:paraId="3DB8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46C4EDD8">
            <w:pPr>
              <w:pStyle w:val="19"/>
              <w:adjustRightInd w:val="0"/>
              <w:snapToGrid w:val="0"/>
              <w:spacing w:line="460" w:lineRule="exact"/>
              <w:ind w:firstLine="0" w:firstLineChars="0"/>
              <w:jc w:val="center"/>
              <w:rPr>
                <w:sz w:val="24"/>
              </w:rPr>
            </w:pPr>
            <w:r>
              <w:rPr>
                <w:rFonts w:hint="eastAsia"/>
                <w:sz w:val="24"/>
              </w:rPr>
              <w:t>4</w:t>
            </w:r>
          </w:p>
        </w:tc>
        <w:tc>
          <w:tcPr>
            <w:tcW w:w="1750" w:type="dxa"/>
            <w:shd w:val="clear" w:color="auto" w:fill="auto"/>
            <w:vAlign w:val="center"/>
          </w:tcPr>
          <w:p w14:paraId="7A1FE1AC">
            <w:pPr>
              <w:widowControl/>
              <w:textAlignment w:val="center"/>
              <w:rPr>
                <w:sz w:val="24"/>
              </w:rPr>
            </w:pPr>
            <w:r>
              <w:rPr>
                <w:rFonts w:hint="eastAsia"/>
                <w:sz w:val="24"/>
              </w:rPr>
              <w:t>交银施罗德多策略回报灵活配置混合型证券投资基金</w:t>
            </w:r>
          </w:p>
        </w:tc>
        <w:tc>
          <w:tcPr>
            <w:tcW w:w="2742" w:type="dxa"/>
            <w:shd w:val="clear" w:color="auto" w:fill="auto"/>
            <w:vAlign w:val="center"/>
          </w:tcPr>
          <w:p w14:paraId="24F15514">
            <w:pPr>
              <w:widowControl/>
              <w:textAlignment w:val="center"/>
              <w:rPr>
                <w:sz w:val="24"/>
              </w:rPr>
            </w:pPr>
            <w:r>
              <w:rPr>
                <w:rFonts w:hint="eastAsia"/>
                <w:sz w:val="24"/>
              </w:rPr>
              <w:t>沪深300指数收益率×50%+中债综合全价指数收益率×50%</w:t>
            </w:r>
          </w:p>
        </w:tc>
        <w:tc>
          <w:tcPr>
            <w:tcW w:w="3108" w:type="dxa"/>
            <w:shd w:val="clear" w:color="auto" w:fill="auto"/>
            <w:vAlign w:val="center"/>
          </w:tcPr>
          <w:p w14:paraId="66316CF1">
            <w:pPr>
              <w:widowControl/>
              <w:textAlignment w:val="center"/>
              <w:rPr>
                <w:sz w:val="24"/>
              </w:rPr>
            </w:pPr>
            <w:r>
              <w:rPr>
                <w:rFonts w:hint="eastAsia"/>
                <w:sz w:val="24"/>
              </w:rPr>
              <w:t>中债-综合全价（总值）指数收益率×80%+沪深300指数收益率×20%</w:t>
            </w:r>
          </w:p>
        </w:tc>
      </w:tr>
      <w:tr w14:paraId="2C56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400A0674">
            <w:pPr>
              <w:pStyle w:val="19"/>
              <w:adjustRightInd w:val="0"/>
              <w:snapToGrid w:val="0"/>
              <w:spacing w:line="460" w:lineRule="exact"/>
              <w:ind w:firstLine="0" w:firstLineChars="0"/>
              <w:jc w:val="center"/>
              <w:rPr>
                <w:sz w:val="24"/>
              </w:rPr>
            </w:pPr>
            <w:r>
              <w:rPr>
                <w:rFonts w:hint="eastAsia"/>
                <w:sz w:val="24"/>
              </w:rPr>
              <w:t>5</w:t>
            </w:r>
          </w:p>
        </w:tc>
        <w:tc>
          <w:tcPr>
            <w:tcW w:w="1750" w:type="dxa"/>
            <w:shd w:val="clear" w:color="auto" w:fill="auto"/>
            <w:vAlign w:val="center"/>
          </w:tcPr>
          <w:p w14:paraId="22227B8D">
            <w:pPr>
              <w:widowControl/>
              <w:textAlignment w:val="center"/>
              <w:rPr>
                <w:sz w:val="24"/>
              </w:rPr>
            </w:pPr>
            <w:r>
              <w:rPr>
                <w:rFonts w:hint="eastAsia"/>
                <w:sz w:val="24"/>
              </w:rPr>
              <w:t>交银施罗德恒益灵活配置混合型证券投资基金</w:t>
            </w:r>
          </w:p>
        </w:tc>
        <w:tc>
          <w:tcPr>
            <w:tcW w:w="2742" w:type="dxa"/>
            <w:shd w:val="clear" w:color="auto" w:fill="auto"/>
            <w:vAlign w:val="center"/>
          </w:tcPr>
          <w:p w14:paraId="5924214E">
            <w:pPr>
              <w:widowControl/>
              <w:textAlignment w:val="center"/>
              <w:rPr>
                <w:sz w:val="24"/>
              </w:rPr>
            </w:pPr>
            <w:r>
              <w:rPr>
                <w:rFonts w:hint="eastAsia"/>
                <w:sz w:val="24"/>
              </w:rPr>
              <w:t>沪深300指数收益率×40%+中证综合债券指数收益率×60%</w:t>
            </w:r>
          </w:p>
        </w:tc>
        <w:tc>
          <w:tcPr>
            <w:tcW w:w="3108" w:type="dxa"/>
            <w:shd w:val="clear" w:color="auto" w:fill="auto"/>
            <w:vAlign w:val="center"/>
          </w:tcPr>
          <w:p w14:paraId="0C7CD507">
            <w:pPr>
              <w:widowControl/>
              <w:textAlignment w:val="center"/>
              <w:rPr>
                <w:sz w:val="24"/>
              </w:rPr>
            </w:pPr>
            <w:r>
              <w:rPr>
                <w:rFonts w:hint="eastAsia"/>
                <w:sz w:val="24"/>
              </w:rPr>
              <w:t>中债-新综合财富（总值）指数收益率×70%+沪深300指数收益率×30%</w:t>
            </w:r>
          </w:p>
        </w:tc>
      </w:tr>
      <w:tr w14:paraId="3574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2BB7F892">
            <w:pPr>
              <w:pStyle w:val="19"/>
              <w:adjustRightInd w:val="0"/>
              <w:snapToGrid w:val="0"/>
              <w:spacing w:line="460" w:lineRule="exact"/>
              <w:ind w:firstLine="0" w:firstLineChars="0"/>
              <w:jc w:val="center"/>
              <w:rPr>
                <w:sz w:val="24"/>
              </w:rPr>
            </w:pPr>
            <w:r>
              <w:rPr>
                <w:rFonts w:hint="eastAsia"/>
                <w:sz w:val="24"/>
              </w:rPr>
              <w:t>6</w:t>
            </w:r>
          </w:p>
        </w:tc>
        <w:tc>
          <w:tcPr>
            <w:tcW w:w="1750" w:type="dxa"/>
            <w:shd w:val="clear" w:color="auto" w:fill="auto"/>
            <w:vAlign w:val="center"/>
          </w:tcPr>
          <w:p w14:paraId="5003CD87">
            <w:pPr>
              <w:widowControl/>
              <w:textAlignment w:val="center"/>
              <w:rPr>
                <w:sz w:val="24"/>
              </w:rPr>
            </w:pPr>
            <w:r>
              <w:rPr>
                <w:rFonts w:hint="eastAsia"/>
                <w:sz w:val="24"/>
              </w:rPr>
              <w:t>交银施罗德鸿福六个月持有期混合型证券投资基金</w:t>
            </w:r>
          </w:p>
        </w:tc>
        <w:tc>
          <w:tcPr>
            <w:tcW w:w="2742" w:type="dxa"/>
            <w:shd w:val="clear" w:color="auto" w:fill="auto"/>
            <w:vAlign w:val="center"/>
          </w:tcPr>
          <w:p w14:paraId="0D0CB899">
            <w:pPr>
              <w:widowControl/>
              <w:textAlignment w:val="center"/>
              <w:rPr>
                <w:sz w:val="24"/>
              </w:rPr>
            </w:pPr>
            <w:r>
              <w:rPr>
                <w:rFonts w:hint="eastAsia"/>
                <w:sz w:val="24"/>
              </w:rPr>
              <w:t>沪深 300 指数收益率×10%+恒生指数收益率×5%+中证综合债券指数收益率×85%</w:t>
            </w:r>
          </w:p>
        </w:tc>
        <w:tc>
          <w:tcPr>
            <w:tcW w:w="3108" w:type="dxa"/>
            <w:shd w:val="clear" w:color="auto" w:fill="auto"/>
            <w:vAlign w:val="center"/>
          </w:tcPr>
          <w:p w14:paraId="78CD3C16">
            <w:pPr>
              <w:widowControl/>
              <w:textAlignment w:val="center"/>
              <w:rPr>
                <w:sz w:val="24"/>
              </w:rPr>
            </w:pPr>
            <w:r>
              <w:rPr>
                <w:rFonts w:hint="eastAsia"/>
                <w:sz w:val="24"/>
              </w:rPr>
              <w:t>中债-新综合财富（总值）指数收益率×85%+沪深 300 指数收益率×5%+中证港股通综合指数（人民币）收益率×5%+活期存款基准利率×5%</w:t>
            </w:r>
          </w:p>
        </w:tc>
      </w:tr>
      <w:tr w14:paraId="2004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0D66483A">
            <w:pPr>
              <w:pStyle w:val="19"/>
              <w:adjustRightInd w:val="0"/>
              <w:snapToGrid w:val="0"/>
              <w:spacing w:line="460" w:lineRule="exact"/>
              <w:ind w:firstLine="0" w:firstLineChars="0"/>
              <w:jc w:val="center"/>
              <w:rPr>
                <w:sz w:val="24"/>
              </w:rPr>
            </w:pPr>
            <w:r>
              <w:rPr>
                <w:rFonts w:hint="eastAsia"/>
                <w:sz w:val="24"/>
              </w:rPr>
              <w:t>7</w:t>
            </w:r>
          </w:p>
        </w:tc>
        <w:tc>
          <w:tcPr>
            <w:tcW w:w="1750" w:type="dxa"/>
            <w:shd w:val="clear" w:color="auto" w:fill="auto"/>
            <w:vAlign w:val="center"/>
          </w:tcPr>
          <w:p w14:paraId="3A1C8B0E">
            <w:pPr>
              <w:widowControl/>
              <w:textAlignment w:val="center"/>
              <w:rPr>
                <w:sz w:val="24"/>
              </w:rPr>
            </w:pPr>
            <w:r>
              <w:rPr>
                <w:rFonts w:hint="eastAsia"/>
                <w:sz w:val="24"/>
              </w:rPr>
              <w:t>交银施罗德稳固收益债券型证券投资基金</w:t>
            </w:r>
          </w:p>
        </w:tc>
        <w:tc>
          <w:tcPr>
            <w:tcW w:w="2742" w:type="dxa"/>
            <w:shd w:val="clear" w:color="auto" w:fill="auto"/>
            <w:vAlign w:val="center"/>
          </w:tcPr>
          <w:p w14:paraId="2A1DBE35">
            <w:pPr>
              <w:widowControl/>
              <w:textAlignment w:val="center"/>
              <w:rPr>
                <w:sz w:val="24"/>
              </w:rPr>
            </w:pPr>
            <w:r>
              <w:rPr>
                <w:rFonts w:hint="eastAsia"/>
                <w:sz w:val="24"/>
              </w:rPr>
              <w:t>中证综合债券指数收益率×85%+沪深300指数收益率×10%+恒生指数收益率×5%</w:t>
            </w:r>
          </w:p>
        </w:tc>
        <w:tc>
          <w:tcPr>
            <w:tcW w:w="3108" w:type="dxa"/>
            <w:shd w:val="clear" w:color="auto" w:fill="auto"/>
            <w:vAlign w:val="center"/>
          </w:tcPr>
          <w:p w14:paraId="7F8AAED9">
            <w:pPr>
              <w:widowControl/>
              <w:textAlignment w:val="center"/>
              <w:rPr>
                <w:sz w:val="24"/>
              </w:rPr>
            </w:pPr>
            <w:r>
              <w:rPr>
                <w:rFonts w:hint="eastAsia"/>
                <w:sz w:val="24"/>
              </w:rPr>
              <w:t>中债-新综合财富（1-3年）指数收益率×80%+沪深300指数收益率×10%+中证港股通综合指数（人民币）收益率×5%+活期存款基准利率×5%</w:t>
            </w:r>
          </w:p>
        </w:tc>
      </w:tr>
      <w:tr w14:paraId="76F00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6DA43D18">
            <w:pPr>
              <w:pStyle w:val="19"/>
              <w:adjustRightInd w:val="0"/>
              <w:snapToGrid w:val="0"/>
              <w:spacing w:line="460" w:lineRule="exact"/>
              <w:ind w:firstLine="0" w:firstLineChars="0"/>
              <w:jc w:val="center"/>
              <w:rPr>
                <w:sz w:val="24"/>
              </w:rPr>
            </w:pPr>
            <w:r>
              <w:rPr>
                <w:rFonts w:hint="eastAsia"/>
                <w:sz w:val="24"/>
              </w:rPr>
              <w:t>8</w:t>
            </w:r>
          </w:p>
        </w:tc>
        <w:tc>
          <w:tcPr>
            <w:tcW w:w="1750" w:type="dxa"/>
            <w:shd w:val="clear" w:color="auto" w:fill="auto"/>
            <w:vAlign w:val="center"/>
          </w:tcPr>
          <w:p w14:paraId="0AE123FC">
            <w:pPr>
              <w:widowControl/>
              <w:textAlignment w:val="center"/>
              <w:rPr>
                <w:sz w:val="24"/>
              </w:rPr>
            </w:pPr>
            <w:r>
              <w:rPr>
                <w:rFonts w:hint="eastAsia"/>
                <w:sz w:val="24"/>
              </w:rPr>
              <w:t>交银施罗德中高等级信用债债券型证券投资基金</w:t>
            </w:r>
          </w:p>
        </w:tc>
        <w:tc>
          <w:tcPr>
            <w:tcW w:w="2742" w:type="dxa"/>
            <w:shd w:val="clear" w:color="auto" w:fill="auto"/>
            <w:vAlign w:val="center"/>
          </w:tcPr>
          <w:p w14:paraId="265F03FF">
            <w:pPr>
              <w:widowControl/>
              <w:textAlignment w:val="center"/>
              <w:rPr>
                <w:sz w:val="24"/>
              </w:rPr>
            </w:pPr>
            <w:r>
              <w:rPr>
                <w:rFonts w:hint="eastAsia"/>
                <w:sz w:val="24"/>
              </w:rPr>
              <w:t>中债高信用等级债券财富指数收益率×95%+人民币银行活期存款利率（税后）×5%</w:t>
            </w:r>
          </w:p>
        </w:tc>
        <w:tc>
          <w:tcPr>
            <w:tcW w:w="3108" w:type="dxa"/>
            <w:shd w:val="clear" w:color="auto" w:fill="auto"/>
            <w:vAlign w:val="center"/>
          </w:tcPr>
          <w:p w14:paraId="34C8C282">
            <w:pPr>
              <w:widowControl/>
              <w:textAlignment w:val="center"/>
              <w:rPr>
                <w:sz w:val="24"/>
              </w:rPr>
            </w:pPr>
            <w:r>
              <w:rPr>
                <w:rFonts w:hint="eastAsia"/>
                <w:sz w:val="24"/>
              </w:rPr>
              <w:t>中债-高等级信用债财富（0-5年）指数收益率×95%+活期存款基准利率×5%</w:t>
            </w:r>
          </w:p>
        </w:tc>
      </w:tr>
      <w:tr w14:paraId="29F2F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1F2867A8">
            <w:pPr>
              <w:pStyle w:val="19"/>
              <w:adjustRightInd w:val="0"/>
              <w:snapToGrid w:val="0"/>
              <w:spacing w:line="460" w:lineRule="exact"/>
              <w:ind w:firstLine="0" w:firstLineChars="0"/>
              <w:jc w:val="center"/>
              <w:rPr>
                <w:sz w:val="24"/>
              </w:rPr>
            </w:pPr>
            <w:r>
              <w:rPr>
                <w:rFonts w:hint="eastAsia"/>
                <w:sz w:val="24"/>
              </w:rPr>
              <w:t>9</w:t>
            </w:r>
          </w:p>
        </w:tc>
        <w:tc>
          <w:tcPr>
            <w:tcW w:w="1750" w:type="dxa"/>
            <w:shd w:val="clear" w:color="auto" w:fill="auto"/>
            <w:vAlign w:val="center"/>
          </w:tcPr>
          <w:p w14:paraId="1F3157FD">
            <w:pPr>
              <w:widowControl/>
              <w:textAlignment w:val="center"/>
              <w:rPr>
                <w:sz w:val="24"/>
              </w:rPr>
            </w:pPr>
            <w:r>
              <w:rPr>
                <w:rFonts w:hint="eastAsia"/>
                <w:sz w:val="24"/>
              </w:rPr>
              <w:t>交银施罗德医疗健康混合型发起式证券投资基金</w:t>
            </w:r>
          </w:p>
        </w:tc>
        <w:tc>
          <w:tcPr>
            <w:tcW w:w="2742" w:type="dxa"/>
            <w:shd w:val="clear" w:color="auto" w:fill="auto"/>
            <w:vAlign w:val="center"/>
          </w:tcPr>
          <w:p w14:paraId="5C2A8187">
            <w:pPr>
              <w:widowControl/>
              <w:textAlignment w:val="center"/>
              <w:rPr>
                <w:sz w:val="24"/>
              </w:rPr>
            </w:pPr>
            <w:r>
              <w:rPr>
                <w:rFonts w:hint="eastAsia"/>
                <w:sz w:val="24"/>
              </w:rPr>
              <w:t>中证医药卫生指数收益率×70%+恒生指数收益率×5%+中证综合债券指数收益率×25%</w:t>
            </w:r>
          </w:p>
        </w:tc>
        <w:tc>
          <w:tcPr>
            <w:tcW w:w="3108" w:type="dxa"/>
            <w:shd w:val="clear" w:color="auto" w:fill="auto"/>
            <w:vAlign w:val="center"/>
          </w:tcPr>
          <w:p w14:paraId="632AD753">
            <w:pPr>
              <w:widowControl/>
              <w:textAlignment w:val="center"/>
              <w:rPr>
                <w:sz w:val="24"/>
              </w:rPr>
            </w:pPr>
            <w:r>
              <w:rPr>
                <w:rFonts w:hint="eastAsia"/>
                <w:sz w:val="24"/>
              </w:rPr>
              <w:t>中证医药卫生指数收益率×75%+中证港股通医药卫生综合指数（人民币）收益率×10%+中债-国债总财富（1-3年）指数收益率×15%</w:t>
            </w:r>
          </w:p>
        </w:tc>
      </w:tr>
      <w:tr w14:paraId="537B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072090D5">
            <w:pPr>
              <w:pStyle w:val="19"/>
              <w:adjustRightInd w:val="0"/>
              <w:snapToGrid w:val="0"/>
              <w:spacing w:line="460" w:lineRule="exact"/>
              <w:ind w:firstLine="0" w:firstLineChars="0"/>
              <w:jc w:val="center"/>
              <w:rPr>
                <w:sz w:val="24"/>
              </w:rPr>
            </w:pPr>
            <w:r>
              <w:rPr>
                <w:rFonts w:hint="eastAsia"/>
                <w:sz w:val="24"/>
              </w:rPr>
              <w:t>10</w:t>
            </w:r>
          </w:p>
        </w:tc>
        <w:tc>
          <w:tcPr>
            <w:tcW w:w="1750" w:type="dxa"/>
            <w:shd w:val="clear" w:color="auto" w:fill="auto"/>
            <w:vAlign w:val="center"/>
          </w:tcPr>
          <w:p w14:paraId="23FB7688">
            <w:pPr>
              <w:widowControl/>
              <w:textAlignment w:val="center"/>
              <w:rPr>
                <w:sz w:val="24"/>
              </w:rPr>
            </w:pPr>
            <w:r>
              <w:rPr>
                <w:rFonts w:hint="eastAsia"/>
                <w:sz w:val="24"/>
              </w:rPr>
              <w:t>交银施罗德120天滚动持有债券型证券投资基金</w:t>
            </w:r>
          </w:p>
        </w:tc>
        <w:tc>
          <w:tcPr>
            <w:tcW w:w="2742" w:type="dxa"/>
            <w:shd w:val="clear" w:color="auto" w:fill="auto"/>
            <w:vAlign w:val="center"/>
          </w:tcPr>
          <w:p w14:paraId="26490E99">
            <w:pPr>
              <w:widowControl/>
              <w:textAlignment w:val="center"/>
              <w:rPr>
                <w:sz w:val="24"/>
              </w:rPr>
            </w:pPr>
            <w:r>
              <w:rPr>
                <w:rFonts w:hint="eastAsia"/>
                <w:sz w:val="24"/>
              </w:rPr>
              <w:t>中债综合全价指数收益率×90%+人民币活期存款利率（税后）×10%</w:t>
            </w:r>
          </w:p>
        </w:tc>
        <w:tc>
          <w:tcPr>
            <w:tcW w:w="3108" w:type="dxa"/>
            <w:shd w:val="clear" w:color="auto" w:fill="auto"/>
            <w:vAlign w:val="center"/>
          </w:tcPr>
          <w:p w14:paraId="6368BFD0">
            <w:pPr>
              <w:widowControl/>
              <w:textAlignment w:val="center"/>
              <w:rPr>
                <w:sz w:val="24"/>
              </w:rPr>
            </w:pPr>
            <w:r>
              <w:rPr>
                <w:rFonts w:hint="eastAsia"/>
                <w:sz w:val="24"/>
              </w:rPr>
              <w:t>中债-综合全价（1-3年）指数收益率×95%+活期存款基准利率×5%</w:t>
            </w:r>
          </w:p>
        </w:tc>
      </w:tr>
      <w:tr w14:paraId="730E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2BE2BF32">
            <w:pPr>
              <w:pStyle w:val="19"/>
              <w:adjustRightInd w:val="0"/>
              <w:snapToGrid w:val="0"/>
              <w:spacing w:line="460" w:lineRule="exact"/>
              <w:ind w:firstLine="0" w:firstLineChars="0"/>
              <w:jc w:val="center"/>
              <w:rPr>
                <w:sz w:val="24"/>
              </w:rPr>
            </w:pPr>
            <w:r>
              <w:rPr>
                <w:rFonts w:hint="eastAsia"/>
                <w:sz w:val="24"/>
              </w:rPr>
              <w:t>11</w:t>
            </w:r>
          </w:p>
        </w:tc>
        <w:tc>
          <w:tcPr>
            <w:tcW w:w="1750" w:type="dxa"/>
            <w:shd w:val="clear" w:color="auto" w:fill="auto"/>
            <w:vAlign w:val="center"/>
          </w:tcPr>
          <w:p w14:paraId="7155F3AE">
            <w:pPr>
              <w:widowControl/>
              <w:textAlignment w:val="center"/>
              <w:rPr>
                <w:sz w:val="24"/>
              </w:rPr>
            </w:pPr>
            <w:r>
              <w:rPr>
                <w:rFonts w:hint="eastAsia"/>
                <w:sz w:val="24"/>
              </w:rPr>
              <w:t>交银施罗德兴享一年持有期混合型基金中基金（FOF）</w:t>
            </w:r>
          </w:p>
        </w:tc>
        <w:tc>
          <w:tcPr>
            <w:tcW w:w="2742" w:type="dxa"/>
            <w:shd w:val="clear" w:color="auto" w:fill="auto"/>
            <w:vAlign w:val="center"/>
          </w:tcPr>
          <w:p w14:paraId="1987CD03">
            <w:pPr>
              <w:widowControl/>
              <w:textAlignment w:val="center"/>
              <w:rPr>
                <w:sz w:val="24"/>
              </w:rPr>
            </w:pPr>
            <w:r>
              <w:rPr>
                <w:rFonts w:hint="eastAsia"/>
                <w:sz w:val="24"/>
              </w:rPr>
              <w:t>中债综合全价指数收益率×75%+沪深300指数收益率×25%</w:t>
            </w:r>
          </w:p>
        </w:tc>
        <w:tc>
          <w:tcPr>
            <w:tcW w:w="3108" w:type="dxa"/>
            <w:shd w:val="clear" w:color="auto" w:fill="auto"/>
            <w:vAlign w:val="center"/>
          </w:tcPr>
          <w:p w14:paraId="1D737367">
            <w:pPr>
              <w:widowControl/>
              <w:textAlignment w:val="center"/>
              <w:rPr>
                <w:sz w:val="24"/>
              </w:rPr>
            </w:pPr>
            <w:r>
              <w:rPr>
                <w:rFonts w:hint="eastAsia"/>
                <w:sz w:val="24"/>
              </w:rPr>
              <w:t>中证纯债债券型基金指数收益率×70%+中证偏股型基金指数收益率×20%+上海黄金交易所A</w:t>
            </w:r>
            <w:r>
              <w:rPr>
                <w:rFonts w:hint="eastAsia"/>
                <w:sz w:val="24"/>
                <w:lang w:val="en-US" w:eastAsia="zh-CN"/>
              </w:rPr>
              <w:t>u</w:t>
            </w:r>
            <w:r>
              <w:rPr>
                <w:rFonts w:hint="eastAsia"/>
                <w:sz w:val="24"/>
              </w:rPr>
              <w:t>99.99现货实盘合约价格收益率×5%+活期存款基准利率×5%</w:t>
            </w:r>
          </w:p>
        </w:tc>
      </w:tr>
      <w:tr w14:paraId="398C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49F7ED19">
            <w:pPr>
              <w:pStyle w:val="19"/>
              <w:adjustRightInd w:val="0"/>
              <w:snapToGrid w:val="0"/>
              <w:spacing w:line="460" w:lineRule="exact"/>
              <w:ind w:firstLine="0" w:firstLineChars="0"/>
              <w:jc w:val="center"/>
              <w:rPr>
                <w:sz w:val="24"/>
              </w:rPr>
            </w:pPr>
            <w:r>
              <w:rPr>
                <w:rFonts w:hint="eastAsia"/>
                <w:sz w:val="24"/>
              </w:rPr>
              <w:t>12</w:t>
            </w:r>
          </w:p>
        </w:tc>
        <w:tc>
          <w:tcPr>
            <w:tcW w:w="1750" w:type="dxa"/>
            <w:shd w:val="clear" w:color="auto" w:fill="auto"/>
            <w:vAlign w:val="center"/>
          </w:tcPr>
          <w:p w14:paraId="38339A5E">
            <w:pPr>
              <w:widowControl/>
              <w:textAlignment w:val="center"/>
              <w:rPr>
                <w:sz w:val="24"/>
              </w:rPr>
            </w:pPr>
            <w:r>
              <w:rPr>
                <w:rFonts w:hint="eastAsia"/>
                <w:sz w:val="24"/>
              </w:rPr>
              <w:t>交银施罗德科技创新灵活配置混合型证券投资基金</w:t>
            </w:r>
          </w:p>
        </w:tc>
        <w:tc>
          <w:tcPr>
            <w:tcW w:w="2742" w:type="dxa"/>
            <w:shd w:val="clear" w:color="auto" w:fill="auto"/>
            <w:vAlign w:val="center"/>
          </w:tcPr>
          <w:p w14:paraId="3917DD4D">
            <w:pPr>
              <w:widowControl/>
              <w:textAlignment w:val="center"/>
              <w:rPr>
                <w:sz w:val="24"/>
              </w:rPr>
            </w:pPr>
            <w:r>
              <w:rPr>
                <w:rFonts w:hint="eastAsia"/>
                <w:sz w:val="24"/>
              </w:rPr>
              <w:t>沪深300指数×60%+中证综合债券指数×40%</w:t>
            </w:r>
          </w:p>
        </w:tc>
        <w:tc>
          <w:tcPr>
            <w:tcW w:w="3108" w:type="dxa"/>
            <w:shd w:val="clear" w:color="auto" w:fill="auto"/>
            <w:vAlign w:val="center"/>
          </w:tcPr>
          <w:p w14:paraId="7EAF5478">
            <w:pPr>
              <w:widowControl/>
              <w:textAlignment w:val="center"/>
              <w:rPr>
                <w:sz w:val="24"/>
              </w:rPr>
            </w:pPr>
            <w:r>
              <w:rPr>
                <w:rFonts w:hint="eastAsia"/>
                <w:sz w:val="24"/>
              </w:rPr>
              <w:t>中国战略新兴产业成份指数收益率×90%+中债-国债总财富（1-3年）指数收益率×10%</w:t>
            </w:r>
          </w:p>
        </w:tc>
      </w:tr>
      <w:tr w14:paraId="4B27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49D79476">
            <w:pPr>
              <w:pStyle w:val="19"/>
              <w:adjustRightInd w:val="0"/>
              <w:snapToGrid w:val="0"/>
              <w:spacing w:line="460" w:lineRule="exact"/>
              <w:ind w:firstLine="0" w:firstLineChars="0"/>
              <w:jc w:val="center"/>
              <w:rPr>
                <w:sz w:val="24"/>
                <w:highlight w:val="none"/>
              </w:rPr>
            </w:pPr>
            <w:r>
              <w:rPr>
                <w:rFonts w:hint="eastAsia"/>
                <w:sz w:val="24"/>
                <w:highlight w:val="none"/>
              </w:rPr>
              <w:t>13</w:t>
            </w:r>
          </w:p>
        </w:tc>
        <w:tc>
          <w:tcPr>
            <w:tcW w:w="1750" w:type="dxa"/>
            <w:shd w:val="clear" w:color="auto" w:fill="auto"/>
            <w:vAlign w:val="center"/>
          </w:tcPr>
          <w:p w14:paraId="05B67143">
            <w:pPr>
              <w:widowControl/>
              <w:textAlignment w:val="center"/>
              <w:rPr>
                <w:sz w:val="24"/>
                <w:highlight w:val="none"/>
              </w:rPr>
            </w:pPr>
            <w:r>
              <w:rPr>
                <w:rFonts w:hint="eastAsia"/>
                <w:sz w:val="24"/>
                <w:highlight w:val="none"/>
              </w:rPr>
              <w:t>交银施罗德稳健配置混合型证券投资基金</w:t>
            </w:r>
          </w:p>
        </w:tc>
        <w:tc>
          <w:tcPr>
            <w:tcW w:w="2742" w:type="dxa"/>
            <w:shd w:val="clear" w:color="auto" w:fill="auto"/>
            <w:vAlign w:val="center"/>
          </w:tcPr>
          <w:p w14:paraId="07636ED7">
            <w:pPr>
              <w:widowControl/>
              <w:textAlignment w:val="center"/>
              <w:rPr>
                <w:sz w:val="24"/>
                <w:highlight w:val="none"/>
              </w:rPr>
            </w:pPr>
            <w:r>
              <w:rPr>
                <w:rFonts w:hint="eastAsia"/>
                <w:sz w:val="24"/>
                <w:highlight w:val="none"/>
              </w:rPr>
              <w:t>MSCI中国A股指数×65%+中证综合债券指数×35%</w:t>
            </w:r>
          </w:p>
        </w:tc>
        <w:tc>
          <w:tcPr>
            <w:tcW w:w="3108" w:type="dxa"/>
            <w:shd w:val="clear" w:color="auto" w:fill="auto"/>
            <w:vAlign w:val="center"/>
          </w:tcPr>
          <w:p w14:paraId="7E679887">
            <w:pPr>
              <w:widowControl/>
              <w:textAlignment w:val="center"/>
              <w:rPr>
                <w:sz w:val="24"/>
                <w:highlight w:val="none"/>
              </w:rPr>
            </w:pPr>
            <w:r>
              <w:rPr>
                <w:rFonts w:hint="eastAsia"/>
                <w:sz w:val="24"/>
                <w:highlight w:val="none"/>
              </w:rPr>
              <w:t>MSCI中国A股</w:t>
            </w:r>
            <w:r>
              <w:rPr>
                <w:rFonts w:hint="eastAsia"/>
                <w:sz w:val="24"/>
                <w:highlight w:val="none"/>
                <w:lang w:val="en-US" w:eastAsia="zh-CN"/>
              </w:rPr>
              <w:t>在岸</w:t>
            </w:r>
            <w:r>
              <w:rPr>
                <w:rFonts w:hint="eastAsia"/>
                <w:sz w:val="24"/>
                <w:highlight w:val="none"/>
              </w:rPr>
              <w:t>指数收益率×85%+中债-国债总财富（1-3年）指数收益率×15%</w:t>
            </w:r>
          </w:p>
        </w:tc>
      </w:tr>
      <w:tr w14:paraId="7ED9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31EF58DE">
            <w:pPr>
              <w:pStyle w:val="19"/>
              <w:adjustRightInd w:val="0"/>
              <w:snapToGrid w:val="0"/>
              <w:spacing w:line="460" w:lineRule="exact"/>
              <w:ind w:firstLine="0" w:firstLineChars="0"/>
              <w:jc w:val="center"/>
              <w:rPr>
                <w:sz w:val="24"/>
              </w:rPr>
            </w:pPr>
            <w:r>
              <w:rPr>
                <w:rFonts w:hint="eastAsia"/>
                <w:sz w:val="24"/>
              </w:rPr>
              <w:t>14</w:t>
            </w:r>
          </w:p>
        </w:tc>
        <w:tc>
          <w:tcPr>
            <w:tcW w:w="1750" w:type="dxa"/>
            <w:shd w:val="clear" w:color="auto" w:fill="auto"/>
            <w:vAlign w:val="center"/>
          </w:tcPr>
          <w:p w14:paraId="79556FB6">
            <w:pPr>
              <w:widowControl/>
              <w:textAlignment w:val="center"/>
              <w:rPr>
                <w:sz w:val="24"/>
              </w:rPr>
            </w:pPr>
            <w:r>
              <w:rPr>
                <w:rFonts w:hint="eastAsia"/>
                <w:sz w:val="24"/>
              </w:rPr>
              <w:t>交银施罗德股息优化混合型证券投资基金</w:t>
            </w:r>
          </w:p>
        </w:tc>
        <w:tc>
          <w:tcPr>
            <w:tcW w:w="2742" w:type="dxa"/>
            <w:shd w:val="clear" w:color="auto" w:fill="auto"/>
            <w:vAlign w:val="center"/>
          </w:tcPr>
          <w:p w14:paraId="76F93851">
            <w:pPr>
              <w:widowControl/>
              <w:textAlignment w:val="center"/>
              <w:rPr>
                <w:sz w:val="24"/>
              </w:rPr>
            </w:pPr>
            <w:r>
              <w:rPr>
                <w:rFonts w:hint="eastAsia"/>
                <w:sz w:val="24"/>
              </w:rPr>
              <w:t>沪深300指数收益率×60%+中证综合债券指数收益率×40%</w:t>
            </w:r>
          </w:p>
        </w:tc>
        <w:tc>
          <w:tcPr>
            <w:tcW w:w="3108" w:type="dxa"/>
            <w:shd w:val="clear" w:color="auto" w:fill="auto"/>
            <w:vAlign w:val="center"/>
          </w:tcPr>
          <w:p w14:paraId="6FD7BD29">
            <w:pPr>
              <w:widowControl/>
              <w:textAlignment w:val="center"/>
              <w:rPr>
                <w:sz w:val="24"/>
              </w:rPr>
            </w:pPr>
            <w:r>
              <w:rPr>
                <w:rFonts w:hint="eastAsia"/>
                <w:sz w:val="24"/>
              </w:rPr>
              <w:t>中证高股息精选指数收益率×90%+中债-</w:t>
            </w:r>
            <w:bookmarkStart w:id="4" w:name="_GoBack"/>
            <w:bookmarkEnd w:id="4"/>
            <w:r>
              <w:rPr>
                <w:rFonts w:hint="eastAsia"/>
                <w:sz w:val="24"/>
              </w:rPr>
              <w:t>国债总财富（1-3年）指数收益率×10%</w:t>
            </w:r>
          </w:p>
        </w:tc>
      </w:tr>
      <w:tr w14:paraId="3E4E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3BB76971">
            <w:pPr>
              <w:pStyle w:val="19"/>
              <w:adjustRightInd w:val="0"/>
              <w:snapToGrid w:val="0"/>
              <w:spacing w:line="460" w:lineRule="exact"/>
              <w:ind w:firstLine="0" w:firstLineChars="0"/>
              <w:jc w:val="center"/>
              <w:rPr>
                <w:sz w:val="24"/>
              </w:rPr>
            </w:pPr>
            <w:r>
              <w:rPr>
                <w:rFonts w:hint="eastAsia"/>
                <w:sz w:val="24"/>
              </w:rPr>
              <w:t>15</w:t>
            </w:r>
          </w:p>
        </w:tc>
        <w:tc>
          <w:tcPr>
            <w:tcW w:w="1750" w:type="dxa"/>
            <w:shd w:val="clear" w:color="auto" w:fill="auto"/>
            <w:vAlign w:val="center"/>
          </w:tcPr>
          <w:p w14:paraId="62C31CEF">
            <w:pPr>
              <w:widowControl/>
              <w:textAlignment w:val="center"/>
              <w:rPr>
                <w:sz w:val="24"/>
              </w:rPr>
            </w:pPr>
            <w:r>
              <w:rPr>
                <w:rFonts w:hint="eastAsia"/>
                <w:sz w:val="24"/>
              </w:rPr>
              <w:t>交银施罗德启道混合型证券投资基金</w:t>
            </w:r>
          </w:p>
        </w:tc>
        <w:tc>
          <w:tcPr>
            <w:tcW w:w="2742" w:type="dxa"/>
            <w:shd w:val="clear" w:color="auto" w:fill="auto"/>
            <w:vAlign w:val="center"/>
          </w:tcPr>
          <w:p w14:paraId="4EA7BCFB">
            <w:pPr>
              <w:widowControl/>
              <w:textAlignment w:val="center"/>
              <w:rPr>
                <w:sz w:val="24"/>
              </w:rPr>
            </w:pPr>
            <w:r>
              <w:rPr>
                <w:rFonts w:hint="eastAsia"/>
                <w:sz w:val="24"/>
              </w:rPr>
              <w:t>沪深300指数收益率×65%+恒生指数收益率×5%+中证综合债券指数收益率×30%</w:t>
            </w:r>
          </w:p>
        </w:tc>
        <w:tc>
          <w:tcPr>
            <w:tcW w:w="3108" w:type="dxa"/>
            <w:shd w:val="clear" w:color="auto" w:fill="auto"/>
            <w:vAlign w:val="center"/>
          </w:tcPr>
          <w:p w14:paraId="425B375D">
            <w:pPr>
              <w:widowControl/>
              <w:textAlignment w:val="center"/>
              <w:rPr>
                <w:sz w:val="24"/>
              </w:rPr>
            </w:pPr>
            <w:r>
              <w:rPr>
                <w:rFonts w:hint="eastAsia"/>
                <w:sz w:val="24"/>
              </w:rPr>
              <w:t>沪深300指数收益率×75%+中证港股通综合指数（人民币）收益率×10%+中债-国债总财富（1-3年）指数收益率×15%</w:t>
            </w:r>
          </w:p>
        </w:tc>
      </w:tr>
      <w:tr w14:paraId="7513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30C3BBFA">
            <w:pPr>
              <w:pStyle w:val="19"/>
              <w:adjustRightInd w:val="0"/>
              <w:snapToGrid w:val="0"/>
              <w:spacing w:line="460" w:lineRule="exact"/>
              <w:ind w:firstLine="0" w:firstLineChars="0"/>
              <w:jc w:val="center"/>
              <w:rPr>
                <w:sz w:val="24"/>
              </w:rPr>
            </w:pPr>
            <w:r>
              <w:rPr>
                <w:rFonts w:hint="eastAsia"/>
                <w:sz w:val="24"/>
              </w:rPr>
              <w:t>16</w:t>
            </w:r>
          </w:p>
        </w:tc>
        <w:tc>
          <w:tcPr>
            <w:tcW w:w="1750" w:type="dxa"/>
            <w:shd w:val="clear" w:color="auto" w:fill="auto"/>
            <w:vAlign w:val="center"/>
          </w:tcPr>
          <w:p w14:paraId="7260CC69">
            <w:pPr>
              <w:widowControl/>
              <w:textAlignment w:val="center"/>
              <w:rPr>
                <w:sz w:val="24"/>
              </w:rPr>
            </w:pPr>
            <w:r>
              <w:rPr>
                <w:rFonts w:hint="eastAsia"/>
                <w:sz w:val="24"/>
              </w:rPr>
              <w:t>交银施罗德经济新动力混合型证券投资基金</w:t>
            </w:r>
          </w:p>
        </w:tc>
        <w:tc>
          <w:tcPr>
            <w:tcW w:w="2742" w:type="dxa"/>
            <w:shd w:val="clear" w:color="auto" w:fill="auto"/>
            <w:vAlign w:val="center"/>
          </w:tcPr>
          <w:p w14:paraId="70D6AE6F">
            <w:pPr>
              <w:widowControl/>
              <w:textAlignment w:val="center"/>
              <w:rPr>
                <w:sz w:val="24"/>
              </w:rPr>
            </w:pPr>
            <w:r>
              <w:rPr>
                <w:rFonts w:hint="eastAsia"/>
                <w:sz w:val="24"/>
              </w:rPr>
              <w:t>沪深300指数收益率×60%+中证综合债券指数收益率×40%</w:t>
            </w:r>
          </w:p>
        </w:tc>
        <w:tc>
          <w:tcPr>
            <w:tcW w:w="3108" w:type="dxa"/>
            <w:shd w:val="clear" w:color="auto" w:fill="auto"/>
            <w:vAlign w:val="center"/>
          </w:tcPr>
          <w:p w14:paraId="57C595FC">
            <w:pPr>
              <w:widowControl/>
              <w:textAlignment w:val="center"/>
              <w:rPr>
                <w:sz w:val="24"/>
              </w:rPr>
            </w:pPr>
            <w:r>
              <w:rPr>
                <w:rFonts w:hint="eastAsia"/>
                <w:sz w:val="24"/>
              </w:rPr>
              <w:t>中证800指数收益率×70%+中债-国债总财富（1-3年）指数收益率×30%</w:t>
            </w:r>
          </w:p>
        </w:tc>
      </w:tr>
      <w:tr w14:paraId="5808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7381B212">
            <w:pPr>
              <w:pStyle w:val="19"/>
              <w:adjustRightInd w:val="0"/>
              <w:snapToGrid w:val="0"/>
              <w:spacing w:line="460" w:lineRule="exact"/>
              <w:ind w:firstLine="0" w:firstLineChars="0"/>
              <w:jc w:val="center"/>
              <w:rPr>
                <w:sz w:val="24"/>
              </w:rPr>
            </w:pPr>
            <w:r>
              <w:rPr>
                <w:rFonts w:hint="eastAsia"/>
                <w:sz w:val="24"/>
              </w:rPr>
              <w:t>17</w:t>
            </w:r>
          </w:p>
        </w:tc>
        <w:tc>
          <w:tcPr>
            <w:tcW w:w="1750" w:type="dxa"/>
            <w:shd w:val="clear" w:color="auto" w:fill="auto"/>
            <w:vAlign w:val="center"/>
          </w:tcPr>
          <w:p w14:paraId="367A01E1">
            <w:pPr>
              <w:widowControl/>
              <w:textAlignment w:val="center"/>
              <w:rPr>
                <w:sz w:val="24"/>
              </w:rPr>
            </w:pPr>
            <w:r>
              <w:rPr>
                <w:rFonts w:hint="eastAsia"/>
                <w:sz w:val="24"/>
              </w:rPr>
              <w:t>交银施罗德启汇混合型证券投资基金</w:t>
            </w:r>
          </w:p>
        </w:tc>
        <w:tc>
          <w:tcPr>
            <w:tcW w:w="2742" w:type="dxa"/>
            <w:shd w:val="clear" w:color="auto" w:fill="auto"/>
            <w:vAlign w:val="center"/>
          </w:tcPr>
          <w:p w14:paraId="3634EB67">
            <w:pPr>
              <w:widowControl/>
              <w:textAlignment w:val="center"/>
              <w:rPr>
                <w:sz w:val="24"/>
              </w:rPr>
            </w:pPr>
            <w:r>
              <w:rPr>
                <w:rFonts w:hint="eastAsia"/>
                <w:sz w:val="24"/>
              </w:rPr>
              <w:t>沪深300指数收益率×65%+恒生指数收益率×5%+中证综合债券指数收益率×30%</w:t>
            </w:r>
          </w:p>
        </w:tc>
        <w:tc>
          <w:tcPr>
            <w:tcW w:w="3108" w:type="dxa"/>
            <w:shd w:val="clear" w:color="auto" w:fill="auto"/>
            <w:vAlign w:val="center"/>
          </w:tcPr>
          <w:p w14:paraId="3F670832">
            <w:pPr>
              <w:widowControl/>
              <w:textAlignment w:val="center"/>
              <w:rPr>
                <w:sz w:val="24"/>
              </w:rPr>
            </w:pPr>
            <w:r>
              <w:rPr>
                <w:rFonts w:hint="eastAsia"/>
                <w:sz w:val="24"/>
              </w:rPr>
              <w:t>中证800指数收益率×70%+中证港股通综合指数（人民币）收益率×10%+中债-国债总财富（1-3年）指数收益率×20%</w:t>
            </w:r>
          </w:p>
        </w:tc>
      </w:tr>
      <w:tr w14:paraId="53A9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1FD196E9">
            <w:pPr>
              <w:pStyle w:val="19"/>
              <w:adjustRightInd w:val="0"/>
              <w:snapToGrid w:val="0"/>
              <w:spacing w:line="460" w:lineRule="exact"/>
              <w:ind w:firstLine="0" w:firstLineChars="0"/>
              <w:jc w:val="center"/>
              <w:rPr>
                <w:sz w:val="24"/>
              </w:rPr>
            </w:pPr>
            <w:r>
              <w:rPr>
                <w:rFonts w:hint="eastAsia"/>
                <w:sz w:val="24"/>
              </w:rPr>
              <w:t>18</w:t>
            </w:r>
          </w:p>
        </w:tc>
        <w:tc>
          <w:tcPr>
            <w:tcW w:w="1750" w:type="dxa"/>
            <w:shd w:val="clear" w:color="auto" w:fill="auto"/>
            <w:vAlign w:val="center"/>
          </w:tcPr>
          <w:p w14:paraId="55951BD4">
            <w:pPr>
              <w:widowControl/>
              <w:textAlignment w:val="center"/>
              <w:rPr>
                <w:sz w:val="24"/>
              </w:rPr>
            </w:pPr>
            <w:r>
              <w:rPr>
                <w:rFonts w:hint="eastAsia"/>
                <w:sz w:val="24"/>
              </w:rPr>
              <w:t>交银施罗德环球精选价值证券投资基金</w:t>
            </w:r>
          </w:p>
        </w:tc>
        <w:tc>
          <w:tcPr>
            <w:tcW w:w="2742" w:type="dxa"/>
            <w:shd w:val="clear" w:color="auto" w:fill="auto"/>
            <w:vAlign w:val="center"/>
          </w:tcPr>
          <w:p w14:paraId="6D5AEA52">
            <w:pPr>
              <w:widowControl/>
              <w:jc w:val="left"/>
              <w:textAlignment w:val="center"/>
              <w:rPr>
                <w:sz w:val="24"/>
              </w:rPr>
            </w:pPr>
            <w:r>
              <w:rPr>
                <w:rFonts w:hint="eastAsia"/>
                <w:sz w:val="24"/>
              </w:rPr>
              <w:t>标准普尔全球大中盘指数（S&amp;P Global LargeMidCap Index）×70%+恒生指数×30%</w:t>
            </w:r>
          </w:p>
        </w:tc>
        <w:tc>
          <w:tcPr>
            <w:tcW w:w="3108" w:type="dxa"/>
            <w:shd w:val="clear" w:color="auto" w:fill="auto"/>
            <w:vAlign w:val="center"/>
          </w:tcPr>
          <w:p w14:paraId="4C4E215B">
            <w:pPr>
              <w:widowControl/>
              <w:textAlignment w:val="center"/>
              <w:rPr>
                <w:sz w:val="24"/>
              </w:rPr>
            </w:pPr>
            <w:r>
              <w:rPr>
                <w:rFonts w:hint="eastAsia"/>
                <w:sz w:val="24"/>
              </w:rPr>
              <w:t>MSCI全球成长指数（MSCI ACWI Growth Index）收益率×75%+恒生指数收益率×20%+人民币活期存款基准利率×5%</w:t>
            </w:r>
          </w:p>
        </w:tc>
      </w:tr>
      <w:tr w14:paraId="0F44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0B73753B">
            <w:pPr>
              <w:pStyle w:val="19"/>
              <w:adjustRightInd w:val="0"/>
              <w:snapToGrid w:val="0"/>
              <w:spacing w:line="460" w:lineRule="exact"/>
              <w:ind w:firstLine="0" w:firstLineChars="0"/>
              <w:jc w:val="center"/>
              <w:rPr>
                <w:sz w:val="24"/>
              </w:rPr>
            </w:pPr>
            <w:r>
              <w:rPr>
                <w:rFonts w:hint="eastAsia"/>
                <w:sz w:val="24"/>
              </w:rPr>
              <w:t>19</w:t>
            </w:r>
          </w:p>
        </w:tc>
        <w:tc>
          <w:tcPr>
            <w:tcW w:w="1750" w:type="dxa"/>
            <w:shd w:val="clear" w:color="auto" w:fill="auto"/>
            <w:vAlign w:val="center"/>
          </w:tcPr>
          <w:p w14:paraId="116BD23B">
            <w:pPr>
              <w:widowControl/>
              <w:textAlignment w:val="center"/>
              <w:rPr>
                <w:sz w:val="24"/>
              </w:rPr>
            </w:pPr>
            <w:r>
              <w:rPr>
                <w:rFonts w:hint="eastAsia"/>
                <w:sz w:val="24"/>
              </w:rPr>
              <w:t>交银施罗德增利增强债券型证券投资基金</w:t>
            </w:r>
          </w:p>
        </w:tc>
        <w:tc>
          <w:tcPr>
            <w:tcW w:w="2742" w:type="dxa"/>
            <w:shd w:val="clear" w:color="auto" w:fill="auto"/>
            <w:vAlign w:val="center"/>
          </w:tcPr>
          <w:p w14:paraId="1A0D725A">
            <w:pPr>
              <w:widowControl/>
              <w:textAlignment w:val="center"/>
              <w:rPr>
                <w:sz w:val="24"/>
              </w:rPr>
            </w:pPr>
            <w:r>
              <w:rPr>
                <w:rFonts w:hint="eastAsia"/>
                <w:sz w:val="24"/>
              </w:rPr>
              <w:t>中债综合全价指数</w:t>
            </w:r>
          </w:p>
        </w:tc>
        <w:tc>
          <w:tcPr>
            <w:tcW w:w="3108" w:type="dxa"/>
            <w:shd w:val="clear" w:color="auto" w:fill="auto"/>
            <w:vAlign w:val="center"/>
          </w:tcPr>
          <w:p w14:paraId="710CF03A">
            <w:pPr>
              <w:widowControl/>
              <w:textAlignment w:val="center"/>
              <w:rPr>
                <w:sz w:val="24"/>
              </w:rPr>
            </w:pPr>
            <w:r>
              <w:rPr>
                <w:rFonts w:hint="eastAsia"/>
                <w:sz w:val="24"/>
              </w:rPr>
              <w:t>中债-综合全价（1-3年）指数收益率×80%+中证可转换债券指数收益率×10%+沪深300指数收益率×5%+活期存款基准利率×5%</w:t>
            </w:r>
          </w:p>
        </w:tc>
      </w:tr>
      <w:tr w14:paraId="14BC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5B9393CA">
            <w:pPr>
              <w:pStyle w:val="19"/>
              <w:adjustRightInd w:val="0"/>
              <w:snapToGrid w:val="0"/>
              <w:spacing w:line="460" w:lineRule="exact"/>
              <w:ind w:firstLine="0" w:firstLineChars="0"/>
              <w:jc w:val="center"/>
              <w:rPr>
                <w:sz w:val="24"/>
              </w:rPr>
            </w:pPr>
            <w:r>
              <w:rPr>
                <w:rFonts w:hint="eastAsia"/>
                <w:sz w:val="24"/>
              </w:rPr>
              <w:t>20</w:t>
            </w:r>
          </w:p>
        </w:tc>
        <w:tc>
          <w:tcPr>
            <w:tcW w:w="1750" w:type="dxa"/>
            <w:shd w:val="clear" w:color="auto" w:fill="auto"/>
            <w:vAlign w:val="center"/>
          </w:tcPr>
          <w:p w14:paraId="2594A481">
            <w:pPr>
              <w:widowControl/>
              <w:textAlignment w:val="center"/>
              <w:rPr>
                <w:sz w:val="24"/>
              </w:rPr>
            </w:pPr>
            <w:r>
              <w:rPr>
                <w:rFonts w:hint="eastAsia"/>
                <w:sz w:val="24"/>
              </w:rPr>
              <w:t>交银施罗德荣鑫灵活配置混合型证券投资基金</w:t>
            </w:r>
          </w:p>
        </w:tc>
        <w:tc>
          <w:tcPr>
            <w:tcW w:w="2742" w:type="dxa"/>
            <w:shd w:val="clear" w:color="auto" w:fill="auto"/>
            <w:vAlign w:val="center"/>
          </w:tcPr>
          <w:p w14:paraId="6711308A">
            <w:pPr>
              <w:widowControl/>
              <w:textAlignment w:val="center"/>
              <w:rPr>
                <w:sz w:val="24"/>
              </w:rPr>
            </w:pPr>
            <w:r>
              <w:rPr>
                <w:rFonts w:hint="eastAsia"/>
                <w:sz w:val="24"/>
              </w:rPr>
              <w:t>沪深300指数收益率×50%+中债综合全价指数收益率×50%</w:t>
            </w:r>
          </w:p>
        </w:tc>
        <w:tc>
          <w:tcPr>
            <w:tcW w:w="3108" w:type="dxa"/>
            <w:shd w:val="clear" w:color="auto" w:fill="auto"/>
            <w:vAlign w:val="center"/>
          </w:tcPr>
          <w:p w14:paraId="7AA0CC74">
            <w:pPr>
              <w:widowControl/>
              <w:textAlignment w:val="center"/>
              <w:rPr>
                <w:sz w:val="24"/>
              </w:rPr>
            </w:pPr>
            <w:r>
              <w:rPr>
                <w:rFonts w:hint="eastAsia"/>
                <w:sz w:val="24"/>
              </w:rPr>
              <w:t>沪深300指数收益率×75%+中债-国债总全价（1-3年）指数收益率×25%</w:t>
            </w:r>
          </w:p>
        </w:tc>
      </w:tr>
      <w:tr w14:paraId="1E17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721" w:type="dxa"/>
            <w:vAlign w:val="center"/>
          </w:tcPr>
          <w:p w14:paraId="3C798EDD">
            <w:pPr>
              <w:pStyle w:val="19"/>
              <w:adjustRightInd w:val="0"/>
              <w:snapToGrid w:val="0"/>
              <w:spacing w:line="460" w:lineRule="exact"/>
              <w:ind w:firstLine="0" w:firstLineChars="0"/>
              <w:jc w:val="center"/>
              <w:rPr>
                <w:sz w:val="24"/>
              </w:rPr>
            </w:pPr>
            <w:r>
              <w:rPr>
                <w:rFonts w:hint="eastAsia"/>
                <w:sz w:val="24"/>
              </w:rPr>
              <w:t>21</w:t>
            </w:r>
          </w:p>
        </w:tc>
        <w:tc>
          <w:tcPr>
            <w:tcW w:w="1750" w:type="dxa"/>
            <w:shd w:val="clear" w:color="auto" w:fill="auto"/>
            <w:vAlign w:val="center"/>
          </w:tcPr>
          <w:p w14:paraId="72DF57FF">
            <w:pPr>
              <w:widowControl/>
              <w:textAlignment w:val="center"/>
              <w:rPr>
                <w:sz w:val="24"/>
              </w:rPr>
            </w:pPr>
            <w:r>
              <w:rPr>
                <w:rFonts w:hint="eastAsia"/>
                <w:sz w:val="24"/>
              </w:rPr>
              <w:t>交银施罗德安心收益债券型证券投资基金</w:t>
            </w:r>
          </w:p>
        </w:tc>
        <w:tc>
          <w:tcPr>
            <w:tcW w:w="2742" w:type="dxa"/>
            <w:shd w:val="clear" w:color="auto" w:fill="auto"/>
            <w:vAlign w:val="center"/>
          </w:tcPr>
          <w:p w14:paraId="66E2D2B8">
            <w:pPr>
              <w:widowControl/>
              <w:textAlignment w:val="center"/>
              <w:rPr>
                <w:sz w:val="24"/>
              </w:rPr>
            </w:pPr>
            <w:r>
              <w:rPr>
                <w:rFonts w:hint="eastAsia"/>
                <w:sz w:val="24"/>
              </w:rPr>
              <w:t>中债综合全价指数</w:t>
            </w:r>
          </w:p>
        </w:tc>
        <w:tc>
          <w:tcPr>
            <w:tcW w:w="3108" w:type="dxa"/>
            <w:shd w:val="clear" w:color="auto" w:fill="auto"/>
            <w:vAlign w:val="center"/>
          </w:tcPr>
          <w:p w14:paraId="4314DA7E">
            <w:pPr>
              <w:widowControl/>
              <w:textAlignment w:val="center"/>
              <w:rPr>
                <w:sz w:val="24"/>
              </w:rPr>
            </w:pPr>
            <w:r>
              <w:rPr>
                <w:rFonts w:hint="eastAsia"/>
                <w:sz w:val="24"/>
              </w:rPr>
              <w:t>中债-综合全价（1-3年）指数收益率×85%+沪深300指数收益率×10%+活期存款基准利率×5%</w:t>
            </w:r>
          </w:p>
        </w:tc>
      </w:tr>
    </w:tbl>
    <w:p w14:paraId="48C9804B">
      <w:pPr>
        <w:adjustRightInd w:val="0"/>
        <w:snapToGrid w:val="0"/>
        <w:spacing w:line="460" w:lineRule="exact"/>
        <w:ind w:firstLine="480" w:firstLineChars="200"/>
        <w:rPr>
          <w:b/>
          <w:bCs/>
          <w:sz w:val="24"/>
        </w:rPr>
      </w:pPr>
      <w:r>
        <w:rPr>
          <w:bCs/>
          <w:sz w:val="24"/>
        </w:rPr>
        <w:t>上述基金调整业绩比较基准</w:t>
      </w:r>
      <w:r>
        <w:rPr>
          <w:rFonts w:hint="eastAsia"/>
          <w:bCs/>
          <w:sz w:val="24"/>
        </w:rPr>
        <w:t>要素</w:t>
      </w:r>
      <w:r>
        <w:rPr>
          <w:bCs/>
          <w:sz w:val="24"/>
        </w:rPr>
        <w:t>的原因</w:t>
      </w:r>
      <w:r>
        <w:rPr>
          <w:rFonts w:hint="eastAsia"/>
          <w:bCs/>
          <w:sz w:val="24"/>
        </w:rPr>
        <w:t>、差异</w:t>
      </w:r>
      <w:r>
        <w:rPr>
          <w:bCs/>
          <w:sz w:val="24"/>
        </w:rPr>
        <w:t>及</w:t>
      </w:r>
      <w:r>
        <w:rPr>
          <w:rFonts w:hint="eastAsia"/>
          <w:bCs/>
          <w:sz w:val="24"/>
        </w:rPr>
        <w:t>影响</w:t>
      </w:r>
      <w:r>
        <w:rPr>
          <w:bCs/>
          <w:sz w:val="24"/>
        </w:rPr>
        <w:t>详见附件《</w:t>
      </w:r>
      <w:r>
        <w:rPr>
          <w:sz w:val="24"/>
        </w:rPr>
        <w:t>业绩比较基准调整原因及合理性说明》。</w:t>
      </w:r>
    </w:p>
    <w:p w14:paraId="6BB21981">
      <w:pPr>
        <w:pStyle w:val="19"/>
        <w:adjustRightInd w:val="0"/>
        <w:snapToGrid w:val="0"/>
        <w:spacing w:line="460" w:lineRule="exact"/>
        <w:ind w:right="84" w:rightChars="40" w:firstLine="480"/>
        <w:rPr>
          <w:kern w:val="0"/>
          <w:sz w:val="24"/>
        </w:rPr>
      </w:pPr>
    </w:p>
    <w:p w14:paraId="210FA090">
      <w:pPr>
        <w:pStyle w:val="19"/>
        <w:adjustRightInd w:val="0"/>
        <w:snapToGrid w:val="0"/>
        <w:spacing w:line="460" w:lineRule="exact"/>
        <w:ind w:firstLine="482"/>
        <w:rPr>
          <w:b/>
          <w:sz w:val="24"/>
        </w:rPr>
      </w:pPr>
      <w:r>
        <w:rPr>
          <w:b/>
          <w:kern w:val="0"/>
          <w:sz w:val="24"/>
        </w:rPr>
        <w:t>二、基金合同</w:t>
      </w:r>
      <w:r>
        <w:rPr>
          <w:rFonts w:hint="eastAsia"/>
          <w:b/>
          <w:kern w:val="0"/>
          <w:sz w:val="24"/>
        </w:rPr>
        <w:t>等法律文件</w:t>
      </w:r>
      <w:r>
        <w:rPr>
          <w:b/>
          <w:sz w:val="24"/>
        </w:rPr>
        <w:t>修订内容</w:t>
      </w:r>
    </w:p>
    <w:p w14:paraId="6458069C">
      <w:pPr>
        <w:adjustRightInd w:val="0"/>
        <w:snapToGrid w:val="0"/>
        <w:spacing w:line="460" w:lineRule="exact"/>
        <w:ind w:firstLine="480" w:firstLineChars="200"/>
        <w:rPr>
          <w:rFonts w:eastAsiaTheme="minorEastAsia"/>
          <w:sz w:val="24"/>
        </w:rPr>
      </w:pPr>
      <w:r>
        <w:rPr>
          <w:sz w:val="24"/>
        </w:rPr>
        <w:t>（一）基金合同具体修订内容包括：在</w:t>
      </w:r>
      <w:r>
        <w:rPr>
          <w:rFonts w:hint="eastAsia"/>
          <w:sz w:val="24"/>
        </w:rPr>
        <w:t>“</w:t>
      </w:r>
      <w:r>
        <w:rPr>
          <w:sz w:val="24"/>
        </w:rPr>
        <w:t>基金的投资</w:t>
      </w:r>
      <w:r>
        <w:rPr>
          <w:rFonts w:hint="eastAsia"/>
          <w:sz w:val="24"/>
        </w:rPr>
        <w:t>”</w:t>
      </w:r>
      <w:r>
        <w:rPr>
          <w:sz w:val="24"/>
        </w:rPr>
        <w:t>章节中的</w:t>
      </w:r>
      <w:r>
        <w:rPr>
          <w:rFonts w:hint="eastAsia"/>
          <w:sz w:val="24"/>
        </w:rPr>
        <w:t>“</w:t>
      </w:r>
      <w:r>
        <w:rPr>
          <w:sz w:val="24"/>
        </w:rPr>
        <w:t>业绩比较基准</w:t>
      </w:r>
      <w:r>
        <w:rPr>
          <w:rFonts w:hint="eastAsia"/>
          <w:sz w:val="24"/>
        </w:rPr>
        <w:t>”</w:t>
      </w:r>
      <w:r>
        <w:rPr>
          <w:sz w:val="24"/>
        </w:rPr>
        <w:t>部分列明基金调整后的业绩比较基准</w:t>
      </w:r>
      <w:r>
        <w:rPr>
          <w:rFonts w:hint="eastAsia"/>
          <w:sz w:val="24"/>
        </w:rPr>
        <w:t>、设定</w:t>
      </w:r>
      <w:r>
        <w:rPr>
          <w:sz w:val="24"/>
        </w:rPr>
        <w:t>原因</w:t>
      </w:r>
      <w:r>
        <w:rPr>
          <w:rFonts w:hint="eastAsia"/>
          <w:sz w:val="24"/>
        </w:rPr>
        <w:t>（</w:t>
      </w:r>
      <w:r>
        <w:rPr>
          <w:sz w:val="24"/>
        </w:rPr>
        <w:t>包括与基金产品投资目标、投资范围、投资策略、投资比例限制的匹配情况</w:t>
      </w:r>
      <w:r>
        <w:rPr>
          <w:rFonts w:hint="eastAsia"/>
          <w:sz w:val="24"/>
        </w:rPr>
        <w:t>）、</w:t>
      </w:r>
      <w:r>
        <w:rPr>
          <w:sz w:val="24"/>
        </w:rPr>
        <w:t>基准要素</w:t>
      </w:r>
      <w:r>
        <w:rPr>
          <w:rFonts w:hint="eastAsia"/>
          <w:sz w:val="24"/>
        </w:rPr>
        <w:t>相关信息（包括</w:t>
      </w:r>
      <w:r>
        <w:rPr>
          <w:sz w:val="24"/>
        </w:rPr>
        <w:t>发布机构、代码、查询途径等</w:t>
      </w:r>
      <w:r>
        <w:rPr>
          <w:rFonts w:hint="eastAsia"/>
          <w:sz w:val="24"/>
        </w:rPr>
        <w:t>）、</w:t>
      </w:r>
      <w:r>
        <w:rPr>
          <w:sz w:val="24"/>
        </w:rPr>
        <w:t>业绩比较基准的计算方法</w:t>
      </w:r>
      <w:r>
        <w:rPr>
          <w:rFonts w:hint="eastAsia"/>
          <w:sz w:val="24"/>
        </w:rPr>
        <w:t>、</w:t>
      </w:r>
      <w:r>
        <w:rPr>
          <w:sz w:val="24"/>
        </w:rPr>
        <w:t>管理投资偏离业绩比较基准的定性或定量方法</w:t>
      </w:r>
      <w:r>
        <w:rPr>
          <w:rFonts w:hint="eastAsia"/>
          <w:sz w:val="24"/>
        </w:rPr>
        <w:t>，以及</w:t>
      </w:r>
      <w:r>
        <w:rPr>
          <w:sz w:val="24"/>
        </w:rPr>
        <w:t>未来可能变更业绩比较基准的情形和程序</w:t>
      </w:r>
      <w:r>
        <w:rPr>
          <w:rFonts w:hint="eastAsia"/>
          <w:sz w:val="24"/>
        </w:rPr>
        <w:t>。</w:t>
      </w:r>
      <w:r>
        <w:rPr>
          <w:rFonts w:eastAsiaTheme="minorEastAsia"/>
          <w:sz w:val="24"/>
        </w:rPr>
        <w:t>基金管理人将</w:t>
      </w:r>
      <w:r>
        <w:rPr>
          <w:rFonts w:hint="eastAsia" w:eastAsiaTheme="minorEastAsia"/>
          <w:sz w:val="24"/>
        </w:rPr>
        <w:t>一并修订托管协议（如有），并</w:t>
      </w:r>
      <w:r>
        <w:rPr>
          <w:rFonts w:eastAsiaTheme="minorEastAsia"/>
          <w:sz w:val="24"/>
        </w:rPr>
        <w:t>更新招募说明书</w:t>
      </w:r>
      <w:r>
        <w:rPr>
          <w:rFonts w:hint="eastAsia" w:eastAsiaTheme="minorEastAsia"/>
          <w:sz w:val="24"/>
        </w:rPr>
        <w:t>、基金产品资料概要</w:t>
      </w:r>
      <w:r>
        <w:rPr>
          <w:rFonts w:eastAsiaTheme="minorEastAsia"/>
          <w:sz w:val="24"/>
        </w:rPr>
        <w:t>相关内容。</w:t>
      </w:r>
    </w:p>
    <w:p w14:paraId="38E5A319">
      <w:pPr>
        <w:adjustRightInd w:val="0"/>
        <w:snapToGrid w:val="0"/>
        <w:spacing w:line="460" w:lineRule="exact"/>
        <w:ind w:firstLine="480" w:firstLineChars="200"/>
        <w:rPr>
          <w:sz w:val="24"/>
        </w:rPr>
      </w:pPr>
      <w:r>
        <w:rPr>
          <w:sz w:val="24"/>
        </w:rPr>
        <w:t>（二）</w:t>
      </w:r>
      <w:r>
        <w:rPr>
          <w:rFonts w:hint="eastAsia"/>
          <w:kern w:val="0"/>
          <w:sz w:val="24"/>
        </w:rPr>
        <w:t>本次修订</w:t>
      </w:r>
      <w:r>
        <w:rPr>
          <w:kern w:val="0"/>
          <w:sz w:val="24"/>
        </w:rPr>
        <w:t>对基金份额持有人利益无实质性不利影响</w:t>
      </w:r>
      <w:r>
        <w:rPr>
          <w:rFonts w:hint="eastAsia"/>
          <w:kern w:val="0"/>
          <w:sz w:val="24"/>
        </w:rPr>
        <w:t>，基金管理人已履行规定的程序，</w:t>
      </w:r>
      <w:r>
        <w:rPr>
          <w:kern w:val="0"/>
          <w:sz w:val="24"/>
        </w:rPr>
        <w:t>符合相关法律法规规定和基金合同约定</w:t>
      </w:r>
      <w:r>
        <w:rPr>
          <w:rFonts w:hint="eastAsia"/>
          <w:kern w:val="0"/>
          <w:sz w:val="24"/>
        </w:rPr>
        <w:t>，</w:t>
      </w:r>
      <w:r>
        <w:rPr>
          <w:sz w:val="24"/>
        </w:rPr>
        <w:t>修订后的基金合同、</w:t>
      </w:r>
      <w:r>
        <w:rPr>
          <w:rFonts w:hint="eastAsia" w:eastAsiaTheme="minorEastAsia"/>
          <w:sz w:val="24"/>
        </w:rPr>
        <w:t>托管协议（如有）、</w:t>
      </w:r>
      <w:r>
        <w:rPr>
          <w:sz w:val="24"/>
        </w:rPr>
        <w:t>招募说明书（更新）和基金产品资料概要（更新）将在</w:t>
      </w:r>
      <w:r>
        <w:rPr>
          <w:rFonts w:hint="eastAsia"/>
          <w:sz w:val="24"/>
        </w:rPr>
        <w:t>基金管理人</w:t>
      </w:r>
      <w:r>
        <w:rPr>
          <w:sz w:val="24"/>
        </w:rPr>
        <w:t>网站（</w:t>
      </w:r>
      <w:r>
        <w:rPr>
          <w:rFonts w:hint="eastAsia"/>
          <w:sz w:val="24"/>
        </w:rPr>
        <w:t>www.fund001.com</w:t>
      </w:r>
      <w:r>
        <w:rPr>
          <w:sz w:val="24"/>
        </w:rPr>
        <w:t>）和中国证监会基金电子披露网站（http://eid.csrc.gov.cn/fund）发布。投资者办理基金交易等相关业务前，应仔细阅读各基金的基金合同、招募说明书、基金产品资料概要、风险提示及相关业务规则和操作指南等文件。</w:t>
      </w:r>
    </w:p>
    <w:p w14:paraId="2264FE0B">
      <w:pPr>
        <w:pStyle w:val="19"/>
        <w:adjustRightInd w:val="0"/>
        <w:snapToGrid w:val="0"/>
        <w:spacing w:line="460" w:lineRule="exact"/>
        <w:ind w:firstLine="480"/>
        <w:rPr>
          <w:sz w:val="24"/>
        </w:rPr>
      </w:pPr>
    </w:p>
    <w:p w14:paraId="3BA6EEF8">
      <w:pPr>
        <w:autoSpaceDE w:val="0"/>
        <w:autoSpaceDN w:val="0"/>
        <w:adjustRightInd w:val="0"/>
        <w:snapToGrid w:val="0"/>
        <w:spacing w:line="460" w:lineRule="exact"/>
        <w:ind w:firstLine="482" w:firstLineChars="200"/>
        <w:rPr>
          <w:b/>
          <w:sz w:val="24"/>
        </w:rPr>
      </w:pPr>
      <w:r>
        <w:rPr>
          <w:b/>
          <w:sz w:val="24"/>
        </w:rPr>
        <w:t>三、上述基金修订后的基金合同</w:t>
      </w:r>
      <w:r>
        <w:rPr>
          <w:rFonts w:hint="eastAsia"/>
          <w:b/>
          <w:sz w:val="24"/>
        </w:rPr>
        <w:t>、托管协议（如有）</w:t>
      </w:r>
      <w:r>
        <w:rPr>
          <w:b/>
          <w:sz w:val="24"/>
        </w:rPr>
        <w:t>自202</w:t>
      </w:r>
      <w:r>
        <w:rPr>
          <w:rFonts w:hint="eastAsia"/>
          <w:b/>
          <w:sz w:val="24"/>
        </w:rPr>
        <w:t>6</w:t>
      </w:r>
      <w:r>
        <w:rPr>
          <w:b/>
          <w:sz w:val="24"/>
        </w:rPr>
        <w:t>年</w:t>
      </w:r>
      <w:r>
        <w:rPr>
          <w:rFonts w:hint="eastAsia"/>
          <w:b/>
          <w:sz w:val="24"/>
          <w:lang w:val="en-US" w:eastAsia="zh-CN"/>
        </w:rPr>
        <w:t>11</w:t>
      </w:r>
      <w:r>
        <w:rPr>
          <w:b/>
          <w:sz w:val="24"/>
        </w:rPr>
        <w:t>月</w:t>
      </w:r>
      <w:r>
        <w:rPr>
          <w:rFonts w:hint="eastAsia"/>
          <w:b/>
          <w:sz w:val="24"/>
          <w:lang w:val="en-US" w:eastAsia="zh-CN"/>
        </w:rPr>
        <w:t>30</w:t>
      </w:r>
      <w:r>
        <w:rPr>
          <w:b/>
          <w:sz w:val="24"/>
        </w:rPr>
        <w:t>日起生效。</w:t>
      </w:r>
    </w:p>
    <w:p w14:paraId="49559989">
      <w:pPr>
        <w:autoSpaceDE w:val="0"/>
        <w:autoSpaceDN w:val="0"/>
        <w:adjustRightInd w:val="0"/>
        <w:snapToGrid w:val="0"/>
        <w:spacing w:line="460" w:lineRule="exact"/>
        <w:ind w:firstLine="482" w:firstLineChars="200"/>
        <w:rPr>
          <w:b/>
          <w:sz w:val="24"/>
        </w:rPr>
      </w:pPr>
    </w:p>
    <w:p w14:paraId="25F0CDF2">
      <w:pPr>
        <w:pStyle w:val="19"/>
        <w:adjustRightInd w:val="0"/>
        <w:snapToGrid w:val="0"/>
        <w:spacing w:line="460" w:lineRule="exact"/>
        <w:ind w:firstLine="482"/>
        <w:rPr>
          <w:b/>
          <w:sz w:val="24"/>
        </w:rPr>
      </w:pPr>
      <w:r>
        <w:rPr>
          <w:b/>
          <w:sz w:val="24"/>
        </w:rPr>
        <w:t>四、其他事项</w:t>
      </w:r>
    </w:p>
    <w:p w14:paraId="10800586">
      <w:pPr>
        <w:pStyle w:val="19"/>
        <w:adjustRightInd w:val="0"/>
        <w:snapToGrid w:val="0"/>
        <w:spacing w:line="460" w:lineRule="exact"/>
        <w:ind w:right="84" w:rightChars="40" w:firstLine="480"/>
        <w:rPr>
          <w:sz w:val="24"/>
        </w:rPr>
      </w:pPr>
      <w:r>
        <w:rPr>
          <w:rFonts w:hint="eastAsia"/>
          <w:sz w:val="24"/>
        </w:rPr>
        <w:t>（一）</w:t>
      </w:r>
      <w:r>
        <w:rPr>
          <w:sz w:val="24"/>
        </w:rPr>
        <w:t>投资者可通过以下途径咨询有关详情</w:t>
      </w:r>
    </w:p>
    <w:p w14:paraId="5595A5F1">
      <w:pPr>
        <w:pStyle w:val="19"/>
        <w:adjustRightInd w:val="0"/>
        <w:snapToGrid w:val="0"/>
        <w:spacing w:line="460" w:lineRule="exact"/>
        <w:ind w:right="84" w:rightChars="40" w:firstLine="480"/>
        <w:rPr>
          <w:sz w:val="24"/>
        </w:rPr>
      </w:pPr>
      <w:r>
        <w:rPr>
          <w:sz w:val="24"/>
        </w:rPr>
        <w:t>客户服务电话：</w:t>
      </w:r>
      <w:r>
        <w:rPr>
          <w:rFonts w:hint="eastAsia"/>
          <w:sz w:val="24"/>
        </w:rPr>
        <w:t>400-700-5000（免长途话费），（021）61055000</w:t>
      </w:r>
    </w:p>
    <w:p w14:paraId="5F10E1E6">
      <w:pPr>
        <w:pStyle w:val="19"/>
        <w:adjustRightInd w:val="0"/>
        <w:snapToGrid w:val="0"/>
        <w:spacing w:line="460" w:lineRule="exact"/>
        <w:ind w:right="84" w:rightChars="40" w:firstLine="480"/>
        <w:rPr>
          <w:sz w:val="24"/>
        </w:rPr>
      </w:pPr>
      <w:r>
        <w:rPr>
          <w:sz w:val="24"/>
        </w:rPr>
        <w:t>网址：</w:t>
      </w:r>
      <w:r>
        <w:rPr>
          <w:rFonts w:hint="eastAsia"/>
          <w:sz w:val="24"/>
        </w:rPr>
        <w:t>www.fund001.com</w:t>
      </w:r>
    </w:p>
    <w:p w14:paraId="1E5B9062">
      <w:pPr>
        <w:pStyle w:val="19"/>
        <w:adjustRightInd w:val="0"/>
        <w:snapToGrid w:val="0"/>
        <w:spacing w:line="460" w:lineRule="exact"/>
        <w:ind w:right="84" w:rightChars="40" w:firstLine="480"/>
        <w:rPr>
          <w:sz w:val="24"/>
        </w:rPr>
      </w:pPr>
      <w:r>
        <w:rPr>
          <w:rFonts w:hint="eastAsia"/>
          <w:sz w:val="24"/>
        </w:rPr>
        <w:t>（二）</w:t>
      </w:r>
      <w:r>
        <w:rPr>
          <w:sz w:val="24"/>
        </w:rPr>
        <w:t>基金管理人承诺以诚实信用、勤勉尽责的原则管理和运用基金资产，但不保证基金一定盈利，也不保证最低收益。销售机构根据法规要求对投资者类别、风险承受能力和基金的风险等级进行划分，并提出适当性匹配意见。投资者在投资基金前应认真阅读基金合同、招募说明书（更新）和基金产品资料概要（更新）等基金法律文件，全面认识基金产品的风险收益特征，在了解产品情况及销售机构适当性意见的基础上，根据自身的风险承受能力、投资期限和投资目标，对基金投资作出独立决策，选择合适的基金产品。基金管理人提醒投资者基金投资的</w:t>
      </w:r>
      <w:r>
        <w:rPr>
          <w:rFonts w:hint="eastAsia"/>
          <w:sz w:val="24"/>
        </w:rPr>
        <w:t>“</w:t>
      </w:r>
      <w:r>
        <w:rPr>
          <w:sz w:val="24"/>
        </w:rPr>
        <w:t>买者自负</w:t>
      </w:r>
      <w:r>
        <w:rPr>
          <w:rFonts w:hint="eastAsia"/>
          <w:sz w:val="24"/>
        </w:rPr>
        <w:t>”</w:t>
      </w:r>
      <w:r>
        <w:rPr>
          <w:sz w:val="24"/>
        </w:rPr>
        <w:t>原则，在投资者作出投资决策后，基金运营状况与基金净值变化引致的投资风险，由投资者自行负责。</w:t>
      </w:r>
    </w:p>
    <w:p w14:paraId="231E63DB">
      <w:pPr>
        <w:pStyle w:val="19"/>
        <w:adjustRightInd w:val="0"/>
        <w:snapToGrid w:val="0"/>
        <w:spacing w:line="460" w:lineRule="exact"/>
        <w:ind w:right="84" w:rightChars="40"/>
      </w:pPr>
    </w:p>
    <w:p w14:paraId="246E8BAE">
      <w:pPr>
        <w:adjustRightInd w:val="0"/>
        <w:snapToGrid w:val="0"/>
        <w:spacing w:line="460" w:lineRule="exact"/>
        <w:ind w:firstLine="420" w:firstLineChars="175"/>
        <w:rPr>
          <w:sz w:val="24"/>
        </w:rPr>
      </w:pPr>
      <w:r>
        <w:rPr>
          <w:sz w:val="24"/>
        </w:rPr>
        <w:t>特此公告。</w:t>
      </w:r>
    </w:p>
    <w:p w14:paraId="445AD5CA">
      <w:pPr>
        <w:adjustRightInd w:val="0"/>
        <w:snapToGrid w:val="0"/>
        <w:spacing w:line="460" w:lineRule="exact"/>
        <w:ind w:firstLine="420" w:firstLineChars="175"/>
        <w:rPr>
          <w:sz w:val="24"/>
        </w:rPr>
      </w:pPr>
    </w:p>
    <w:p w14:paraId="16F485E0">
      <w:pPr>
        <w:adjustRightInd w:val="0"/>
        <w:snapToGrid w:val="0"/>
        <w:spacing w:line="460" w:lineRule="exact"/>
        <w:ind w:firstLine="3480" w:firstLineChars="1450"/>
        <w:jc w:val="right"/>
        <w:rPr>
          <w:sz w:val="24"/>
        </w:rPr>
      </w:pPr>
      <w:r>
        <w:rPr>
          <w:rFonts w:hint="eastAsia"/>
          <w:sz w:val="24"/>
        </w:rPr>
        <w:t>交银施罗德</w:t>
      </w:r>
      <w:r>
        <w:rPr>
          <w:sz w:val="24"/>
        </w:rPr>
        <w:t>基金管理有限公司</w:t>
      </w:r>
    </w:p>
    <w:p w14:paraId="3735604B">
      <w:pPr>
        <w:pStyle w:val="19"/>
        <w:adjustRightInd w:val="0"/>
        <w:snapToGrid w:val="0"/>
        <w:spacing w:line="460" w:lineRule="exact"/>
        <w:ind w:right="240" w:firstLine="3600" w:firstLineChars="1500"/>
        <w:jc w:val="right"/>
        <w:rPr>
          <w:sz w:val="24"/>
        </w:rPr>
      </w:pPr>
      <w:r>
        <w:rPr>
          <w:sz w:val="24"/>
        </w:rPr>
        <w:t>202</w:t>
      </w:r>
      <w:r>
        <w:rPr>
          <w:rFonts w:hint="eastAsia"/>
          <w:sz w:val="24"/>
        </w:rPr>
        <w:t>6</w:t>
      </w:r>
      <w:r>
        <w:rPr>
          <w:sz w:val="24"/>
        </w:rPr>
        <w:t>年</w:t>
      </w:r>
      <w:r>
        <w:rPr>
          <w:rFonts w:hint="eastAsia"/>
          <w:sz w:val="24"/>
          <w:lang w:val="en-US" w:eastAsia="zh-CN"/>
        </w:rPr>
        <w:t>10</w:t>
      </w:r>
      <w:r>
        <w:rPr>
          <w:sz w:val="24"/>
        </w:rPr>
        <w:t>月</w:t>
      </w:r>
      <w:r>
        <w:rPr>
          <w:rFonts w:hint="eastAsia"/>
          <w:sz w:val="24"/>
          <w:lang w:val="en-US" w:eastAsia="zh-CN"/>
        </w:rPr>
        <w:t>30</w:t>
      </w:r>
      <w:r>
        <w:rPr>
          <w:rFonts w:hint="eastAsia"/>
          <w:sz w:val="24"/>
        </w:rPr>
        <w:t>日</w:t>
      </w:r>
      <w:bookmarkEnd w:id="0"/>
      <w:bookmarkEnd w:id="1"/>
      <w:bookmarkEnd w:id="2"/>
      <w:bookmarkEnd w:id="3"/>
    </w:p>
    <w:p w14:paraId="29EB9441">
      <w:pPr>
        <w:pStyle w:val="19"/>
        <w:adjustRightInd w:val="0"/>
        <w:snapToGrid w:val="0"/>
        <w:spacing w:line="460" w:lineRule="exact"/>
        <w:ind w:right="240" w:firstLine="3600" w:firstLineChars="1500"/>
        <w:jc w:val="right"/>
        <w:rPr>
          <w:sz w:val="24"/>
        </w:rPr>
      </w:pPr>
    </w:p>
    <w:p w14:paraId="23CD84EA">
      <w:pPr>
        <w:widowControl/>
        <w:adjustRightInd/>
        <w:snapToGrid/>
        <w:spacing w:line="240" w:lineRule="auto"/>
        <w:ind w:right="0" w:firstLine="482" w:firstLineChars="200"/>
        <w:jc w:val="left"/>
        <w:rPr>
          <w:bCs/>
          <w:sz w:val="24"/>
        </w:rPr>
      </w:pPr>
      <w:r>
        <w:rPr>
          <w:b/>
          <w:sz w:val="24"/>
        </w:rPr>
        <w:br w:type="page"/>
      </w:r>
      <w:r>
        <w:rPr>
          <w:b/>
          <w:sz w:val="24"/>
        </w:rPr>
        <w:t>附：业绩比较基准调整原因及合理性说明</w:t>
      </w:r>
    </w:p>
    <w:p w14:paraId="491DFAD6">
      <w:pPr>
        <w:adjustRightInd w:val="0"/>
        <w:snapToGrid w:val="0"/>
        <w:spacing w:line="460" w:lineRule="exact"/>
        <w:ind w:right="240" w:firstLine="480"/>
        <w:jc w:val="left"/>
        <w:rPr>
          <w:b/>
          <w:sz w:val="24"/>
        </w:rPr>
      </w:pPr>
      <w:r>
        <w:rPr>
          <w:rFonts w:hint="eastAsia"/>
          <w:b/>
          <w:sz w:val="24"/>
        </w:rPr>
        <w:t>1、交银施罗德定期支付双息平衡混合型证券投资基金</w:t>
      </w:r>
    </w:p>
    <w:p w14:paraId="1BA0D662">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（1）调整业绩比较基准的要素权重：根据过往仓位情况，将基准中股票资产的基准要素权重从50%调整为65%，将基准中的债券资产的基准要素权重从50%调整为35%。</w:t>
      </w:r>
    </w:p>
    <w:p w14:paraId="5AD3A454">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（2）更换业绩比较基准要素：在基准指数的选取方面，基于基金合同约定，股票部分的指数由中证红利指数调整为沪深300指数，债券部分的指数由中债综合全价指数调整为中债-国债总全价（1-3年）指数。</w:t>
      </w:r>
    </w:p>
    <w:p w14:paraId="7D8AA5CE">
      <w:pPr>
        <w:adjustRightInd w:val="0"/>
        <w:snapToGrid w:val="0"/>
        <w:spacing w:line="460" w:lineRule="exact"/>
        <w:ind w:right="240" w:firstLine="480"/>
        <w:jc w:val="left"/>
        <w:rPr>
          <w:bCs/>
          <w:sz w:val="24"/>
        </w:rPr>
      </w:pPr>
      <w:r>
        <w:rPr>
          <w:rFonts w:hint="eastAsia"/>
          <w:bCs/>
          <w:sz w:val="24"/>
        </w:rPr>
        <w:t>（3）在股票指数的选取方面，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股票部分的业绩比较基准要素。</w:t>
      </w:r>
    </w:p>
    <w:p w14:paraId="25A7D79C">
      <w:pPr>
        <w:adjustRightInd w:val="0"/>
        <w:snapToGrid w:val="0"/>
        <w:spacing w:line="460" w:lineRule="exact"/>
        <w:ind w:right="240" w:firstLine="480"/>
        <w:jc w:val="left"/>
        <w:rPr>
          <w:bCs/>
          <w:sz w:val="24"/>
        </w:rPr>
      </w:pPr>
      <w:r>
        <w:rPr>
          <w:rFonts w:hint="eastAsia"/>
          <w:bCs/>
          <w:sz w:val="24"/>
        </w:rPr>
        <w:t>在债券指数的选取方面，根据过往债券配置情况，中债-国债总全价（1-3年）指数与基金实际运作的久期更为贴合。</w:t>
      </w:r>
    </w:p>
    <w:p w14:paraId="191F4FA4">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4A9FE989">
      <w:pPr>
        <w:adjustRightInd w:val="0"/>
        <w:snapToGrid w:val="0"/>
        <w:spacing w:line="460" w:lineRule="exact"/>
        <w:ind w:right="240" w:firstLine="480"/>
        <w:jc w:val="left"/>
        <w:rPr>
          <w:b/>
          <w:sz w:val="24"/>
        </w:rPr>
      </w:pPr>
      <w:r>
        <w:rPr>
          <w:rFonts w:hint="eastAsia"/>
          <w:b/>
          <w:sz w:val="24"/>
        </w:rPr>
        <w:t>2、交银施罗德启欣混合型证券投资基金</w:t>
      </w:r>
    </w:p>
    <w:p w14:paraId="5DA612CD">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A股股票的基准要素权重从70%调整为50%，将基准中的港股股票的基准要素权重从5%调整为35%，将基准中的债券资产的基准要素权重从25%调整为15%。</w:t>
      </w:r>
    </w:p>
    <w:p w14:paraId="2F9D5324">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港股股票部分的指数由恒生指数调整为中证港股通综合指数（人民币），债券部分的指数由中证综合债券指数调整为中债-国债总财富（1-3年）指数。</w:t>
      </w:r>
    </w:p>
    <w:p w14:paraId="7CBC2CE4">
      <w:pPr>
        <w:adjustRightInd w:val="0"/>
        <w:snapToGrid w:val="0"/>
        <w:spacing w:line="460" w:lineRule="exact"/>
        <w:ind w:right="240" w:firstLine="480"/>
        <w:jc w:val="left"/>
        <w:rPr>
          <w:bCs/>
          <w:sz w:val="24"/>
        </w:rPr>
      </w:pPr>
      <w:r>
        <w:rPr>
          <w:rFonts w:hint="eastAsia"/>
          <w:bCs/>
          <w:sz w:val="24"/>
        </w:rPr>
        <w:t>（3）在股票指数的选取方面，中证港股通综合指数（人民币）选取符合港股通资格的上市公司证券作为指数样本，反映港股通范围内上市公司的整体表现，适合作为本基金港股通标的股票部分的业绩比较基准要素。</w:t>
      </w:r>
    </w:p>
    <w:p w14:paraId="14F0DEDA">
      <w:pPr>
        <w:adjustRightInd w:val="0"/>
        <w:snapToGrid w:val="0"/>
        <w:spacing w:line="460" w:lineRule="exact"/>
        <w:ind w:right="240" w:firstLine="480"/>
        <w:jc w:val="left"/>
        <w:rPr>
          <w:bCs/>
          <w:sz w:val="24"/>
        </w:rPr>
      </w:pPr>
      <w:r>
        <w:rPr>
          <w:rFonts w:hint="eastAsia"/>
          <w:bCs/>
          <w:sz w:val="24"/>
        </w:rPr>
        <w:t>在债券指数的选取方面，根据过往债券配置情况，中债-国债总财富（1-3年）指数与基金实际运作的久期更为贴合。</w:t>
      </w:r>
    </w:p>
    <w:p w14:paraId="1A9CAB88">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775FB8CC">
      <w:pPr>
        <w:adjustRightInd w:val="0"/>
        <w:snapToGrid w:val="0"/>
        <w:spacing w:line="460" w:lineRule="exact"/>
        <w:ind w:right="240" w:firstLine="480"/>
        <w:jc w:val="left"/>
        <w:rPr>
          <w:bCs/>
          <w:sz w:val="24"/>
        </w:rPr>
      </w:pPr>
      <w:r>
        <w:rPr>
          <w:rFonts w:hint="eastAsia"/>
          <w:b/>
          <w:sz w:val="24"/>
        </w:rPr>
        <w:t>3、交银施罗德科锐科技创新混合型证券投资基金</w:t>
      </w:r>
    </w:p>
    <w:p w14:paraId="003985AE">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（1）调整业绩比较基准的要素权重：根据过往仓位情况，将基准中的股票资产的基准要素权重从65%调整为80%，将基准中的债券资产的基准要素权重从35%调整为20%。</w:t>
      </w:r>
    </w:p>
    <w:p w14:paraId="0F354C0E">
      <w:pPr>
        <w:adjustRightInd w:val="0"/>
        <w:snapToGrid w:val="0"/>
        <w:spacing w:line="460" w:lineRule="exact"/>
        <w:ind w:right="240" w:firstLine="480"/>
        <w:jc w:val="left"/>
        <w:rPr>
          <w:bCs/>
          <w:sz w:val="24"/>
        </w:rPr>
      </w:pPr>
      <w:r>
        <w:rPr>
          <w:rFonts w:hint="eastAsia"/>
          <w:bCs/>
          <w:sz w:val="24"/>
        </w:rPr>
        <w:t>（2）更换业绩比较基准要素：在基准指数的选取方面，根据过往债券配置情况，债券部分的指数由中证综合债券指数调整为中债-国债总财富（1-3年）指数，与基金实际运作的久期更为贴合。</w:t>
      </w:r>
    </w:p>
    <w:p w14:paraId="551CB78C">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5522DC58">
      <w:pPr>
        <w:adjustRightInd w:val="0"/>
        <w:snapToGrid w:val="0"/>
        <w:spacing w:line="460" w:lineRule="exact"/>
        <w:ind w:right="240" w:firstLine="480"/>
        <w:jc w:val="left"/>
        <w:rPr>
          <w:bCs/>
          <w:sz w:val="24"/>
        </w:rPr>
      </w:pPr>
      <w:r>
        <w:rPr>
          <w:rFonts w:hint="eastAsia"/>
          <w:b/>
          <w:sz w:val="24"/>
        </w:rPr>
        <w:t>4、交银施罗德多策略回报灵活配置混合型证券投资基金</w:t>
      </w:r>
    </w:p>
    <w:p w14:paraId="75757FE5">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（1）调整业绩比较基准的要素权重：根据过往仓位情况，将基准中的债券资产的基准要素权重从50%调整为80%，将基准中的股票资产的基准要素权重从50%调整为20%。</w:t>
      </w:r>
    </w:p>
    <w:p w14:paraId="4D8763EB">
      <w:pPr>
        <w:adjustRightInd w:val="0"/>
        <w:snapToGrid w:val="0"/>
        <w:spacing w:line="460" w:lineRule="exact"/>
        <w:ind w:right="240" w:firstLine="480"/>
        <w:jc w:val="left"/>
        <w:rPr>
          <w:bCs/>
          <w:sz w:val="24"/>
        </w:rPr>
      </w:pPr>
      <w:r>
        <w:rPr>
          <w:rFonts w:hint="eastAsia"/>
          <w:bCs/>
          <w:sz w:val="24"/>
        </w:rPr>
        <w:t>（2）更换业绩比较基准要素：在基准指数的选取方面，根据过往债券配置情况，债券部分的指数由中债综合全价指数调整为中债-综合全价（总值）指数，与基金实际运作的久期更为贴合。</w:t>
      </w:r>
    </w:p>
    <w:p w14:paraId="35C659D1">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0E36E661">
      <w:pPr>
        <w:adjustRightInd w:val="0"/>
        <w:snapToGrid w:val="0"/>
        <w:spacing w:line="460" w:lineRule="exact"/>
        <w:ind w:right="240" w:firstLine="480"/>
        <w:jc w:val="left"/>
        <w:rPr>
          <w:b/>
          <w:sz w:val="24"/>
        </w:rPr>
      </w:pPr>
      <w:r>
        <w:rPr>
          <w:rFonts w:hint="eastAsia"/>
          <w:b/>
          <w:sz w:val="24"/>
        </w:rPr>
        <w:t>5、交银施罗德恒益灵活配置混合型证券投资基金</w:t>
      </w:r>
    </w:p>
    <w:p w14:paraId="7C822238">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（1）调整业绩比较基准的要素权重：根据过往仓位情况，将基准中的债券资产的基准要素权重从60%调整为70%，将基准中的股票资产的基准要素权重从40%调整为30%。</w:t>
      </w:r>
    </w:p>
    <w:p w14:paraId="65519AE1">
      <w:pPr>
        <w:adjustRightInd w:val="0"/>
        <w:snapToGrid w:val="0"/>
        <w:spacing w:line="460" w:lineRule="exact"/>
        <w:ind w:right="240" w:firstLine="480"/>
        <w:jc w:val="left"/>
        <w:rPr>
          <w:bCs/>
          <w:sz w:val="24"/>
        </w:rPr>
      </w:pPr>
      <w:r>
        <w:rPr>
          <w:rFonts w:hint="eastAsia"/>
          <w:bCs/>
          <w:sz w:val="24"/>
        </w:rPr>
        <w:t>（2）更换业绩比较基准要素：在基准指数的选取方面，根据过往债券配置情况，债券部分的指数由中证综合债券指数调整为中债-新综合财富（总值）指数，与基金实际运作的久期更为贴合。</w:t>
      </w:r>
    </w:p>
    <w:p w14:paraId="34FD5A90">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0CFBCE8A">
      <w:pPr>
        <w:adjustRightInd w:val="0"/>
        <w:snapToGrid w:val="0"/>
        <w:spacing w:line="460" w:lineRule="exact"/>
        <w:ind w:right="240" w:firstLine="480"/>
        <w:jc w:val="left"/>
        <w:rPr>
          <w:b/>
          <w:sz w:val="24"/>
        </w:rPr>
      </w:pPr>
      <w:r>
        <w:rPr>
          <w:rFonts w:hint="eastAsia"/>
          <w:b/>
          <w:sz w:val="24"/>
        </w:rPr>
        <w:t>6、交银施罗德鸿福六个月持有期混合型证券投资基金</w:t>
      </w:r>
    </w:p>
    <w:p w14:paraId="39898598">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（1）调整业绩比较基准的要素权重：根据过往仓位情况，将基准中的A股股票的基准要素权重从10%调整为5%，将基准中的现金资产的基准要素权重从0%调整为5%。</w:t>
      </w:r>
    </w:p>
    <w:p w14:paraId="3F9803B9">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债券部分的指数由中证综合债券指数调整为中债-新综合财富（总值）指数，港股股票部分的指数由恒生指数调整为中证港股通综合指数（人民币），新增活期存款基准利率作为现金资产的基准要素。</w:t>
      </w:r>
    </w:p>
    <w:p w14:paraId="703A53C6">
      <w:pPr>
        <w:adjustRightInd w:val="0"/>
        <w:snapToGrid w:val="0"/>
        <w:spacing w:line="460" w:lineRule="exact"/>
        <w:ind w:right="240" w:firstLine="480"/>
        <w:jc w:val="left"/>
        <w:rPr>
          <w:bCs/>
          <w:sz w:val="24"/>
        </w:rPr>
      </w:pPr>
      <w:r>
        <w:rPr>
          <w:rFonts w:hint="eastAsia"/>
          <w:bCs/>
          <w:sz w:val="24"/>
        </w:rPr>
        <w:t>（3）在债券指数的选取方面，根据过往债券配置情况，中债-新综合财富（总值）指数与基金实际运作的久期更为贴合。</w:t>
      </w:r>
    </w:p>
    <w:p w14:paraId="60AE6122">
      <w:pPr>
        <w:adjustRightInd w:val="0"/>
        <w:snapToGrid w:val="0"/>
        <w:spacing w:line="460" w:lineRule="exact"/>
        <w:ind w:right="240" w:firstLine="480"/>
        <w:jc w:val="left"/>
        <w:rPr>
          <w:bCs/>
          <w:sz w:val="24"/>
        </w:rPr>
      </w:pPr>
      <w:r>
        <w:rPr>
          <w:rFonts w:hint="eastAsia"/>
          <w:bCs/>
          <w:sz w:val="24"/>
        </w:rPr>
        <w:t>在股票指数的选取方面，中证港股通综合指数（人民币）选取符合港股通资格的上市公司证券作为指数样本，以反映港股通范围内上市公司的整体表现，适合作为本基金港股通标的股票部分的业绩比较基准要素。</w:t>
      </w:r>
    </w:p>
    <w:p w14:paraId="55246D06">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71D776C2">
      <w:pPr>
        <w:adjustRightInd w:val="0"/>
        <w:snapToGrid w:val="0"/>
        <w:spacing w:line="460" w:lineRule="exact"/>
        <w:ind w:right="240" w:firstLine="480"/>
        <w:jc w:val="left"/>
        <w:rPr>
          <w:b/>
          <w:sz w:val="24"/>
        </w:rPr>
      </w:pPr>
      <w:r>
        <w:rPr>
          <w:rFonts w:hint="eastAsia"/>
          <w:b/>
          <w:sz w:val="24"/>
        </w:rPr>
        <w:t>7、交银施罗德稳固收益债券型证券投资基金</w:t>
      </w:r>
    </w:p>
    <w:p w14:paraId="1E316550">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（1）调整业绩比较基准的要素权重：根据过往仓位情况，将基准中的债券资产的基准要素权重从85%调整为80%，将基准中的现金资产的基准要素权重从0%调整为5%。</w:t>
      </w:r>
    </w:p>
    <w:p w14:paraId="29FEE7B2">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债券部分的指数由中证综合债券指数调整为中债-新综合财富（1-3年）指数，港股股票部分的指数由恒生指数调整为中证港股通综合指数（人民币），新增活期存款基准利率作为现金资产的基准要素。</w:t>
      </w:r>
    </w:p>
    <w:p w14:paraId="6B99DE43">
      <w:pPr>
        <w:adjustRightInd w:val="0"/>
        <w:snapToGrid w:val="0"/>
        <w:spacing w:line="460" w:lineRule="exact"/>
        <w:ind w:right="240" w:firstLine="480"/>
        <w:jc w:val="left"/>
        <w:rPr>
          <w:bCs/>
          <w:sz w:val="24"/>
        </w:rPr>
      </w:pPr>
      <w:r>
        <w:rPr>
          <w:rFonts w:hint="eastAsia"/>
          <w:bCs/>
          <w:sz w:val="24"/>
        </w:rPr>
        <w:t>（3）在债券指数的选取方面，根据过往债券配置情况，中债-新综合财富（1-3年）指数与基金实际运作的久期更为贴合。</w:t>
      </w:r>
    </w:p>
    <w:p w14:paraId="17F35E81">
      <w:pPr>
        <w:adjustRightInd w:val="0"/>
        <w:snapToGrid w:val="0"/>
        <w:spacing w:line="460" w:lineRule="exact"/>
        <w:ind w:right="240" w:firstLine="480"/>
        <w:jc w:val="left"/>
        <w:rPr>
          <w:bCs/>
          <w:sz w:val="24"/>
        </w:rPr>
      </w:pPr>
      <w:r>
        <w:rPr>
          <w:rFonts w:hint="eastAsia"/>
          <w:bCs/>
          <w:sz w:val="24"/>
        </w:rPr>
        <w:t>在股票指数的选取方面，中证港股通综合指数（人民币）选取符合港股通资格的上市公司证券作为指数样本，以反映港股通范围内上市公司的整体表现，适合作为本基金港股通标的股票部分的业绩比较基准要素。</w:t>
      </w:r>
    </w:p>
    <w:p w14:paraId="0A36C240">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15EA2294">
      <w:pPr>
        <w:adjustRightInd w:val="0"/>
        <w:snapToGrid w:val="0"/>
        <w:spacing w:line="460" w:lineRule="exact"/>
        <w:ind w:right="240" w:firstLine="480"/>
        <w:jc w:val="left"/>
        <w:rPr>
          <w:b/>
          <w:sz w:val="24"/>
        </w:rPr>
      </w:pPr>
      <w:r>
        <w:rPr>
          <w:rFonts w:hint="eastAsia"/>
          <w:b/>
          <w:sz w:val="24"/>
        </w:rPr>
        <w:t>8、交银施罗德中高等级信用债债券型证券投资基金</w:t>
      </w:r>
    </w:p>
    <w:p w14:paraId="7AF7DDCD">
      <w:pPr>
        <w:adjustRightInd w:val="0"/>
        <w:snapToGrid w:val="0"/>
        <w:spacing w:line="460" w:lineRule="exact"/>
        <w:ind w:right="240" w:firstLine="480"/>
        <w:jc w:val="left"/>
        <w:rPr>
          <w:bCs/>
          <w:sz w:val="24"/>
        </w:rPr>
      </w:pPr>
      <w:r>
        <w:rPr>
          <w:rFonts w:hint="eastAsia"/>
          <w:bCs/>
          <w:sz w:val="24"/>
        </w:rPr>
        <w:t>更换业绩比较基准要素：在基准指数的选取方面，根据过往债券配置情况，债券部分的指数由中债高信用等级债券财富指数调整为中债-高等级信用债财富（0-5年）指数，与基金实际运作的久期更为贴合。</w:t>
      </w:r>
    </w:p>
    <w:p w14:paraId="787B7C8E">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基于以上情况，该基金的业绩比较基准的调整主要由于现有业绩比较基准与实际投资风格等不匹配，调整后的业绩比较基准与实际产品定位更为契合，不会对产品投资运作、持有人利益产生实质性不利影响。</w:t>
      </w:r>
    </w:p>
    <w:p w14:paraId="2864CBB6">
      <w:pPr>
        <w:adjustRightInd w:val="0"/>
        <w:snapToGrid w:val="0"/>
        <w:spacing w:line="460" w:lineRule="exact"/>
        <w:ind w:right="240" w:firstLine="480"/>
        <w:jc w:val="left"/>
        <w:rPr>
          <w:b/>
          <w:sz w:val="24"/>
        </w:rPr>
      </w:pPr>
      <w:r>
        <w:rPr>
          <w:rFonts w:hint="eastAsia"/>
          <w:b/>
          <w:sz w:val="24"/>
        </w:rPr>
        <w:t>9、交银施罗德医疗健康混合型发起式证券投资基金</w:t>
      </w:r>
    </w:p>
    <w:p w14:paraId="77921565">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A股股票的基准要素权重从70%调整为75%，将基准中的港股股票的基准要素权重从5%调整为10%，将基准中的债券资产的基准要素权重从25%调整为15%。</w:t>
      </w:r>
    </w:p>
    <w:p w14:paraId="0237D9CD">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港股股票部分的指数由恒生指数调整为中证港股通医药卫生综合指数（人民币），债券部分的指数由中证综合债券指数调整为中债-国债总财富（1-3年）指数。</w:t>
      </w:r>
    </w:p>
    <w:p w14:paraId="545FDB91">
      <w:pPr>
        <w:adjustRightInd w:val="0"/>
        <w:snapToGrid w:val="0"/>
        <w:spacing w:line="460" w:lineRule="exact"/>
        <w:ind w:right="240" w:firstLine="480"/>
        <w:jc w:val="left"/>
        <w:rPr>
          <w:bCs/>
          <w:sz w:val="24"/>
        </w:rPr>
      </w:pPr>
      <w:r>
        <w:rPr>
          <w:rFonts w:hint="eastAsia"/>
          <w:bCs/>
          <w:sz w:val="24"/>
        </w:rPr>
        <w:t>（3）在股票指数的选取方面，根据交银施罗德医疗健康混合型发起式证券投资基金投资范围、投资主题等的界定，中证港股通医药卫生综合指数（人民币）从港股通范围内选取 50 只流动性较好、市值较大的医疗卫生行业上市公司证券作为指数样本，以反映港股通范围内医药卫生上市公司证券的整体表现，适合作为本基金港股通标的股票部分的业绩比较基准要素。</w:t>
      </w:r>
    </w:p>
    <w:p w14:paraId="491D0B32">
      <w:pPr>
        <w:adjustRightInd w:val="0"/>
        <w:snapToGrid w:val="0"/>
        <w:spacing w:line="460" w:lineRule="exact"/>
        <w:ind w:right="240" w:firstLine="480"/>
        <w:jc w:val="left"/>
        <w:rPr>
          <w:bCs/>
          <w:sz w:val="24"/>
        </w:rPr>
      </w:pPr>
      <w:r>
        <w:rPr>
          <w:rFonts w:hint="eastAsia"/>
          <w:bCs/>
          <w:sz w:val="24"/>
        </w:rPr>
        <w:t>在债券指数的选取方面，根据过往债券配置情况，中债-国债总财富（1-3年）指数与基金实际运作的久期更为贴合。</w:t>
      </w:r>
    </w:p>
    <w:p w14:paraId="2CCD9A8D">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630C7CF5">
      <w:pPr>
        <w:adjustRightInd w:val="0"/>
        <w:snapToGrid w:val="0"/>
        <w:spacing w:line="460" w:lineRule="exact"/>
        <w:ind w:right="240" w:firstLine="480"/>
        <w:jc w:val="left"/>
        <w:rPr>
          <w:bCs/>
          <w:sz w:val="24"/>
        </w:rPr>
      </w:pPr>
      <w:r>
        <w:rPr>
          <w:rFonts w:hint="eastAsia"/>
          <w:b/>
          <w:sz w:val="24"/>
        </w:rPr>
        <w:t>10、交银施罗德120天滚动持有债券型证券投资基金</w:t>
      </w:r>
    </w:p>
    <w:p w14:paraId="09E02F48">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（1）调整业绩比较基准的要素权重：根据过往仓位情况，将基准中的债券资产的基准要素权重从90%调整为95%，将基准中的现金资产的基准要素权重从10%调整为5%。</w:t>
      </w:r>
    </w:p>
    <w:p w14:paraId="472F3A01">
      <w:pPr>
        <w:adjustRightInd w:val="0"/>
        <w:snapToGrid w:val="0"/>
        <w:spacing w:line="460" w:lineRule="exact"/>
        <w:ind w:right="240" w:firstLine="480"/>
        <w:jc w:val="left"/>
        <w:rPr>
          <w:bCs/>
          <w:sz w:val="24"/>
        </w:rPr>
      </w:pPr>
      <w:r>
        <w:rPr>
          <w:rFonts w:hint="eastAsia"/>
          <w:bCs/>
          <w:sz w:val="24"/>
        </w:rPr>
        <w:t>（2）更换业绩比较基准要素：在基准指数的选取方面，根据过往债券配置情况，债券部分的指数由中债综合全价指数调整为中债-综合全价（1-3年）指数，与基金实际运作的久期更为贴合。</w:t>
      </w:r>
    </w:p>
    <w:p w14:paraId="63E5F0BC">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1599216B">
      <w:pPr>
        <w:adjustRightInd w:val="0"/>
        <w:snapToGrid w:val="0"/>
        <w:spacing w:line="460" w:lineRule="exact"/>
        <w:ind w:right="240" w:firstLine="480"/>
        <w:jc w:val="left"/>
        <w:rPr>
          <w:b/>
          <w:sz w:val="24"/>
        </w:rPr>
      </w:pPr>
      <w:r>
        <w:rPr>
          <w:rFonts w:hint="eastAsia"/>
          <w:b/>
          <w:sz w:val="24"/>
        </w:rPr>
        <w:t>11、交银施罗德兴享一年持有期混合型基金中基金（FOF）</w:t>
      </w:r>
    </w:p>
    <w:p w14:paraId="144118DE">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债券资产的基准要素权重从75%调整为70%，将基准中的权益资产的基准要素权重从25%调整为20%，将基准中的商品类资产的基准要素权重从0%调整为5%，将基准中的现金资产的基准要素权重从0%调整为5%。</w:t>
      </w:r>
    </w:p>
    <w:p w14:paraId="17BDF4E3">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债券资产部分的指数由中债综合全价指数调整为中证纯债债券型基金指数，权益资产部分的指数由沪深300指数调整为中证偏股型基金指数，新增上海黄金交易所Au99.99现货实盘合约作为商品类资产的基准要素，新增活期存款基准利率作为现金资产的基准要素。</w:t>
      </w:r>
    </w:p>
    <w:p w14:paraId="21AA71CC">
      <w:pPr>
        <w:adjustRightInd w:val="0"/>
        <w:snapToGrid w:val="0"/>
        <w:spacing w:line="460" w:lineRule="exact"/>
        <w:ind w:right="240" w:firstLine="480"/>
        <w:jc w:val="left"/>
        <w:rPr>
          <w:bCs/>
          <w:sz w:val="24"/>
        </w:rPr>
      </w:pPr>
      <w:r>
        <w:rPr>
          <w:rFonts w:hint="eastAsia"/>
          <w:bCs/>
          <w:sz w:val="24"/>
        </w:rPr>
        <w:t>（3）根据交银施罗德兴享一年持有期混合型基金中基金（FOF）投资范围等的界定，中证纯债债券型基金指数、中证偏股型基金指数适合作为本基金基金部分的业绩比较基准要素。上海黄金交易所Au99.99现货实盘合约为在上海黄金交易所交易，代表黄金资产的现货合约，适合作为本基金商品类资产投资的业绩比较基准。</w:t>
      </w:r>
    </w:p>
    <w:p w14:paraId="08F56188">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051D7266">
      <w:pPr>
        <w:adjustRightInd w:val="0"/>
        <w:snapToGrid w:val="0"/>
        <w:spacing w:line="460" w:lineRule="exact"/>
        <w:ind w:right="240" w:firstLine="480"/>
        <w:jc w:val="left"/>
        <w:rPr>
          <w:b/>
          <w:sz w:val="24"/>
        </w:rPr>
      </w:pPr>
      <w:r>
        <w:rPr>
          <w:rFonts w:hint="eastAsia"/>
          <w:b/>
          <w:sz w:val="24"/>
        </w:rPr>
        <w:t>12、交银施罗德科技创新灵活配置混合型证券投资基金</w:t>
      </w:r>
    </w:p>
    <w:p w14:paraId="5BC254D1">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（1）调整业绩比较基准的要素权重：根据过往仓位情况，将基准中的股票</w:t>
      </w:r>
      <w:r>
        <w:rPr>
          <w:rFonts w:hint="eastAsia"/>
          <w:bCs/>
          <w:sz w:val="24"/>
          <w:lang w:val="en-US" w:eastAsia="zh-CN"/>
        </w:rPr>
        <w:t>资产</w:t>
      </w:r>
      <w:r>
        <w:rPr>
          <w:rFonts w:hint="eastAsia"/>
          <w:bCs/>
          <w:sz w:val="24"/>
        </w:rPr>
        <w:t>的基准要素权重从60%调整为90%，将基准中的债券资产的基准要素权重从40%调整为10%。</w:t>
      </w:r>
    </w:p>
    <w:p w14:paraId="19402C50">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股票部分的指数由沪深300指数调整为中国战略新兴产业成份指数，债券部分的指数由中证综合债券指数调整为中债-国债总财富（1-3年）指数。</w:t>
      </w:r>
    </w:p>
    <w:p w14:paraId="207246DF">
      <w:pPr>
        <w:adjustRightInd w:val="0"/>
        <w:snapToGrid w:val="0"/>
        <w:spacing w:line="460" w:lineRule="exact"/>
        <w:ind w:right="240" w:firstLine="480"/>
        <w:jc w:val="left"/>
        <w:rPr>
          <w:bCs/>
          <w:sz w:val="24"/>
        </w:rPr>
      </w:pPr>
      <w:r>
        <w:rPr>
          <w:rFonts w:hint="eastAsia"/>
          <w:bCs/>
          <w:sz w:val="24"/>
        </w:rPr>
        <w:t>（3）在股票指数的选取方面，根据交银施罗德科技创新灵活配置混合型证券投资基金投资范围、投资主题等的界定，中国战略新兴产业成份指数选取节能环保产业、新一代信息技术产业、生物产业、高端装备制造产业、新能源产业、新材料产业、新能源汽车产业、数字创意产业、高技术服务业等领域具有代表性的100 只上市公司证券作为指数样本，以反映战略新兴产业上市公司证券的整体表现，适合作为本基金股票部分的业绩比较基准要素。</w:t>
      </w:r>
    </w:p>
    <w:p w14:paraId="79B64F91">
      <w:pPr>
        <w:adjustRightInd w:val="0"/>
        <w:snapToGrid w:val="0"/>
        <w:spacing w:line="460" w:lineRule="exact"/>
        <w:ind w:right="240" w:firstLine="480"/>
        <w:jc w:val="left"/>
        <w:rPr>
          <w:bCs/>
          <w:sz w:val="24"/>
        </w:rPr>
      </w:pPr>
      <w:r>
        <w:rPr>
          <w:rFonts w:hint="eastAsia"/>
          <w:bCs/>
          <w:sz w:val="24"/>
        </w:rPr>
        <w:t>在债券指数的选取方面，根据过往债券配置情况，中债-国债总财富（1-3年）指数与基金实际运作的久期更为贴合。</w:t>
      </w:r>
    </w:p>
    <w:p w14:paraId="6C7C1F72">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0809DD4C">
      <w:pPr>
        <w:adjustRightInd w:val="0"/>
        <w:snapToGrid w:val="0"/>
        <w:spacing w:line="460" w:lineRule="exact"/>
        <w:ind w:right="240" w:firstLine="480"/>
        <w:jc w:val="left"/>
        <w:rPr>
          <w:b/>
          <w:sz w:val="24"/>
        </w:rPr>
      </w:pPr>
      <w:r>
        <w:rPr>
          <w:rFonts w:hint="eastAsia"/>
          <w:b/>
          <w:sz w:val="24"/>
        </w:rPr>
        <w:t>13、交银施罗德稳健配置混合型证券投资基金</w:t>
      </w:r>
    </w:p>
    <w:p w14:paraId="2488E78A">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（1）调整业绩比较基准的要素权重：根据过往仓位情况，将基准中的股票资产的基准要素权重从65%调整为85%，将基准中的债券资产的基准要素权重从35%调整为15%。</w:t>
      </w:r>
    </w:p>
    <w:p w14:paraId="1918E274">
      <w:pPr>
        <w:adjustRightInd w:val="0"/>
        <w:snapToGrid w:val="0"/>
        <w:spacing w:line="460" w:lineRule="exact"/>
        <w:ind w:right="240" w:firstLine="480"/>
        <w:jc w:val="left"/>
        <w:rPr>
          <w:bCs/>
          <w:sz w:val="24"/>
        </w:rPr>
      </w:pPr>
      <w:r>
        <w:rPr>
          <w:rFonts w:hint="eastAsia"/>
          <w:bCs/>
          <w:sz w:val="24"/>
        </w:rPr>
        <w:t>（2）更换业绩比较基准要素：在基准指数的选取方面，根据过往债券配置情况，债券部分的指数由中证综合债券指数调整为中债-国债总财富（1-3年）指数，与基金实际运作的久期更为贴合。</w:t>
      </w:r>
    </w:p>
    <w:p w14:paraId="7B9D89A6">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03D0B30A">
      <w:pPr>
        <w:adjustRightInd w:val="0"/>
        <w:snapToGrid w:val="0"/>
        <w:spacing w:line="460" w:lineRule="exact"/>
        <w:ind w:right="240" w:firstLine="480"/>
        <w:jc w:val="left"/>
        <w:rPr>
          <w:b/>
          <w:sz w:val="24"/>
        </w:rPr>
      </w:pPr>
      <w:r>
        <w:rPr>
          <w:rFonts w:hint="eastAsia"/>
          <w:b/>
          <w:sz w:val="24"/>
        </w:rPr>
        <w:t>14、交银施罗德股息优化混合型证券投资基金</w:t>
      </w:r>
    </w:p>
    <w:p w14:paraId="74DFA550">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（1）调整业绩比较基准的要素权重：根据过往仓位情况，将基准中的股票资产的基准要素权重从60%调整为90%，将基准中的债券资产的基准要素权重从40%调整为10%。</w:t>
      </w:r>
    </w:p>
    <w:p w14:paraId="2F24D567">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（2）更换业绩比较基准要素：在基准指数的选取方面，基于基金合同约定，股票部分的指数由沪深300指数调整为中证高股息精选指数，债券部分的指数由中证综合债券指数调整为中债-国债总财富（1-3年）指数。</w:t>
      </w:r>
    </w:p>
    <w:p w14:paraId="576E29A9">
      <w:pPr>
        <w:adjustRightInd w:val="0"/>
        <w:snapToGrid w:val="0"/>
        <w:spacing w:line="460" w:lineRule="exact"/>
        <w:ind w:right="240" w:firstLine="480"/>
        <w:jc w:val="left"/>
        <w:rPr>
          <w:bCs/>
          <w:sz w:val="24"/>
        </w:rPr>
      </w:pPr>
      <w:r>
        <w:rPr>
          <w:rFonts w:hint="eastAsia"/>
          <w:bCs/>
          <w:sz w:val="24"/>
        </w:rPr>
        <w:t>（3）在股票指数的选取方面，根据交银施罗德股息优化混合型证券投资基金投资范围、投资主题等的界定，中证高股息精选指数选取100只流动性好、连续分红、股息率高、盈利持续且具有成长性的上市公司证券作为指数样本，采用股息率加权，以反映高股息相关上市公司证券的整体表现，适合作为本基金股票部分的业绩比较基准要素。</w:t>
      </w:r>
    </w:p>
    <w:p w14:paraId="4169D7F3">
      <w:pPr>
        <w:adjustRightInd w:val="0"/>
        <w:snapToGrid w:val="0"/>
        <w:spacing w:line="460" w:lineRule="exact"/>
        <w:ind w:right="240" w:firstLine="480"/>
        <w:jc w:val="left"/>
        <w:rPr>
          <w:bCs/>
          <w:sz w:val="24"/>
        </w:rPr>
      </w:pPr>
      <w:r>
        <w:rPr>
          <w:rFonts w:hint="eastAsia"/>
          <w:bCs/>
          <w:sz w:val="24"/>
        </w:rPr>
        <w:t>在债券指数的选取方面，根据过往债券配置情况，中债-国债总财富（1-3年）指数与基金实际运作的久期更为贴合。</w:t>
      </w:r>
    </w:p>
    <w:p w14:paraId="2F517EC9">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47B339E3">
      <w:pPr>
        <w:adjustRightInd w:val="0"/>
        <w:snapToGrid w:val="0"/>
        <w:spacing w:line="460" w:lineRule="exact"/>
        <w:ind w:right="240" w:firstLine="480"/>
        <w:jc w:val="left"/>
        <w:rPr>
          <w:b/>
          <w:sz w:val="24"/>
        </w:rPr>
      </w:pPr>
      <w:r>
        <w:rPr>
          <w:rFonts w:hint="eastAsia"/>
          <w:b/>
          <w:sz w:val="24"/>
        </w:rPr>
        <w:t>15、交银施罗德启道混合型证券投资基金</w:t>
      </w:r>
    </w:p>
    <w:p w14:paraId="3E61E1BD">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A股股票的基准要素权重从65%调整为75%，将基准中的港股股票的基准要素权重从5%调整为10%，将基准中的债券资产的基准要素权重从30%调整为15%。</w:t>
      </w:r>
    </w:p>
    <w:p w14:paraId="0776F385">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港股股票部分的指数由恒生指数调整为中证港股通综合指数（人民币），债券部分的指数由中证综合债券指数调整为中债-国债总财富（1-3年）指数。</w:t>
      </w:r>
    </w:p>
    <w:p w14:paraId="36280D17">
      <w:pPr>
        <w:adjustRightInd w:val="0"/>
        <w:snapToGrid w:val="0"/>
        <w:spacing w:line="460" w:lineRule="exact"/>
        <w:ind w:right="240" w:firstLine="480"/>
        <w:jc w:val="left"/>
        <w:rPr>
          <w:bCs/>
          <w:sz w:val="24"/>
        </w:rPr>
      </w:pPr>
      <w:r>
        <w:rPr>
          <w:rFonts w:hint="eastAsia"/>
          <w:bCs/>
          <w:sz w:val="24"/>
        </w:rPr>
        <w:t>（3）在股票指数的选取方面，中证港股通综合指数（人民币）选取符合港股通资格的上市公司证券作为指数样本，以反映港股通范围内上市公司的整体表现，适合作为本基金港股通标的股票部分的业绩比较基准要素。</w:t>
      </w:r>
    </w:p>
    <w:p w14:paraId="13752EDD">
      <w:pPr>
        <w:adjustRightInd w:val="0"/>
        <w:snapToGrid w:val="0"/>
        <w:spacing w:line="460" w:lineRule="exact"/>
        <w:ind w:right="240" w:firstLine="480"/>
        <w:jc w:val="left"/>
        <w:rPr>
          <w:bCs/>
          <w:sz w:val="24"/>
        </w:rPr>
      </w:pPr>
      <w:r>
        <w:rPr>
          <w:rFonts w:hint="eastAsia"/>
          <w:bCs/>
          <w:sz w:val="24"/>
        </w:rPr>
        <w:t>在债券指数的选取方面，根据过往债券配置情况，中债-国债总财富（1-3年）指数与基金实际运作的久期更为贴合。</w:t>
      </w:r>
    </w:p>
    <w:p w14:paraId="7C8617F6">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72E36DA5">
      <w:pPr>
        <w:adjustRightInd w:val="0"/>
        <w:snapToGrid w:val="0"/>
        <w:spacing w:line="460" w:lineRule="exact"/>
        <w:ind w:right="240" w:firstLine="480"/>
        <w:jc w:val="left"/>
        <w:rPr>
          <w:b/>
          <w:sz w:val="24"/>
        </w:rPr>
      </w:pPr>
      <w:r>
        <w:rPr>
          <w:rFonts w:hint="eastAsia"/>
          <w:b/>
          <w:sz w:val="24"/>
        </w:rPr>
        <w:t>16、交银施罗德经济新动力混合型证券投资基金</w:t>
      </w:r>
    </w:p>
    <w:p w14:paraId="37EF1160">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（1）调整业绩比较基准的要素权重：根据过往仓位情况，将基准中的股票资产的基准要素权重从60%调整为70%，将基准中的债券资产的基准要素权重从40%调整为30%。</w:t>
      </w:r>
    </w:p>
    <w:p w14:paraId="65BD2D40">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（2）更换业绩比较基准要素：在基准指数的选取方面，基于基金合同约定，股票部分的指数由沪深300指数调整为中证800指数，债券部分的指数由中证综合债券指数调整为中债-国债总财富（1-3年）指数。</w:t>
      </w:r>
    </w:p>
    <w:p w14:paraId="29B53095">
      <w:pPr>
        <w:adjustRightInd w:val="0"/>
        <w:snapToGrid w:val="0"/>
        <w:spacing w:line="460" w:lineRule="exact"/>
        <w:ind w:right="240" w:firstLine="480"/>
        <w:jc w:val="left"/>
        <w:rPr>
          <w:bCs/>
          <w:sz w:val="24"/>
        </w:rPr>
      </w:pPr>
      <w:r>
        <w:rPr>
          <w:rFonts w:hint="eastAsia"/>
          <w:bCs/>
          <w:sz w:val="24"/>
        </w:rPr>
        <w:t>（3）在股票指数的选取方面，中证800指数由沪深市场市值较大、流动性较好的800只股票构成，反映沪深市场大中盘上市公司证券的整体表现。指数样本量大，行业覆盖面广，适合作为本基金股票部分的业绩比较基准要素。</w:t>
      </w:r>
    </w:p>
    <w:p w14:paraId="2E5A92C7">
      <w:pPr>
        <w:adjustRightInd w:val="0"/>
        <w:snapToGrid w:val="0"/>
        <w:spacing w:line="460" w:lineRule="exact"/>
        <w:ind w:right="240" w:firstLine="480"/>
        <w:jc w:val="left"/>
        <w:rPr>
          <w:bCs/>
          <w:sz w:val="24"/>
        </w:rPr>
      </w:pPr>
      <w:r>
        <w:rPr>
          <w:rFonts w:hint="eastAsia"/>
          <w:bCs/>
          <w:sz w:val="24"/>
        </w:rPr>
        <w:t>在债券指数的选取方面，根据过往债券配置情况，中债-国债总财富（1-3年）指数与基金实际运作的久期更为贴合。</w:t>
      </w:r>
    </w:p>
    <w:p w14:paraId="24E19617">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6D716394">
      <w:pPr>
        <w:adjustRightInd w:val="0"/>
        <w:snapToGrid w:val="0"/>
        <w:spacing w:line="460" w:lineRule="exact"/>
        <w:ind w:right="240" w:firstLine="480"/>
        <w:jc w:val="left"/>
        <w:rPr>
          <w:b/>
          <w:sz w:val="24"/>
        </w:rPr>
      </w:pPr>
      <w:r>
        <w:rPr>
          <w:rFonts w:hint="eastAsia"/>
          <w:b/>
          <w:sz w:val="24"/>
        </w:rPr>
        <w:t>17、交银施罗德启汇混合型证券投资基金</w:t>
      </w:r>
    </w:p>
    <w:p w14:paraId="393DED5F">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A股股票的基准要素权重从65%调整为70%，将基准中的港股股票的基准要素权重从5%调整为10%，将基准中的债券资产的基准要素权重从30%调整为20%。</w:t>
      </w:r>
    </w:p>
    <w:p w14:paraId="4E74D1D1">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A股股票部分的指数由沪深300指数调整为中证800指数，港股股票部分的指数由恒生指数调整为中证港股通综合指数（人民币），债券部分的指数由中证综合债券指数调整为中债-国债总财富（1-3年）指数。</w:t>
      </w:r>
    </w:p>
    <w:p w14:paraId="0383D12E">
      <w:pPr>
        <w:adjustRightInd w:val="0"/>
        <w:snapToGrid w:val="0"/>
        <w:spacing w:line="460" w:lineRule="exact"/>
        <w:ind w:right="240" w:firstLine="480"/>
        <w:jc w:val="left"/>
        <w:rPr>
          <w:bCs/>
          <w:sz w:val="24"/>
        </w:rPr>
      </w:pPr>
      <w:r>
        <w:rPr>
          <w:rFonts w:hint="eastAsia"/>
          <w:bCs/>
          <w:sz w:val="24"/>
        </w:rPr>
        <w:t>（3）在股票指数的选取方面，中证800指数由沪深市场市值较大、流动性较好的800只股票构成，反映沪深市场大中盘上市公司证券的整体表现。指数样本量大，行业覆盖面广，适合作为本基金A股股票部分的业绩比较基准要素。中证港股通综合指数（人民币）选取符合港股通资格的上市公司证券作为指数样本，以反映港股通范围内上市公司的整体表现，适合作为本基金港股通标的股票部分的业绩比较基准要素。</w:t>
      </w:r>
    </w:p>
    <w:p w14:paraId="7025F6EE">
      <w:pPr>
        <w:adjustRightInd w:val="0"/>
        <w:snapToGrid w:val="0"/>
        <w:spacing w:line="460" w:lineRule="exact"/>
        <w:ind w:right="240" w:firstLine="480"/>
        <w:jc w:val="left"/>
        <w:rPr>
          <w:bCs/>
          <w:sz w:val="24"/>
        </w:rPr>
      </w:pPr>
      <w:r>
        <w:rPr>
          <w:rFonts w:hint="eastAsia"/>
          <w:bCs/>
          <w:sz w:val="24"/>
        </w:rPr>
        <w:t>在债券指数的选取方面，根据过往债券配置情况，中债-国债总财富（1-3年）指数与基金实际运作的久期更为贴合。</w:t>
      </w:r>
    </w:p>
    <w:p w14:paraId="067502E8">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18BDFE6F">
      <w:pPr>
        <w:adjustRightInd w:val="0"/>
        <w:snapToGrid w:val="0"/>
        <w:spacing w:line="460" w:lineRule="exact"/>
        <w:ind w:right="240" w:firstLine="480"/>
        <w:jc w:val="left"/>
        <w:rPr>
          <w:b/>
          <w:sz w:val="24"/>
        </w:rPr>
      </w:pPr>
      <w:r>
        <w:rPr>
          <w:rFonts w:hint="eastAsia"/>
          <w:b/>
          <w:sz w:val="24"/>
        </w:rPr>
        <w:t>18、交银施罗德环球精选价值证券投资基金</w:t>
      </w:r>
    </w:p>
    <w:p w14:paraId="55E25E1B">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w:t>
      </w:r>
      <w:r>
        <w:rPr>
          <w:rFonts w:hint="eastAsia"/>
          <w:bCs/>
          <w:sz w:val="24"/>
          <w:lang w:val="en-US" w:eastAsia="zh-CN"/>
        </w:rPr>
        <w:t>全球证券市场股票</w:t>
      </w:r>
      <w:r>
        <w:rPr>
          <w:rFonts w:hint="eastAsia"/>
          <w:bCs/>
          <w:sz w:val="24"/>
        </w:rPr>
        <w:t>的基准要素权重从</w:t>
      </w:r>
      <w:r>
        <w:rPr>
          <w:rFonts w:hint="eastAsia"/>
          <w:bCs/>
          <w:sz w:val="24"/>
          <w:lang w:val="en-US" w:eastAsia="zh-CN"/>
        </w:rPr>
        <w:t>70</w:t>
      </w:r>
      <w:r>
        <w:rPr>
          <w:rFonts w:hint="eastAsia"/>
          <w:bCs/>
          <w:sz w:val="24"/>
        </w:rPr>
        <w:t>%调整为7</w:t>
      </w:r>
      <w:r>
        <w:rPr>
          <w:rFonts w:hint="eastAsia"/>
          <w:bCs/>
          <w:sz w:val="24"/>
          <w:lang w:val="en-US" w:eastAsia="zh-CN"/>
        </w:rPr>
        <w:t>5</w:t>
      </w:r>
      <w:r>
        <w:rPr>
          <w:rFonts w:hint="eastAsia"/>
          <w:bCs/>
          <w:sz w:val="24"/>
        </w:rPr>
        <w:t>%，将基准中的</w:t>
      </w:r>
      <w:r>
        <w:rPr>
          <w:rFonts w:hint="eastAsia"/>
          <w:bCs/>
          <w:sz w:val="24"/>
          <w:lang w:val="en-US" w:eastAsia="zh-CN"/>
        </w:rPr>
        <w:t>香港证券市场</w:t>
      </w:r>
      <w:r>
        <w:rPr>
          <w:rFonts w:hint="eastAsia"/>
          <w:bCs/>
          <w:sz w:val="24"/>
        </w:rPr>
        <w:t>股票的基准要素权重从</w:t>
      </w:r>
      <w:r>
        <w:rPr>
          <w:rFonts w:hint="eastAsia"/>
          <w:bCs/>
          <w:sz w:val="24"/>
          <w:lang w:val="en-US" w:eastAsia="zh-CN"/>
        </w:rPr>
        <w:t>30</w:t>
      </w:r>
      <w:r>
        <w:rPr>
          <w:rFonts w:hint="eastAsia"/>
          <w:bCs/>
          <w:sz w:val="24"/>
        </w:rPr>
        <w:t>%调整为</w:t>
      </w:r>
      <w:r>
        <w:rPr>
          <w:rFonts w:hint="eastAsia"/>
          <w:bCs/>
          <w:sz w:val="24"/>
          <w:lang w:val="en-US" w:eastAsia="zh-CN"/>
        </w:rPr>
        <w:t>2</w:t>
      </w:r>
      <w:r>
        <w:rPr>
          <w:rFonts w:hint="eastAsia"/>
          <w:bCs/>
          <w:sz w:val="24"/>
        </w:rPr>
        <w:t>0%，将基准中的现金资产的基准要素权重从0%调整为5%。</w:t>
      </w:r>
    </w:p>
    <w:p w14:paraId="34412DC9">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（2）更换业绩比较基准要素：在基准指数的选取方面，基于基金合同约定，权益类资产中投资于全球证券市场股票部分的指数由标准普尔全球大中盘指数（S&amp;P Global LargeMidCap Index）调整为MSCI全球成长指数（MSCI ACWI Growth Index）</w:t>
      </w:r>
      <w:r>
        <w:rPr>
          <w:rFonts w:hint="eastAsia"/>
          <w:bCs/>
          <w:sz w:val="24"/>
          <w:lang w:eastAsia="zh-CN"/>
        </w:rPr>
        <w:t>，</w:t>
      </w:r>
      <w:r>
        <w:rPr>
          <w:rFonts w:hint="eastAsia"/>
          <w:bCs/>
          <w:sz w:val="24"/>
        </w:rPr>
        <w:t>新增人民币活期存款基准利率作为现金资产的基准要素。</w:t>
      </w:r>
    </w:p>
    <w:p w14:paraId="5AE6E0FE">
      <w:pPr>
        <w:adjustRightInd w:val="0"/>
        <w:snapToGrid w:val="0"/>
        <w:spacing w:line="460" w:lineRule="exact"/>
        <w:ind w:right="240" w:firstLine="480"/>
        <w:jc w:val="left"/>
        <w:rPr>
          <w:bCs/>
          <w:sz w:val="24"/>
        </w:rPr>
      </w:pPr>
      <w:r>
        <w:rPr>
          <w:rFonts w:hint="eastAsia"/>
          <w:bCs/>
          <w:sz w:val="24"/>
        </w:rPr>
        <w:t>（3）在股票指数的选取方面，MSCI全球成长指数（MSCI</w:t>
      </w:r>
      <w:r>
        <w:rPr>
          <w:bCs/>
          <w:sz w:val="24"/>
        </w:rPr>
        <w:t xml:space="preserve"> ACWI Growth </w:t>
      </w:r>
      <w:r>
        <w:rPr>
          <w:rFonts w:hint="eastAsia"/>
          <w:bCs/>
          <w:sz w:val="24"/>
        </w:rPr>
        <w:t>Index）成份股包含全球发达市场和新兴市场国家的具有成长风格的大中盘股票代表，以反映全球成长型大中盘股票市场的整体表现。指数样本量大，国别覆盖面广，适合作为本基金全球证券市场权益类资产的业绩比较基准要素。</w:t>
      </w:r>
    </w:p>
    <w:p w14:paraId="125D44F0">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710D04C4">
      <w:pPr>
        <w:adjustRightInd w:val="0"/>
        <w:snapToGrid w:val="0"/>
        <w:spacing w:line="460" w:lineRule="exact"/>
        <w:ind w:right="240" w:firstLine="480"/>
        <w:jc w:val="left"/>
        <w:rPr>
          <w:b/>
          <w:sz w:val="24"/>
        </w:rPr>
      </w:pPr>
      <w:r>
        <w:rPr>
          <w:rFonts w:hint="eastAsia"/>
          <w:b/>
          <w:sz w:val="24"/>
        </w:rPr>
        <w:t>19、交银施罗德增利增强债券型证券投资基金</w:t>
      </w:r>
    </w:p>
    <w:p w14:paraId="68C199CA">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债券资产的基准要素权重从100%调整为90%，其中，增加表征可转换债券资产的基准要素，权重设置为10%；将基准中的股票资产的基准要素权重从0%调整为5%，将基准中的现金资产的基准要素权重从0%调整为5%。</w:t>
      </w:r>
    </w:p>
    <w:p w14:paraId="3EB4BFF2">
      <w:pPr>
        <w:adjustRightInd w:val="0"/>
        <w:snapToGrid w:val="0"/>
        <w:spacing w:line="460" w:lineRule="exact"/>
        <w:ind w:right="240" w:firstLine="480"/>
        <w:jc w:val="left"/>
        <w:rPr>
          <w:bCs/>
          <w:sz w:val="24"/>
        </w:rPr>
      </w:pPr>
      <w:r>
        <w:rPr>
          <w:rFonts w:hint="eastAsia"/>
          <w:bCs/>
          <w:sz w:val="24"/>
        </w:rPr>
        <w:t>（2）更换业绩比较基准要素：在基准指数的选取方面，根据过往债券配置情况，债券部分的指数由中债综合全价指数调整为中债-综合全价（1-3年）指数和中证可转换债券指数，新增沪深300指数和活期存款基准利率分别作为股票资产和现金资产的基准要素。</w:t>
      </w:r>
    </w:p>
    <w:p w14:paraId="2962FA80">
      <w:pPr>
        <w:adjustRightInd w:val="0"/>
        <w:snapToGrid w:val="0"/>
        <w:spacing w:line="460" w:lineRule="exact"/>
        <w:ind w:right="240" w:firstLine="480"/>
        <w:jc w:val="left"/>
        <w:rPr>
          <w:bCs/>
          <w:sz w:val="24"/>
        </w:rPr>
      </w:pPr>
      <w:r>
        <w:rPr>
          <w:rFonts w:hint="eastAsia"/>
          <w:bCs/>
          <w:sz w:val="24"/>
        </w:rPr>
        <w:t>（3）在债券指数的选取方面，根据过往债券配置情况，中债-综合全价（1-3年）指数、中证可转换债券指数与基金实际运作的久期、资产配置比例更为贴合。</w:t>
      </w:r>
    </w:p>
    <w:p w14:paraId="3074C0AF">
      <w:pPr>
        <w:adjustRightInd w:val="0"/>
        <w:snapToGrid w:val="0"/>
        <w:spacing w:line="460" w:lineRule="exact"/>
        <w:ind w:right="240" w:firstLine="480"/>
        <w:jc w:val="left"/>
        <w:rPr>
          <w:bCs/>
          <w:sz w:val="24"/>
        </w:rPr>
      </w:pPr>
      <w:r>
        <w:rPr>
          <w:rFonts w:hint="eastAsia"/>
          <w:bCs/>
          <w:sz w:val="24"/>
        </w:rPr>
        <w:t>在股票指数的选取方面，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股票部分的业绩比较基准要素。</w:t>
      </w:r>
    </w:p>
    <w:p w14:paraId="0EEF88DF">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0B6225D5">
      <w:pPr>
        <w:adjustRightInd w:val="0"/>
        <w:snapToGrid w:val="0"/>
        <w:spacing w:line="460" w:lineRule="exact"/>
        <w:ind w:right="240" w:firstLine="480"/>
        <w:jc w:val="left"/>
        <w:rPr>
          <w:b/>
          <w:sz w:val="24"/>
        </w:rPr>
      </w:pPr>
      <w:r>
        <w:rPr>
          <w:rFonts w:hint="eastAsia"/>
          <w:b/>
          <w:sz w:val="24"/>
        </w:rPr>
        <w:t>20、交银施罗德荣鑫灵活配置混合型证券投资基金</w:t>
      </w:r>
    </w:p>
    <w:p w14:paraId="49B3C0AA">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（1）调整业绩比较基准的要素权重：根据过往仓位情况，将基准中的股票</w:t>
      </w:r>
      <w:r>
        <w:rPr>
          <w:rFonts w:hint="eastAsia"/>
          <w:bCs/>
          <w:sz w:val="24"/>
          <w:lang w:val="en-US" w:eastAsia="zh-CN"/>
        </w:rPr>
        <w:t>资产</w:t>
      </w:r>
      <w:r>
        <w:rPr>
          <w:rFonts w:hint="eastAsia"/>
          <w:bCs/>
          <w:sz w:val="24"/>
        </w:rPr>
        <w:t>的基准要素权重从50%调整为75%，将基准中的债券资产的基准要素权重从50%调整为25%。</w:t>
      </w:r>
    </w:p>
    <w:p w14:paraId="6088E493">
      <w:pPr>
        <w:adjustRightInd w:val="0"/>
        <w:snapToGrid w:val="0"/>
        <w:spacing w:line="460" w:lineRule="exact"/>
        <w:ind w:right="240" w:firstLine="480"/>
        <w:jc w:val="left"/>
        <w:rPr>
          <w:bCs/>
          <w:sz w:val="24"/>
        </w:rPr>
      </w:pPr>
      <w:r>
        <w:rPr>
          <w:rFonts w:hint="eastAsia"/>
          <w:bCs/>
          <w:sz w:val="24"/>
        </w:rPr>
        <w:t>（2）更换业绩比较基准要素：在基准指数的选取方面，根据过往债券配置情况，债券部分的指数由中债综合全价指数调整为中债-国债总全价（1-3年）指数，与基金实际运作的久期更为贴合。</w:t>
      </w:r>
    </w:p>
    <w:p w14:paraId="715ABF72">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p w14:paraId="20EE4A39">
      <w:pPr>
        <w:adjustRightInd w:val="0"/>
        <w:snapToGrid w:val="0"/>
        <w:spacing w:line="460" w:lineRule="exact"/>
        <w:ind w:right="240" w:firstLine="480"/>
        <w:jc w:val="left"/>
        <w:rPr>
          <w:b/>
          <w:sz w:val="24"/>
        </w:rPr>
      </w:pPr>
      <w:r>
        <w:rPr>
          <w:rFonts w:hint="eastAsia"/>
          <w:b/>
          <w:sz w:val="24"/>
        </w:rPr>
        <w:t>21、交银施罗德安心收益债券型证券投资基金</w:t>
      </w:r>
    </w:p>
    <w:p w14:paraId="5A974294">
      <w:pPr>
        <w:adjustRightInd w:val="0"/>
        <w:snapToGrid w:val="0"/>
        <w:spacing w:line="460" w:lineRule="exact"/>
        <w:ind w:right="240" w:firstLine="480"/>
        <w:jc w:val="left"/>
        <w:rPr>
          <w:bCs/>
          <w:sz w:val="24"/>
        </w:rPr>
      </w:pPr>
      <w:r>
        <w:rPr>
          <w:rFonts w:hint="eastAsia"/>
          <w:bCs/>
          <w:sz w:val="24"/>
        </w:rPr>
        <w:t>（1）调整业绩比较基准的要素权重：根据过往仓位情况，将基准中的债券资产的基准要素权重从100%调整为85%，将基准中的股票</w:t>
      </w:r>
      <w:r>
        <w:rPr>
          <w:rFonts w:hint="eastAsia"/>
          <w:bCs/>
          <w:sz w:val="24"/>
          <w:lang w:val="en-US" w:eastAsia="zh-CN"/>
        </w:rPr>
        <w:t>资产</w:t>
      </w:r>
      <w:r>
        <w:rPr>
          <w:rFonts w:hint="eastAsia"/>
          <w:bCs/>
          <w:sz w:val="24"/>
        </w:rPr>
        <w:t>的基准要素权重从0%调整为10%，将基准中的现金资产的基准要素权重从0%调整为5%。</w:t>
      </w:r>
    </w:p>
    <w:p w14:paraId="780172D1">
      <w:pPr>
        <w:adjustRightInd w:val="0"/>
        <w:snapToGrid w:val="0"/>
        <w:spacing w:line="460" w:lineRule="exact"/>
        <w:ind w:right="240" w:firstLine="480"/>
        <w:jc w:val="left"/>
        <w:rPr>
          <w:bCs/>
          <w:sz w:val="24"/>
        </w:rPr>
      </w:pPr>
      <w:r>
        <w:rPr>
          <w:rFonts w:hint="eastAsia"/>
          <w:bCs/>
          <w:sz w:val="24"/>
        </w:rPr>
        <w:t>（2）更换业绩比较基准要素：在基准指数的选取方面，基于基金合同约定，债券部分的指数由中债综合全价指数调整为中债-综合全价（1-3年）指数，新增沪深300指数和活期存款基准利率分别作为股票</w:t>
      </w:r>
      <w:r>
        <w:rPr>
          <w:rFonts w:hint="eastAsia"/>
          <w:bCs/>
          <w:sz w:val="24"/>
          <w:lang w:val="en-US" w:eastAsia="zh-CN"/>
        </w:rPr>
        <w:t>资产</w:t>
      </w:r>
      <w:r>
        <w:rPr>
          <w:rFonts w:hint="eastAsia"/>
          <w:bCs/>
          <w:sz w:val="24"/>
        </w:rPr>
        <w:t>和现金资产的基准要素。</w:t>
      </w:r>
    </w:p>
    <w:p w14:paraId="62112D47">
      <w:pPr>
        <w:adjustRightInd w:val="0"/>
        <w:snapToGrid w:val="0"/>
        <w:spacing w:line="460" w:lineRule="exact"/>
        <w:ind w:right="240" w:firstLine="480"/>
        <w:jc w:val="left"/>
        <w:rPr>
          <w:bCs/>
          <w:sz w:val="24"/>
        </w:rPr>
      </w:pPr>
      <w:r>
        <w:rPr>
          <w:rFonts w:hint="eastAsia"/>
          <w:bCs/>
          <w:sz w:val="24"/>
        </w:rPr>
        <w:t>（3）在债券指数的选取方面，根据过往债券配置情况，中债-综合全价（1-3年）指数与基金实际运作的久期更为贴合。</w:t>
      </w:r>
    </w:p>
    <w:p w14:paraId="203E570D">
      <w:pPr>
        <w:adjustRightInd w:val="0"/>
        <w:snapToGrid w:val="0"/>
        <w:spacing w:line="460" w:lineRule="exact"/>
        <w:ind w:right="240" w:firstLine="480"/>
        <w:jc w:val="left"/>
        <w:rPr>
          <w:bCs/>
          <w:sz w:val="24"/>
        </w:rPr>
      </w:pPr>
      <w:r>
        <w:rPr>
          <w:rFonts w:hint="eastAsia"/>
          <w:bCs/>
          <w:sz w:val="24"/>
        </w:rPr>
        <w:t>在股票指数的选取方面，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股票部分的业绩比较基准要素。</w:t>
      </w:r>
    </w:p>
    <w:p w14:paraId="43D6BB82">
      <w:pPr>
        <w:adjustRightInd w:val="0"/>
        <w:snapToGrid w:val="0"/>
        <w:spacing w:line="460" w:lineRule="exact"/>
        <w:ind w:right="240" w:firstLine="480"/>
        <w:jc w:val="left"/>
        <w:rPr>
          <w:bCs/>
          <w:sz w:val="24"/>
        </w:rPr>
      </w:pPr>
      <w:r>
        <w:rPr>
          <w:rFonts w:hint="eastAsia"/>
          <w:bCs/>
          <w:sz w:val="24"/>
        </w:rPr>
        <w:t>基于以上情况，该基金的业绩比较基准的调整主要由于现有业绩比较基准与实际投资风格、资产配置比例等不匹配，调整后的业绩比较基准与实际产品定位更为契合，不会对产品投资运作、持有人利益产生实质性不利影响。</w:t>
      </w:r>
    </w:p>
    <w:sectPr>
      <w:footerReference r:id="rId3" w:type="default"/>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A5BCC">
    <w:pPr>
      <w:jc w:val="center"/>
    </w:pPr>
    <w:r>
      <w:fldChar w:fldCharType="begin"/>
    </w:r>
    <w:r>
      <w:instrText xml:space="preserve"> PAGE   \* MERGEFORMAT </w:instrText>
    </w:r>
    <w:r>
      <w:fldChar w:fldCharType="separate"/>
    </w:r>
    <w:r>
      <w:rPr>
        <w:lang w:val="zh-CN"/>
      </w:rPr>
      <w:t>7</w:t>
    </w:r>
    <w:r>
      <w:rPr>
        <w:lang w:val="zh-CN"/>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8BC"/>
    <w:rsid w:val="00000065"/>
    <w:rsid w:val="00003C93"/>
    <w:rsid w:val="00005EBA"/>
    <w:rsid w:val="00013779"/>
    <w:rsid w:val="000173F2"/>
    <w:rsid w:val="00022A7C"/>
    <w:rsid w:val="00031540"/>
    <w:rsid w:val="00035613"/>
    <w:rsid w:val="00040DA8"/>
    <w:rsid w:val="00047A24"/>
    <w:rsid w:val="000526A9"/>
    <w:rsid w:val="00074BC1"/>
    <w:rsid w:val="00077A43"/>
    <w:rsid w:val="0008647F"/>
    <w:rsid w:val="000874DA"/>
    <w:rsid w:val="00087ACA"/>
    <w:rsid w:val="00087FA5"/>
    <w:rsid w:val="000977E1"/>
    <w:rsid w:val="000D0CD0"/>
    <w:rsid w:val="000D1E80"/>
    <w:rsid w:val="000D5D62"/>
    <w:rsid w:val="000D72F4"/>
    <w:rsid w:val="000F6254"/>
    <w:rsid w:val="0010006D"/>
    <w:rsid w:val="00106AE1"/>
    <w:rsid w:val="00112A1A"/>
    <w:rsid w:val="00112DE1"/>
    <w:rsid w:val="001145EC"/>
    <w:rsid w:val="0011579C"/>
    <w:rsid w:val="00116734"/>
    <w:rsid w:val="001233DA"/>
    <w:rsid w:val="00126592"/>
    <w:rsid w:val="00137EE5"/>
    <w:rsid w:val="001412A7"/>
    <w:rsid w:val="00143314"/>
    <w:rsid w:val="0014725D"/>
    <w:rsid w:val="00147497"/>
    <w:rsid w:val="00160556"/>
    <w:rsid w:val="00160F32"/>
    <w:rsid w:val="00164BC0"/>
    <w:rsid w:val="001661A7"/>
    <w:rsid w:val="00177E74"/>
    <w:rsid w:val="00180381"/>
    <w:rsid w:val="00181FA8"/>
    <w:rsid w:val="00182296"/>
    <w:rsid w:val="00186F1C"/>
    <w:rsid w:val="001A3497"/>
    <w:rsid w:val="001A38BC"/>
    <w:rsid w:val="001A4A68"/>
    <w:rsid w:val="001B063A"/>
    <w:rsid w:val="001B30BD"/>
    <w:rsid w:val="001B665F"/>
    <w:rsid w:val="001B6821"/>
    <w:rsid w:val="001B7AA4"/>
    <w:rsid w:val="001C1B29"/>
    <w:rsid w:val="001C3BAE"/>
    <w:rsid w:val="001D22F3"/>
    <w:rsid w:val="001D4017"/>
    <w:rsid w:val="001D430D"/>
    <w:rsid w:val="001F4DB1"/>
    <w:rsid w:val="001F6B75"/>
    <w:rsid w:val="00200221"/>
    <w:rsid w:val="0021251F"/>
    <w:rsid w:val="002151DD"/>
    <w:rsid w:val="00221A80"/>
    <w:rsid w:val="00223F7F"/>
    <w:rsid w:val="00226BF3"/>
    <w:rsid w:val="00231437"/>
    <w:rsid w:val="00240DEF"/>
    <w:rsid w:val="002630DD"/>
    <w:rsid w:val="00265C95"/>
    <w:rsid w:val="0027489D"/>
    <w:rsid w:val="002760F2"/>
    <w:rsid w:val="002963B6"/>
    <w:rsid w:val="002A000D"/>
    <w:rsid w:val="002C0F74"/>
    <w:rsid w:val="002C5DA6"/>
    <w:rsid w:val="002D1FCF"/>
    <w:rsid w:val="002D4E66"/>
    <w:rsid w:val="002D77DB"/>
    <w:rsid w:val="002E2CD8"/>
    <w:rsid w:val="002E5AD9"/>
    <w:rsid w:val="002E63BF"/>
    <w:rsid w:val="002F3650"/>
    <w:rsid w:val="003005D8"/>
    <w:rsid w:val="00301FBB"/>
    <w:rsid w:val="00303620"/>
    <w:rsid w:val="00306FDD"/>
    <w:rsid w:val="003137EC"/>
    <w:rsid w:val="0031786C"/>
    <w:rsid w:val="00320A20"/>
    <w:rsid w:val="00321A69"/>
    <w:rsid w:val="003237EE"/>
    <w:rsid w:val="00327BA2"/>
    <w:rsid w:val="00333045"/>
    <w:rsid w:val="00344D40"/>
    <w:rsid w:val="00350C03"/>
    <w:rsid w:val="003560CF"/>
    <w:rsid w:val="00366842"/>
    <w:rsid w:val="003763E5"/>
    <w:rsid w:val="0038716C"/>
    <w:rsid w:val="003923B0"/>
    <w:rsid w:val="00392D72"/>
    <w:rsid w:val="0039355A"/>
    <w:rsid w:val="00396394"/>
    <w:rsid w:val="003A4492"/>
    <w:rsid w:val="003B0D46"/>
    <w:rsid w:val="003B1934"/>
    <w:rsid w:val="003B2AA9"/>
    <w:rsid w:val="003B3FD0"/>
    <w:rsid w:val="003C0DF2"/>
    <w:rsid w:val="003D2828"/>
    <w:rsid w:val="003D5676"/>
    <w:rsid w:val="003D70BD"/>
    <w:rsid w:val="003E0ACD"/>
    <w:rsid w:val="003E1945"/>
    <w:rsid w:val="003E377F"/>
    <w:rsid w:val="003E6CFE"/>
    <w:rsid w:val="003F2516"/>
    <w:rsid w:val="003F2D9D"/>
    <w:rsid w:val="003F6134"/>
    <w:rsid w:val="00401C46"/>
    <w:rsid w:val="00404BDF"/>
    <w:rsid w:val="00416947"/>
    <w:rsid w:val="00424B48"/>
    <w:rsid w:val="00430206"/>
    <w:rsid w:val="00435978"/>
    <w:rsid w:val="0044610C"/>
    <w:rsid w:val="0044746F"/>
    <w:rsid w:val="004539F0"/>
    <w:rsid w:val="004541CE"/>
    <w:rsid w:val="00455EFC"/>
    <w:rsid w:val="00457D61"/>
    <w:rsid w:val="004611AF"/>
    <w:rsid w:val="0046258C"/>
    <w:rsid w:val="00463263"/>
    <w:rsid w:val="0046356D"/>
    <w:rsid w:val="00464742"/>
    <w:rsid w:val="00465FE0"/>
    <w:rsid w:val="004736FE"/>
    <w:rsid w:val="00475415"/>
    <w:rsid w:val="00476701"/>
    <w:rsid w:val="00484870"/>
    <w:rsid w:val="004A2494"/>
    <w:rsid w:val="004A2773"/>
    <w:rsid w:val="004A2A90"/>
    <w:rsid w:val="004A3919"/>
    <w:rsid w:val="004A42AE"/>
    <w:rsid w:val="004B2A7C"/>
    <w:rsid w:val="004E42C4"/>
    <w:rsid w:val="004E7AA1"/>
    <w:rsid w:val="005023B3"/>
    <w:rsid w:val="0050644F"/>
    <w:rsid w:val="00511CBE"/>
    <w:rsid w:val="00515D6B"/>
    <w:rsid w:val="00520E79"/>
    <w:rsid w:val="005271B2"/>
    <w:rsid w:val="0053161A"/>
    <w:rsid w:val="00536913"/>
    <w:rsid w:val="005414E3"/>
    <w:rsid w:val="00542D6F"/>
    <w:rsid w:val="00545B70"/>
    <w:rsid w:val="00546235"/>
    <w:rsid w:val="00564483"/>
    <w:rsid w:val="00571200"/>
    <w:rsid w:val="00584A0F"/>
    <w:rsid w:val="00585C51"/>
    <w:rsid w:val="00587DB6"/>
    <w:rsid w:val="00587FB9"/>
    <w:rsid w:val="00591A75"/>
    <w:rsid w:val="00593D62"/>
    <w:rsid w:val="00593EA0"/>
    <w:rsid w:val="005A3A17"/>
    <w:rsid w:val="005A73C1"/>
    <w:rsid w:val="005A7FB6"/>
    <w:rsid w:val="005B6CD3"/>
    <w:rsid w:val="005C0CA5"/>
    <w:rsid w:val="005C3FCB"/>
    <w:rsid w:val="005D1704"/>
    <w:rsid w:val="005D34D4"/>
    <w:rsid w:val="005D38C0"/>
    <w:rsid w:val="005D555D"/>
    <w:rsid w:val="005D7BA1"/>
    <w:rsid w:val="005D7D73"/>
    <w:rsid w:val="005E0D3D"/>
    <w:rsid w:val="005E2BB8"/>
    <w:rsid w:val="005F5C25"/>
    <w:rsid w:val="005F64F6"/>
    <w:rsid w:val="0060686C"/>
    <w:rsid w:val="00611A11"/>
    <w:rsid w:val="0061234E"/>
    <w:rsid w:val="00614CBC"/>
    <w:rsid w:val="006213CC"/>
    <w:rsid w:val="006237A4"/>
    <w:rsid w:val="006256BC"/>
    <w:rsid w:val="00631464"/>
    <w:rsid w:val="00647A51"/>
    <w:rsid w:val="00647D13"/>
    <w:rsid w:val="006601FB"/>
    <w:rsid w:val="00662B50"/>
    <w:rsid w:val="00670ADC"/>
    <w:rsid w:val="006756E7"/>
    <w:rsid w:val="00685003"/>
    <w:rsid w:val="00686846"/>
    <w:rsid w:val="00687901"/>
    <w:rsid w:val="00690696"/>
    <w:rsid w:val="006A2F1F"/>
    <w:rsid w:val="006A48DC"/>
    <w:rsid w:val="006B08E5"/>
    <w:rsid w:val="006B3D19"/>
    <w:rsid w:val="006B5753"/>
    <w:rsid w:val="006B7D26"/>
    <w:rsid w:val="006C39BC"/>
    <w:rsid w:val="006C5DA8"/>
    <w:rsid w:val="006E1721"/>
    <w:rsid w:val="006E1770"/>
    <w:rsid w:val="006E2C21"/>
    <w:rsid w:val="006E30D8"/>
    <w:rsid w:val="006F6B56"/>
    <w:rsid w:val="00702E01"/>
    <w:rsid w:val="0070320C"/>
    <w:rsid w:val="007038EB"/>
    <w:rsid w:val="00710DFA"/>
    <w:rsid w:val="00722153"/>
    <w:rsid w:val="0072255B"/>
    <w:rsid w:val="007252DA"/>
    <w:rsid w:val="0072556E"/>
    <w:rsid w:val="007371CD"/>
    <w:rsid w:val="00737EB2"/>
    <w:rsid w:val="00737FDD"/>
    <w:rsid w:val="007539E3"/>
    <w:rsid w:val="00754FDF"/>
    <w:rsid w:val="0076428A"/>
    <w:rsid w:val="00780E73"/>
    <w:rsid w:val="00783BBA"/>
    <w:rsid w:val="0079536D"/>
    <w:rsid w:val="0079764F"/>
    <w:rsid w:val="007A0F8B"/>
    <w:rsid w:val="007B7D8D"/>
    <w:rsid w:val="007D586B"/>
    <w:rsid w:val="007E14EA"/>
    <w:rsid w:val="007F08F7"/>
    <w:rsid w:val="008019E5"/>
    <w:rsid w:val="00801DD7"/>
    <w:rsid w:val="0080610B"/>
    <w:rsid w:val="00810D99"/>
    <w:rsid w:val="0081350F"/>
    <w:rsid w:val="00814E76"/>
    <w:rsid w:val="008229BE"/>
    <w:rsid w:val="0082398F"/>
    <w:rsid w:val="008251DD"/>
    <w:rsid w:val="00830064"/>
    <w:rsid w:val="00834F9E"/>
    <w:rsid w:val="0083516B"/>
    <w:rsid w:val="008604DF"/>
    <w:rsid w:val="00873A2B"/>
    <w:rsid w:val="00893F2E"/>
    <w:rsid w:val="008A2D58"/>
    <w:rsid w:val="008A565F"/>
    <w:rsid w:val="008A56D3"/>
    <w:rsid w:val="008A609C"/>
    <w:rsid w:val="008A7E86"/>
    <w:rsid w:val="008B1C3D"/>
    <w:rsid w:val="008B1CCE"/>
    <w:rsid w:val="008B22E0"/>
    <w:rsid w:val="008B7088"/>
    <w:rsid w:val="008C6F92"/>
    <w:rsid w:val="008D5D56"/>
    <w:rsid w:val="008E2AEA"/>
    <w:rsid w:val="008E7CE2"/>
    <w:rsid w:val="008F3050"/>
    <w:rsid w:val="00904524"/>
    <w:rsid w:val="0091353F"/>
    <w:rsid w:val="00915C5D"/>
    <w:rsid w:val="00923390"/>
    <w:rsid w:val="0092413F"/>
    <w:rsid w:val="00925049"/>
    <w:rsid w:val="00931D3E"/>
    <w:rsid w:val="009360CF"/>
    <w:rsid w:val="00941882"/>
    <w:rsid w:val="00943F34"/>
    <w:rsid w:val="00947378"/>
    <w:rsid w:val="00961071"/>
    <w:rsid w:val="00962DA7"/>
    <w:rsid w:val="0097188C"/>
    <w:rsid w:val="009731EA"/>
    <w:rsid w:val="009734B8"/>
    <w:rsid w:val="00974F97"/>
    <w:rsid w:val="009759A1"/>
    <w:rsid w:val="009770E1"/>
    <w:rsid w:val="00984E2A"/>
    <w:rsid w:val="00984FF2"/>
    <w:rsid w:val="009877E1"/>
    <w:rsid w:val="0099072C"/>
    <w:rsid w:val="00995438"/>
    <w:rsid w:val="009A158B"/>
    <w:rsid w:val="009A5F0C"/>
    <w:rsid w:val="009B2136"/>
    <w:rsid w:val="009B2987"/>
    <w:rsid w:val="009B3544"/>
    <w:rsid w:val="009B3F82"/>
    <w:rsid w:val="009B6E39"/>
    <w:rsid w:val="009B70F5"/>
    <w:rsid w:val="009B7283"/>
    <w:rsid w:val="009C2B54"/>
    <w:rsid w:val="009C3676"/>
    <w:rsid w:val="009E27BE"/>
    <w:rsid w:val="009E5624"/>
    <w:rsid w:val="00A02732"/>
    <w:rsid w:val="00A1449F"/>
    <w:rsid w:val="00A20CE4"/>
    <w:rsid w:val="00A42004"/>
    <w:rsid w:val="00A45608"/>
    <w:rsid w:val="00A4569F"/>
    <w:rsid w:val="00A5398B"/>
    <w:rsid w:val="00A64176"/>
    <w:rsid w:val="00A70E63"/>
    <w:rsid w:val="00A73DE0"/>
    <w:rsid w:val="00A74E97"/>
    <w:rsid w:val="00A90785"/>
    <w:rsid w:val="00A95AEF"/>
    <w:rsid w:val="00AA4B11"/>
    <w:rsid w:val="00AB3225"/>
    <w:rsid w:val="00AB3975"/>
    <w:rsid w:val="00AC0638"/>
    <w:rsid w:val="00AC51F4"/>
    <w:rsid w:val="00AC7F59"/>
    <w:rsid w:val="00AD5461"/>
    <w:rsid w:val="00AF0CBD"/>
    <w:rsid w:val="00AF29B7"/>
    <w:rsid w:val="00AF391E"/>
    <w:rsid w:val="00AF3BDB"/>
    <w:rsid w:val="00B04C95"/>
    <w:rsid w:val="00B1700D"/>
    <w:rsid w:val="00B237AD"/>
    <w:rsid w:val="00B252F6"/>
    <w:rsid w:val="00B2732C"/>
    <w:rsid w:val="00B35B55"/>
    <w:rsid w:val="00B40CF9"/>
    <w:rsid w:val="00B43216"/>
    <w:rsid w:val="00B47BB2"/>
    <w:rsid w:val="00B47FA3"/>
    <w:rsid w:val="00B51E12"/>
    <w:rsid w:val="00B6494A"/>
    <w:rsid w:val="00B654B0"/>
    <w:rsid w:val="00B8621E"/>
    <w:rsid w:val="00B90F5C"/>
    <w:rsid w:val="00B93B7B"/>
    <w:rsid w:val="00B9409F"/>
    <w:rsid w:val="00B96D58"/>
    <w:rsid w:val="00BA211D"/>
    <w:rsid w:val="00BA7C2A"/>
    <w:rsid w:val="00BB08FF"/>
    <w:rsid w:val="00BB15BC"/>
    <w:rsid w:val="00BB70DD"/>
    <w:rsid w:val="00BC10E2"/>
    <w:rsid w:val="00BC3B77"/>
    <w:rsid w:val="00BE393A"/>
    <w:rsid w:val="00BF7B0A"/>
    <w:rsid w:val="00BF7F13"/>
    <w:rsid w:val="00C012B4"/>
    <w:rsid w:val="00C203FE"/>
    <w:rsid w:val="00C22C6D"/>
    <w:rsid w:val="00C27DC8"/>
    <w:rsid w:val="00C306C1"/>
    <w:rsid w:val="00C3084B"/>
    <w:rsid w:val="00C33303"/>
    <w:rsid w:val="00C37A2D"/>
    <w:rsid w:val="00C56924"/>
    <w:rsid w:val="00C602CA"/>
    <w:rsid w:val="00C6045C"/>
    <w:rsid w:val="00C64767"/>
    <w:rsid w:val="00C706C0"/>
    <w:rsid w:val="00C70C17"/>
    <w:rsid w:val="00C74D45"/>
    <w:rsid w:val="00C81DDB"/>
    <w:rsid w:val="00C910A3"/>
    <w:rsid w:val="00C9561D"/>
    <w:rsid w:val="00C95F01"/>
    <w:rsid w:val="00CA7C1A"/>
    <w:rsid w:val="00CB0D25"/>
    <w:rsid w:val="00CB3CA5"/>
    <w:rsid w:val="00CC085C"/>
    <w:rsid w:val="00CC5144"/>
    <w:rsid w:val="00CE28F8"/>
    <w:rsid w:val="00CF29A7"/>
    <w:rsid w:val="00CF74F8"/>
    <w:rsid w:val="00CF788E"/>
    <w:rsid w:val="00D139F2"/>
    <w:rsid w:val="00D14B87"/>
    <w:rsid w:val="00D14FCF"/>
    <w:rsid w:val="00D201C1"/>
    <w:rsid w:val="00D2297C"/>
    <w:rsid w:val="00D316C8"/>
    <w:rsid w:val="00D31F8D"/>
    <w:rsid w:val="00D3648B"/>
    <w:rsid w:val="00D40716"/>
    <w:rsid w:val="00D40F0D"/>
    <w:rsid w:val="00D46095"/>
    <w:rsid w:val="00D46A49"/>
    <w:rsid w:val="00D47B18"/>
    <w:rsid w:val="00D56B54"/>
    <w:rsid w:val="00D606DB"/>
    <w:rsid w:val="00D626B5"/>
    <w:rsid w:val="00D6341F"/>
    <w:rsid w:val="00D641C4"/>
    <w:rsid w:val="00D678B7"/>
    <w:rsid w:val="00D80B19"/>
    <w:rsid w:val="00D86492"/>
    <w:rsid w:val="00D97DFA"/>
    <w:rsid w:val="00DB0E19"/>
    <w:rsid w:val="00DC3E49"/>
    <w:rsid w:val="00DD44D0"/>
    <w:rsid w:val="00DD580B"/>
    <w:rsid w:val="00DE16D0"/>
    <w:rsid w:val="00DE7208"/>
    <w:rsid w:val="00DF4510"/>
    <w:rsid w:val="00DF66C8"/>
    <w:rsid w:val="00DF77BE"/>
    <w:rsid w:val="00DF7DC4"/>
    <w:rsid w:val="00E15C08"/>
    <w:rsid w:val="00E165AB"/>
    <w:rsid w:val="00E20547"/>
    <w:rsid w:val="00E22A0D"/>
    <w:rsid w:val="00E2377E"/>
    <w:rsid w:val="00E310EC"/>
    <w:rsid w:val="00E40365"/>
    <w:rsid w:val="00E4489A"/>
    <w:rsid w:val="00E5109C"/>
    <w:rsid w:val="00E60842"/>
    <w:rsid w:val="00E618D3"/>
    <w:rsid w:val="00E628B7"/>
    <w:rsid w:val="00E9242B"/>
    <w:rsid w:val="00E97154"/>
    <w:rsid w:val="00E97A09"/>
    <w:rsid w:val="00EA4CA4"/>
    <w:rsid w:val="00EA52AA"/>
    <w:rsid w:val="00EB7571"/>
    <w:rsid w:val="00EC2760"/>
    <w:rsid w:val="00ED05DF"/>
    <w:rsid w:val="00ED7792"/>
    <w:rsid w:val="00EE0F98"/>
    <w:rsid w:val="00EE20AD"/>
    <w:rsid w:val="00EE56DC"/>
    <w:rsid w:val="00F01DE8"/>
    <w:rsid w:val="00F0396E"/>
    <w:rsid w:val="00F12AD8"/>
    <w:rsid w:val="00F14D53"/>
    <w:rsid w:val="00F15B27"/>
    <w:rsid w:val="00F25847"/>
    <w:rsid w:val="00F42C33"/>
    <w:rsid w:val="00F46D85"/>
    <w:rsid w:val="00F5561F"/>
    <w:rsid w:val="00F55F8F"/>
    <w:rsid w:val="00F67703"/>
    <w:rsid w:val="00F72763"/>
    <w:rsid w:val="00F80000"/>
    <w:rsid w:val="00F82A59"/>
    <w:rsid w:val="00FB5350"/>
    <w:rsid w:val="00FC78F3"/>
    <w:rsid w:val="00FD131E"/>
    <w:rsid w:val="00FE4932"/>
    <w:rsid w:val="00FF3E76"/>
    <w:rsid w:val="00FF46DA"/>
    <w:rsid w:val="00FF7774"/>
    <w:rsid w:val="02862AB5"/>
    <w:rsid w:val="031B3B28"/>
    <w:rsid w:val="03592E39"/>
    <w:rsid w:val="038D3441"/>
    <w:rsid w:val="03AA4E99"/>
    <w:rsid w:val="04831DF5"/>
    <w:rsid w:val="05087E50"/>
    <w:rsid w:val="06FC5CEF"/>
    <w:rsid w:val="07054138"/>
    <w:rsid w:val="086E51F8"/>
    <w:rsid w:val="096A2A63"/>
    <w:rsid w:val="097211CE"/>
    <w:rsid w:val="0A8068C8"/>
    <w:rsid w:val="0CA84FD3"/>
    <w:rsid w:val="0D3F41DA"/>
    <w:rsid w:val="0FC3536E"/>
    <w:rsid w:val="111473E3"/>
    <w:rsid w:val="112B2ACE"/>
    <w:rsid w:val="113A5B8F"/>
    <w:rsid w:val="117627C9"/>
    <w:rsid w:val="11E1333A"/>
    <w:rsid w:val="12A5220A"/>
    <w:rsid w:val="12A82A2A"/>
    <w:rsid w:val="141D000D"/>
    <w:rsid w:val="14E21050"/>
    <w:rsid w:val="151762CC"/>
    <w:rsid w:val="1801565F"/>
    <w:rsid w:val="18723D84"/>
    <w:rsid w:val="18E759E8"/>
    <w:rsid w:val="198E0776"/>
    <w:rsid w:val="199C52A7"/>
    <w:rsid w:val="19AB6A2A"/>
    <w:rsid w:val="1A0B4DF5"/>
    <w:rsid w:val="1AD70F01"/>
    <w:rsid w:val="1C593185"/>
    <w:rsid w:val="1D88524C"/>
    <w:rsid w:val="1F2441C8"/>
    <w:rsid w:val="22560DFF"/>
    <w:rsid w:val="248E72E4"/>
    <w:rsid w:val="259E1C5F"/>
    <w:rsid w:val="274C1D81"/>
    <w:rsid w:val="27757E2F"/>
    <w:rsid w:val="281335CC"/>
    <w:rsid w:val="28FF7D52"/>
    <w:rsid w:val="294463BA"/>
    <w:rsid w:val="2A387FDD"/>
    <w:rsid w:val="2A8078E7"/>
    <w:rsid w:val="2AEB407A"/>
    <w:rsid w:val="2AF45EB6"/>
    <w:rsid w:val="2B5A493D"/>
    <w:rsid w:val="2C151F8B"/>
    <w:rsid w:val="2E3329E3"/>
    <w:rsid w:val="30192302"/>
    <w:rsid w:val="305637DC"/>
    <w:rsid w:val="30B26FE8"/>
    <w:rsid w:val="31B824AF"/>
    <w:rsid w:val="31EB0FFB"/>
    <w:rsid w:val="32D731E1"/>
    <w:rsid w:val="33F156B4"/>
    <w:rsid w:val="34032856"/>
    <w:rsid w:val="3413064E"/>
    <w:rsid w:val="35DA0786"/>
    <w:rsid w:val="35E010E4"/>
    <w:rsid w:val="38A249BB"/>
    <w:rsid w:val="3A7F2907"/>
    <w:rsid w:val="3B264711"/>
    <w:rsid w:val="3B4F4A94"/>
    <w:rsid w:val="3C5F2FB1"/>
    <w:rsid w:val="3D5620B0"/>
    <w:rsid w:val="3D8760EC"/>
    <w:rsid w:val="3EFB4EBD"/>
    <w:rsid w:val="41AC4F99"/>
    <w:rsid w:val="43744557"/>
    <w:rsid w:val="43C127D7"/>
    <w:rsid w:val="44282B5C"/>
    <w:rsid w:val="455908DF"/>
    <w:rsid w:val="45C3218B"/>
    <w:rsid w:val="45F6165E"/>
    <w:rsid w:val="49C979C2"/>
    <w:rsid w:val="49CE312B"/>
    <w:rsid w:val="4A5433CA"/>
    <w:rsid w:val="4A796A97"/>
    <w:rsid w:val="4CC77013"/>
    <w:rsid w:val="4D067247"/>
    <w:rsid w:val="4D107DCD"/>
    <w:rsid w:val="4F073E5F"/>
    <w:rsid w:val="4FCE1B32"/>
    <w:rsid w:val="51BE3388"/>
    <w:rsid w:val="522B2F97"/>
    <w:rsid w:val="532B0103"/>
    <w:rsid w:val="546B5FAE"/>
    <w:rsid w:val="556C0B09"/>
    <w:rsid w:val="568026F8"/>
    <w:rsid w:val="57B3063C"/>
    <w:rsid w:val="598801C3"/>
    <w:rsid w:val="5AAD3D40"/>
    <w:rsid w:val="5AB617A7"/>
    <w:rsid w:val="5B264086"/>
    <w:rsid w:val="5B9D42DA"/>
    <w:rsid w:val="5C9B0FC8"/>
    <w:rsid w:val="5D20596B"/>
    <w:rsid w:val="5D731EE5"/>
    <w:rsid w:val="5F0A527B"/>
    <w:rsid w:val="5F34063D"/>
    <w:rsid w:val="5FC31AED"/>
    <w:rsid w:val="60F71198"/>
    <w:rsid w:val="6155202D"/>
    <w:rsid w:val="61C743A8"/>
    <w:rsid w:val="626E5F43"/>
    <w:rsid w:val="62B62E55"/>
    <w:rsid w:val="6389081A"/>
    <w:rsid w:val="66CD49A5"/>
    <w:rsid w:val="67AA4E8D"/>
    <w:rsid w:val="69500B59"/>
    <w:rsid w:val="69EC6CC5"/>
    <w:rsid w:val="6A4B1057"/>
    <w:rsid w:val="6A9C187D"/>
    <w:rsid w:val="6B100777"/>
    <w:rsid w:val="6BCE50A3"/>
    <w:rsid w:val="6E33475F"/>
    <w:rsid w:val="6EAA5621"/>
    <w:rsid w:val="6EEB0D5D"/>
    <w:rsid w:val="6F2D7E8C"/>
    <w:rsid w:val="6F874944"/>
    <w:rsid w:val="6F937E2F"/>
    <w:rsid w:val="6FFFDDB8"/>
    <w:rsid w:val="70A252AE"/>
    <w:rsid w:val="70EC74C7"/>
    <w:rsid w:val="71AA11CD"/>
    <w:rsid w:val="72C46456"/>
    <w:rsid w:val="72C661F4"/>
    <w:rsid w:val="730D69B5"/>
    <w:rsid w:val="738057F3"/>
    <w:rsid w:val="73CC418D"/>
    <w:rsid w:val="74CF5BB9"/>
    <w:rsid w:val="75EF2A88"/>
    <w:rsid w:val="770706D4"/>
    <w:rsid w:val="7716428A"/>
    <w:rsid w:val="779B05E3"/>
    <w:rsid w:val="78011EAA"/>
    <w:rsid w:val="782C5EAA"/>
    <w:rsid w:val="78D2771C"/>
    <w:rsid w:val="79002396"/>
    <w:rsid w:val="79585905"/>
    <w:rsid w:val="7BFB59DE"/>
    <w:rsid w:val="7CA21C8A"/>
    <w:rsid w:val="7D4E38FF"/>
    <w:rsid w:val="7DFD6D73"/>
    <w:rsid w:val="DE6A1415"/>
    <w:rsid w:val="FE7E496E"/>
    <w:rsid w:val="FEF78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120" w:after="120" w:line="360" w:lineRule="auto"/>
      <w:outlineLvl w:val="0"/>
    </w:pPr>
    <w:rPr>
      <w:rFonts w:ascii="宋体"/>
      <w:b/>
      <w:color w:val="000000"/>
      <w:kern w:val="0"/>
      <w:sz w:val="24"/>
      <w:szCs w:val="20"/>
    </w:rPr>
  </w:style>
  <w:style w:type="paragraph" w:styleId="3">
    <w:name w:val="heading 2"/>
    <w:basedOn w:val="1"/>
    <w:next w:val="1"/>
    <w:link w:val="29"/>
    <w:qFormat/>
    <w:uiPriority w:val="0"/>
    <w:pPr>
      <w:keepNext/>
      <w:keepLines/>
      <w:spacing w:before="260" w:after="260" w:line="416" w:lineRule="auto"/>
      <w:outlineLvl w:val="1"/>
    </w:pPr>
    <w:rPr>
      <w:rFonts w:ascii="Calibri Light" w:hAnsi="Calibri Light" w:cs="宋体"/>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firstLineChars="200"/>
    </w:pPr>
  </w:style>
  <w:style w:type="paragraph" w:styleId="5">
    <w:name w:val="annotation text"/>
    <w:basedOn w:val="1"/>
    <w:link w:val="21"/>
    <w:qFormat/>
    <w:uiPriority w:val="99"/>
    <w:pPr>
      <w:jc w:val="left"/>
    </w:pPr>
  </w:style>
  <w:style w:type="paragraph" w:styleId="6">
    <w:name w:val="Body Text Indent"/>
    <w:basedOn w:val="1"/>
    <w:link w:val="30"/>
    <w:qFormat/>
    <w:uiPriority w:val="0"/>
    <w:pPr>
      <w:spacing w:line="400" w:lineRule="exact"/>
      <w:ind w:firstLine="538" w:firstLineChars="192"/>
    </w:pPr>
    <w:rPr>
      <w:rFonts w:ascii="仿宋_GB2312" w:hAnsi="宋体" w:eastAsia="仿宋_GB2312"/>
      <w:color w:val="000000"/>
      <w:sz w:val="28"/>
    </w:rPr>
  </w:style>
  <w:style w:type="paragraph" w:styleId="7">
    <w:name w:val="Plain Text"/>
    <w:basedOn w:val="1"/>
    <w:link w:val="26"/>
    <w:qFormat/>
    <w:uiPriority w:val="0"/>
    <w:rPr>
      <w:rFonts w:ascii="宋体" w:hAnsi="Courier New" w:cs="Courier New"/>
      <w:szCs w:val="21"/>
    </w:rPr>
  </w:style>
  <w:style w:type="paragraph" w:styleId="8">
    <w:name w:val="Balloon Text"/>
    <w:basedOn w:val="1"/>
    <w:link w:val="20"/>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sz w:val="18"/>
      <w:szCs w:val="18"/>
    </w:rPr>
  </w:style>
  <w:style w:type="paragraph" w:styleId="10">
    <w:name w:val="header"/>
    <w:basedOn w:val="1"/>
    <w:link w:val="23"/>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pPr>
      <w:tabs>
        <w:tab w:val="right" w:leader="dot" w:pos="8296"/>
      </w:tabs>
      <w:spacing w:line="360" w:lineRule="auto"/>
    </w:pPr>
    <w:rPr>
      <w:szCs w:val="20"/>
    </w:rPr>
  </w:style>
  <w:style w:type="paragraph" w:styleId="12">
    <w:name w:val="Subtitle"/>
    <w:basedOn w:val="1"/>
    <w:next w:val="1"/>
    <w:link w:val="25"/>
    <w:qFormat/>
    <w:uiPriority w:val="0"/>
    <w:pPr>
      <w:spacing w:before="240" w:after="60" w:line="312" w:lineRule="auto"/>
      <w:jc w:val="center"/>
      <w:outlineLvl w:val="1"/>
    </w:pPr>
    <w:rPr>
      <w:rFonts w:ascii="Calibri Light" w:hAnsi="Calibri Light"/>
      <w:b/>
      <w:bCs/>
      <w:kern w:val="28"/>
      <w:sz w:val="32"/>
      <w:szCs w:val="32"/>
    </w:rPr>
  </w:style>
  <w:style w:type="paragraph" w:styleId="13">
    <w:name w:val="annotation subject"/>
    <w:basedOn w:val="5"/>
    <w:next w:val="5"/>
    <w:link w:val="22"/>
    <w:qFormat/>
    <w:uiPriority w:val="99"/>
    <w:rPr>
      <w:b/>
      <w:bC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qFormat/>
    <w:uiPriority w:val="99"/>
    <w:rPr>
      <w:color w:val="0563C1"/>
      <w:u w:val="single"/>
    </w:rPr>
  </w:style>
  <w:style w:type="character" w:styleId="18">
    <w:name w:val="annotation reference"/>
    <w:basedOn w:val="16"/>
    <w:qFormat/>
    <w:uiPriority w:val="99"/>
    <w:rPr>
      <w:sz w:val="21"/>
      <w:szCs w:val="21"/>
    </w:rPr>
  </w:style>
  <w:style w:type="paragraph" w:styleId="19">
    <w:name w:val="List Paragraph"/>
    <w:basedOn w:val="1"/>
    <w:qFormat/>
    <w:uiPriority w:val="34"/>
    <w:pPr>
      <w:ind w:firstLine="420" w:firstLineChars="200"/>
    </w:pPr>
  </w:style>
  <w:style w:type="character" w:customStyle="1" w:styleId="20">
    <w:name w:val="批注框文本 字符"/>
    <w:basedOn w:val="16"/>
    <w:link w:val="8"/>
    <w:qFormat/>
    <w:uiPriority w:val="99"/>
    <w:rPr>
      <w:rFonts w:ascii="Times New Roman" w:hAnsi="Times New Roman" w:eastAsia="宋体" w:cs="Times New Roman"/>
      <w:sz w:val="18"/>
      <w:szCs w:val="18"/>
    </w:rPr>
  </w:style>
  <w:style w:type="character" w:customStyle="1" w:styleId="21">
    <w:name w:val="批注文字 字符"/>
    <w:basedOn w:val="16"/>
    <w:link w:val="5"/>
    <w:qFormat/>
    <w:uiPriority w:val="99"/>
    <w:rPr>
      <w:rFonts w:ascii="Times New Roman" w:hAnsi="Times New Roman" w:eastAsia="宋体" w:cs="Times New Roman"/>
      <w:szCs w:val="24"/>
    </w:rPr>
  </w:style>
  <w:style w:type="character" w:customStyle="1" w:styleId="22">
    <w:name w:val="批注主题 字符"/>
    <w:basedOn w:val="21"/>
    <w:link w:val="13"/>
    <w:qFormat/>
    <w:uiPriority w:val="99"/>
    <w:rPr>
      <w:rFonts w:ascii="Times New Roman" w:hAnsi="Times New Roman" w:eastAsia="宋体" w:cs="Times New Roman"/>
      <w:b/>
      <w:bCs/>
      <w:szCs w:val="24"/>
    </w:rPr>
  </w:style>
  <w:style w:type="character" w:customStyle="1" w:styleId="23">
    <w:name w:val="页眉 字符"/>
    <w:basedOn w:val="16"/>
    <w:link w:val="10"/>
    <w:qFormat/>
    <w:uiPriority w:val="99"/>
    <w:rPr>
      <w:rFonts w:ascii="Times New Roman" w:hAnsi="Times New Roman" w:eastAsia="宋体" w:cs="Times New Roman"/>
      <w:sz w:val="18"/>
      <w:szCs w:val="18"/>
    </w:rPr>
  </w:style>
  <w:style w:type="character" w:customStyle="1" w:styleId="24">
    <w:name w:val="页脚 字符"/>
    <w:basedOn w:val="16"/>
    <w:link w:val="9"/>
    <w:qFormat/>
    <w:uiPriority w:val="99"/>
    <w:rPr>
      <w:rFonts w:ascii="Times New Roman" w:hAnsi="Times New Roman" w:eastAsia="宋体" w:cs="Times New Roman"/>
      <w:sz w:val="18"/>
      <w:szCs w:val="18"/>
    </w:rPr>
  </w:style>
  <w:style w:type="character" w:customStyle="1" w:styleId="25">
    <w:name w:val="副标题 字符"/>
    <w:basedOn w:val="16"/>
    <w:link w:val="12"/>
    <w:qFormat/>
    <w:uiPriority w:val="0"/>
    <w:rPr>
      <w:rFonts w:ascii="Calibri Light" w:hAnsi="Calibri Light" w:eastAsia="宋体" w:cs="Times New Roman"/>
      <w:b/>
      <w:bCs/>
      <w:kern w:val="28"/>
      <w:sz w:val="32"/>
      <w:szCs w:val="32"/>
    </w:rPr>
  </w:style>
  <w:style w:type="character" w:customStyle="1" w:styleId="26">
    <w:name w:val="纯文本 字符"/>
    <w:basedOn w:val="16"/>
    <w:link w:val="7"/>
    <w:qFormat/>
    <w:uiPriority w:val="0"/>
    <w:rPr>
      <w:rFonts w:ascii="宋体" w:hAnsi="Courier New" w:eastAsia="宋体" w:cs="Courier New"/>
      <w:szCs w:val="21"/>
    </w:rPr>
  </w:style>
  <w:style w:type="paragraph" w:customStyle="1" w:styleId="27">
    <w:name w:val="修订1"/>
    <w:qFormat/>
    <w:uiPriority w:val="99"/>
    <w:rPr>
      <w:rFonts w:ascii="Times New Roman" w:hAnsi="Times New Roman" w:eastAsia="宋体" w:cs="Times New Roman"/>
      <w:kern w:val="2"/>
      <w:sz w:val="21"/>
      <w:szCs w:val="24"/>
      <w:lang w:val="en-US" w:eastAsia="zh-CN" w:bidi="ar-SA"/>
    </w:rPr>
  </w:style>
  <w:style w:type="character" w:customStyle="1" w:styleId="28">
    <w:name w:val="标题 1 字符"/>
    <w:basedOn w:val="16"/>
    <w:link w:val="2"/>
    <w:qFormat/>
    <w:uiPriority w:val="0"/>
    <w:rPr>
      <w:rFonts w:ascii="宋体" w:hAnsi="Times New Roman" w:eastAsia="宋体" w:cs="Times New Roman"/>
      <w:b/>
      <w:color w:val="000000"/>
      <w:kern w:val="0"/>
      <w:sz w:val="24"/>
      <w:szCs w:val="20"/>
    </w:rPr>
  </w:style>
  <w:style w:type="character" w:customStyle="1" w:styleId="29">
    <w:name w:val="标题 2 字符"/>
    <w:basedOn w:val="16"/>
    <w:link w:val="3"/>
    <w:qFormat/>
    <w:uiPriority w:val="0"/>
    <w:rPr>
      <w:rFonts w:ascii="Calibri Light" w:hAnsi="Calibri Light" w:eastAsia="宋体" w:cs="宋体"/>
      <w:b/>
      <w:bCs/>
      <w:sz w:val="32"/>
      <w:szCs w:val="32"/>
    </w:rPr>
  </w:style>
  <w:style w:type="character" w:customStyle="1" w:styleId="30">
    <w:name w:val="正文文本缩进 字符"/>
    <w:basedOn w:val="16"/>
    <w:link w:val="6"/>
    <w:qFormat/>
    <w:uiPriority w:val="0"/>
    <w:rPr>
      <w:rFonts w:ascii="仿宋_GB2312" w:hAnsi="宋体" w:eastAsia="仿宋_GB2312" w:cs="Times New Roman"/>
      <w:color w:val="000000"/>
      <w:sz w:val="28"/>
      <w:szCs w:val="24"/>
    </w:rPr>
  </w:style>
  <w:style w:type="paragraph" w:customStyle="1" w:styleId="3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32">
    <w:name w:val="修订3"/>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11664</Words>
  <Characters>2693</Characters>
  <Lines>22</Lines>
  <Paragraphs>28</Paragraphs>
  <TotalTime>82</TotalTime>
  <ScaleCrop>false</ScaleCrop>
  <LinksUpToDate>false</LinksUpToDate>
  <CharactersWithSpaces>14329</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2026-08-21T06:52:00Z</dcterms:created>
  <dc:creator>csrc</dc:creator>
  <cp:lastModifiedBy>陈尚清</cp:lastModifiedBy>
  <cp:lastPrinted>2026-07-08T01:50:00Z</cp:lastPrinted>
  <dcterms:modified xsi:type="dcterms:W3CDTF">2026-10-27T08:17:56Z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D4A1FCD0E98C4A4295533B5C05A315D8_13</vt:lpwstr>
  </property>
</Properties>
</file>