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7D3BEF">
      <w:pPr>
        <w:spacing w:before="50" w:after="50" w:line="360" w:lineRule="auto"/>
        <w:jc w:val="center"/>
        <w:outlineLvl w:val="0"/>
        <w:rPr>
          <w:rFonts w:cs="宋体"/>
          <w:b/>
          <w:bCs/>
          <w:sz w:val="28"/>
          <w:szCs w:val="28"/>
        </w:rPr>
      </w:pPr>
      <w:bookmarkStart w:id="0" w:name="_GoBack"/>
      <w:bookmarkEnd w:id="0"/>
      <w:r>
        <w:rPr>
          <w:rFonts w:hint="eastAsia" w:cs="宋体"/>
          <w:b/>
          <w:bCs/>
          <w:sz w:val="28"/>
          <w:szCs w:val="28"/>
        </w:rPr>
        <w:t>交银施罗德基金管理有限公司关于增加</w:t>
      </w:r>
      <w:r>
        <w:rPr>
          <w:rFonts w:hint="eastAsia" w:cs="宋体"/>
          <w:b/>
          <w:bCs/>
          <w:sz w:val="28"/>
          <w:szCs w:val="28"/>
          <w:lang w:eastAsia="zh-CN"/>
        </w:rPr>
        <w:t>交银施罗德佳盛债券型证券投资基金</w:t>
      </w:r>
      <w:r>
        <w:rPr>
          <w:rFonts w:hint="eastAsia" w:cs="宋体"/>
          <w:b/>
          <w:bCs/>
          <w:sz w:val="28"/>
          <w:szCs w:val="28"/>
        </w:rPr>
        <w:t>销售机构的公告</w:t>
      </w:r>
    </w:p>
    <w:p w14:paraId="1A5A2E87">
      <w:pPr>
        <w:spacing w:before="50" w:after="50" w:line="360" w:lineRule="auto"/>
        <w:ind w:firstLine="562" w:firstLineChars="200"/>
        <w:jc w:val="center"/>
        <w:rPr>
          <w:b/>
          <w:bCs/>
          <w:sz w:val="28"/>
          <w:szCs w:val="28"/>
        </w:rPr>
      </w:pPr>
    </w:p>
    <w:p w14:paraId="779AD60A">
      <w:pPr>
        <w:adjustRightInd w:val="0"/>
        <w:snapToGrid w:val="0"/>
        <w:spacing w:line="360" w:lineRule="auto"/>
        <w:ind w:firstLine="480" w:firstLineChars="200"/>
        <w:rPr>
          <w:bCs/>
          <w:sz w:val="24"/>
          <w:szCs w:val="24"/>
        </w:rPr>
      </w:pPr>
      <w:r>
        <w:rPr>
          <w:bCs/>
          <w:sz w:val="24"/>
          <w:szCs w:val="24"/>
        </w:rPr>
        <w:t>根据交银施罗德基金管理有限公司（以下简称“本</w:t>
      </w:r>
      <w:r>
        <w:rPr>
          <w:rFonts w:hint="eastAsia"/>
          <w:bCs/>
          <w:sz w:val="24"/>
          <w:szCs w:val="24"/>
        </w:rPr>
        <w:t>公司</w:t>
      </w:r>
      <w:r>
        <w:rPr>
          <w:bCs/>
          <w:sz w:val="24"/>
          <w:szCs w:val="24"/>
        </w:rPr>
        <w:t>”）与</w:t>
      </w:r>
      <w:r>
        <w:rPr>
          <w:rFonts w:hint="eastAsia"/>
          <w:bCs/>
          <w:sz w:val="24"/>
          <w:szCs w:val="24"/>
        </w:rPr>
        <w:t>部分销售机构</w:t>
      </w:r>
      <w:r>
        <w:rPr>
          <w:bCs/>
          <w:sz w:val="24"/>
          <w:szCs w:val="24"/>
        </w:rPr>
        <w:t>签署的销售协议，本</w:t>
      </w:r>
      <w:r>
        <w:rPr>
          <w:rFonts w:hint="eastAsia"/>
          <w:bCs/>
          <w:sz w:val="24"/>
          <w:szCs w:val="24"/>
        </w:rPr>
        <w:t>公司自202</w:t>
      </w:r>
      <w:r>
        <w:rPr>
          <w:bCs/>
          <w:sz w:val="24"/>
          <w:szCs w:val="24"/>
        </w:rPr>
        <w:t>6</w:t>
      </w:r>
      <w:r>
        <w:rPr>
          <w:rFonts w:hint="eastAsia"/>
          <w:bCs/>
          <w:sz w:val="24"/>
          <w:szCs w:val="24"/>
        </w:rPr>
        <w:t>年</w:t>
      </w:r>
      <w:r>
        <w:rPr>
          <w:rFonts w:hint="eastAsia"/>
          <w:bCs/>
          <w:sz w:val="24"/>
          <w:szCs w:val="24"/>
          <w:lang w:val="en-US" w:eastAsia="zh-CN"/>
        </w:rPr>
        <w:t>11</w:t>
      </w:r>
      <w:r>
        <w:rPr>
          <w:rFonts w:hint="eastAsia"/>
          <w:bCs/>
          <w:sz w:val="24"/>
          <w:szCs w:val="24"/>
        </w:rPr>
        <w:t>月</w:t>
      </w:r>
      <w:r>
        <w:rPr>
          <w:rFonts w:hint="eastAsia"/>
          <w:bCs/>
          <w:sz w:val="24"/>
          <w:szCs w:val="24"/>
          <w:lang w:val="en-US" w:eastAsia="zh-CN"/>
        </w:rPr>
        <w:t>2</w:t>
      </w:r>
      <w:r>
        <w:rPr>
          <w:rFonts w:hint="eastAsia"/>
          <w:bCs/>
          <w:sz w:val="24"/>
          <w:szCs w:val="24"/>
        </w:rPr>
        <w:t>日</w:t>
      </w:r>
      <w:r>
        <w:rPr>
          <w:bCs/>
          <w:sz w:val="24"/>
          <w:szCs w:val="24"/>
        </w:rPr>
        <w:t>起增加</w:t>
      </w:r>
      <w:r>
        <w:rPr>
          <w:rFonts w:hint="eastAsia"/>
          <w:bCs/>
          <w:sz w:val="24"/>
          <w:szCs w:val="24"/>
        </w:rPr>
        <w:t>部分销售</w:t>
      </w:r>
      <w:r>
        <w:rPr>
          <w:bCs/>
          <w:sz w:val="24"/>
          <w:szCs w:val="24"/>
        </w:rPr>
        <w:t>机构作为</w:t>
      </w:r>
      <w:r>
        <w:rPr>
          <w:rFonts w:hint="eastAsia"/>
          <w:bCs/>
          <w:sz w:val="24"/>
          <w:szCs w:val="24"/>
          <w:lang w:eastAsia="zh-CN"/>
        </w:rPr>
        <w:t>交银施罗德佳盛债券型证券投资基金</w:t>
      </w:r>
      <w:r>
        <w:rPr>
          <w:rFonts w:hint="eastAsia"/>
          <w:bCs/>
          <w:sz w:val="24"/>
          <w:szCs w:val="24"/>
        </w:rPr>
        <w:t>（A类基金份额基金代码：029148；基金简称：交银</w:t>
      </w:r>
      <w:r>
        <w:rPr>
          <w:rFonts w:hint="eastAsia"/>
          <w:bCs/>
          <w:sz w:val="24"/>
          <w:szCs w:val="24"/>
          <w:lang w:eastAsia="zh-CN"/>
        </w:rPr>
        <w:t>佳盛</w:t>
      </w:r>
      <w:r>
        <w:rPr>
          <w:rFonts w:hint="eastAsia"/>
          <w:bCs/>
          <w:sz w:val="24"/>
          <w:szCs w:val="24"/>
        </w:rPr>
        <w:t>债券A</w:t>
      </w:r>
      <w:r>
        <w:rPr>
          <w:rFonts w:hint="eastAsia"/>
          <w:bCs/>
          <w:sz w:val="24"/>
          <w:szCs w:val="24"/>
          <w:lang w:eastAsia="zh-CN"/>
        </w:rPr>
        <w:t>；</w:t>
      </w:r>
      <w:r>
        <w:rPr>
          <w:rFonts w:hint="eastAsia"/>
        </w:rPr>
        <w:t xml:space="preserve"> </w:t>
      </w:r>
      <w:r>
        <w:rPr>
          <w:rFonts w:hint="eastAsia"/>
          <w:sz w:val="24"/>
        </w:rPr>
        <w:t>C类基金份额基金代码：029149；基金简称：交银</w:t>
      </w:r>
      <w:r>
        <w:rPr>
          <w:rFonts w:hint="eastAsia"/>
          <w:sz w:val="24"/>
          <w:lang w:eastAsia="zh-CN"/>
        </w:rPr>
        <w:t>佳盛</w:t>
      </w:r>
      <w:r>
        <w:rPr>
          <w:rFonts w:hint="eastAsia"/>
          <w:sz w:val="24"/>
        </w:rPr>
        <w:t>债券C</w:t>
      </w:r>
      <w:r>
        <w:rPr>
          <w:rFonts w:hint="eastAsia"/>
          <w:bCs/>
          <w:sz w:val="24"/>
          <w:szCs w:val="24"/>
        </w:rPr>
        <w:t>）</w:t>
      </w:r>
      <w:r>
        <w:rPr>
          <w:bCs/>
          <w:sz w:val="24"/>
          <w:szCs w:val="24"/>
        </w:rPr>
        <w:t>的销售机构</w:t>
      </w:r>
      <w:r>
        <w:rPr>
          <w:rFonts w:hint="eastAsia"/>
          <w:bCs/>
          <w:sz w:val="24"/>
          <w:szCs w:val="24"/>
        </w:rPr>
        <w:t>。</w:t>
      </w:r>
    </w:p>
    <w:p w14:paraId="615CDB89">
      <w:pPr>
        <w:adjustRightInd w:val="0"/>
        <w:snapToGrid w:val="0"/>
        <w:spacing w:line="360" w:lineRule="auto"/>
        <w:ind w:firstLine="480" w:firstLineChars="200"/>
        <w:rPr>
          <w:bCs/>
          <w:sz w:val="24"/>
          <w:szCs w:val="24"/>
        </w:rPr>
      </w:pPr>
    </w:p>
    <w:p w14:paraId="31EF8FF3">
      <w:pPr>
        <w:spacing w:line="360" w:lineRule="auto"/>
        <w:ind w:firstLine="480" w:firstLineChars="200"/>
        <w:outlineLvl w:val="0"/>
        <w:rPr>
          <w:kern w:val="0"/>
          <w:sz w:val="24"/>
          <w:szCs w:val="24"/>
        </w:rPr>
      </w:pPr>
      <w:r>
        <w:rPr>
          <w:rFonts w:hint="eastAsia"/>
          <w:kern w:val="0"/>
          <w:sz w:val="24"/>
          <w:szCs w:val="24"/>
        </w:rPr>
        <w:t>一、业务范围</w:t>
      </w:r>
    </w:p>
    <w:p w14:paraId="54DD094F">
      <w:pPr>
        <w:spacing w:line="360" w:lineRule="auto"/>
        <w:ind w:firstLine="480" w:firstLineChars="200"/>
        <w:rPr>
          <w:kern w:val="0"/>
          <w:sz w:val="24"/>
          <w:szCs w:val="24"/>
        </w:rPr>
      </w:pPr>
      <w:r>
        <w:rPr>
          <w:sz w:val="24"/>
          <w:szCs w:val="24"/>
        </w:rPr>
        <w:t>自</w:t>
      </w:r>
      <w:r>
        <w:rPr>
          <w:rFonts w:hint="eastAsia"/>
          <w:bCs/>
          <w:sz w:val="24"/>
          <w:szCs w:val="24"/>
        </w:rPr>
        <w:t>202</w:t>
      </w:r>
      <w:r>
        <w:rPr>
          <w:bCs/>
          <w:sz w:val="24"/>
          <w:szCs w:val="24"/>
        </w:rPr>
        <w:t>6</w:t>
      </w:r>
      <w:r>
        <w:rPr>
          <w:rFonts w:hint="eastAsia"/>
          <w:bCs/>
          <w:sz w:val="24"/>
          <w:szCs w:val="24"/>
        </w:rPr>
        <w:t>年</w:t>
      </w:r>
      <w:r>
        <w:rPr>
          <w:rFonts w:hint="eastAsia"/>
          <w:bCs/>
          <w:sz w:val="24"/>
          <w:szCs w:val="24"/>
          <w:lang w:val="en-US" w:eastAsia="zh-CN"/>
        </w:rPr>
        <w:t>11</w:t>
      </w:r>
      <w:r>
        <w:rPr>
          <w:rFonts w:hint="eastAsia"/>
          <w:bCs/>
          <w:sz w:val="24"/>
          <w:szCs w:val="24"/>
        </w:rPr>
        <w:t>月</w:t>
      </w:r>
      <w:r>
        <w:rPr>
          <w:rFonts w:hint="eastAsia"/>
          <w:bCs/>
          <w:sz w:val="24"/>
          <w:szCs w:val="24"/>
          <w:lang w:val="en-US" w:eastAsia="zh-CN"/>
        </w:rPr>
        <w:t>2</w:t>
      </w:r>
      <w:r>
        <w:rPr>
          <w:rFonts w:hint="eastAsia"/>
          <w:bCs/>
          <w:sz w:val="24"/>
          <w:szCs w:val="24"/>
        </w:rPr>
        <w:t>日</w:t>
      </w:r>
      <w:r>
        <w:rPr>
          <w:sz w:val="24"/>
          <w:szCs w:val="24"/>
        </w:rPr>
        <w:t>起</w:t>
      </w:r>
      <w:r>
        <w:rPr>
          <w:rFonts w:hint="eastAsia"/>
          <w:sz w:val="24"/>
          <w:szCs w:val="24"/>
        </w:rPr>
        <w:t>，</w:t>
      </w:r>
      <w:r>
        <w:rPr>
          <w:rFonts w:hint="eastAsia"/>
          <w:kern w:val="0"/>
          <w:sz w:val="24"/>
          <w:szCs w:val="24"/>
        </w:rPr>
        <w:t>投资者可在下述销售机构（具体名单请见“二、投资人可通过以下途径咨询有关详情”）办理开户</w:t>
      </w:r>
      <w:r>
        <w:rPr>
          <w:kern w:val="0"/>
          <w:sz w:val="24"/>
          <w:szCs w:val="24"/>
        </w:rPr>
        <w:t>及</w:t>
      </w:r>
      <w:r>
        <w:rPr>
          <w:rFonts w:hint="eastAsia"/>
          <w:bCs/>
          <w:sz w:val="24"/>
          <w:szCs w:val="24"/>
          <w:lang w:eastAsia="zh-CN"/>
        </w:rPr>
        <w:t>交银施罗德佳盛债券型证券投资基金</w:t>
      </w:r>
      <w:r>
        <w:rPr>
          <w:rFonts w:hint="eastAsia"/>
          <w:kern w:val="0"/>
          <w:sz w:val="24"/>
          <w:szCs w:val="24"/>
        </w:rPr>
        <w:t>的认购等业务。</w:t>
      </w:r>
    </w:p>
    <w:p w14:paraId="0CBD1EDB">
      <w:pPr>
        <w:spacing w:line="360" w:lineRule="auto"/>
        <w:ind w:firstLine="480" w:firstLineChars="200"/>
        <w:rPr>
          <w:sz w:val="24"/>
          <w:szCs w:val="24"/>
        </w:rPr>
      </w:pPr>
      <w:r>
        <w:rPr>
          <w:rFonts w:hint="eastAsia"/>
          <w:bCs/>
          <w:sz w:val="24"/>
          <w:szCs w:val="24"/>
          <w:lang w:eastAsia="zh-CN"/>
        </w:rPr>
        <w:t>交银施罗德佳盛债券型证券投资基金</w:t>
      </w:r>
      <w:r>
        <w:rPr>
          <w:rFonts w:hint="eastAsia"/>
          <w:sz w:val="24"/>
          <w:szCs w:val="24"/>
        </w:rPr>
        <w:t>的认购</w:t>
      </w:r>
      <w:r>
        <w:rPr>
          <w:sz w:val="24"/>
          <w:szCs w:val="24"/>
        </w:rPr>
        <w:t>费率及相关业务规则请详见该基金相关法律文件及本公司发布的最新业务公告。在遵守基金合同及招募说明书的前提下，</w:t>
      </w:r>
      <w:r>
        <w:rPr>
          <w:color w:val="000000"/>
          <w:sz w:val="24"/>
          <w:szCs w:val="24"/>
        </w:rPr>
        <w:t>销售机构办理各项基金销售</w:t>
      </w:r>
      <w:r>
        <w:rPr>
          <w:sz w:val="24"/>
          <w:szCs w:val="24"/>
        </w:rPr>
        <w:t>业务</w:t>
      </w:r>
      <w:r>
        <w:rPr>
          <w:color w:val="000000"/>
          <w:sz w:val="24"/>
          <w:szCs w:val="24"/>
        </w:rPr>
        <w:t>的具体时间、流程以销售机构及网点的安排和规定为准。</w:t>
      </w:r>
    </w:p>
    <w:p w14:paraId="5DDAABAE">
      <w:pPr>
        <w:adjustRightInd w:val="0"/>
        <w:snapToGrid w:val="0"/>
        <w:spacing w:line="360" w:lineRule="auto"/>
        <w:ind w:firstLine="480" w:firstLineChars="200"/>
        <w:rPr>
          <w:bCs/>
          <w:sz w:val="24"/>
          <w:szCs w:val="24"/>
        </w:rPr>
      </w:pPr>
    </w:p>
    <w:p w14:paraId="102CDAEA">
      <w:pPr>
        <w:adjustRightInd w:val="0"/>
        <w:snapToGrid w:val="0"/>
        <w:spacing w:line="360" w:lineRule="auto"/>
        <w:rPr>
          <w:b/>
          <w:bCs/>
          <w:sz w:val="24"/>
          <w:szCs w:val="24"/>
        </w:rPr>
      </w:pPr>
      <w:r>
        <w:rPr>
          <w:rFonts w:hint="eastAsia"/>
          <w:bCs/>
          <w:sz w:val="24"/>
          <w:szCs w:val="24"/>
        </w:rPr>
        <w:t xml:space="preserve">  </w:t>
      </w:r>
      <w:r>
        <w:rPr>
          <w:b/>
          <w:bCs/>
          <w:sz w:val="24"/>
          <w:szCs w:val="24"/>
        </w:rPr>
        <w:t xml:space="preserve">  重要提示：</w:t>
      </w:r>
    </w:p>
    <w:p w14:paraId="6B491DE8">
      <w:pPr>
        <w:adjustRightInd w:val="0"/>
        <w:snapToGrid w:val="0"/>
        <w:spacing w:line="360" w:lineRule="auto"/>
        <w:ind w:firstLine="480" w:firstLineChars="200"/>
        <w:rPr>
          <w:bCs/>
          <w:sz w:val="24"/>
          <w:szCs w:val="24"/>
        </w:rPr>
      </w:pPr>
      <w:r>
        <w:rPr>
          <w:bCs/>
          <w:sz w:val="24"/>
          <w:szCs w:val="24"/>
        </w:rPr>
        <w:t>1、本</w:t>
      </w:r>
      <w:r>
        <w:rPr>
          <w:rFonts w:hint="eastAsia"/>
          <w:bCs/>
          <w:sz w:val="24"/>
          <w:szCs w:val="24"/>
        </w:rPr>
        <w:t>公司</w:t>
      </w:r>
      <w:r>
        <w:rPr>
          <w:bCs/>
          <w:sz w:val="24"/>
          <w:szCs w:val="24"/>
        </w:rPr>
        <w:t>于</w:t>
      </w:r>
      <w:r>
        <w:rPr>
          <w:rFonts w:hint="eastAsia"/>
          <w:bCs/>
          <w:sz w:val="24"/>
          <w:szCs w:val="24"/>
        </w:rPr>
        <w:t>202</w:t>
      </w:r>
      <w:r>
        <w:rPr>
          <w:rFonts w:hint="eastAsia"/>
          <w:bCs/>
          <w:sz w:val="24"/>
          <w:szCs w:val="24"/>
          <w:lang w:val="en-US" w:eastAsia="zh-CN"/>
        </w:rPr>
        <w:t>6</w:t>
      </w:r>
      <w:r>
        <w:rPr>
          <w:rFonts w:hint="eastAsia"/>
          <w:bCs/>
          <w:sz w:val="24"/>
          <w:szCs w:val="24"/>
        </w:rPr>
        <w:t>年</w:t>
      </w:r>
      <w:r>
        <w:rPr>
          <w:rFonts w:hint="eastAsia"/>
          <w:bCs/>
          <w:sz w:val="24"/>
          <w:szCs w:val="24"/>
          <w:lang w:val="en-US" w:eastAsia="zh-CN"/>
        </w:rPr>
        <w:t>10</w:t>
      </w:r>
      <w:r>
        <w:rPr>
          <w:rFonts w:hint="eastAsia"/>
          <w:bCs/>
          <w:sz w:val="24"/>
          <w:szCs w:val="24"/>
        </w:rPr>
        <w:t>月</w:t>
      </w:r>
      <w:r>
        <w:rPr>
          <w:rFonts w:hint="eastAsia"/>
          <w:bCs/>
          <w:sz w:val="24"/>
          <w:szCs w:val="24"/>
          <w:lang w:val="en-US" w:eastAsia="zh-CN"/>
        </w:rPr>
        <w:t>28</w:t>
      </w:r>
      <w:r>
        <w:rPr>
          <w:rFonts w:hint="eastAsia"/>
          <w:bCs/>
          <w:sz w:val="24"/>
          <w:szCs w:val="24"/>
        </w:rPr>
        <w:t>日</w:t>
      </w:r>
      <w:r>
        <w:rPr>
          <w:bCs/>
          <w:sz w:val="24"/>
          <w:szCs w:val="24"/>
        </w:rPr>
        <w:t>发布公告，</w:t>
      </w:r>
      <w:r>
        <w:rPr>
          <w:rFonts w:hint="eastAsia"/>
          <w:bCs/>
          <w:sz w:val="24"/>
          <w:szCs w:val="24"/>
          <w:lang w:eastAsia="zh-CN"/>
        </w:rPr>
        <w:t>交银施罗德佳盛债券型证券投资基金</w:t>
      </w:r>
      <w:r>
        <w:rPr>
          <w:bCs/>
          <w:sz w:val="24"/>
          <w:szCs w:val="24"/>
        </w:rPr>
        <w:t>自</w:t>
      </w:r>
      <w:r>
        <w:rPr>
          <w:rFonts w:hint="eastAsia"/>
          <w:bCs/>
          <w:sz w:val="24"/>
          <w:szCs w:val="24"/>
        </w:rPr>
        <w:t>2026年</w:t>
      </w:r>
      <w:r>
        <w:rPr>
          <w:rFonts w:hint="eastAsia"/>
          <w:bCs/>
          <w:sz w:val="24"/>
          <w:szCs w:val="24"/>
          <w:lang w:val="en-US" w:eastAsia="zh-CN"/>
        </w:rPr>
        <w:t>11</w:t>
      </w:r>
      <w:r>
        <w:rPr>
          <w:rFonts w:hint="eastAsia"/>
          <w:bCs/>
          <w:sz w:val="24"/>
          <w:szCs w:val="24"/>
        </w:rPr>
        <w:t>月</w:t>
      </w:r>
      <w:r>
        <w:rPr>
          <w:rFonts w:hint="eastAsia"/>
          <w:bCs/>
          <w:sz w:val="24"/>
          <w:szCs w:val="24"/>
          <w:lang w:val="en-US" w:eastAsia="zh-CN"/>
        </w:rPr>
        <w:t>2</w:t>
      </w:r>
      <w:r>
        <w:rPr>
          <w:rFonts w:hint="eastAsia"/>
          <w:bCs/>
          <w:sz w:val="24"/>
          <w:szCs w:val="24"/>
        </w:rPr>
        <w:t>日起至2026年</w:t>
      </w:r>
      <w:r>
        <w:rPr>
          <w:rFonts w:hint="eastAsia"/>
          <w:bCs/>
          <w:sz w:val="24"/>
          <w:szCs w:val="24"/>
          <w:lang w:val="en-US" w:eastAsia="zh-CN"/>
        </w:rPr>
        <w:t>11</w:t>
      </w:r>
      <w:r>
        <w:rPr>
          <w:rFonts w:hint="eastAsia"/>
          <w:bCs/>
          <w:sz w:val="24"/>
          <w:szCs w:val="24"/>
        </w:rPr>
        <w:t>月</w:t>
      </w:r>
      <w:r>
        <w:rPr>
          <w:rFonts w:hint="eastAsia"/>
          <w:bCs/>
          <w:sz w:val="24"/>
          <w:szCs w:val="24"/>
          <w:lang w:val="en-US" w:eastAsia="zh-CN"/>
        </w:rPr>
        <w:t>20</w:t>
      </w:r>
      <w:r>
        <w:rPr>
          <w:rFonts w:hint="eastAsia"/>
          <w:bCs/>
          <w:sz w:val="24"/>
          <w:szCs w:val="24"/>
        </w:rPr>
        <w:t>日</w:t>
      </w:r>
      <w:r>
        <w:rPr>
          <w:bCs/>
          <w:sz w:val="24"/>
          <w:szCs w:val="24"/>
        </w:rPr>
        <w:t>止通过销售机构公开发售</w:t>
      </w:r>
      <w:r>
        <w:rPr>
          <w:rFonts w:hint="eastAsia"/>
          <w:bCs/>
          <w:sz w:val="24"/>
          <w:szCs w:val="24"/>
        </w:rPr>
        <w:t>，</w:t>
      </w:r>
      <w:r>
        <w:rPr>
          <w:rFonts w:hint="eastAsia"/>
          <w:sz w:val="24"/>
        </w:rPr>
        <w:t>本公司也可根据基金销售情况在募集期限内适当延长或缩短基金发售时间，并及时公告</w:t>
      </w:r>
      <w:r>
        <w:rPr>
          <w:bCs/>
          <w:sz w:val="24"/>
          <w:szCs w:val="24"/>
        </w:rPr>
        <w:t>。投资人欲了解</w:t>
      </w:r>
      <w:r>
        <w:rPr>
          <w:rFonts w:hint="eastAsia"/>
          <w:bCs/>
          <w:sz w:val="24"/>
          <w:szCs w:val="24"/>
        </w:rPr>
        <w:t>上述</w:t>
      </w:r>
      <w:r>
        <w:rPr>
          <w:bCs/>
          <w:sz w:val="24"/>
          <w:szCs w:val="24"/>
        </w:rPr>
        <w:t>基金及</w:t>
      </w:r>
      <w:r>
        <w:rPr>
          <w:rFonts w:hint="eastAsia"/>
          <w:bCs/>
          <w:sz w:val="24"/>
          <w:szCs w:val="24"/>
        </w:rPr>
        <w:t>上述</w:t>
      </w:r>
      <w:r>
        <w:rPr>
          <w:bCs/>
          <w:sz w:val="24"/>
          <w:szCs w:val="24"/>
        </w:rPr>
        <w:t>基金基金份额发售的详细情况，请</w:t>
      </w:r>
      <w:r>
        <w:rPr>
          <w:rFonts w:hint="eastAsia"/>
          <w:bCs/>
          <w:sz w:val="24"/>
          <w:szCs w:val="24"/>
        </w:rPr>
        <w:t>仔细阅读202</w:t>
      </w:r>
      <w:r>
        <w:rPr>
          <w:rFonts w:hint="eastAsia"/>
          <w:bCs/>
          <w:sz w:val="24"/>
          <w:szCs w:val="24"/>
          <w:lang w:val="en-US" w:eastAsia="zh-CN"/>
        </w:rPr>
        <w:t>6</w:t>
      </w:r>
      <w:r>
        <w:rPr>
          <w:rFonts w:hint="eastAsia"/>
          <w:bCs/>
          <w:sz w:val="24"/>
          <w:szCs w:val="24"/>
        </w:rPr>
        <w:t>年</w:t>
      </w:r>
      <w:r>
        <w:rPr>
          <w:rFonts w:hint="eastAsia"/>
          <w:bCs/>
          <w:sz w:val="24"/>
          <w:szCs w:val="24"/>
          <w:lang w:val="en-US" w:eastAsia="zh-CN"/>
        </w:rPr>
        <w:t>10</w:t>
      </w:r>
      <w:r>
        <w:rPr>
          <w:rFonts w:hint="eastAsia"/>
          <w:bCs/>
          <w:sz w:val="24"/>
          <w:szCs w:val="24"/>
        </w:rPr>
        <w:t>月</w:t>
      </w:r>
      <w:r>
        <w:rPr>
          <w:rFonts w:hint="eastAsia"/>
          <w:bCs/>
          <w:sz w:val="24"/>
          <w:szCs w:val="24"/>
          <w:lang w:val="en-US" w:eastAsia="zh-CN"/>
        </w:rPr>
        <w:t>28</w:t>
      </w:r>
      <w:r>
        <w:rPr>
          <w:rFonts w:hint="eastAsia"/>
          <w:bCs/>
          <w:sz w:val="24"/>
          <w:szCs w:val="24"/>
        </w:rPr>
        <w:t>日</w:t>
      </w:r>
      <w:r>
        <w:rPr>
          <w:rFonts w:hint="eastAsia"/>
          <w:sz w:val="24"/>
        </w:rPr>
        <w:t>在本公司网站（www.fund001.com）和中国证监会基金电子披露网站（http://eid.csrc.gov.cn/fund）披露</w:t>
      </w:r>
      <w:r>
        <w:rPr>
          <w:sz w:val="24"/>
        </w:rPr>
        <w:t>的</w:t>
      </w:r>
      <w:r>
        <w:rPr>
          <w:rFonts w:hint="eastAsia"/>
          <w:bCs/>
          <w:sz w:val="24"/>
          <w:szCs w:val="24"/>
          <w:lang w:eastAsia="zh-CN"/>
        </w:rPr>
        <w:t>交银施罗德佳盛债券型证券投资基金</w:t>
      </w:r>
      <w:r>
        <w:rPr>
          <w:rFonts w:hint="eastAsia"/>
          <w:sz w:val="24"/>
        </w:rPr>
        <w:t>的</w:t>
      </w:r>
      <w:r>
        <w:rPr>
          <w:sz w:val="24"/>
        </w:rPr>
        <w:t>基金份额发售公告、</w:t>
      </w:r>
      <w:r>
        <w:rPr>
          <w:rFonts w:hint="eastAsia"/>
          <w:sz w:val="24"/>
        </w:rPr>
        <w:t>基金合同</w:t>
      </w:r>
      <w:r>
        <w:rPr>
          <w:sz w:val="24"/>
        </w:rPr>
        <w:t>和招募说明书</w:t>
      </w:r>
      <w:r>
        <w:rPr>
          <w:rFonts w:hint="eastAsia"/>
          <w:sz w:val="24"/>
        </w:rPr>
        <w:t>等</w:t>
      </w:r>
      <w:r>
        <w:rPr>
          <w:bCs/>
          <w:sz w:val="24"/>
          <w:szCs w:val="24"/>
        </w:rPr>
        <w:t>。</w:t>
      </w:r>
    </w:p>
    <w:p w14:paraId="6257DBA4">
      <w:pPr>
        <w:adjustRightInd w:val="0"/>
        <w:snapToGrid w:val="0"/>
        <w:spacing w:line="360" w:lineRule="auto"/>
        <w:ind w:firstLine="480" w:firstLineChars="200"/>
        <w:rPr>
          <w:bCs/>
          <w:sz w:val="24"/>
          <w:szCs w:val="24"/>
        </w:rPr>
      </w:pPr>
      <w:r>
        <w:rPr>
          <w:bCs/>
          <w:sz w:val="24"/>
          <w:szCs w:val="24"/>
        </w:rPr>
        <w:t>2、</w:t>
      </w:r>
      <w:r>
        <w:rPr>
          <w:rFonts w:hint="eastAsia"/>
          <w:bCs/>
          <w:sz w:val="24"/>
          <w:szCs w:val="24"/>
        </w:rPr>
        <w:t>上述</w:t>
      </w:r>
      <w:r>
        <w:rPr>
          <w:bCs/>
          <w:sz w:val="24"/>
          <w:szCs w:val="24"/>
        </w:rPr>
        <w:t>基金的招募说明书、基金份额发售公告、</w:t>
      </w:r>
      <w:r>
        <w:rPr>
          <w:rFonts w:hint="eastAsia"/>
          <w:bCs/>
          <w:sz w:val="24"/>
          <w:szCs w:val="24"/>
        </w:rPr>
        <w:t>基金产品资料概要</w:t>
      </w:r>
      <w:r>
        <w:rPr>
          <w:bCs/>
          <w:sz w:val="24"/>
          <w:szCs w:val="24"/>
        </w:rPr>
        <w:t>、基金合同及其摘要、托管协议同时发布在本公司网站（www.fund001.com）。投资人亦可通过本公司网站下载基金申请表格和了解基金募集相关事宜。</w:t>
      </w:r>
    </w:p>
    <w:p w14:paraId="6CF93F09">
      <w:pPr>
        <w:adjustRightInd w:val="0"/>
        <w:snapToGrid w:val="0"/>
        <w:spacing w:line="360" w:lineRule="auto"/>
        <w:ind w:firstLine="480" w:firstLineChars="200"/>
        <w:rPr>
          <w:bCs/>
          <w:sz w:val="24"/>
          <w:szCs w:val="24"/>
        </w:rPr>
      </w:pPr>
      <w:r>
        <w:rPr>
          <w:kern w:val="0"/>
          <w:sz w:val="24"/>
        </w:rPr>
        <w:t>3</w:t>
      </w:r>
      <w:r>
        <w:rPr>
          <w:rFonts w:hAnsi="宋体"/>
          <w:kern w:val="0"/>
          <w:sz w:val="24"/>
        </w:rPr>
        <w:t>、本基金销售渠道为基金管理人</w:t>
      </w:r>
      <w:r>
        <w:rPr>
          <w:rFonts w:hint="eastAsia" w:hAnsi="宋体"/>
          <w:kern w:val="0"/>
          <w:sz w:val="24"/>
        </w:rPr>
        <w:t>直销</w:t>
      </w:r>
      <w:r>
        <w:rPr>
          <w:rFonts w:hAnsi="宋体"/>
          <w:kern w:val="0"/>
          <w:sz w:val="24"/>
        </w:rPr>
        <w:t>柜台及其网上</w:t>
      </w:r>
      <w:r>
        <w:rPr>
          <w:rFonts w:hint="eastAsia" w:hAnsi="宋体"/>
          <w:kern w:val="0"/>
          <w:sz w:val="24"/>
        </w:rPr>
        <w:t>直销</w:t>
      </w:r>
      <w:r>
        <w:rPr>
          <w:rFonts w:hAnsi="宋体"/>
          <w:kern w:val="0"/>
          <w:sz w:val="24"/>
        </w:rPr>
        <w:t>交易平台和</w:t>
      </w:r>
      <w:r>
        <w:rPr>
          <w:rFonts w:hint="eastAsia" w:hAnsi="宋体"/>
          <w:kern w:val="0"/>
          <w:sz w:val="24"/>
        </w:rPr>
        <w:t>除基金管理人之外的其他</w:t>
      </w:r>
      <w:r>
        <w:rPr>
          <w:rFonts w:hAnsi="宋体"/>
          <w:kern w:val="0"/>
          <w:sz w:val="24"/>
        </w:rPr>
        <w:t>销售机构。</w:t>
      </w:r>
    </w:p>
    <w:p w14:paraId="55FD2A5F">
      <w:pPr>
        <w:adjustRightInd w:val="0"/>
        <w:snapToGrid w:val="0"/>
        <w:spacing w:line="360" w:lineRule="auto"/>
        <w:ind w:firstLine="480" w:firstLineChars="200"/>
        <w:rPr>
          <w:bCs/>
          <w:sz w:val="24"/>
          <w:szCs w:val="24"/>
        </w:rPr>
      </w:pPr>
      <w:r>
        <w:rPr>
          <w:bCs/>
          <w:sz w:val="24"/>
          <w:szCs w:val="24"/>
        </w:rPr>
        <w:t>4、</w:t>
      </w:r>
      <w:r>
        <w:rPr>
          <w:rFonts w:hint="eastAsia"/>
          <w:bCs/>
          <w:sz w:val="24"/>
          <w:szCs w:val="24"/>
        </w:rPr>
        <w:t>销售</w:t>
      </w:r>
      <w:r>
        <w:rPr>
          <w:bCs/>
          <w:sz w:val="24"/>
          <w:szCs w:val="24"/>
        </w:rPr>
        <w:t>机构的</w:t>
      </w:r>
      <w:r>
        <w:rPr>
          <w:rFonts w:hint="eastAsia"/>
          <w:bCs/>
          <w:sz w:val="24"/>
          <w:szCs w:val="24"/>
        </w:rPr>
        <w:t>销售</w:t>
      </w:r>
      <w:r>
        <w:rPr>
          <w:bCs/>
          <w:sz w:val="24"/>
          <w:szCs w:val="24"/>
        </w:rPr>
        <w:t>网点以及开户认购等事项的详细情况请向各</w:t>
      </w:r>
      <w:r>
        <w:rPr>
          <w:rFonts w:hint="eastAsia"/>
          <w:bCs/>
          <w:sz w:val="24"/>
          <w:szCs w:val="24"/>
        </w:rPr>
        <w:t>销售</w:t>
      </w:r>
      <w:r>
        <w:rPr>
          <w:bCs/>
          <w:sz w:val="24"/>
          <w:szCs w:val="24"/>
        </w:rPr>
        <w:t>机构咨询。</w:t>
      </w:r>
    </w:p>
    <w:p w14:paraId="59BEBAE7">
      <w:pPr>
        <w:adjustRightInd w:val="0"/>
        <w:snapToGrid w:val="0"/>
        <w:spacing w:line="360" w:lineRule="auto"/>
        <w:ind w:firstLine="480" w:firstLineChars="200"/>
        <w:rPr>
          <w:bCs/>
          <w:sz w:val="24"/>
          <w:szCs w:val="24"/>
        </w:rPr>
      </w:pPr>
      <w:r>
        <w:rPr>
          <w:bCs/>
          <w:sz w:val="24"/>
          <w:szCs w:val="24"/>
        </w:rPr>
        <w:t>5</w:t>
      </w:r>
      <w:r>
        <w:rPr>
          <w:rFonts w:hint="eastAsia"/>
          <w:bCs/>
          <w:sz w:val="24"/>
          <w:szCs w:val="24"/>
        </w:rPr>
        <w:t>、</w:t>
      </w:r>
      <w:r>
        <w:rPr>
          <w:bCs/>
          <w:sz w:val="24"/>
          <w:szCs w:val="24"/>
        </w:rPr>
        <w:t>由于各基金销售机构系统及业务安排等原因，开放日的具体业务办理时间可能有所不同，投资人应参照各基金销售机构的具体规定。</w:t>
      </w:r>
    </w:p>
    <w:p w14:paraId="6B4BC46B">
      <w:pPr>
        <w:adjustRightInd w:val="0"/>
        <w:snapToGrid w:val="0"/>
        <w:spacing w:line="360" w:lineRule="auto"/>
        <w:ind w:firstLine="480" w:firstLineChars="200"/>
        <w:rPr>
          <w:bCs/>
          <w:sz w:val="24"/>
          <w:szCs w:val="24"/>
        </w:rPr>
      </w:pPr>
    </w:p>
    <w:p w14:paraId="6D14AA56">
      <w:pPr>
        <w:adjustRightInd w:val="0"/>
        <w:snapToGrid w:val="0"/>
        <w:spacing w:line="360" w:lineRule="auto"/>
        <w:ind w:firstLine="480" w:firstLineChars="200"/>
        <w:outlineLvl w:val="0"/>
        <w:rPr>
          <w:bCs/>
          <w:sz w:val="24"/>
          <w:szCs w:val="24"/>
        </w:rPr>
      </w:pPr>
      <w:r>
        <w:rPr>
          <w:rFonts w:hint="eastAsia"/>
          <w:bCs/>
          <w:sz w:val="24"/>
          <w:szCs w:val="24"/>
        </w:rPr>
        <w:t>二</w:t>
      </w:r>
      <w:r>
        <w:rPr>
          <w:bCs/>
          <w:sz w:val="24"/>
          <w:szCs w:val="24"/>
        </w:rPr>
        <w:t>、投资人可通过以下途径咨询有关详情：</w:t>
      </w:r>
    </w:p>
    <w:p w14:paraId="48C90058">
      <w:pPr>
        <w:adjustRightInd w:val="0"/>
        <w:snapToGrid w:val="0"/>
        <w:spacing w:line="360" w:lineRule="auto"/>
        <w:ind w:firstLine="480" w:firstLineChars="200"/>
        <w:rPr>
          <w:rFonts w:hint="eastAsia" w:hAnsi="宋体"/>
          <w:sz w:val="24"/>
        </w:rPr>
      </w:pPr>
      <w:r>
        <w:rPr>
          <w:rFonts w:hint="eastAsia" w:hAnsi="宋体"/>
          <w:sz w:val="24"/>
        </w:rPr>
        <w:t>（1） 蚂蚁（杭州）基金销售有限公司</w:t>
      </w:r>
    </w:p>
    <w:p w14:paraId="73F5EDA0">
      <w:pPr>
        <w:adjustRightInd w:val="0"/>
        <w:snapToGrid w:val="0"/>
        <w:spacing w:line="360" w:lineRule="auto"/>
        <w:ind w:firstLine="480" w:firstLineChars="200"/>
        <w:rPr>
          <w:rFonts w:hint="eastAsia" w:hAnsi="宋体"/>
          <w:sz w:val="24"/>
        </w:rPr>
      </w:pPr>
      <w:r>
        <w:rPr>
          <w:rFonts w:hint="eastAsia" w:hAnsi="宋体"/>
          <w:sz w:val="24"/>
        </w:rPr>
        <w:t>客户服务电话：95188-8</w:t>
      </w:r>
    </w:p>
    <w:p w14:paraId="3CE47FF2">
      <w:pPr>
        <w:adjustRightInd w:val="0"/>
        <w:snapToGrid w:val="0"/>
        <w:spacing w:line="360" w:lineRule="auto"/>
        <w:ind w:firstLine="480" w:firstLineChars="200"/>
        <w:rPr>
          <w:rFonts w:hint="eastAsia" w:hAnsi="宋体"/>
          <w:sz w:val="24"/>
        </w:rPr>
      </w:pPr>
      <w:r>
        <w:rPr>
          <w:rFonts w:hint="eastAsia" w:hAnsi="宋体"/>
          <w:sz w:val="24"/>
        </w:rPr>
        <w:t>网址：www.fund123.cn</w:t>
      </w:r>
    </w:p>
    <w:p w14:paraId="6793E40E">
      <w:pPr>
        <w:adjustRightInd w:val="0"/>
        <w:snapToGrid w:val="0"/>
        <w:spacing w:line="360" w:lineRule="auto"/>
        <w:ind w:firstLine="480" w:firstLineChars="200"/>
        <w:rPr>
          <w:rFonts w:hint="eastAsia" w:hAnsi="宋体"/>
          <w:sz w:val="24"/>
        </w:rPr>
      </w:pPr>
      <w:r>
        <w:rPr>
          <w:rFonts w:hint="eastAsia" w:hAnsi="宋体"/>
          <w:sz w:val="24"/>
        </w:rPr>
        <w:t>（2）腾安基金销售（深圳）有限公司</w:t>
      </w:r>
    </w:p>
    <w:p w14:paraId="4BE74897">
      <w:pPr>
        <w:adjustRightInd w:val="0"/>
        <w:snapToGrid w:val="0"/>
        <w:spacing w:line="360" w:lineRule="auto"/>
        <w:ind w:firstLine="480" w:firstLineChars="200"/>
        <w:rPr>
          <w:rFonts w:hint="eastAsia" w:hAnsi="宋体"/>
          <w:sz w:val="24"/>
        </w:rPr>
      </w:pPr>
      <w:r>
        <w:rPr>
          <w:rFonts w:hint="eastAsia" w:hAnsi="宋体"/>
          <w:sz w:val="24"/>
        </w:rPr>
        <w:t>客户服务电话：95017（拨通后转1转8）</w:t>
      </w:r>
    </w:p>
    <w:p w14:paraId="72340C5F">
      <w:pPr>
        <w:adjustRightInd w:val="0"/>
        <w:snapToGrid w:val="0"/>
        <w:spacing w:line="360" w:lineRule="auto"/>
        <w:ind w:firstLine="480" w:firstLineChars="200"/>
        <w:rPr>
          <w:rFonts w:hint="eastAsia" w:hAnsi="宋体"/>
          <w:sz w:val="24"/>
        </w:rPr>
      </w:pPr>
      <w:r>
        <w:rPr>
          <w:rFonts w:hint="eastAsia" w:hAnsi="宋体"/>
          <w:sz w:val="24"/>
        </w:rPr>
        <w:t>网址：http://www.tenganxinxi.com/</w:t>
      </w:r>
    </w:p>
    <w:p w14:paraId="15596090">
      <w:pPr>
        <w:adjustRightInd w:val="0"/>
        <w:snapToGrid w:val="0"/>
        <w:spacing w:line="360" w:lineRule="auto"/>
        <w:ind w:firstLine="480" w:firstLineChars="200"/>
        <w:rPr>
          <w:rFonts w:hint="eastAsia" w:hAnsi="宋体"/>
          <w:sz w:val="24"/>
        </w:rPr>
      </w:pPr>
      <w:r>
        <w:rPr>
          <w:rFonts w:hint="eastAsia" w:hAnsi="宋体"/>
          <w:sz w:val="24"/>
        </w:rPr>
        <w:t xml:space="preserve">（3）京东肯特瑞基金销售有限公司 </w:t>
      </w:r>
    </w:p>
    <w:p w14:paraId="19A8EB23">
      <w:pPr>
        <w:adjustRightInd w:val="0"/>
        <w:snapToGrid w:val="0"/>
        <w:spacing w:line="360" w:lineRule="auto"/>
        <w:ind w:firstLine="480" w:firstLineChars="200"/>
        <w:rPr>
          <w:rFonts w:hint="eastAsia" w:hAnsi="宋体"/>
          <w:sz w:val="24"/>
        </w:rPr>
      </w:pPr>
      <w:r>
        <w:rPr>
          <w:rFonts w:hint="eastAsia" w:hAnsi="宋体"/>
          <w:sz w:val="24"/>
        </w:rPr>
        <w:t>客服热线：95118</w:t>
      </w:r>
    </w:p>
    <w:p w14:paraId="100EB711">
      <w:pPr>
        <w:adjustRightInd w:val="0"/>
        <w:snapToGrid w:val="0"/>
        <w:spacing w:line="360" w:lineRule="auto"/>
        <w:ind w:firstLine="480" w:firstLineChars="200"/>
        <w:rPr>
          <w:rFonts w:hint="eastAsia" w:hAnsi="宋体"/>
          <w:sz w:val="24"/>
        </w:rPr>
      </w:pPr>
      <w:r>
        <w:rPr>
          <w:rFonts w:hint="eastAsia" w:hAnsi="宋体"/>
          <w:sz w:val="24"/>
        </w:rPr>
        <w:t>网址：kenterui.jd.com</w:t>
      </w:r>
    </w:p>
    <w:p w14:paraId="2AC99B0B">
      <w:pPr>
        <w:adjustRightInd w:val="0"/>
        <w:snapToGrid w:val="0"/>
        <w:spacing w:line="360" w:lineRule="auto"/>
        <w:ind w:firstLine="480" w:firstLineChars="200"/>
        <w:rPr>
          <w:rFonts w:hint="eastAsia" w:hAnsi="宋体"/>
          <w:sz w:val="24"/>
        </w:rPr>
      </w:pPr>
      <w:r>
        <w:rPr>
          <w:rFonts w:hint="eastAsia" w:hAnsi="宋体"/>
          <w:sz w:val="24"/>
        </w:rPr>
        <w:t xml:space="preserve">（4）上海天天基金销售有限公司 </w:t>
      </w:r>
    </w:p>
    <w:p w14:paraId="29E5399C">
      <w:pPr>
        <w:adjustRightInd w:val="0"/>
        <w:snapToGrid w:val="0"/>
        <w:spacing w:line="360" w:lineRule="auto"/>
        <w:ind w:firstLine="480" w:firstLineChars="200"/>
        <w:rPr>
          <w:rFonts w:hint="eastAsia" w:hAnsi="宋体"/>
          <w:sz w:val="24"/>
        </w:rPr>
      </w:pPr>
      <w:r>
        <w:rPr>
          <w:rFonts w:hint="eastAsia" w:hAnsi="宋体"/>
          <w:sz w:val="24"/>
        </w:rPr>
        <w:t>客户服务电话：400-1818-188</w:t>
      </w:r>
    </w:p>
    <w:p w14:paraId="69CDEDDB">
      <w:pPr>
        <w:adjustRightInd w:val="0"/>
        <w:snapToGrid w:val="0"/>
        <w:spacing w:line="360" w:lineRule="auto"/>
        <w:ind w:firstLine="480" w:firstLineChars="200"/>
        <w:rPr>
          <w:rFonts w:hint="eastAsia" w:hAnsi="宋体"/>
          <w:sz w:val="24"/>
        </w:rPr>
      </w:pPr>
      <w:r>
        <w:rPr>
          <w:rFonts w:hint="eastAsia" w:hAnsi="宋体"/>
          <w:sz w:val="24"/>
        </w:rPr>
        <w:t>网址：www.1234567.com.cn</w:t>
      </w:r>
    </w:p>
    <w:p w14:paraId="084A11A6">
      <w:pPr>
        <w:adjustRightInd w:val="0"/>
        <w:snapToGrid w:val="0"/>
        <w:spacing w:line="360" w:lineRule="auto"/>
        <w:ind w:firstLine="480" w:firstLineChars="200"/>
        <w:rPr>
          <w:rFonts w:hint="eastAsia" w:hAnsi="宋体"/>
          <w:sz w:val="24"/>
        </w:rPr>
      </w:pPr>
      <w:r>
        <w:rPr>
          <w:rFonts w:hint="eastAsia" w:hAnsi="宋体"/>
          <w:sz w:val="24"/>
        </w:rPr>
        <w:t>（5）浙江同花顺基金销售有限公司</w:t>
      </w:r>
    </w:p>
    <w:p w14:paraId="03C11883">
      <w:pPr>
        <w:adjustRightInd w:val="0"/>
        <w:snapToGrid w:val="0"/>
        <w:spacing w:line="360" w:lineRule="auto"/>
        <w:ind w:firstLine="480" w:firstLineChars="200"/>
        <w:rPr>
          <w:rFonts w:hint="eastAsia" w:hAnsi="宋体"/>
          <w:sz w:val="24"/>
        </w:rPr>
      </w:pPr>
      <w:r>
        <w:rPr>
          <w:rFonts w:hint="eastAsia" w:hAnsi="宋体"/>
          <w:sz w:val="24"/>
        </w:rPr>
        <w:t>客户服务电话：952555</w:t>
      </w:r>
    </w:p>
    <w:p w14:paraId="267185ED">
      <w:pPr>
        <w:adjustRightInd w:val="0"/>
        <w:snapToGrid w:val="0"/>
        <w:spacing w:line="360" w:lineRule="auto"/>
        <w:ind w:firstLine="480" w:firstLineChars="200"/>
        <w:rPr>
          <w:rFonts w:hint="eastAsia" w:hAnsi="宋体"/>
          <w:sz w:val="24"/>
        </w:rPr>
      </w:pPr>
      <w:r>
        <w:rPr>
          <w:rFonts w:hint="eastAsia" w:hAnsi="宋体"/>
          <w:sz w:val="24"/>
        </w:rPr>
        <w:t>网址：https://fund.10jqka.com.cn/</w:t>
      </w:r>
    </w:p>
    <w:p w14:paraId="2894E05E">
      <w:pPr>
        <w:adjustRightInd w:val="0"/>
        <w:snapToGrid w:val="0"/>
        <w:spacing w:line="360" w:lineRule="auto"/>
        <w:ind w:firstLine="480" w:firstLineChars="200"/>
        <w:rPr>
          <w:rFonts w:hint="eastAsia" w:hAnsi="宋体"/>
          <w:sz w:val="24"/>
        </w:rPr>
      </w:pPr>
      <w:r>
        <w:rPr>
          <w:rFonts w:hint="eastAsia" w:hAnsi="宋体"/>
          <w:sz w:val="24"/>
        </w:rPr>
        <w:t>（6）珠海盈米基金销售有限公司</w:t>
      </w:r>
    </w:p>
    <w:p w14:paraId="4EBCFD2C">
      <w:pPr>
        <w:adjustRightInd w:val="0"/>
        <w:snapToGrid w:val="0"/>
        <w:spacing w:line="360" w:lineRule="auto"/>
        <w:ind w:firstLine="480" w:firstLineChars="200"/>
        <w:rPr>
          <w:rFonts w:hint="eastAsia" w:hAnsi="宋体"/>
          <w:sz w:val="24"/>
        </w:rPr>
      </w:pPr>
      <w:r>
        <w:rPr>
          <w:rFonts w:hint="eastAsia" w:hAnsi="宋体"/>
          <w:sz w:val="24"/>
        </w:rPr>
        <w:t>客户服务电话：（020）89629066</w:t>
      </w:r>
    </w:p>
    <w:p w14:paraId="5FCD0C7B">
      <w:pPr>
        <w:adjustRightInd w:val="0"/>
        <w:snapToGrid w:val="0"/>
        <w:spacing w:line="360" w:lineRule="auto"/>
        <w:ind w:firstLine="480" w:firstLineChars="200"/>
        <w:rPr>
          <w:rFonts w:hint="eastAsia" w:hAnsi="宋体"/>
          <w:sz w:val="24"/>
        </w:rPr>
      </w:pPr>
      <w:r>
        <w:rPr>
          <w:rFonts w:hint="eastAsia" w:hAnsi="宋体"/>
          <w:sz w:val="24"/>
        </w:rPr>
        <w:t>网址：www.yingmi.com</w:t>
      </w:r>
    </w:p>
    <w:p w14:paraId="3EC0C267">
      <w:pPr>
        <w:adjustRightInd w:val="0"/>
        <w:snapToGrid w:val="0"/>
        <w:spacing w:line="360" w:lineRule="auto"/>
        <w:ind w:firstLine="480" w:firstLineChars="200"/>
        <w:rPr>
          <w:rFonts w:hint="eastAsia" w:hAnsi="宋体"/>
          <w:sz w:val="24"/>
        </w:rPr>
      </w:pPr>
      <w:r>
        <w:rPr>
          <w:rFonts w:hint="eastAsia" w:hAnsi="宋体"/>
          <w:sz w:val="24"/>
        </w:rPr>
        <w:t xml:space="preserve">（7）上海好买基金销售有限公司 </w:t>
      </w:r>
    </w:p>
    <w:p w14:paraId="079E4EAA">
      <w:pPr>
        <w:adjustRightInd w:val="0"/>
        <w:snapToGrid w:val="0"/>
        <w:spacing w:line="360" w:lineRule="auto"/>
        <w:ind w:firstLine="480" w:firstLineChars="200"/>
        <w:rPr>
          <w:rFonts w:hint="eastAsia" w:hAnsi="宋体"/>
          <w:sz w:val="24"/>
        </w:rPr>
      </w:pPr>
      <w:r>
        <w:rPr>
          <w:rFonts w:hint="eastAsia" w:hAnsi="宋体"/>
          <w:sz w:val="24"/>
        </w:rPr>
        <w:t xml:space="preserve">客户服务电话：400-700-9665 </w:t>
      </w:r>
    </w:p>
    <w:p w14:paraId="2611B211">
      <w:pPr>
        <w:adjustRightInd w:val="0"/>
        <w:snapToGrid w:val="0"/>
        <w:spacing w:line="360" w:lineRule="auto"/>
        <w:ind w:firstLine="480" w:firstLineChars="200"/>
        <w:rPr>
          <w:bCs/>
          <w:sz w:val="24"/>
          <w:szCs w:val="24"/>
        </w:rPr>
      </w:pPr>
      <w:r>
        <w:rPr>
          <w:rFonts w:hint="eastAsia" w:hAnsi="宋体"/>
          <w:sz w:val="24"/>
        </w:rPr>
        <w:t>网址：www.howbuy.com</w:t>
      </w:r>
    </w:p>
    <w:p w14:paraId="5254B716">
      <w:pPr>
        <w:adjustRightInd w:val="0"/>
        <w:snapToGrid w:val="0"/>
        <w:spacing w:line="360" w:lineRule="auto"/>
        <w:ind w:firstLine="480" w:firstLineChars="200"/>
        <w:rPr>
          <w:bCs/>
          <w:sz w:val="24"/>
          <w:szCs w:val="24"/>
        </w:rPr>
      </w:pPr>
    </w:p>
    <w:p w14:paraId="1632A6A0">
      <w:pPr>
        <w:adjustRightInd w:val="0"/>
        <w:snapToGrid w:val="0"/>
        <w:spacing w:line="360" w:lineRule="auto"/>
        <w:ind w:firstLine="480" w:firstLineChars="200"/>
        <w:rPr>
          <w:bCs/>
          <w:sz w:val="24"/>
          <w:szCs w:val="24"/>
        </w:rPr>
      </w:pPr>
      <w:r>
        <w:rPr>
          <w:bCs/>
          <w:sz w:val="24"/>
          <w:szCs w:val="24"/>
        </w:rPr>
        <w:t>风险提示：</w:t>
      </w:r>
    </w:p>
    <w:p w14:paraId="412BECE3">
      <w:pPr>
        <w:adjustRightInd w:val="0"/>
        <w:snapToGrid w:val="0"/>
        <w:spacing w:line="360" w:lineRule="auto"/>
        <w:ind w:firstLine="480" w:firstLineChars="200"/>
        <w:rPr>
          <w:bCs/>
          <w:sz w:val="24"/>
          <w:szCs w:val="24"/>
        </w:rPr>
      </w:pPr>
      <w:r>
        <w:rPr>
          <w:bCs/>
          <w:sz w:val="24"/>
          <w:szCs w:val="24"/>
        </w:rPr>
        <w:t>本基金管理人承诺以诚实信用、勤勉尽责的原则管理和运用基金财产，但不保证基金一定盈利，也不保证最低收益。基金的过往业绩并不代表其将来表现。投资有风险，敬请投资人认真阅读基金的相关法律文件，并选择适合自身风险承受能力的投资品种进行投资。</w:t>
      </w:r>
      <w:r>
        <w:rPr>
          <w:bCs/>
          <w:sz w:val="24"/>
          <w:szCs w:val="24"/>
        </w:rPr>
        <w:br w:type="textWrapping"/>
      </w:r>
    </w:p>
    <w:p w14:paraId="6847FAAA">
      <w:pPr>
        <w:adjustRightInd w:val="0"/>
        <w:snapToGrid w:val="0"/>
        <w:spacing w:line="360" w:lineRule="auto"/>
        <w:ind w:firstLine="480" w:firstLineChars="200"/>
        <w:rPr>
          <w:bCs/>
          <w:sz w:val="24"/>
          <w:szCs w:val="24"/>
        </w:rPr>
      </w:pPr>
      <w:r>
        <w:rPr>
          <w:bCs/>
          <w:sz w:val="24"/>
          <w:szCs w:val="24"/>
        </w:rPr>
        <w:t>特此公告。</w:t>
      </w:r>
    </w:p>
    <w:p w14:paraId="271D84FC">
      <w:pPr>
        <w:adjustRightInd w:val="0"/>
        <w:snapToGrid w:val="0"/>
        <w:spacing w:line="360" w:lineRule="auto"/>
        <w:rPr>
          <w:bCs/>
          <w:sz w:val="24"/>
          <w:szCs w:val="24"/>
        </w:rPr>
      </w:pPr>
    </w:p>
    <w:p w14:paraId="0B52DFA6">
      <w:pPr>
        <w:adjustRightInd w:val="0"/>
        <w:snapToGrid w:val="0"/>
        <w:spacing w:line="360" w:lineRule="auto"/>
        <w:ind w:firstLine="480" w:firstLineChars="200"/>
        <w:jc w:val="right"/>
        <w:rPr>
          <w:bCs/>
          <w:sz w:val="24"/>
          <w:szCs w:val="24"/>
        </w:rPr>
      </w:pPr>
      <w:r>
        <w:rPr>
          <w:bCs/>
          <w:sz w:val="24"/>
          <w:szCs w:val="24"/>
        </w:rPr>
        <w:t>交银施罗德基金管理有限公司</w:t>
      </w:r>
    </w:p>
    <w:p w14:paraId="38F313AE">
      <w:pPr>
        <w:adjustRightInd w:val="0"/>
        <w:snapToGrid w:val="0"/>
        <w:spacing w:line="360" w:lineRule="auto"/>
        <w:ind w:firstLine="480" w:firstLineChars="200"/>
        <w:jc w:val="right"/>
        <w:rPr>
          <w:sz w:val="24"/>
        </w:rPr>
      </w:pPr>
      <w:r>
        <w:rPr>
          <w:bCs/>
          <w:sz w:val="24"/>
          <w:szCs w:val="24"/>
        </w:rPr>
        <w:t>二〇二</w:t>
      </w:r>
      <w:r>
        <w:rPr>
          <w:rFonts w:hint="eastAsia"/>
          <w:bCs/>
          <w:sz w:val="24"/>
          <w:szCs w:val="24"/>
          <w:lang w:val="en-US" w:eastAsia="zh-CN"/>
        </w:rPr>
        <w:t>六</w:t>
      </w:r>
      <w:r>
        <w:rPr>
          <w:bCs/>
          <w:sz w:val="24"/>
          <w:szCs w:val="24"/>
        </w:rPr>
        <w:t>年</w:t>
      </w:r>
      <w:r>
        <w:rPr>
          <w:rFonts w:hint="eastAsia"/>
          <w:bCs/>
          <w:sz w:val="24"/>
          <w:szCs w:val="24"/>
          <w:lang w:val="en-US" w:eastAsia="zh-CN"/>
        </w:rPr>
        <w:t>十</w:t>
      </w:r>
      <w:r>
        <w:rPr>
          <w:bCs/>
          <w:sz w:val="24"/>
          <w:szCs w:val="24"/>
        </w:rPr>
        <w:t>月</w:t>
      </w:r>
      <w:r>
        <w:rPr>
          <w:rFonts w:hint="eastAsia"/>
          <w:bCs/>
          <w:sz w:val="24"/>
          <w:szCs w:val="24"/>
          <w:lang w:val="en-US" w:eastAsia="zh-CN"/>
        </w:rPr>
        <w:t>二十九</w:t>
      </w:r>
      <w:r>
        <w:rPr>
          <w:bCs/>
          <w:sz w:val="24"/>
          <w:szCs w:val="24"/>
        </w:rPr>
        <w:t>日</w:t>
      </w:r>
    </w:p>
    <w:sectPr>
      <w:headerReference r:id="rId3" w:type="default"/>
      <w:footerReference r:id="rId4" w:type="default"/>
      <w:pgSz w:w="11906" w:h="16838"/>
      <w:pgMar w:top="2193" w:right="1800" w:bottom="1246"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五">
    <w:altName w:val="等线"/>
    <w:panose1 w:val="00000000000000000000"/>
    <w:charset w:val="86"/>
    <w:family w:val="auto"/>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AE0509">
    <w:pPr>
      <w:pStyle w:val="22"/>
      <w:jc w:val="center"/>
    </w:pPr>
    <w:r>
      <w:fldChar w:fldCharType="begin"/>
    </w:r>
    <w:r>
      <w:instrText xml:space="preserve"> PAGE   \* MERGEFORMAT </w:instrText>
    </w:r>
    <w:r>
      <w:fldChar w:fldCharType="separate"/>
    </w:r>
    <w:r>
      <w:rPr>
        <w:lang w:val="zh-CN"/>
      </w:rPr>
      <w:t>2</w:t>
    </w:r>
    <w:r>
      <w:fldChar w:fldCharType="end"/>
    </w:r>
  </w:p>
  <w:p w14:paraId="74CAE200">
    <w:pPr>
      <w:pStyle w:val="2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AACB00">
    <w:pPr>
      <w:pStyle w:val="23"/>
      <w:pBdr>
        <w:bottom w:val="none" w:color="auto" w:sz="0" w:space="0"/>
      </w:pBdr>
      <w:tabs>
        <w:tab w:val="right" w:pos="8280"/>
      </w:tabs>
      <w:jc w:val="right"/>
      <w:rPr>
        <w:rFonts w:cs="宋体"/>
      </w:rPr>
    </w:pPr>
  </w:p>
  <w:p w14:paraId="03EB03A8">
    <w:pPr>
      <w:pStyle w:val="23"/>
      <w:pBdr>
        <w:bottom w:val="none" w:color="auto" w:sz="0" w:space="0"/>
      </w:pBdr>
      <w:tabs>
        <w:tab w:val="right" w:pos="8280"/>
      </w:tabs>
      <w:jc w:val="right"/>
      <w:rPr>
        <w:rFonts w:ascii="宋体"/>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trackRevisions w:val="1"/>
  <w:documentProtection w:enforcement="0"/>
  <w:defaultTabStop w:val="420"/>
  <w:doNotHyphenateCaps/>
  <w:drawingGridVerticalSpacing w:val="156"/>
  <w:displayHorizontalDrawingGridEvery w:val="0"/>
  <w:displayVerticalDrawingGridEvery w:val="2"/>
  <w:characterSpacingControl w:val="compressPunctuation"/>
  <w:noLineBreaksAfter w:lang="zh-CN" w:val="$([{£¥·‘“〈《「『【〔〖〝﹙﹛﹝＄（．［｛￡￥"/>
  <w:noLineBreaksBefore w:lang="zh-CN" w:val="!%),.:;&gt;?]}¢¨°·ˇˉ―‖’”…‰′″›℃∶、。〃〉》」』】〕〗〞︶︺︾﹀﹄﹚﹜﹞！＂％＇），．：；？］｀｜｝～￠"/>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72B3"/>
    <w:rsid w:val="00000BCE"/>
    <w:rsid w:val="00000C5E"/>
    <w:rsid w:val="00004239"/>
    <w:rsid w:val="00005B75"/>
    <w:rsid w:val="00007337"/>
    <w:rsid w:val="00007B99"/>
    <w:rsid w:val="00011AC2"/>
    <w:rsid w:val="000129E7"/>
    <w:rsid w:val="00012B6C"/>
    <w:rsid w:val="000135DE"/>
    <w:rsid w:val="0001371D"/>
    <w:rsid w:val="00015066"/>
    <w:rsid w:val="00016AB7"/>
    <w:rsid w:val="00017AC0"/>
    <w:rsid w:val="000209E2"/>
    <w:rsid w:val="00020F91"/>
    <w:rsid w:val="0002209F"/>
    <w:rsid w:val="0002239D"/>
    <w:rsid w:val="00023A88"/>
    <w:rsid w:val="0002478D"/>
    <w:rsid w:val="000266A3"/>
    <w:rsid w:val="00027B7D"/>
    <w:rsid w:val="00030C4F"/>
    <w:rsid w:val="00033BD5"/>
    <w:rsid w:val="0003519E"/>
    <w:rsid w:val="00043C21"/>
    <w:rsid w:val="00045253"/>
    <w:rsid w:val="00046286"/>
    <w:rsid w:val="00046F16"/>
    <w:rsid w:val="00047555"/>
    <w:rsid w:val="00054729"/>
    <w:rsid w:val="00056A64"/>
    <w:rsid w:val="00056A7E"/>
    <w:rsid w:val="0005764C"/>
    <w:rsid w:val="000608AF"/>
    <w:rsid w:val="000613A0"/>
    <w:rsid w:val="00062FF7"/>
    <w:rsid w:val="000643A1"/>
    <w:rsid w:val="00064F3C"/>
    <w:rsid w:val="000672DD"/>
    <w:rsid w:val="00067D8D"/>
    <w:rsid w:val="00067FCA"/>
    <w:rsid w:val="0007154E"/>
    <w:rsid w:val="00073141"/>
    <w:rsid w:val="00074D9D"/>
    <w:rsid w:val="0007518A"/>
    <w:rsid w:val="00075B34"/>
    <w:rsid w:val="000807AC"/>
    <w:rsid w:val="0008138C"/>
    <w:rsid w:val="00083771"/>
    <w:rsid w:val="00084409"/>
    <w:rsid w:val="00084F82"/>
    <w:rsid w:val="000850C9"/>
    <w:rsid w:val="000855D4"/>
    <w:rsid w:val="00085617"/>
    <w:rsid w:val="0008592C"/>
    <w:rsid w:val="0008646D"/>
    <w:rsid w:val="00087BC7"/>
    <w:rsid w:val="00090A5C"/>
    <w:rsid w:val="00091FE1"/>
    <w:rsid w:val="0009228A"/>
    <w:rsid w:val="00093020"/>
    <w:rsid w:val="00094DCF"/>
    <w:rsid w:val="000A0687"/>
    <w:rsid w:val="000A44BB"/>
    <w:rsid w:val="000A4A0F"/>
    <w:rsid w:val="000A62A6"/>
    <w:rsid w:val="000A66FA"/>
    <w:rsid w:val="000B1756"/>
    <w:rsid w:val="000B1CA1"/>
    <w:rsid w:val="000B48E2"/>
    <w:rsid w:val="000B68BD"/>
    <w:rsid w:val="000B7E82"/>
    <w:rsid w:val="000C182F"/>
    <w:rsid w:val="000C2593"/>
    <w:rsid w:val="000C2824"/>
    <w:rsid w:val="000C28BF"/>
    <w:rsid w:val="000C3F7D"/>
    <w:rsid w:val="000C5031"/>
    <w:rsid w:val="000C57DC"/>
    <w:rsid w:val="000C6447"/>
    <w:rsid w:val="000C6708"/>
    <w:rsid w:val="000C6AA6"/>
    <w:rsid w:val="000C769E"/>
    <w:rsid w:val="000D0686"/>
    <w:rsid w:val="000D143C"/>
    <w:rsid w:val="000D27F4"/>
    <w:rsid w:val="000D33E0"/>
    <w:rsid w:val="000D51F2"/>
    <w:rsid w:val="000D5C19"/>
    <w:rsid w:val="000E0B96"/>
    <w:rsid w:val="000E1118"/>
    <w:rsid w:val="000E22A5"/>
    <w:rsid w:val="000E3549"/>
    <w:rsid w:val="000E55DA"/>
    <w:rsid w:val="000E5667"/>
    <w:rsid w:val="000E5B07"/>
    <w:rsid w:val="000E66FD"/>
    <w:rsid w:val="000F1DB5"/>
    <w:rsid w:val="000F5A46"/>
    <w:rsid w:val="000F5E92"/>
    <w:rsid w:val="000F69F8"/>
    <w:rsid w:val="000F7F90"/>
    <w:rsid w:val="00100478"/>
    <w:rsid w:val="0010123A"/>
    <w:rsid w:val="00102FAA"/>
    <w:rsid w:val="0010342F"/>
    <w:rsid w:val="00103D9A"/>
    <w:rsid w:val="0010463D"/>
    <w:rsid w:val="00105C2C"/>
    <w:rsid w:val="00106F6C"/>
    <w:rsid w:val="001071B2"/>
    <w:rsid w:val="00113468"/>
    <w:rsid w:val="00113B6D"/>
    <w:rsid w:val="00114137"/>
    <w:rsid w:val="0011417A"/>
    <w:rsid w:val="001148D5"/>
    <w:rsid w:val="00114987"/>
    <w:rsid w:val="001149E0"/>
    <w:rsid w:val="00116306"/>
    <w:rsid w:val="00121328"/>
    <w:rsid w:val="001218FF"/>
    <w:rsid w:val="00122894"/>
    <w:rsid w:val="00122BE0"/>
    <w:rsid w:val="0012333D"/>
    <w:rsid w:val="001245A1"/>
    <w:rsid w:val="00126895"/>
    <w:rsid w:val="00126C2D"/>
    <w:rsid w:val="00126E6B"/>
    <w:rsid w:val="00127CD7"/>
    <w:rsid w:val="00133576"/>
    <w:rsid w:val="00142790"/>
    <w:rsid w:val="00142F02"/>
    <w:rsid w:val="0014448F"/>
    <w:rsid w:val="001458E7"/>
    <w:rsid w:val="001476D2"/>
    <w:rsid w:val="00151EFB"/>
    <w:rsid w:val="001528A9"/>
    <w:rsid w:val="00152E43"/>
    <w:rsid w:val="00154A79"/>
    <w:rsid w:val="00155BA8"/>
    <w:rsid w:val="00156671"/>
    <w:rsid w:val="001608E7"/>
    <w:rsid w:val="0016183A"/>
    <w:rsid w:val="00163D55"/>
    <w:rsid w:val="0016403C"/>
    <w:rsid w:val="00164BA3"/>
    <w:rsid w:val="00164C3C"/>
    <w:rsid w:val="001657A6"/>
    <w:rsid w:val="00165D58"/>
    <w:rsid w:val="001665AD"/>
    <w:rsid w:val="001668D5"/>
    <w:rsid w:val="001704F1"/>
    <w:rsid w:val="0017056F"/>
    <w:rsid w:val="00170CE0"/>
    <w:rsid w:val="00171072"/>
    <w:rsid w:val="00171E85"/>
    <w:rsid w:val="00172036"/>
    <w:rsid w:val="00172163"/>
    <w:rsid w:val="001724F4"/>
    <w:rsid w:val="001726FC"/>
    <w:rsid w:val="001733BC"/>
    <w:rsid w:val="001743BA"/>
    <w:rsid w:val="00174BE9"/>
    <w:rsid w:val="00176589"/>
    <w:rsid w:val="001768D6"/>
    <w:rsid w:val="001773DD"/>
    <w:rsid w:val="001776F6"/>
    <w:rsid w:val="00180BBA"/>
    <w:rsid w:val="00181D6E"/>
    <w:rsid w:val="00182D49"/>
    <w:rsid w:val="00183689"/>
    <w:rsid w:val="00184795"/>
    <w:rsid w:val="00184C51"/>
    <w:rsid w:val="00184E31"/>
    <w:rsid w:val="001872C5"/>
    <w:rsid w:val="00187894"/>
    <w:rsid w:val="00187DDD"/>
    <w:rsid w:val="00192C18"/>
    <w:rsid w:val="0019367F"/>
    <w:rsid w:val="00194EE3"/>
    <w:rsid w:val="00195658"/>
    <w:rsid w:val="0019631F"/>
    <w:rsid w:val="0019681B"/>
    <w:rsid w:val="001A0648"/>
    <w:rsid w:val="001A0954"/>
    <w:rsid w:val="001A149F"/>
    <w:rsid w:val="001A1A8A"/>
    <w:rsid w:val="001A1EEC"/>
    <w:rsid w:val="001A3DE1"/>
    <w:rsid w:val="001A3EB9"/>
    <w:rsid w:val="001A42E6"/>
    <w:rsid w:val="001A4761"/>
    <w:rsid w:val="001A5FFE"/>
    <w:rsid w:val="001B1902"/>
    <w:rsid w:val="001B3A0F"/>
    <w:rsid w:val="001B3B58"/>
    <w:rsid w:val="001B3D9D"/>
    <w:rsid w:val="001B4FAA"/>
    <w:rsid w:val="001B6FA6"/>
    <w:rsid w:val="001C0B2F"/>
    <w:rsid w:val="001C0F4A"/>
    <w:rsid w:val="001C11F5"/>
    <w:rsid w:val="001C1AEF"/>
    <w:rsid w:val="001C1D02"/>
    <w:rsid w:val="001C22DF"/>
    <w:rsid w:val="001C2695"/>
    <w:rsid w:val="001C4403"/>
    <w:rsid w:val="001C62BB"/>
    <w:rsid w:val="001C646F"/>
    <w:rsid w:val="001C65D8"/>
    <w:rsid w:val="001C6880"/>
    <w:rsid w:val="001C7D22"/>
    <w:rsid w:val="001D131C"/>
    <w:rsid w:val="001D2E28"/>
    <w:rsid w:val="001D41BE"/>
    <w:rsid w:val="001D45E2"/>
    <w:rsid w:val="001D4B53"/>
    <w:rsid w:val="001D597F"/>
    <w:rsid w:val="001D5D14"/>
    <w:rsid w:val="001D6DA9"/>
    <w:rsid w:val="001E09D0"/>
    <w:rsid w:val="001E5E7F"/>
    <w:rsid w:val="001E6A1F"/>
    <w:rsid w:val="001E7DAF"/>
    <w:rsid w:val="001F3A61"/>
    <w:rsid w:val="001F3B8C"/>
    <w:rsid w:val="001F3E19"/>
    <w:rsid w:val="001F5450"/>
    <w:rsid w:val="001F60B0"/>
    <w:rsid w:val="001F6B2F"/>
    <w:rsid w:val="00203CE6"/>
    <w:rsid w:val="002040C1"/>
    <w:rsid w:val="0020492D"/>
    <w:rsid w:val="00204B47"/>
    <w:rsid w:val="00204B5A"/>
    <w:rsid w:val="002050E5"/>
    <w:rsid w:val="00213CA3"/>
    <w:rsid w:val="00217A0E"/>
    <w:rsid w:val="00220E23"/>
    <w:rsid w:val="00223C2A"/>
    <w:rsid w:val="002255AD"/>
    <w:rsid w:val="00227E2D"/>
    <w:rsid w:val="0023084A"/>
    <w:rsid w:val="00230EF1"/>
    <w:rsid w:val="00231994"/>
    <w:rsid w:val="00232D70"/>
    <w:rsid w:val="00233C66"/>
    <w:rsid w:val="0023407E"/>
    <w:rsid w:val="00234F32"/>
    <w:rsid w:val="002351BA"/>
    <w:rsid w:val="0023578D"/>
    <w:rsid w:val="00235BE0"/>
    <w:rsid w:val="0023629D"/>
    <w:rsid w:val="0023634C"/>
    <w:rsid w:val="002379C5"/>
    <w:rsid w:val="00237D60"/>
    <w:rsid w:val="0024267D"/>
    <w:rsid w:val="00242A2E"/>
    <w:rsid w:val="0024338E"/>
    <w:rsid w:val="00243417"/>
    <w:rsid w:val="002444D1"/>
    <w:rsid w:val="00244F47"/>
    <w:rsid w:val="002469D9"/>
    <w:rsid w:val="002520B9"/>
    <w:rsid w:val="00253F24"/>
    <w:rsid w:val="002542CA"/>
    <w:rsid w:val="002544E6"/>
    <w:rsid w:val="00254542"/>
    <w:rsid w:val="0025510E"/>
    <w:rsid w:val="00257074"/>
    <w:rsid w:val="00257CC3"/>
    <w:rsid w:val="002601C5"/>
    <w:rsid w:val="00261CDF"/>
    <w:rsid w:val="00261E07"/>
    <w:rsid w:val="00264680"/>
    <w:rsid w:val="00265396"/>
    <w:rsid w:val="00265780"/>
    <w:rsid w:val="002658E4"/>
    <w:rsid w:val="00265EEE"/>
    <w:rsid w:val="00266C52"/>
    <w:rsid w:val="00267F21"/>
    <w:rsid w:val="00271788"/>
    <w:rsid w:val="00271D1E"/>
    <w:rsid w:val="002721DA"/>
    <w:rsid w:val="00272481"/>
    <w:rsid w:val="00273937"/>
    <w:rsid w:val="0027504C"/>
    <w:rsid w:val="002750EA"/>
    <w:rsid w:val="0027570E"/>
    <w:rsid w:val="00277C43"/>
    <w:rsid w:val="002800CF"/>
    <w:rsid w:val="00281C93"/>
    <w:rsid w:val="00282269"/>
    <w:rsid w:val="00282782"/>
    <w:rsid w:val="0028283C"/>
    <w:rsid w:val="00282BE9"/>
    <w:rsid w:val="00284056"/>
    <w:rsid w:val="0028787D"/>
    <w:rsid w:val="00290911"/>
    <w:rsid w:val="00290FC6"/>
    <w:rsid w:val="00293131"/>
    <w:rsid w:val="00293B92"/>
    <w:rsid w:val="00293C01"/>
    <w:rsid w:val="00293D96"/>
    <w:rsid w:val="00294751"/>
    <w:rsid w:val="00297034"/>
    <w:rsid w:val="0029786A"/>
    <w:rsid w:val="002A10E2"/>
    <w:rsid w:val="002A353A"/>
    <w:rsid w:val="002A456E"/>
    <w:rsid w:val="002B2C22"/>
    <w:rsid w:val="002B4704"/>
    <w:rsid w:val="002B4F20"/>
    <w:rsid w:val="002B5C65"/>
    <w:rsid w:val="002B6E87"/>
    <w:rsid w:val="002B752B"/>
    <w:rsid w:val="002C1A0A"/>
    <w:rsid w:val="002C1C4E"/>
    <w:rsid w:val="002C3E65"/>
    <w:rsid w:val="002C4A0C"/>
    <w:rsid w:val="002C7583"/>
    <w:rsid w:val="002C7B77"/>
    <w:rsid w:val="002C7FE5"/>
    <w:rsid w:val="002D076A"/>
    <w:rsid w:val="002D0B9F"/>
    <w:rsid w:val="002D1F25"/>
    <w:rsid w:val="002D2B2F"/>
    <w:rsid w:val="002D2CC4"/>
    <w:rsid w:val="002D3066"/>
    <w:rsid w:val="002D3914"/>
    <w:rsid w:val="002D4317"/>
    <w:rsid w:val="002D5102"/>
    <w:rsid w:val="002D55F6"/>
    <w:rsid w:val="002D5EC4"/>
    <w:rsid w:val="002D5F8A"/>
    <w:rsid w:val="002D65AF"/>
    <w:rsid w:val="002F13DF"/>
    <w:rsid w:val="002F1839"/>
    <w:rsid w:val="002F24F6"/>
    <w:rsid w:val="002F3544"/>
    <w:rsid w:val="002F462D"/>
    <w:rsid w:val="002F4AD6"/>
    <w:rsid w:val="002F6F4D"/>
    <w:rsid w:val="00301AA3"/>
    <w:rsid w:val="0030283D"/>
    <w:rsid w:val="0030318F"/>
    <w:rsid w:val="00311CD6"/>
    <w:rsid w:val="00312011"/>
    <w:rsid w:val="0031207D"/>
    <w:rsid w:val="0031658D"/>
    <w:rsid w:val="003168E5"/>
    <w:rsid w:val="00316F0B"/>
    <w:rsid w:val="003219EC"/>
    <w:rsid w:val="00322DCD"/>
    <w:rsid w:val="00325431"/>
    <w:rsid w:val="00325CE6"/>
    <w:rsid w:val="00326540"/>
    <w:rsid w:val="00327764"/>
    <w:rsid w:val="00327891"/>
    <w:rsid w:val="0033020E"/>
    <w:rsid w:val="00331BDE"/>
    <w:rsid w:val="0033271D"/>
    <w:rsid w:val="003347ED"/>
    <w:rsid w:val="00334C5E"/>
    <w:rsid w:val="003354B4"/>
    <w:rsid w:val="00336728"/>
    <w:rsid w:val="00340E4B"/>
    <w:rsid w:val="00343E78"/>
    <w:rsid w:val="00345F95"/>
    <w:rsid w:val="00346945"/>
    <w:rsid w:val="00347449"/>
    <w:rsid w:val="003477D3"/>
    <w:rsid w:val="00347BB4"/>
    <w:rsid w:val="003515F5"/>
    <w:rsid w:val="00352248"/>
    <w:rsid w:val="0035242C"/>
    <w:rsid w:val="00353175"/>
    <w:rsid w:val="00356E47"/>
    <w:rsid w:val="00357A90"/>
    <w:rsid w:val="003601FD"/>
    <w:rsid w:val="00360A4D"/>
    <w:rsid w:val="00361FB0"/>
    <w:rsid w:val="00364B78"/>
    <w:rsid w:val="003662BD"/>
    <w:rsid w:val="00371C7E"/>
    <w:rsid w:val="003726E9"/>
    <w:rsid w:val="003736A5"/>
    <w:rsid w:val="00374BAC"/>
    <w:rsid w:val="003754CD"/>
    <w:rsid w:val="00377C27"/>
    <w:rsid w:val="003803E5"/>
    <w:rsid w:val="0038086C"/>
    <w:rsid w:val="00381497"/>
    <w:rsid w:val="00382296"/>
    <w:rsid w:val="003833BE"/>
    <w:rsid w:val="00384EDD"/>
    <w:rsid w:val="003856D3"/>
    <w:rsid w:val="00385A03"/>
    <w:rsid w:val="00385EB4"/>
    <w:rsid w:val="00386AE5"/>
    <w:rsid w:val="003871FA"/>
    <w:rsid w:val="00390ECF"/>
    <w:rsid w:val="00392572"/>
    <w:rsid w:val="00392722"/>
    <w:rsid w:val="0039392D"/>
    <w:rsid w:val="00393D4B"/>
    <w:rsid w:val="00395DF3"/>
    <w:rsid w:val="003975A3"/>
    <w:rsid w:val="003A0A58"/>
    <w:rsid w:val="003A0E32"/>
    <w:rsid w:val="003A194E"/>
    <w:rsid w:val="003A1BDB"/>
    <w:rsid w:val="003A1CD6"/>
    <w:rsid w:val="003A2B06"/>
    <w:rsid w:val="003A3B03"/>
    <w:rsid w:val="003A4DD9"/>
    <w:rsid w:val="003A55F7"/>
    <w:rsid w:val="003A6D15"/>
    <w:rsid w:val="003A74AD"/>
    <w:rsid w:val="003B1CD6"/>
    <w:rsid w:val="003B325A"/>
    <w:rsid w:val="003B4071"/>
    <w:rsid w:val="003B5187"/>
    <w:rsid w:val="003B6FF0"/>
    <w:rsid w:val="003B731C"/>
    <w:rsid w:val="003B79E7"/>
    <w:rsid w:val="003B7A56"/>
    <w:rsid w:val="003C310C"/>
    <w:rsid w:val="003C6B28"/>
    <w:rsid w:val="003C721E"/>
    <w:rsid w:val="003C72E2"/>
    <w:rsid w:val="003D00A5"/>
    <w:rsid w:val="003D0715"/>
    <w:rsid w:val="003D2613"/>
    <w:rsid w:val="003D4A10"/>
    <w:rsid w:val="003D6448"/>
    <w:rsid w:val="003D671D"/>
    <w:rsid w:val="003D6DB1"/>
    <w:rsid w:val="003D72B3"/>
    <w:rsid w:val="003D736F"/>
    <w:rsid w:val="003E0138"/>
    <w:rsid w:val="003E0634"/>
    <w:rsid w:val="003E1867"/>
    <w:rsid w:val="003E27A7"/>
    <w:rsid w:val="003E2DF5"/>
    <w:rsid w:val="003E2DFD"/>
    <w:rsid w:val="003E2E2E"/>
    <w:rsid w:val="003E4736"/>
    <w:rsid w:val="003E6868"/>
    <w:rsid w:val="003E6BFB"/>
    <w:rsid w:val="003E7520"/>
    <w:rsid w:val="003E7ABC"/>
    <w:rsid w:val="003F06BE"/>
    <w:rsid w:val="003F14A3"/>
    <w:rsid w:val="003F27FF"/>
    <w:rsid w:val="003F3A5D"/>
    <w:rsid w:val="003F40CB"/>
    <w:rsid w:val="003F46DE"/>
    <w:rsid w:val="003F528E"/>
    <w:rsid w:val="00400CA3"/>
    <w:rsid w:val="00401AC3"/>
    <w:rsid w:val="00402935"/>
    <w:rsid w:val="004030BE"/>
    <w:rsid w:val="0040330D"/>
    <w:rsid w:val="00403E0B"/>
    <w:rsid w:val="00405AE7"/>
    <w:rsid w:val="00405BDD"/>
    <w:rsid w:val="004074CF"/>
    <w:rsid w:val="004100E9"/>
    <w:rsid w:val="0041078A"/>
    <w:rsid w:val="00410BAD"/>
    <w:rsid w:val="004113A3"/>
    <w:rsid w:val="00412EF8"/>
    <w:rsid w:val="00413FEB"/>
    <w:rsid w:val="00420844"/>
    <w:rsid w:val="00421235"/>
    <w:rsid w:val="00422634"/>
    <w:rsid w:val="00422BC7"/>
    <w:rsid w:val="00424E55"/>
    <w:rsid w:val="00424F85"/>
    <w:rsid w:val="004257B0"/>
    <w:rsid w:val="004265CD"/>
    <w:rsid w:val="00427369"/>
    <w:rsid w:val="00427D8B"/>
    <w:rsid w:val="00427F6A"/>
    <w:rsid w:val="00430575"/>
    <w:rsid w:val="00430BB4"/>
    <w:rsid w:val="0043111B"/>
    <w:rsid w:val="00431DC4"/>
    <w:rsid w:val="00431E54"/>
    <w:rsid w:val="00433257"/>
    <w:rsid w:val="0043376E"/>
    <w:rsid w:val="00433E71"/>
    <w:rsid w:val="0043465E"/>
    <w:rsid w:val="0043575D"/>
    <w:rsid w:val="00436BFB"/>
    <w:rsid w:val="00436E03"/>
    <w:rsid w:val="00436F9C"/>
    <w:rsid w:val="00440580"/>
    <w:rsid w:val="00440A03"/>
    <w:rsid w:val="00440F88"/>
    <w:rsid w:val="00442979"/>
    <w:rsid w:val="0044319D"/>
    <w:rsid w:val="00444C29"/>
    <w:rsid w:val="00445238"/>
    <w:rsid w:val="00445ED7"/>
    <w:rsid w:val="00451C85"/>
    <w:rsid w:val="00452B0F"/>
    <w:rsid w:val="00452BA4"/>
    <w:rsid w:val="00453B18"/>
    <w:rsid w:val="00453F1E"/>
    <w:rsid w:val="004606D3"/>
    <w:rsid w:val="004611A7"/>
    <w:rsid w:val="00461289"/>
    <w:rsid w:val="0046192E"/>
    <w:rsid w:val="0046249B"/>
    <w:rsid w:val="00462A0F"/>
    <w:rsid w:val="004656F7"/>
    <w:rsid w:val="00465711"/>
    <w:rsid w:val="00466075"/>
    <w:rsid w:val="004663CF"/>
    <w:rsid w:val="004674BD"/>
    <w:rsid w:val="0047002E"/>
    <w:rsid w:val="004713CA"/>
    <w:rsid w:val="004751BD"/>
    <w:rsid w:val="004777FB"/>
    <w:rsid w:val="004779C5"/>
    <w:rsid w:val="00477E61"/>
    <w:rsid w:val="004812E6"/>
    <w:rsid w:val="00482F34"/>
    <w:rsid w:val="00487EDD"/>
    <w:rsid w:val="00487F0D"/>
    <w:rsid w:val="00490FA4"/>
    <w:rsid w:val="00491217"/>
    <w:rsid w:val="00494225"/>
    <w:rsid w:val="00496815"/>
    <w:rsid w:val="00496B35"/>
    <w:rsid w:val="004A0B61"/>
    <w:rsid w:val="004A1D92"/>
    <w:rsid w:val="004A2CC6"/>
    <w:rsid w:val="004A3D28"/>
    <w:rsid w:val="004A4A6C"/>
    <w:rsid w:val="004A560A"/>
    <w:rsid w:val="004A6DDE"/>
    <w:rsid w:val="004A731A"/>
    <w:rsid w:val="004A7B8C"/>
    <w:rsid w:val="004A7F13"/>
    <w:rsid w:val="004B21F7"/>
    <w:rsid w:val="004B23EC"/>
    <w:rsid w:val="004B31AF"/>
    <w:rsid w:val="004B3564"/>
    <w:rsid w:val="004B4F69"/>
    <w:rsid w:val="004B52F5"/>
    <w:rsid w:val="004B7260"/>
    <w:rsid w:val="004C0BB6"/>
    <w:rsid w:val="004C2328"/>
    <w:rsid w:val="004C2F7D"/>
    <w:rsid w:val="004C357F"/>
    <w:rsid w:val="004C3677"/>
    <w:rsid w:val="004C371A"/>
    <w:rsid w:val="004C40FE"/>
    <w:rsid w:val="004C49A1"/>
    <w:rsid w:val="004C5966"/>
    <w:rsid w:val="004C5A6B"/>
    <w:rsid w:val="004C5F99"/>
    <w:rsid w:val="004D326E"/>
    <w:rsid w:val="004D3963"/>
    <w:rsid w:val="004E0519"/>
    <w:rsid w:val="004E0B0A"/>
    <w:rsid w:val="004E12EC"/>
    <w:rsid w:val="004E22D8"/>
    <w:rsid w:val="004E2C3B"/>
    <w:rsid w:val="004E4173"/>
    <w:rsid w:val="004F0959"/>
    <w:rsid w:val="004F1477"/>
    <w:rsid w:val="004F1D09"/>
    <w:rsid w:val="004F27CA"/>
    <w:rsid w:val="004F3BC5"/>
    <w:rsid w:val="004F4B3F"/>
    <w:rsid w:val="004F6D3C"/>
    <w:rsid w:val="004F719C"/>
    <w:rsid w:val="005019A8"/>
    <w:rsid w:val="00502624"/>
    <w:rsid w:val="00505416"/>
    <w:rsid w:val="005072D2"/>
    <w:rsid w:val="00510CD8"/>
    <w:rsid w:val="005128FD"/>
    <w:rsid w:val="0051378F"/>
    <w:rsid w:val="005147C8"/>
    <w:rsid w:val="005162D3"/>
    <w:rsid w:val="005165E0"/>
    <w:rsid w:val="00520102"/>
    <w:rsid w:val="005210B7"/>
    <w:rsid w:val="00521AB7"/>
    <w:rsid w:val="00521B4B"/>
    <w:rsid w:val="005224DD"/>
    <w:rsid w:val="0052599F"/>
    <w:rsid w:val="005278AB"/>
    <w:rsid w:val="00531819"/>
    <w:rsid w:val="00532762"/>
    <w:rsid w:val="005328FC"/>
    <w:rsid w:val="0053386A"/>
    <w:rsid w:val="005348BC"/>
    <w:rsid w:val="00536286"/>
    <w:rsid w:val="0054140E"/>
    <w:rsid w:val="00542392"/>
    <w:rsid w:val="00544DB6"/>
    <w:rsid w:val="005463CF"/>
    <w:rsid w:val="005471E2"/>
    <w:rsid w:val="00547DE6"/>
    <w:rsid w:val="00551E64"/>
    <w:rsid w:val="00554547"/>
    <w:rsid w:val="00555DF6"/>
    <w:rsid w:val="00556764"/>
    <w:rsid w:val="00557D0E"/>
    <w:rsid w:val="00560C5C"/>
    <w:rsid w:val="00560C69"/>
    <w:rsid w:val="00563023"/>
    <w:rsid w:val="005632F9"/>
    <w:rsid w:val="00564ED6"/>
    <w:rsid w:val="005653A3"/>
    <w:rsid w:val="00565456"/>
    <w:rsid w:val="005658E6"/>
    <w:rsid w:val="00566E1C"/>
    <w:rsid w:val="00570247"/>
    <w:rsid w:val="00570516"/>
    <w:rsid w:val="005709A4"/>
    <w:rsid w:val="00570FB6"/>
    <w:rsid w:val="0057101C"/>
    <w:rsid w:val="00571DE6"/>
    <w:rsid w:val="0057397D"/>
    <w:rsid w:val="00573FA2"/>
    <w:rsid w:val="0057431D"/>
    <w:rsid w:val="00575055"/>
    <w:rsid w:val="005763FC"/>
    <w:rsid w:val="005807CB"/>
    <w:rsid w:val="00581F09"/>
    <w:rsid w:val="00582D10"/>
    <w:rsid w:val="00584846"/>
    <w:rsid w:val="00585626"/>
    <w:rsid w:val="00586EDD"/>
    <w:rsid w:val="00590D7C"/>
    <w:rsid w:val="00591704"/>
    <w:rsid w:val="00591ADC"/>
    <w:rsid w:val="0059207A"/>
    <w:rsid w:val="005923B6"/>
    <w:rsid w:val="00592442"/>
    <w:rsid w:val="00593C4A"/>
    <w:rsid w:val="005954D8"/>
    <w:rsid w:val="00596953"/>
    <w:rsid w:val="00597D2E"/>
    <w:rsid w:val="005A1ECE"/>
    <w:rsid w:val="005A27EE"/>
    <w:rsid w:val="005A28F6"/>
    <w:rsid w:val="005A2AAB"/>
    <w:rsid w:val="005A2C94"/>
    <w:rsid w:val="005A5F89"/>
    <w:rsid w:val="005B1899"/>
    <w:rsid w:val="005B533A"/>
    <w:rsid w:val="005B757B"/>
    <w:rsid w:val="005C1754"/>
    <w:rsid w:val="005C1D8E"/>
    <w:rsid w:val="005C38B1"/>
    <w:rsid w:val="005C44A2"/>
    <w:rsid w:val="005C6934"/>
    <w:rsid w:val="005C7634"/>
    <w:rsid w:val="005C7655"/>
    <w:rsid w:val="005C7D2B"/>
    <w:rsid w:val="005D006E"/>
    <w:rsid w:val="005D08C3"/>
    <w:rsid w:val="005D4E52"/>
    <w:rsid w:val="005D5454"/>
    <w:rsid w:val="005D55DC"/>
    <w:rsid w:val="005D714C"/>
    <w:rsid w:val="005E1604"/>
    <w:rsid w:val="005E2E66"/>
    <w:rsid w:val="005E3133"/>
    <w:rsid w:val="005E361B"/>
    <w:rsid w:val="005E3992"/>
    <w:rsid w:val="005E3AE3"/>
    <w:rsid w:val="005E3B4C"/>
    <w:rsid w:val="005E49A5"/>
    <w:rsid w:val="005E6AD7"/>
    <w:rsid w:val="005F02F8"/>
    <w:rsid w:val="005F1753"/>
    <w:rsid w:val="005F1FFF"/>
    <w:rsid w:val="005F2242"/>
    <w:rsid w:val="005F2EEF"/>
    <w:rsid w:val="005F2F6F"/>
    <w:rsid w:val="005F38C8"/>
    <w:rsid w:val="005F3AD0"/>
    <w:rsid w:val="005F5023"/>
    <w:rsid w:val="005F5525"/>
    <w:rsid w:val="005F620D"/>
    <w:rsid w:val="006008B5"/>
    <w:rsid w:val="006016BA"/>
    <w:rsid w:val="006017E9"/>
    <w:rsid w:val="0060196F"/>
    <w:rsid w:val="0060385E"/>
    <w:rsid w:val="00604992"/>
    <w:rsid w:val="006059AE"/>
    <w:rsid w:val="00607C02"/>
    <w:rsid w:val="006100AC"/>
    <w:rsid w:val="0061111B"/>
    <w:rsid w:val="00612449"/>
    <w:rsid w:val="0061252F"/>
    <w:rsid w:val="00612EA6"/>
    <w:rsid w:val="00613DF5"/>
    <w:rsid w:val="00614F16"/>
    <w:rsid w:val="00615C5F"/>
    <w:rsid w:val="00616900"/>
    <w:rsid w:val="0061762A"/>
    <w:rsid w:val="00617834"/>
    <w:rsid w:val="006200EB"/>
    <w:rsid w:val="00620279"/>
    <w:rsid w:val="00622E02"/>
    <w:rsid w:val="00623CBB"/>
    <w:rsid w:val="0062457B"/>
    <w:rsid w:val="00625CF0"/>
    <w:rsid w:val="00626C7F"/>
    <w:rsid w:val="00631A75"/>
    <w:rsid w:val="00632CF1"/>
    <w:rsid w:val="00633034"/>
    <w:rsid w:val="0063485D"/>
    <w:rsid w:val="00635764"/>
    <w:rsid w:val="00636D5B"/>
    <w:rsid w:val="00637241"/>
    <w:rsid w:val="006400D2"/>
    <w:rsid w:val="00640FAC"/>
    <w:rsid w:val="00642006"/>
    <w:rsid w:val="00644CD6"/>
    <w:rsid w:val="00645A6C"/>
    <w:rsid w:val="006464F0"/>
    <w:rsid w:val="00647E26"/>
    <w:rsid w:val="0065024D"/>
    <w:rsid w:val="006537EA"/>
    <w:rsid w:val="00653CC2"/>
    <w:rsid w:val="006545BA"/>
    <w:rsid w:val="00662DF0"/>
    <w:rsid w:val="00665776"/>
    <w:rsid w:val="00665D43"/>
    <w:rsid w:val="00666C7C"/>
    <w:rsid w:val="00666E64"/>
    <w:rsid w:val="00667325"/>
    <w:rsid w:val="00670D5E"/>
    <w:rsid w:val="006724AE"/>
    <w:rsid w:val="00673A21"/>
    <w:rsid w:val="00673DD5"/>
    <w:rsid w:val="00675370"/>
    <w:rsid w:val="00676FE8"/>
    <w:rsid w:val="00677E72"/>
    <w:rsid w:val="00680486"/>
    <w:rsid w:val="00680512"/>
    <w:rsid w:val="00686A75"/>
    <w:rsid w:val="006872A5"/>
    <w:rsid w:val="0068736D"/>
    <w:rsid w:val="00687BDE"/>
    <w:rsid w:val="00691887"/>
    <w:rsid w:val="00691C24"/>
    <w:rsid w:val="006936B5"/>
    <w:rsid w:val="00694709"/>
    <w:rsid w:val="006972C5"/>
    <w:rsid w:val="00697FE7"/>
    <w:rsid w:val="006A0974"/>
    <w:rsid w:val="006A6389"/>
    <w:rsid w:val="006A750B"/>
    <w:rsid w:val="006A75EF"/>
    <w:rsid w:val="006B01D6"/>
    <w:rsid w:val="006B04DC"/>
    <w:rsid w:val="006B2770"/>
    <w:rsid w:val="006B28DC"/>
    <w:rsid w:val="006B4216"/>
    <w:rsid w:val="006B46F5"/>
    <w:rsid w:val="006B5339"/>
    <w:rsid w:val="006B792F"/>
    <w:rsid w:val="006C14A6"/>
    <w:rsid w:val="006C1B57"/>
    <w:rsid w:val="006C2504"/>
    <w:rsid w:val="006C2608"/>
    <w:rsid w:val="006C2709"/>
    <w:rsid w:val="006C3504"/>
    <w:rsid w:val="006C4079"/>
    <w:rsid w:val="006C606C"/>
    <w:rsid w:val="006C7195"/>
    <w:rsid w:val="006C7C22"/>
    <w:rsid w:val="006C7F4D"/>
    <w:rsid w:val="006D7597"/>
    <w:rsid w:val="006E0392"/>
    <w:rsid w:val="006E050C"/>
    <w:rsid w:val="006E0675"/>
    <w:rsid w:val="006E18BB"/>
    <w:rsid w:val="006E4AAE"/>
    <w:rsid w:val="006E6D37"/>
    <w:rsid w:val="006E6D4B"/>
    <w:rsid w:val="006E6FA7"/>
    <w:rsid w:val="006F0EDA"/>
    <w:rsid w:val="006F1581"/>
    <w:rsid w:val="006F409C"/>
    <w:rsid w:val="006F7178"/>
    <w:rsid w:val="007005F8"/>
    <w:rsid w:val="00701198"/>
    <w:rsid w:val="0070131C"/>
    <w:rsid w:val="00702802"/>
    <w:rsid w:val="00702989"/>
    <w:rsid w:val="00702ADF"/>
    <w:rsid w:val="00702C9F"/>
    <w:rsid w:val="0070414A"/>
    <w:rsid w:val="007045AA"/>
    <w:rsid w:val="0070571A"/>
    <w:rsid w:val="00710B19"/>
    <w:rsid w:val="00710E96"/>
    <w:rsid w:val="00712533"/>
    <w:rsid w:val="00713100"/>
    <w:rsid w:val="007145DE"/>
    <w:rsid w:val="00714935"/>
    <w:rsid w:val="007160B6"/>
    <w:rsid w:val="00716433"/>
    <w:rsid w:val="007173D8"/>
    <w:rsid w:val="0072124E"/>
    <w:rsid w:val="00721711"/>
    <w:rsid w:val="00721B8E"/>
    <w:rsid w:val="00723D91"/>
    <w:rsid w:val="00724C5E"/>
    <w:rsid w:val="00724D58"/>
    <w:rsid w:val="0072548B"/>
    <w:rsid w:val="00726235"/>
    <w:rsid w:val="00731A4E"/>
    <w:rsid w:val="00732CE1"/>
    <w:rsid w:val="0073384F"/>
    <w:rsid w:val="00735E7E"/>
    <w:rsid w:val="007371E5"/>
    <w:rsid w:val="0074008D"/>
    <w:rsid w:val="00741A40"/>
    <w:rsid w:val="0074224B"/>
    <w:rsid w:val="00742C20"/>
    <w:rsid w:val="0074362A"/>
    <w:rsid w:val="0074599F"/>
    <w:rsid w:val="00747073"/>
    <w:rsid w:val="007478B4"/>
    <w:rsid w:val="00750140"/>
    <w:rsid w:val="007506C7"/>
    <w:rsid w:val="00750EF5"/>
    <w:rsid w:val="0075167B"/>
    <w:rsid w:val="007539C2"/>
    <w:rsid w:val="00753CCF"/>
    <w:rsid w:val="007547AC"/>
    <w:rsid w:val="007567C4"/>
    <w:rsid w:val="00756AF2"/>
    <w:rsid w:val="00757192"/>
    <w:rsid w:val="0076071D"/>
    <w:rsid w:val="00764146"/>
    <w:rsid w:val="00766F8A"/>
    <w:rsid w:val="00767F69"/>
    <w:rsid w:val="00771430"/>
    <w:rsid w:val="00771815"/>
    <w:rsid w:val="00775684"/>
    <w:rsid w:val="0077683A"/>
    <w:rsid w:val="00780BC7"/>
    <w:rsid w:val="007819B5"/>
    <w:rsid w:val="00782B18"/>
    <w:rsid w:val="007836B3"/>
    <w:rsid w:val="00784E1F"/>
    <w:rsid w:val="00786295"/>
    <w:rsid w:val="0078639D"/>
    <w:rsid w:val="0078751A"/>
    <w:rsid w:val="00790171"/>
    <w:rsid w:val="0079074D"/>
    <w:rsid w:val="007914D6"/>
    <w:rsid w:val="00792B6C"/>
    <w:rsid w:val="00792DAB"/>
    <w:rsid w:val="00795110"/>
    <w:rsid w:val="00795960"/>
    <w:rsid w:val="00795D2C"/>
    <w:rsid w:val="00795D51"/>
    <w:rsid w:val="00795F1D"/>
    <w:rsid w:val="00796DD0"/>
    <w:rsid w:val="00797627"/>
    <w:rsid w:val="007A0E07"/>
    <w:rsid w:val="007A2D80"/>
    <w:rsid w:val="007A3545"/>
    <w:rsid w:val="007A3A63"/>
    <w:rsid w:val="007A3E87"/>
    <w:rsid w:val="007A741E"/>
    <w:rsid w:val="007A77E7"/>
    <w:rsid w:val="007A7A2A"/>
    <w:rsid w:val="007B0FA4"/>
    <w:rsid w:val="007B0FF2"/>
    <w:rsid w:val="007B2F8A"/>
    <w:rsid w:val="007B51BF"/>
    <w:rsid w:val="007B658A"/>
    <w:rsid w:val="007C1F0A"/>
    <w:rsid w:val="007C2943"/>
    <w:rsid w:val="007C2AE9"/>
    <w:rsid w:val="007C4117"/>
    <w:rsid w:val="007C56AC"/>
    <w:rsid w:val="007C5911"/>
    <w:rsid w:val="007C5DB3"/>
    <w:rsid w:val="007C7EAC"/>
    <w:rsid w:val="007D026F"/>
    <w:rsid w:val="007D08FE"/>
    <w:rsid w:val="007D2403"/>
    <w:rsid w:val="007D3941"/>
    <w:rsid w:val="007D3C01"/>
    <w:rsid w:val="007D62EC"/>
    <w:rsid w:val="007D7427"/>
    <w:rsid w:val="007D76DB"/>
    <w:rsid w:val="007D7CB9"/>
    <w:rsid w:val="007E0994"/>
    <w:rsid w:val="007E10D8"/>
    <w:rsid w:val="007E218D"/>
    <w:rsid w:val="007E2C9A"/>
    <w:rsid w:val="007E4177"/>
    <w:rsid w:val="007E42A4"/>
    <w:rsid w:val="007E561F"/>
    <w:rsid w:val="007E689A"/>
    <w:rsid w:val="007E6E51"/>
    <w:rsid w:val="007E73DE"/>
    <w:rsid w:val="007F2856"/>
    <w:rsid w:val="007F28B4"/>
    <w:rsid w:val="007F2C3B"/>
    <w:rsid w:val="007F2D5C"/>
    <w:rsid w:val="007F4ACD"/>
    <w:rsid w:val="007F621A"/>
    <w:rsid w:val="007F7F38"/>
    <w:rsid w:val="008011EA"/>
    <w:rsid w:val="00802116"/>
    <w:rsid w:val="008067C3"/>
    <w:rsid w:val="008069ED"/>
    <w:rsid w:val="00807B46"/>
    <w:rsid w:val="00810092"/>
    <w:rsid w:val="00811796"/>
    <w:rsid w:val="008148F9"/>
    <w:rsid w:val="00814A2E"/>
    <w:rsid w:val="0081521E"/>
    <w:rsid w:val="008155D3"/>
    <w:rsid w:val="008159BA"/>
    <w:rsid w:val="00817072"/>
    <w:rsid w:val="00820B4C"/>
    <w:rsid w:val="00821774"/>
    <w:rsid w:val="008231CB"/>
    <w:rsid w:val="0082529A"/>
    <w:rsid w:val="0082753D"/>
    <w:rsid w:val="00831661"/>
    <w:rsid w:val="0083236F"/>
    <w:rsid w:val="00834C89"/>
    <w:rsid w:val="00834E3E"/>
    <w:rsid w:val="008351F1"/>
    <w:rsid w:val="0083554A"/>
    <w:rsid w:val="00836B86"/>
    <w:rsid w:val="00837597"/>
    <w:rsid w:val="008377FD"/>
    <w:rsid w:val="00840272"/>
    <w:rsid w:val="00840A10"/>
    <w:rsid w:val="00841044"/>
    <w:rsid w:val="00841C56"/>
    <w:rsid w:val="00842166"/>
    <w:rsid w:val="008424A9"/>
    <w:rsid w:val="008427BB"/>
    <w:rsid w:val="00843B28"/>
    <w:rsid w:val="0084433C"/>
    <w:rsid w:val="00845D83"/>
    <w:rsid w:val="00846A70"/>
    <w:rsid w:val="00847B3F"/>
    <w:rsid w:val="00856B15"/>
    <w:rsid w:val="008605ED"/>
    <w:rsid w:val="00862559"/>
    <w:rsid w:val="00862FB0"/>
    <w:rsid w:val="00870FBB"/>
    <w:rsid w:val="0087336B"/>
    <w:rsid w:val="00874872"/>
    <w:rsid w:val="00875BD4"/>
    <w:rsid w:val="008767A1"/>
    <w:rsid w:val="00877840"/>
    <w:rsid w:val="00877D23"/>
    <w:rsid w:val="008804FE"/>
    <w:rsid w:val="00881DC1"/>
    <w:rsid w:val="00882692"/>
    <w:rsid w:val="0088418B"/>
    <w:rsid w:val="00886123"/>
    <w:rsid w:val="008862CA"/>
    <w:rsid w:val="00887858"/>
    <w:rsid w:val="008900BD"/>
    <w:rsid w:val="00892AFA"/>
    <w:rsid w:val="00893900"/>
    <w:rsid w:val="00894705"/>
    <w:rsid w:val="00895D0A"/>
    <w:rsid w:val="00896A41"/>
    <w:rsid w:val="008976AD"/>
    <w:rsid w:val="008A05FF"/>
    <w:rsid w:val="008A22FF"/>
    <w:rsid w:val="008A2745"/>
    <w:rsid w:val="008A3ED4"/>
    <w:rsid w:val="008A6713"/>
    <w:rsid w:val="008A6B07"/>
    <w:rsid w:val="008A7C6C"/>
    <w:rsid w:val="008B2EED"/>
    <w:rsid w:val="008B4834"/>
    <w:rsid w:val="008B5251"/>
    <w:rsid w:val="008B5690"/>
    <w:rsid w:val="008B6755"/>
    <w:rsid w:val="008C2343"/>
    <w:rsid w:val="008C3BBC"/>
    <w:rsid w:val="008C5311"/>
    <w:rsid w:val="008C5A58"/>
    <w:rsid w:val="008D0206"/>
    <w:rsid w:val="008D0AA9"/>
    <w:rsid w:val="008D1496"/>
    <w:rsid w:val="008D163E"/>
    <w:rsid w:val="008D1868"/>
    <w:rsid w:val="008D2573"/>
    <w:rsid w:val="008D406E"/>
    <w:rsid w:val="008E0173"/>
    <w:rsid w:val="008E144C"/>
    <w:rsid w:val="008E1E26"/>
    <w:rsid w:val="008E20F1"/>
    <w:rsid w:val="008E3475"/>
    <w:rsid w:val="008E4DB1"/>
    <w:rsid w:val="008E4FCF"/>
    <w:rsid w:val="008E51A9"/>
    <w:rsid w:val="008F156A"/>
    <w:rsid w:val="008F201F"/>
    <w:rsid w:val="008F458A"/>
    <w:rsid w:val="008F4E1A"/>
    <w:rsid w:val="008F5A11"/>
    <w:rsid w:val="0090027D"/>
    <w:rsid w:val="009019BC"/>
    <w:rsid w:val="009022D4"/>
    <w:rsid w:val="00903B1F"/>
    <w:rsid w:val="009124E0"/>
    <w:rsid w:val="0091317D"/>
    <w:rsid w:val="0091374F"/>
    <w:rsid w:val="00913E44"/>
    <w:rsid w:val="00915BDD"/>
    <w:rsid w:val="00915DC8"/>
    <w:rsid w:val="00916678"/>
    <w:rsid w:val="00916DD0"/>
    <w:rsid w:val="009177C1"/>
    <w:rsid w:val="00917DD2"/>
    <w:rsid w:val="009245D6"/>
    <w:rsid w:val="00924F4E"/>
    <w:rsid w:val="00927A60"/>
    <w:rsid w:val="009305F9"/>
    <w:rsid w:val="009324AF"/>
    <w:rsid w:val="00933B64"/>
    <w:rsid w:val="00934048"/>
    <w:rsid w:val="00935967"/>
    <w:rsid w:val="00936ADF"/>
    <w:rsid w:val="0093719F"/>
    <w:rsid w:val="009403B7"/>
    <w:rsid w:val="00940671"/>
    <w:rsid w:val="009422DE"/>
    <w:rsid w:val="009455B0"/>
    <w:rsid w:val="00947FCC"/>
    <w:rsid w:val="009500F9"/>
    <w:rsid w:val="009511F6"/>
    <w:rsid w:val="00954573"/>
    <w:rsid w:val="009566F6"/>
    <w:rsid w:val="0095699C"/>
    <w:rsid w:val="0095762D"/>
    <w:rsid w:val="00960B7B"/>
    <w:rsid w:val="00960E7E"/>
    <w:rsid w:val="00961246"/>
    <w:rsid w:val="00963E40"/>
    <w:rsid w:val="009652B3"/>
    <w:rsid w:val="00965C98"/>
    <w:rsid w:val="009709FA"/>
    <w:rsid w:val="009711B0"/>
    <w:rsid w:val="00971DC5"/>
    <w:rsid w:val="00972A98"/>
    <w:rsid w:val="0097696F"/>
    <w:rsid w:val="0098182B"/>
    <w:rsid w:val="00981CCA"/>
    <w:rsid w:val="00982840"/>
    <w:rsid w:val="00982F9A"/>
    <w:rsid w:val="00984266"/>
    <w:rsid w:val="00984ECE"/>
    <w:rsid w:val="00985C5F"/>
    <w:rsid w:val="00986C88"/>
    <w:rsid w:val="00987737"/>
    <w:rsid w:val="0098798D"/>
    <w:rsid w:val="009900D3"/>
    <w:rsid w:val="00990BB6"/>
    <w:rsid w:val="00991CA3"/>
    <w:rsid w:val="00991EB9"/>
    <w:rsid w:val="00992245"/>
    <w:rsid w:val="009937EC"/>
    <w:rsid w:val="00993E5C"/>
    <w:rsid w:val="00994043"/>
    <w:rsid w:val="00994BFB"/>
    <w:rsid w:val="00995512"/>
    <w:rsid w:val="00996632"/>
    <w:rsid w:val="00996DC2"/>
    <w:rsid w:val="009976EA"/>
    <w:rsid w:val="009A1114"/>
    <w:rsid w:val="009A1328"/>
    <w:rsid w:val="009A2C14"/>
    <w:rsid w:val="009A3A95"/>
    <w:rsid w:val="009A4623"/>
    <w:rsid w:val="009A4A6B"/>
    <w:rsid w:val="009A4C3F"/>
    <w:rsid w:val="009A53A9"/>
    <w:rsid w:val="009A6AE9"/>
    <w:rsid w:val="009B269E"/>
    <w:rsid w:val="009B4FFD"/>
    <w:rsid w:val="009B7E0A"/>
    <w:rsid w:val="009C05B4"/>
    <w:rsid w:val="009C3660"/>
    <w:rsid w:val="009C48EC"/>
    <w:rsid w:val="009C4BD9"/>
    <w:rsid w:val="009C4CB3"/>
    <w:rsid w:val="009C68C5"/>
    <w:rsid w:val="009C77F6"/>
    <w:rsid w:val="009D0267"/>
    <w:rsid w:val="009D0A1D"/>
    <w:rsid w:val="009D1C73"/>
    <w:rsid w:val="009D60EC"/>
    <w:rsid w:val="009D663F"/>
    <w:rsid w:val="009D71BE"/>
    <w:rsid w:val="009E031F"/>
    <w:rsid w:val="009E0A14"/>
    <w:rsid w:val="009E24FE"/>
    <w:rsid w:val="009E44E4"/>
    <w:rsid w:val="009E61C8"/>
    <w:rsid w:val="009E6748"/>
    <w:rsid w:val="009E7802"/>
    <w:rsid w:val="009F01FB"/>
    <w:rsid w:val="009F0BA1"/>
    <w:rsid w:val="009F25CC"/>
    <w:rsid w:val="009F3743"/>
    <w:rsid w:val="009F4C34"/>
    <w:rsid w:val="009F5871"/>
    <w:rsid w:val="009F6725"/>
    <w:rsid w:val="00A0124D"/>
    <w:rsid w:val="00A01B5F"/>
    <w:rsid w:val="00A03DE8"/>
    <w:rsid w:val="00A03F47"/>
    <w:rsid w:val="00A05C56"/>
    <w:rsid w:val="00A06C47"/>
    <w:rsid w:val="00A06FCF"/>
    <w:rsid w:val="00A0765E"/>
    <w:rsid w:val="00A07916"/>
    <w:rsid w:val="00A123AA"/>
    <w:rsid w:val="00A123BF"/>
    <w:rsid w:val="00A12E46"/>
    <w:rsid w:val="00A13CCB"/>
    <w:rsid w:val="00A17D46"/>
    <w:rsid w:val="00A23683"/>
    <w:rsid w:val="00A23B1E"/>
    <w:rsid w:val="00A23DAD"/>
    <w:rsid w:val="00A242E1"/>
    <w:rsid w:val="00A24907"/>
    <w:rsid w:val="00A26FDB"/>
    <w:rsid w:val="00A32008"/>
    <w:rsid w:val="00A32591"/>
    <w:rsid w:val="00A3382E"/>
    <w:rsid w:val="00A34F3B"/>
    <w:rsid w:val="00A35641"/>
    <w:rsid w:val="00A3673E"/>
    <w:rsid w:val="00A3695E"/>
    <w:rsid w:val="00A37BC3"/>
    <w:rsid w:val="00A40084"/>
    <w:rsid w:val="00A4051E"/>
    <w:rsid w:val="00A407FF"/>
    <w:rsid w:val="00A40ADF"/>
    <w:rsid w:val="00A418FC"/>
    <w:rsid w:val="00A41A02"/>
    <w:rsid w:val="00A41B24"/>
    <w:rsid w:val="00A42E1D"/>
    <w:rsid w:val="00A474E7"/>
    <w:rsid w:val="00A47825"/>
    <w:rsid w:val="00A52887"/>
    <w:rsid w:val="00A539D6"/>
    <w:rsid w:val="00A5495A"/>
    <w:rsid w:val="00A5536B"/>
    <w:rsid w:val="00A558A0"/>
    <w:rsid w:val="00A57040"/>
    <w:rsid w:val="00A611AA"/>
    <w:rsid w:val="00A61928"/>
    <w:rsid w:val="00A63874"/>
    <w:rsid w:val="00A64551"/>
    <w:rsid w:val="00A645BA"/>
    <w:rsid w:val="00A669F1"/>
    <w:rsid w:val="00A67175"/>
    <w:rsid w:val="00A67953"/>
    <w:rsid w:val="00A705B0"/>
    <w:rsid w:val="00A71344"/>
    <w:rsid w:val="00A72C9C"/>
    <w:rsid w:val="00A7590A"/>
    <w:rsid w:val="00A76AFA"/>
    <w:rsid w:val="00A76B24"/>
    <w:rsid w:val="00A76CDB"/>
    <w:rsid w:val="00A8111A"/>
    <w:rsid w:val="00A82CF9"/>
    <w:rsid w:val="00A83398"/>
    <w:rsid w:val="00A83593"/>
    <w:rsid w:val="00A83ADF"/>
    <w:rsid w:val="00A843F6"/>
    <w:rsid w:val="00A859A3"/>
    <w:rsid w:val="00A867F0"/>
    <w:rsid w:val="00A86FF0"/>
    <w:rsid w:val="00A87076"/>
    <w:rsid w:val="00A872A6"/>
    <w:rsid w:val="00A87A77"/>
    <w:rsid w:val="00A903A5"/>
    <w:rsid w:val="00A9220D"/>
    <w:rsid w:val="00A9298E"/>
    <w:rsid w:val="00A9414D"/>
    <w:rsid w:val="00A94699"/>
    <w:rsid w:val="00A9530B"/>
    <w:rsid w:val="00A95F52"/>
    <w:rsid w:val="00A965F2"/>
    <w:rsid w:val="00A97962"/>
    <w:rsid w:val="00A97AC1"/>
    <w:rsid w:val="00AA0DB1"/>
    <w:rsid w:val="00AA2145"/>
    <w:rsid w:val="00AA2472"/>
    <w:rsid w:val="00AA2F58"/>
    <w:rsid w:val="00AA3D5F"/>
    <w:rsid w:val="00AA3F94"/>
    <w:rsid w:val="00AA4945"/>
    <w:rsid w:val="00AA49C9"/>
    <w:rsid w:val="00AA6467"/>
    <w:rsid w:val="00AA7E40"/>
    <w:rsid w:val="00AB10EA"/>
    <w:rsid w:val="00AB150C"/>
    <w:rsid w:val="00AB2F7B"/>
    <w:rsid w:val="00AB3E8A"/>
    <w:rsid w:val="00AB455E"/>
    <w:rsid w:val="00AB51DC"/>
    <w:rsid w:val="00AB7017"/>
    <w:rsid w:val="00AC0706"/>
    <w:rsid w:val="00AC1DC1"/>
    <w:rsid w:val="00AC296A"/>
    <w:rsid w:val="00AC4BC7"/>
    <w:rsid w:val="00AC5266"/>
    <w:rsid w:val="00AD0878"/>
    <w:rsid w:val="00AD208D"/>
    <w:rsid w:val="00AD2734"/>
    <w:rsid w:val="00AD2FD9"/>
    <w:rsid w:val="00AD4DCF"/>
    <w:rsid w:val="00AD4F4D"/>
    <w:rsid w:val="00AD56BE"/>
    <w:rsid w:val="00AE0354"/>
    <w:rsid w:val="00AE1286"/>
    <w:rsid w:val="00AE1E2F"/>
    <w:rsid w:val="00AE28BB"/>
    <w:rsid w:val="00AF0F3C"/>
    <w:rsid w:val="00AF18AF"/>
    <w:rsid w:val="00AF1BF4"/>
    <w:rsid w:val="00AF326B"/>
    <w:rsid w:val="00AF3448"/>
    <w:rsid w:val="00AF3D84"/>
    <w:rsid w:val="00AF4536"/>
    <w:rsid w:val="00AF4A31"/>
    <w:rsid w:val="00AF4DCC"/>
    <w:rsid w:val="00AF5852"/>
    <w:rsid w:val="00AF58A7"/>
    <w:rsid w:val="00AF5D8D"/>
    <w:rsid w:val="00AF6962"/>
    <w:rsid w:val="00AF6E17"/>
    <w:rsid w:val="00AF70AF"/>
    <w:rsid w:val="00AF7B48"/>
    <w:rsid w:val="00B02D2A"/>
    <w:rsid w:val="00B03461"/>
    <w:rsid w:val="00B03B29"/>
    <w:rsid w:val="00B03B71"/>
    <w:rsid w:val="00B0479C"/>
    <w:rsid w:val="00B05A20"/>
    <w:rsid w:val="00B05CDE"/>
    <w:rsid w:val="00B05E94"/>
    <w:rsid w:val="00B06A43"/>
    <w:rsid w:val="00B0733A"/>
    <w:rsid w:val="00B07909"/>
    <w:rsid w:val="00B10899"/>
    <w:rsid w:val="00B11490"/>
    <w:rsid w:val="00B12BEC"/>
    <w:rsid w:val="00B1425A"/>
    <w:rsid w:val="00B14D5D"/>
    <w:rsid w:val="00B15DFE"/>
    <w:rsid w:val="00B16E5B"/>
    <w:rsid w:val="00B2117A"/>
    <w:rsid w:val="00B24DCC"/>
    <w:rsid w:val="00B2515A"/>
    <w:rsid w:val="00B25A9E"/>
    <w:rsid w:val="00B25AE4"/>
    <w:rsid w:val="00B3089B"/>
    <w:rsid w:val="00B32506"/>
    <w:rsid w:val="00B32D79"/>
    <w:rsid w:val="00B331BB"/>
    <w:rsid w:val="00B3337A"/>
    <w:rsid w:val="00B35A64"/>
    <w:rsid w:val="00B365BC"/>
    <w:rsid w:val="00B40ADE"/>
    <w:rsid w:val="00B41D81"/>
    <w:rsid w:val="00B41E87"/>
    <w:rsid w:val="00B43454"/>
    <w:rsid w:val="00B43C7A"/>
    <w:rsid w:val="00B44F02"/>
    <w:rsid w:val="00B45EBC"/>
    <w:rsid w:val="00B461F7"/>
    <w:rsid w:val="00B46E46"/>
    <w:rsid w:val="00B473FD"/>
    <w:rsid w:val="00B50B8C"/>
    <w:rsid w:val="00B50D07"/>
    <w:rsid w:val="00B5169E"/>
    <w:rsid w:val="00B579EC"/>
    <w:rsid w:val="00B57BAF"/>
    <w:rsid w:val="00B57D2F"/>
    <w:rsid w:val="00B60C0B"/>
    <w:rsid w:val="00B60ED1"/>
    <w:rsid w:val="00B61BAC"/>
    <w:rsid w:val="00B663AD"/>
    <w:rsid w:val="00B668AB"/>
    <w:rsid w:val="00B669F8"/>
    <w:rsid w:val="00B66E19"/>
    <w:rsid w:val="00B67CFF"/>
    <w:rsid w:val="00B70358"/>
    <w:rsid w:val="00B721FA"/>
    <w:rsid w:val="00B726A9"/>
    <w:rsid w:val="00B72C24"/>
    <w:rsid w:val="00B77162"/>
    <w:rsid w:val="00B772E3"/>
    <w:rsid w:val="00B77D36"/>
    <w:rsid w:val="00B80A97"/>
    <w:rsid w:val="00B80F66"/>
    <w:rsid w:val="00B8354D"/>
    <w:rsid w:val="00B8377F"/>
    <w:rsid w:val="00B83A8C"/>
    <w:rsid w:val="00B9014C"/>
    <w:rsid w:val="00B9247C"/>
    <w:rsid w:val="00B93132"/>
    <w:rsid w:val="00B954AF"/>
    <w:rsid w:val="00B9627E"/>
    <w:rsid w:val="00B963F2"/>
    <w:rsid w:val="00BA02DB"/>
    <w:rsid w:val="00BA0651"/>
    <w:rsid w:val="00BA19A6"/>
    <w:rsid w:val="00BA1C21"/>
    <w:rsid w:val="00BA4702"/>
    <w:rsid w:val="00BA4E6A"/>
    <w:rsid w:val="00BA5306"/>
    <w:rsid w:val="00BA573D"/>
    <w:rsid w:val="00BA5B9C"/>
    <w:rsid w:val="00BA5EF3"/>
    <w:rsid w:val="00BA6D98"/>
    <w:rsid w:val="00BB2959"/>
    <w:rsid w:val="00BB3735"/>
    <w:rsid w:val="00BB4E18"/>
    <w:rsid w:val="00BB549B"/>
    <w:rsid w:val="00BB5DC2"/>
    <w:rsid w:val="00BB71C1"/>
    <w:rsid w:val="00BC172B"/>
    <w:rsid w:val="00BC2397"/>
    <w:rsid w:val="00BC3937"/>
    <w:rsid w:val="00BC519E"/>
    <w:rsid w:val="00BD0C6F"/>
    <w:rsid w:val="00BD2830"/>
    <w:rsid w:val="00BD313C"/>
    <w:rsid w:val="00BD6496"/>
    <w:rsid w:val="00BD64CC"/>
    <w:rsid w:val="00BD6749"/>
    <w:rsid w:val="00BD7337"/>
    <w:rsid w:val="00BE0159"/>
    <w:rsid w:val="00BE3F39"/>
    <w:rsid w:val="00BE4FEA"/>
    <w:rsid w:val="00BE5626"/>
    <w:rsid w:val="00BE624D"/>
    <w:rsid w:val="00BE66A3"/>
    <w:rsid w:val="00BE7087"/>
    <w:rsid w:val="00BF03F2"/>
    <w:rsid w:val="00BF0960"/>
    <w:rsid w:val="00BF151A"/>
    <w:rsid w:val="00BF2AA4"/>
    <w:rsid w:val="00BF2D76"/>
    <w:rsid w:val="00BF34A8"/>
    <w:rsid w:val="00BF35AE"/>
    <w:rsid w:val="00BF5158"/>
    <w:rsid w:val="00BF51EE"/>
    <w:rsid w:val="00BF5AED"/>
    <w:rsid w:val="00BF5ED5"/>
    <w:rsid w:val="00C005D9"/>
    <w:rsid w:val="00C01D83"/>
    <w:rsid w:val="00C02B6A"/>
    <w:rsid w:val="00C02D1E"/>
    <w:rsid w:val="00C03150"/>
    <w:rsid w:val="00C033B9"/>
    <w:rsid w:val="00C042D5"/>
    <w:rsid w:val="00C06FD0"/>
    <w:rsid w:val="00C07243"/>
    <w:rsid w:val="00C07BAD"/>
    <w:rsid w:val="00C121F5"/>
    <w:rsid w:val="00C14804"/>
    <w:rsid w:val="00C14A1D"/>
    <w:rsid w:val="00C14B60"/>
    <w:rsid w:val="00C20557"/>
    <w:rsid w:val="00C21AFC"/>
    <w:rsid w:val="00C23123"/>
    <w:rsid w:val="00C2329D"/>
    <w:rsid w:val="00C23948"/>
    <w:rsid w:val="00C24328"/>
    <w:rsid w:val="00C24CB2"/>
    <w:rsid w:val="00C253CB"/>
    <w:rsid w:val="00C255DB"/>
    <w:rsid w:val="00C269D8"/>
    <w:rsid w:val="00C272C0"/>
    <w:rsid w:val="00C2760A"/>
    <w:rsid w:val="00C3038A"/>
    <w:rsid w:val="00C31493"/>
    <w:rsid w:val="00C333AF"/>
    <w:rsid w:val="00C34205"/>
    <w:rsid w:val="00C34685"/>
    <w:rsid w:val="00C36895"/>
    <w:rsid w:val="00C40DA4"/>
    <w:rsid w:val="00C42BC5"/>
    <w:rsid w:val="00C44E63"/>
    <w:rsid w:val="00C45457"/>
    <w:rsid w:val="00C45A48"/>
    <w:rsid w:val="00C45E79"/>
    <w:rsid w:val="00C47709"/>
    <w:rsid w:val="00C47E9C"/>
    <w:rsid w:val="00C50492"/>
    <w:rsid w:val="00C51044"/>
    <w:rsid w:val="00C51987"/>
    <w:rsid w:val="00C558E9"/>
    <w:rsid w:val="00C568A9"/>
    <w:rsid w:val="00C5732C"/>
    <w:rsid w:val="00C6083B"/>
    <w:rsid w:val="00C6102C"/>
    <w:rsid w:val="00C61285"/>
    <w:rsid w:val="00C62AC6"/>
    <w:rsid w:val="00C62FC5"/>
    <w:rsid w:val="00C63896"/>
    <w:rsid w:val="00C647ED"/>
    <w:rsid w:val="00C6548F"/>
    <w:rsid w:val="00C66ACA"/>
    <w:rsid w:val="00C66E18"/>
    <w:rsid w:val="00C67A7B"/>
    <w:rsid w:val="00C67B75"/>
    <w:rsid w:val="00C710D0"/>
    <w:rsid w:val="00C71EE3"/>
    <w:rsid w:val="00C7216E"/>
    <w:rsid w:val="00C72E2E"/>
    <w:rsid w:val="00C757B5"/>
    <w:rsid w:val="00C75FC7"/>
    <w:rsid w:val="00C773A5"/>
    <w:rsid w:val="00C77A44"/>
    <w:rsid w:val="00C77CE8"/>
    <w:rsid w:val="00C77D37"/>
    <w:rsid w:val="00C812A2"/>
    <w:rsid w:val="00C81775"/>
    <w:rsid w:val="00C817DC"/>
    <w:rsid w:val="00C86575"/>
    <w:rsid w:val="00C91A5B"/>
    <w:rsid w:val="00C9288D"/>
    <w:rsid w:val="00C939A9"/>
    <w:rsid w:val="00C94442"/>
    <w:rsid w:val="00C94A3B"/>
    <w:rsid w:val="00C94A3C"/>
    <w:rsid w:val="00C96DB9"/>
    <w:rsid w:val="00CA3CDE"/>
    <w:rsid w:val="00CA4D98"/>
    <w:rsid w:val="00CA53D9"/>
    <w:rsid w:val="00CA55F2"/>
    <w:rsid w:val="00CB7A12"/>
    <w:rsid w:val="00CC1927"/>
    <w:rsid w:val="00CC1EA9"/>
    <w:rsid w:val="00CC46F1"/>
    <w:rsid w:val="00CC557E"/>
    <w:rsid w:val="00CC5ABC"/>
    <w:rsid w:val="00CC69B8"/>
    <w:rsid w:val="00CC713A"/>
    <w:rsid w:val="00CC7CB5"/>
    <w:rsid w:val="00CC7D97"/>
    <w:rsid w:val="00CD0827"/>
    <w:rsid w:val="00CD2DE6"/>
    <w:rsid w:val="00CD5207"/>
    <w:rsid w:val="00CD7D82"/>
    <w:rsid w:val="00CE1EEE"/>
    <w:rsid w:val="00CE3A01"/>
    <w:rsid w:val="00CE4F30"/>
    <w:rsid w:val="00CE5951"/>
    <w:rsid w:val="00CE59BA"/>
    <w:rsid w:val="00CE5ABE"/>
    <w:rsid w:val="00CF4468"/>
    <w:rsid w:val="00CF4A2A"/>
    <w:rsid w:val="00CF51DA"/>
    <w:rsid w:val="00D00367"/>
    <w:rsid w:val="00D00693"/>
    <w:rsid w:val="00D04710"/>
    <w:rsid w:val="00D05B64"/>
    <w:rsid w:val="00D06535"/>
    <w:rsid w:val="00D0661E"/>
    <w:rsid w:val="00D10C12"/>
    <w:rsid w:val="00D11881"/>
    <w:rsid w:val="00D122BD"/>
    <w:rsid w:val="00D12606"/>
    <w:rsid w:val="00D12B26"/>
    <w:rsid w:val="00D15F58"/>
    <w:rsid w:val="00D1656E"/>
    <w:rsid w:val="00D173CA"/>
    <w:rsid w:val="00D17DDF"/>
    <w:rsid w:val="00D2077A"/>
    <w:rsid w:val="00D2418B"/>
    <w:rsid w:val="00D2448A"/>
    <w:rsid w:val="00D24E99"/>
    <w:rsid w:val="00D2733E"/>
    <w:rsid w:val="00D273A4"/>
    <w:rsid w:val="00D27B18"/>
    <w:rsid w:val="00D306FF"/>
    <w:rsid w:val="00D325FD"/>
    <w:rsid w:val="00D32D17"/>
    <w:rsid w:val="00D32DD6"/>
    <w:rsid w:val="00D32E7F"/>
    <w:rsid w:val="00D33870"/>
    <w:rsid w:val="00D34F5D"/>
    <w:rsid w:val="00D3681D"/>
    <w:rsid w:val="00D378D0"/>
    <w:rsid w:val="00D409D9"/>
    <w:rsid w:val="00D422C4"/>
    <w:rsid w:val="00D468EB"/>
    <w:rsid w:val="00D46DA3"/>
    <w:rsid w:val="00D4790F"/>
    <w:rsid w:val="00D5021F"/>
    <w:rsid w:val="00D50400"/>
    <w:rsid w:val="00D50F1A"/>
    <w:rsid w:val="00D5228B"/>
    <w:rsid w:val="00D525B4"/>
    <w:rsid w:val="00D52C3D"/>
    <w:rsid w:val="00D54AEA"/>
    <w:rsid w:val="00D55150"/>
    <w:rsid w:val="00D57552"/>
    <w:rsid w:val="00D579CD"/>
    <w:rsid w:val="00D618F0"/>
    <w:rsid w:val="00D6324A"/>
    <w:rsid w:val="00D6480C"/>
    <w:rsid w:val="00D67DC8"/>
    <w:rsid w:val="00D72345"/>
    <w:rsid w:val="00D7484E"/>
    <w:rsid w:val="00D74881"/>
    <w:rsid w:val="00D76267"/>
    <w:rsid w:val="00D768DA"/>
    <w:rsid w:val="00D76944"/>
    <w:rsid w:val="00D813A6"/>
    <w:rsid w:val="00D81C24"/>
    <w:rsid w:val="00D85006"/>
    <w:rsid w:val="00D860F8"/>
    <w:rsid w:val="00D868B7"/>
    <w:rsid w:val="00D87DF6"/>
    <w:rsid w:val="00D90BA0"/>
    <w:rsid w:val="00D937E1"/>
    <w:rsid w:val="00D94104"/>
    <w:rsid w:val="00D95C92"/>
    <w:rsid w:val="00D97005"/>
    <w:rsid w:val="00D97069"/>
    <w:rsid w:val="00DA03A7"/>
    <w:rsid w:val="00DA1733"/>
    <w:rsid w:val="00DA246F"/>
    <w:rsid w:val="00DA2B97"/>
    <w:rsid w:val="00DA34B9"/>
    <w:rsid w:val="00DA38F2"/>
    <w:rsid w:val="00DA6562"/>
    <w:rsid w:val="00DA6B08"/>
    <w:rsid w:val="00DA7228"/>
    <w:rsid w:val="00DA7914"/>
    <w:rsid w:val="00DB119E"/>
    <w:rsid w:val="00DB2E58"/>
    <w:rsid w:val="00DB3C43"/>
    <w:rsid w:val="00DB3F27"/>
    <w:rsid w:val="00DB558F"/>
    <w:rsid w:val="00DB62F1"/>
    <w:rsid w:val="00DC0053"/>
    <w:rsid w:val="00DC0FAA"/>
    <w:rsid w:val="00DC10E8"/>
    <w:rsid w:val="00DC12D2"/>
    <w:rsid w:val="00DC17A0"/>
    <w:rsid w:val="00DC1871"/>
    <w:rsid w:val="00DC2E6B"/>
    <w:rsid w:val="00DC3484"/>
    <w:rsid w:val="00DC600E"/>
    <w:rsid w:val="00DD0F69"/>
    <w:rsid w:val="00DD2058"/>
    <w:rsid w:val="00DD234A"/>
    <w:rsid w:val="00DD40C2"/>
    <w:rsid w:val="00DD483C"/>
    <w:rsid w:val="00DD5646"/>
    <w:rsid w:val="00DD6135"/>
    <w:rsid w:val="00DD6D24"/>
    <w:rsid w:val="00DD787E"/>
    <w:rsid w:val="00DE014A"/>
    <w:rsid w:val="00DE1D30"/>
    <w:rsid w:val="00DE2C77"/>
    <w:rsid w:val="00DE2EC9"/>
    <w:rsid w:val="00DE351A"/>
    <w:rsid w:val="00DE38DA"/>
    <w:rsid w:val="00DE3B99"/>
    <w:rsid w:val="00DE551F"/>
    <w:rsid w:val="00DE6C26"/>
    <w:rsid w:val="00DE7985"/>
    <w:rsid w:val="00DF3C84"/>
    <w:rsid w:val="00DF3EAF"/>
    <w:rsid w:val="00DF44FC"/>
    <w:rsid w:val="00DF452B"/>
    <w:rsid w:val="00DF52E1"/>
    <w:rsid w:val="00DF7CA7"/>
    <w:rsid w:val="00E00BEB"/>
    <w:rsid w:val="00E01B18"/>
    <w:rsid w:val="00E02A3B"/>
    <w:rsid w:val="00E02C17"/>
    <w:rsid w:val="00E039DA"/>
    <w:rsid w:val="00E03B89"/>
    <w:rsid w:val="00E04F45"/>
    <w:rsid w:val="00E0556A"/>
    <w:rsid w:val="00E07DFE"/>
    <w:rsid w:val="00E10143"/>
    <w:rsid w:val="00E10709"/>
    <w:rsid w:val="00E1120E"/>
    <w:rsid w:val="00E113CB"/>
    <w:rsid w:val="00E11617"/>
    <w:rsid w:val="00E12135"/>
    <w:rsid w:val="00E1363C"/>
    <w:rsid w:val="00E13C98"/>
    <w:rsid w:val="00E15116"/>
    <w:rsid w:val="00E1516A"/>
    <w:rsid w:val="00E1538B"/>
    <w:rsid w:val="00E17F08"/>
    <w:rsid w:val="00E222A5"/>
    <w:rsid w:val="00E22E62"/>
    <w:rsid w:val="00E23ADE"/>
    <w:rsid w:val="00E23D6F"/>
    <w:rsid w:val="00E2743B"/>
    <w:rsid w:val="00E27462"/>
    <w:rsid w:val="00E27F85"/>
    <w:rsid w:val="00E30A73"/>
    <w:rsid w:val="00E312C1"/>
    <w:rsid w:val="00E338DA"/>
    <w:rsid w:val="00E34170"/>
    <w:rsid w:val="00E373EA"/>
    <w:rsid w:val="00E37732"/>
    <w:rsid w:val="00E4011D"/>
    <w:rsid w:val="00E42966"/>
    <w:rsid w:val="00E43FBE"/>
    <w:rsid w:val="00E450D9"/>
    <w:rsid w:val="00E46B03"/>
    <w:rsid w:val="00E50523"/>
    <w:rsid w:val="00E548CA"/>
    <w:rsid w:val="00E60E40"/>
    <w:rsid w:val="00E64655"/>
    <w:rsid w:val="00E65122"/>
    <w:rsid w:val="00E6647E"/>
    <w:rsid w:val="00E707E4"/>
    <w:rsid w:val="00E71231"/>
    <w:rsid w:val="00E713CD"/>
    <w:rsid w:val="00E71D02"/>
    <w:rsid w:val="00E73793"/>
    <w:rsid w:val="00E752B3"/>
    <w:rsid w:val="00E75613"/>
    <w:rsid w:val="00E8012A"/>
    <w:rsid w:val="00E805A5"/>
    <w:rsid w:val="00E811B4"/>
    <w:rsid w:val="00E81418"/>
    <w:rsid w:val="00E82C67"/>
    <w:rsid w:val="00E865B8"/>
    <w:rsid w:val="00E86B7C"/>
    <w:rsid w:val="00E915A4"/>
    <w:rsid w:val="00E9353E"/>
    <w:rsid w:val="00E93983"/>
    <w:rsid w:val="00E96015"/>
    <w:rsid w:val="00E960EE"/>
    <w:rsid w:val="00E962E0"/>
    <w:rsid w:val="00E96CB2"/>
    <w:rsid w:val="00E97E9C"/>
    <w:rsid w:val="00EA402E"/>
    <w:rsid w:val="00EA425C"/>
    <w:rsid w:val="00EA4655"/>
    <w:rsid w:val="00EA6460"/>
    <w:rsid w:val="00EA6E10"/>
    <w:rsid w:val="00EA70B2"/>
    <w:rsid w:val="00EA7369"/>
    <w:rsid w:val="00EB19AC"/>
    <w:rsid w:val="00EB3B96"/>
    <w:rsid w:val="00EB5493"/>
    <w:rsid w:val="00EC134E"/>
    <w:rsid w:val="00EC16BB"/>
    <w:rsid w:val="00EC2F9A"/>
    <w:rsid w:val="00EC34D4"/>
    <w:rsid w:val="00EC438F"/>
    <w:rsid w:val="00EC4C2F"/>
    <w:rsid w:val="00EC4ECA"/>
    <w:rsid w:val="00EC6242"/>
    <w:rsid w:val="00EC6D3B"/>
    <w:rsid w:val="00EC7669"/>
    <w:rsid w:val="00ED1166"/>
    <w:rsid w:val="00ED2DE3"/>
    <w:rsid w:val="00ED3FAE"/>
    <w:rsid w:val="00ED421D"/>
    <w:rsid w:val="00ED4278"/>
    <w:rsid w:val="00ED541E"/>
    <w:rsid w:val="00ED5708"/>
    <w:rsid w:val="00ED6C5F"/>
    <w:rsid w:val="00ED7DAD"/>
    <w:rsid w:val="00EE1E45"/>
    <w:rsid w:val="00EE3784"/>
    <w:rsid w:val="00EE3D81"/>
    <w:rsid w:val="00EE48A4"/>
    <w:rsid w:val="00EE6850"/>
    <w:rsid w:val="00EE7EE6"/>
    <w:rsid w:val="00EF0108"/>
    <w:rsid w:val="00EF015C"/>
    <w:rsid w:val="00EF0908"/>
    <w:rsid w:val="00EF12ED"/>
    <w:rsid w:val="00EF329A"/>
    <w:rsid w:val="00EF44C5"/>
    <w:rsid w:val="00EF4714"/>
    <w:rsid w:val="00EF5A84"/>
    <w:rsid w:val="00EF5BEF"/>
    <w:rsid w:val="00EF6257"/>
    <w:rsid w:val="00EF635F"/>
    <w:rsid w:val="00EF69C4"/>
    <w:rsid w:val="00F00549"/>
    <w:rsid w:val="00F00D70"/>
    <w:rsid w:val="00F015B3"/>
    <w:rsid w:val="00F020DD"/>
    <w:rsid w:val="00F02F6D"/>
    <w:rsid w:val="00F038CA"/>
    <w:rsid w:val="00F04A55"/>
    <w:rsid w:val="00F05BDB"/>
    <w:rsid w:val="00F06D0B"/>
    <w:rsid w:val="00F077CF"/>
    <w:rsid w:val="00F10D7E"/>
    <w:rsid w:val="00F13B6E"/>
    <w:rsid w:val="00F15057"/>
    <w:rsid w:val="00F15DFF"/>
    <w:rsid w:val="00F17068"/>
    <w:rsid w:val="00F17888"/>
    <w:rsid w:val="00F17F3A"/>
    <w:rsid w:val="00F22CAB"/>
    <w:rsid w:val="00F24AAE"/>
    <w:rsid w:val="00F260BB"/>
    <w:rsid w:val="00F2649A"/>
    <w:rsid w:val="00F27EC6"/>
    <w:rsid w:val="00F30328"/>
    <w:rsid w:val="00F317A7"/>
    <w:rsid w:val="00F336A5"/>
    <w:rsid w:val="00F3413D"/>
    <w:rsid w:val="00F34AEE"/>
    <w:rsid w:val="00F35362"/>
    <w:rsid w:val="00F40B9C"/>
    <w:rsid w:val="00F41643"/>
    <w:rsid w:val="00F41EBD"/>
    <w:rsid w:val="00F42A25"/>
    <w:rsid w:val="00F42AB7"/>
    <w:rsid w:val="00F4441B"/>
    <w:rsid w:val="00F474C1"/>
    <w:rsid w:val="00F47EA7"/>
    <w:rsid w:val="00F504C3"/>
    <w:rsid w:val="00F53EB9"/>
    <w:rsid w:val="00F552A9"/>
    <w:rsid w:val="00F56404"/>
    <w:rsid w:val="00F570AD"/>
    <w:rsid w:val="00F576D4"/>
    <w:rsid w:val="00F61D69"/>
    <w:rsid w:val="00F61FCD"/>
    <w:rsid w:val="00F63562"/>
    <w:rsid w:val="00F64443"/>
    <w:rsid w:val="00F65120"/>
    <w:rsid w:val="00F700B4"/>
    <w:rsid w:val="00F7024F"/>
    <w:rsid w:val="00F705A6"/>
    <w:rsid w:val="00F70E30"/>
    <w:rsid w:val="00F71DF1"/>
    <w:rsid w:val="00F736DD"/>
    <w:rsid w:val="00F742BD"/>
    <w:rsid w:val="00F76981"/>
    <w:rsid w:val="00F771B1"/>
    <w:rsid w:val="00F80024"/>
    <w:rsid w:val="00F80A31"/>
    <w:rsid w:val="00F81ACA"/>
    <w:rsid w:val="00F83034"/>
    <w:rsid w:val="00F834D9"/>
    <w:rsid w:val="00F86408"/>
    <w:rsid w:val="00F87FAB"/>
    <w:rsid w:val="00F90407"/>
    <w:rsid w:val="00F91706"/>
    <w:rsid w:val="00F917D4"/>
    <w:rsid w:val="00F93285"/>
    <w:rsid w:val="00F93547"/>
    <w:rsid w:val="00F94B86"/>
    <w:rsid w:val="00F96130"/>
    <w:rsid w:val="00F96626"/>
    <w:rsid w:val="00F96B57"/>
    <w:rsid w:val="00F97D2B"/>
    <w:rsid w:val="00F97E17"/>
    <w:rsid w:val="00FA0416"/>
    <w:rsid w:val="00FA19A8"/>
    <w:rsid w:val="00FA20A7"/>
    <w:rsid w:val="00FA2AFC"/>
    <w:rsid w:val="00FA3F54"/>
    <w:rsid w:val="00FA44C1"/>
    <w:rsid w:val="00FA5343"/>
    <w:rsid w:val="00FA7433"/>
    <w:rsid w:val="00FA7724"/>
    <w:rsid w:val="00FB12DC"/>
    <w:rsid w:val="00FB2744"/>
    <w:rsid w:val="00FB2748"/>
    <w:rsid w:val="00FB31CD"/>
    <w:rsid w:val="00FB4467"/>
    <w:rsid w:val="00FB6798"/>
    <w:rsid w:val="00FB7AE9"/>
    <w:rsid w:val="00FC0AC9"/>
    <w:rsid w:val="00FC12B8"/>
    <w:rsid w:val="00FC1C78"/>
    <w:rsid w:val="00FC278E"/>
    <w:rsid w:val="00FC358D"/>
    <w:rsid w:val="00FC3A7B"/>
    <w:rsid w:val="00FC498F"/>
    <w:rsid w:val="00FC7E17"/>
    <w:rsid w:val="00FD1D12"/>
    <w:rsid w:val="00FD3B00"/>
    <w:rsid w:val="00FD436D"/>
    <w:rsid w:val="00FD5AD1"/>
    <w:rsid w:val="00FD6432"/>
    <w:rsid w:val="00FD6B49"/>
    <w:rsid w:val="00FD6E4E"/>
    <w:rsid w:val="00FD6F28"/>
    <w:rsid w:val="00FD7635"/>
    <w:rsid w:val="00FD77A0"/>
    <w:rsid w:val="00FE0388"/>
    <w:rsid w:val="00FE0A72"/>
    <w:rsid w:val="00FE1299"/>
    <w:rsid w:val="00FE150E"/>
    <w:rsid w:val="00FE39B6"/>
    <w:rsid w:val="00FE3B10"/>
    <w:rsid w:val="00FE4466"/>
    <w:rsid w:val="00FE4728"/>
    <w:rsid w:val="00FE5032"/>
    <w:rsid w:val="00FE626B"/>
    <w:rsid w:val="00FE6A3D"/>
    <w:rsid w:val="00FE7677"/>
    <w:rsid w:val="00FE7BCA"/>
    <w:rsid w:val="00FF29B1"/>
    <w:rsid w:val="00FF43F7"/>
    <w:rsid w:val="00FF59EC"/>
    <w:rsid w:val="00FF6444"/>
    <w:rsid w:val="02EA0655"/>
    <w:rsid w:val="0A897349"/>
    <w:rsid w:val="0BF4287B"/>
    <w:rsid w:val="0E6226D5"/>
    <w:rsid w:val="154500F5"/>
    <w:rsid w:val="18C34F8A"/>
    <w:rsid w:val="1F796231"/>
    <w:rsid w:val="1FCF5B93"/>
    <w:rsid w:val="20F118B7"/>
    <w:rsid w:val="271E1753"/>
    <w:rsid w:val="3B6473CB"/>
    <w:rsid w:val="3E20566B"/>
    <w:rsid w:val="4DCF53C1"/>
    <w:rsid w:val="4E2F3158"/>
    <w:rsid w:val="54AA2998"/>
    <w:rsid w:val="566249E3"/>
    <w:rsid w:val="5BEA08B3"/>
    <w:rsid w:val="5DB62D7A"/>
    <w:rsid w:val="6B2549B1"/>
    <w:rsid w:val="6EC5724B"/>
    <w:rsid w:val="73342CB4"/>
    <w:rsid w:val="75A510E0"/>
    <w:rsid w:val="7A213771"/>
    <w:rsid w:val="7FC41A2A"/>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nhideWhenUsed="0" w:uiPriority="99" w:semiHidden="0" w:name="heading 4"/>
    <w:lsdException w:qFormat="1" w:unhideWhenUsed="0" w:uiPriority="99" w:semiHidden="0" w:name="heading 5"/>
    <w:lsdException w:qFormat="1" w:unhideWhenUsed="0" w:uiPriority="99" w:semiHidden="0" w:name="heading 6"/>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99" w:name="toc 1"/>
    <w:lsdException w:qFormat="1" w:unhideWhenUsed="0" w:uiPriority="99" w:name="toc 2"/>
    <w:lsdException w:qFormat="1" w:unhideWhenUsed="0" w:uiPriority="99" w:name="toc 3"/>
    <w:lsdException w:qFormat="1" w:unhideWhenUsed="0" w:uiPriority="99" w:name="toc 4"/>
    <w:lsdException w:qFormat="1" w:unhideWhenUsed="0" w:uiPriority="99" w:name="toc 5"/>
    <w:lsdException w:qFormat="1" w:unhideWhenUsed="0" w:uiPriority="99" w:name="toc 6"/>
    <w:lsdException w:qFormat="1" w:unhideWhenUsed="0" w:uiPriority="99" w:name="toc 7"/>
    <w:lsdException w:qFormat="1" w:unhideWhenUsed="0" w:uiPriority="99" w:name="toc 8"/>
    <w:lsdException w:qFormat="1" w:unhideWhenUsed="0" w:uiPriority="99" w:name="toc 9"/>
    <w:lsdException w:qFormat="1" w:unhideWhenUsed="0" w:uiPriority="99" w:semiHidden="0" w:name="Normal Indent"/>
    <w:lsdException w:qFormat="1" w:unhideWhenUsed="0" w:uiPriority="99" w:name="footnote text"/>
    <w:lsdException w:qFormat="1" w:unhideWhenUsed="0"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qFormat="1" w:unhideWhenUsed="0" w:uiPriority="99" w:name="footnote reference"/>
    <w:lsdException w:qFormat="1" w:unhideWhenUsed="0" w:uiPriority="99"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qFormat="1" w:unhideWhenUsed="0" w:uiPriority="99" w:semiHidden="0" w:name="Date"/>
    <w:lsdException w:qFormat="1" w:unhideWhenUsed="0" w:uiPriority="99" w:semiHidden="0" w:name="Body Text First Indent"/>
    <w:lsdException w:uiPriority="99" w:name="Body Text First Indent 2"/>
    <w:lsdException w:uiPriority="99" w:name="Note Heading"/>
    <w:lsdException w:uiPriority="99" w:name="Body Text 2"/>
    <w:lsdException w:uiPriority="99" w:name="Body Text 3"/>
    <w:lsdException w:qFormat="1" w:unhideWhenUsed="0" w:uiPriority="99" w:semiHidden="0" w:name="Body Text Indent 2"/>
    <w:lsdException w:qFormat="1" w:unhideWhenUsed="0" w:uiPriority="99" w:semiHidden="0" w:name="Body Text Indent 3"/>
    <w:lsdException w:qFormat="1" w:unhideWhenUsed="0" w:uiPriority="99" w:semiHidden="0" w:name="Block Text"/>
    <w:lsdException w:qFormat="1" w:unhideWhenUsed="0" w:uiPriority="99" w:semiHidden="0" w:name="Hyperlink"/>
    <w:lsdException w:qFormat="1" w:unhideWhenUsed="0" w:uiPriority="99" w:semiHidden="0" w:name="FollowedHyperlink"/>
    <w:lsdException w:qFormat="1" w:unhideWhenUsed="0" w:uiPriority="99" w:semiHidden="0" w:name="Strong"/>
    <w:lsdException w:qFormat="1" w:unhideWhenUsed="0" w:uiPriority="0" w:semiHidden="0" w:name="Emphasis" w:locked="1"/>
    <w:lsdException w:qFormat="1" w:uiPriority="99" w:name="Document Map"/>
    <w:lsdException w:qFormat="1" w:unhideWhenUsed="0" w:uiPriority="99"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2">
    <w:name w:val="heading 1"/>
    <w:basedOn w:val="1"/>
    <w:next w:val="1"/>
    <w:link w:val="43"/>
    <w:qFormat/>
    <w:uiPriority w:val="99"/>
    <w:pPr>
      <w:keepNext/>
      <w:keepLines/>
      <w:spacing w:beforeLines="50" w:afterLines="50" w:line="360" w:lineRule="auto"/>
      <w:jc w:val="center"/>
      <w:outlineLvl w:val="0"/>
    </w:pPr>
    <w:rPr>
      <w:rFonts w:ascii="宋体" w:hAnsi="宋体" w:cs="宋体"/>
      <w:b/>
      <w:bCs/>
      <w:kern w:val="44"/>
      <w:sz w:val="24"/>
      <w:szCs w:val="24"/>
    </w:rPr>
  </w:style>
  <w:style w:type="paragraph" w:styleId="3">
    <w:name w:val="heading 2"/>
    <w:basedOn w:val="1"/>
    <w:next w:val="4"/>
    <w:link w:val="44"/>
    <w:qFormat/>
    <w:uiPriority w:val="99"/>
    <w:pPr>
      <w:keepNext/>
      <w:keepLines/>
      <w:spacing w:beforeLines="50" w:afterLines="50" w:line="360" w:lineRule="auto"/>
      <w:outlineLvl w:val="1"/>
    </w:pPr>
    <w:rPr>
      <w:rFonts w:ascii="宋体" w:hAnsi="宋体" w:eastAsia="黑体" w:cs="宋体"/>
      <w:b/>
      <w:bCs/>
      <w:sz w:val="24"/>
      <w:szCs w:val="24"/>
    </w:rPr>
  </w:style>
  <w:style w:type="paragraph" w:styleId="5">
    <w:name w:val="heading 3"/>
    <w:basedOn w:val="1"/>
    <w:next w:val="4"/>
    <w:link w:val="45"/>
    <w:qFormat/>
    <w:uiPriority w:val="99"/>
    <w:pPr>
      <w:keepNext/>
      <w:keepLines/>
      <w:spacing w:line="360" w:lineRule="auto"/>
      <w:outlineLvl w:val="2"/>
    </w:pPr>
    <w:rPr>
      <w:b/>
      <w:bCs/>
      <w:sz w:val="24"/>
      <w:szCs w:val="24"/>
    </w:rPr>
  </w:style>
  <w:style w:type="paragraph" w:styleId="6">
    <w:name w:val="heading 4"/>
    <w:basedOn w:val="1"/>
    <w:next w:val="4"/>
    <w:link w:val="46"/>
    <w:qFormat/>
    <w:uiPriority w:val="99"/>
    <w:pPr>
      <w:keepNext/>
      <w:keepLines/>
      <w:spacing w:line="360" w:lineRule="auto"/>
      <w:outlineLvl w:val="3"/>
    </w:pPr>
    <w:rPr>
      <w:rFonts w:ascii="Arial" w:hAnsi="Arial" w:eastAsia="黑体" w:cs="Arial"/>
      <w:b/>
      <w:bCs/>
      <w:sz w:val="24"/>
      <w:szCs w:val="24"/>
    </w:rPr>
  </w:style>
  <w:style w:type="paragraph" w:styleId="7">
    <w:name w:val="heading 5"/>
    <w:basedOn w:val="8"/>
    <w:next w:val="8"/>
    <w:link w:val="47"/>
    <w:qFormat/>
    <w:uiPriority w:val="99"/>
    <w:pPr>
      <w:snapToGrid w:val="0"/>
      <w:spacing w:after="0" w:line="360" w:lineRule="auto"/>
      <w:outlineLvl w:val="4"/>
    </w:pPr>
    <w:rPr>
      <w:rFonts w:eastAsia="楷体_GB2312"/>
      <w:sz w:val="24"/>
      <w:szCs w:val="24"/>
    </w:rPr>
  </w:style>
  <w:style w:type="paragraph" w:styleId="9">
    <w:name w:val="heading 6"/>
    <w:basedOn w:val="1"/>
    <w:next w:val="8"/>
    <w:link w:val="48"/>
    <w:qFormat/>
    <w:uiPriority w:val="99"/>
    <w:pPr>
      <w:snapToGrid w:val="0"/>
      <w:spacing w:before="60" w:after="60" w:line="360" w:lineRule="auto"/>
      <w:outlineLvl w:val="5"/>
    </w:pPr>
    <w:rPr>
      <w:rFonts w:eastAsia="楷体_GB2312"/>
      <w:sz w:val="24"/>
      <w:szCs w:val="24"/>
    </w:rPr>
  </w:style>
  <w:style w:type="character" w:default="1" w:styleId="36">
    <w:name w:val="Default Paragraph Font"/>
    <w:semiHidden/>
    <w:unhideWhenUsed/>
    <w:qFormat/>
    <w:uiPriority w:val="1"/>
  </w:style>
  <w:style w:type="table" w:default="1" w:styleId="34">
    <w:name w:val="Normal Table"/>
    <w:semiHidden/>
    <w:unhideWhenUsed/>
    <w:qFormat/>
    <w:uiPriority w:val="99"/>
    <w:tblPr>
      <w:tblCellMar>
        <w:top w:w="0" w:type="dxa"/>
        <w:left w:w="108" w:type="dxa"/>
        <w:bottom w:w="0" w:type="dxa"/>
        <w:right w:w="108" w:type="dxa"/>
      </w:tblCellMar>
    </w:tblPr>
  </w:style>
  <w:style w:type="paragraph" w:styleId="4">
    <w:name w:val="Normal Indent"/>
    <w:basedOn w:val="1"/>
    <w:qFormat/>
    <w:uiPriority w:val="99"/>
    <w:pPr>
      <w:spacing w:line="360" w:lineRule="auto"/>
      <w:ind w:firstLine="420"/>
    </w:pPr>
    <w:rPr>
      <w:sz w:val="24"/>
      <w:szCs w:val="24"/>
    </w:rPr>
  </w:style>
  <w:style w:type="paragraph" w:styleId="8">
    <w:name w:val="Body Text"/>
    <w:basedOn w:val="1"/>
    <w:link w:val="49"/>
    <w:qFormat/>
    <w:uiPriority w:val="99"/>
    <w:pPr>
      <w:spacing w:after="120"/>
    </w:pPr>
  </w:style>
  <w:style w:type="paragraph" w:styleId="10">
    <w:name w:val="toc 7"/>
    <w:basedOn w:val="1"/>
    <w:next w:val="1"/>
    <w:semiHidden/>
    <w:qFormat/>
    <w:uiPriority w:val="99"/>
    <w:pPr>
      <w:ind w:left="1260"/>
      <w:jc w:val="left"/>
    </w:pPr>
  </w:style>
  <w:style w:type="paragraph" w:styleId="11">
    <w:name w:val="Document Map"/>
    <w:basedOn w:val="1"/>
    <w:link w:val="80"/>
    <w:semiHidden/>
    <w:unhideWhenUsed/>
    <w:qFormat/>
    <w:uiPriority w:val="99"/>
    <w:rPr>
      <w:rFonts w:ascii="宋体"/>
      <w:sz w:val="18"/>
      <w:szCs w:val="18"/>
    </w:rPr>
  </w:style>
  <w:style w:type="paragraph" w:styleId="12">
    <w:name w:val="annotation text"/>
    <w:basedOn w:val="1"/>
    <w:link w:val="62"/>
    <w:semiHidden/>
    <w:qFormat/>
    <w:uiPriority w:val="99"/>
    <w:pPr>
      <w:jc w:val="left"/>
    </w:pPr>
  </w:style>
  <w:style w:type="paragraph" w:styleId="13">
    <w:name w:val="Body Text Indent"/>
    <w:basedOn w:val="1"/>
    <w:link w:val="58"/>
    <w:qFormat/>
    <w:uiPriority w:val="99"/>
    <w:pPr>
      <w:spacing w:before="50" w:after="50" w:line="360" w:lineRule="auto"/>
      <w:ind w:left="1260" w:leftChars="600" w:firstLine="420" w:firstLineChars="175"/>
    </w:pPr>
    <w:rPr>
      <w:rFonts w:ascii="宋体" w:hAnsi="宋体" w:cs="宋体"/>
      <w:sz w:val="24"/>
      <w:szCs w:val="24"/>
    </w:rPr>
  </w:style>
  <w:style w:type="paragraph" w:styleId="14">
    <w:name w:val="Block Text"/>
    <w:basedOn w:val="1"/>
    <w:qFormat/>
    <w:uiPriority w:val="99"/>
    <w:pPr>
      <w:tabs>
        <w:tab w:val="left" w:pos="720"/>
      </w:tabs>
      <w:autoSpaceDE w:val="0"/>
      <w:autoSpaceDN w:val="0"/>
      <w:adjustRightInd w:val="0"/>
      <w:spacing w:line="360" w:lineRule="auto"/>
      <w:ind w:left="277" w:right="18"/>
      <w:jc w:val="left"/>
    </w:pPr>
    <w:rPr>
      <w:rFonts w:ascii="宋体" w:cs="宋体"/>
      <w:color w:val="FF0000"/>
      <w:kern w:val="0"/>
      <w:sz w:val="24"/>
      <w:szCs w:val="24"/>
      <w:lang w:val="zh-CN"/>
    </w:rPr>
  </w:style>
  <w:style w:type="paragraph" w:styleId="15">
    <w:name w:val="toc 5"/>
    <w:basedOn w:val="1"/>
    <w:next w:val="1"/>
    <w:semiHidden/>
    <w:qFormat/>
    <w:uiPriority w:val="99"/>
    <w:pPr>
      <w:ind w:left="840"/>
      <w:jc w:val="left"/>
    </w:pPr>
  </w:style>
  <w:style w:type="paragraph" w:styleId="16">
    <w:name w:val="toc 3"/>
    <w:basedOn w:val="1"/>
    <w:next w:val="1"/>
    <w:semiHidden/>
    <w:qFormat/>
    <w:uiPriority w:val="99"/>
    <w:pPr>
      <w:ind w:left="420"/>
      <w:jc w:val="left"/>
    </w:pPr>
    <w:rPr>
      <w:i/>
      <w:iCs/>
    </w:rPr>
  </w:style>
  <w:style w:type="paragraph" w:styleId="17">
    <w:name w:val="Plain Text"/>
    <w:basedOn w:val="1"/>
    <w:link w:val="55"/>
    <w:qFormat/>
    <w:uiPriority w:val="99"/>
    <w:rPr>
      <w:rFonts w:ascii="宋体" w:hAnsi="Courier New" w:cs="宋体"/>
      <w:sz w:val="16"/>
      <w:szCs w:val="16"/>
    </w:rPr>
  </w:style>
  <w:style w:type="paragraph" w:styleId="18">
    <w:name w:val="toc 8"/>
    <w:basedOn w:val="1"/>
    <w:next w:val="1"/>
    <w:semiHidden/>
    <w:qFormat/>
    <w:uiPriority w:val="99"/>
    <w:pPr>
      <w:ind w:left="1470"/>
      <w:jc w:val="left"/>
    </w:pPr>
  </w:style>
  <w:style w:type="paragraph" w:styleId="19">
    <w:name w:val="Date"/>
    <w:basedOn w:val="1"/>
    <w:next w:val="1"/>
    <w:link w:val="64"/>
    <w:qFormat/>
    <w:uiPriority w:val="99"/>
    <w:pPr>
      <w:ind w:left="100" w:leftChars="2500"/>
    </w:pPr>
  </w:style>
  <w:style w:type="paragraph" w:styleId="20">
    <w:name w:val="Body Text Indent 2"/>
    <w:basedOn w:val="1"/>
    <w:link w:val="52"/>
    <w:qFormat/>
    <w:uiPriority w:val="99"/>
    <w:pPr>
      <w:spacing w:before="50" w:after="50" w:line="360" w:lineRule="auto"/>
      <w:ind w:firstLine="420"/>
    </w:pPr>
    <w:rPr>
      <w:rFonts w:ascii="宋体" w:hAnsi="宋体" w:cs="宋体"/>
      <w:color w:val="0000FF"/>
      <w:sz w:val="24"/>
      <w:szCs w:val="24"/>
    </w:rPr>
  </w:style>
  <w:style w:type="paragraph" w:styleId="21">
    <w:name w:val="Balloon Text"/>
    <w:basedOn w:val="1"/>
    <w:link w:val="60"/>
    <w:semiHidden/>
    <w:qFormat/>
    <w:uiPriority w:val="99"/>
    <w:rPr>
      <w:sz w:val="18"/>
      <w:szCs w:val="18"/>
    </w:rPr>
  </w:style>
  <w:style w:type="paragraph" w:styleId="22">
    <w:name w:val="footer"/>
    <w:basedOn w:val="1"/>
    <w:link w:val="54"/>
    <w:qFormat/>
    <w:uiPriority w:val="99"/>
    <w:pPr>
      <w:tabs>
        <w:tab w:val="center" w:pos="4153"/>
        <w:tab w:val="right" w:pos="8306"/>
      </w:tabs>
      <w:snapToGrid w:val="0"/>
      <w:jc w:val="left"/>
    </w:pPr>
    <w:rPr>
      <w:sz w:val="18"/>
      <w:szCs w:val="18"/>
    </w:rPr>
  </w:style>
  <w:style w:type="paragraph" w:styleId="23">
    <w:name w:val="header"/>
    <w:basedOn w:val="1"/>
    <w:link w:val="53"/>
    <w:qFormat/>
    <w:uiPriority w:val="99"/>
    <w:pPr>
      <w:pBdr>
        <w:bottom w:val="single" w:color="auto" w:sz="6" w:space="1"/>
      </w:pBdr>
      <w:tabs>
        <w:tab w:val="center" w:pos="4153"/>
        <w:tab w:val="right" w:pos="8306"/>
      </w:tabs>
      <w:snapToGrid w:val="0"/>
      <w:jc w:val="center"/>
    </w:pPr>
    <w:rPr>
      <w:sz w:val="18"/>
      <w:szCs w:val="18"/>
    </w:rPr>
  </w:style>
  <w:style w:type="paragraph" w:styleId="24">
    <w:name w:val="toc 1"/>
    <w:basedOn w:val="1"/>
    <w:next w:val="1"/>
    <w:semiHidden/>
    <w:qFormat/>
    <w:uiPriority w:val="99"/>
    <w:pPr>
      <w:tabs>
        <w:tab w:val="right" w:leader="dot" w:pos="8296"/>
      </w:tabs>
      <w:spacing w:before="120" w:after="120"/>
      <w:jc w:val="left"/>
    </w:pPr>
    <w:rPr>
      <w:rFonts w:eastAsia="黑体"/>
      <w:b/>
      <w:bCs/>
      <w:caps/>
      <w:sz w:val="32"/>
      <w:szCs w:val="32"/>
    </w:rPr>
  </w:style>
  <w:style w:type="paragraph" w:styleId="25">
    <w:name w:val="toc 4"/>
    <w:basedOn w:val="1"/>
    <w:next w:val="1"/>
    <w:semiHidden/>
    <w:qFormat/>
    <w:uiPriority w:val="99"/>
    <w:pPr>
      <w:ind w:left="630"/>
      <w:jc w:val="left"/>
    </w:pPr>
  </w:style>
  <w:style w:type="paragraph" w:styleId="26">
    <w:name w:val="footnote text"/>
    <w:basedOn w:val="1"/>
    <w:link w:val="56"/>
    <w:semiHidden/>
    <w:qFormat/>
    <w:uiPriority w:val="99"/>
    <w:pPr>
      <w:snapToGrid w:val="0"/>
      <w:jc w:val="left"/>
    </w:pPr>
    <w:rPr>
      <w:sz w:val="18"/>
      <w:szCs w:val="18"/>
    </w:rPr>
  </w:style>
  <w:style w:type="paragraph" w:styleId="27">
    <w:name w:val="toc 6"/>
    <w:basedOn w:val="1"/>
    <w:next w:val="1"/>
    <w:semiHidden/>
    <w:qFormat/>
    <w:uiPriority w:val="99"/>
    <w:pPr>
      <w:ind w:left="1050"/>
      <w:jc w:val="left"/>
    </w:pPr>
  </w:style>
  <w:style w:type="paragraph" w:styleId="28">
    <w:name w:val="Body Text Indent 3"/>
    <w:basedOn w:val="1"/>
    <w:link w:val="59"/>
    <w:qFormat/>
    <w:uiPriority w:val="99"/>
    <w:pPr>
      <w:spacing w:before="50" w:after="50" w:line="360" w:lineRule="auto"/>
      <w:ind w:left="1260" w:leftChars="600" w:firstLine="480" w:firstLineChars="200"/>
    </w:pPr>
    <w:rPr>
      <w:rFonts w:ascii="宋体" w:hAnsi="宋体" w:cs="宋体"/>
      <w:sz w:val="24"/>
      <w:szCs w:val="24"/>
    </w:rPr>
  </w:style>
  <w:style w:type="paragraph" w:styleId="29">
    <w:name w:val="toc 2"/>
    <w:basedOn w:val="1"/>
    <w:next w:val="1"/>
    <w:semiHidden/>
    <w:qFormat/>
    <w:uiPriority w:val="99"/>
    <w:pPr>
      <w:ind w:left="210"/>
      <w:jc w:val="left"/>
    </w:pPr>
    <w:rPr>
      <w:smallCaps/>
    </w:rPr>
  </w:style>
  <w:style w:type="paragraph" w:styleId="30">
    <w:name w:val="toc 9"/>
    <w:basedOn w:val="1"/>
    <w:next w:val="1"/>
    <w:semiHidden/>
    <w:qFormat/>
    <w:uiPriority w:val="99"/>
    <w:pPr>
      <w:ind w:left="1680"/>
      <w:jc w:val="left"/>
    </w:pPr>
  </w:style>
  <w:style w:type="paragraph" w:styleId="31">
    <w:name w:val="Normal (Web)"/>
    <w:basedOn w:val="1"/>
    <w:qFormat/>
    <w:uiPriority w:val="99"/>
    <w:pPr>
      <w:widowControl/>
      <w:spacing w:before="100" w:beforeAutospacing="1" w:after="100" w:afterAutospacing="1"/>
      <w:jc w:val="left"/>
    </w:pPr>
    <w:rPr>
      <w:rFonts w:ascii="宋体" w:hAnsi="宋体" w:cs="宋体"/>
      <w:kern w:val="0"/>
      <w:sz w:val="24"/>
      <w:szCs w:val="24"/>
    </w:rPr>
  </w:style>
  <w:style w:type="paragraph" w:styleId="32">
    <w:name w:val="annotation subject"/>
    <w:basedOn w:val="12"/>
    <w:next w:val="12"/>
    <w:link w:val="63"/>
    <w:semiHidden/>
    <w:qFormat/>
    <w:uiPriority w:val="99"/>
    <w:rPr>
      <w:b/>
      <w:bCs/>
    </w:rPr>
  </w:style>
  <w:style w:type="paragraph" w:styleId="33">
    <w:name w:val="Body Text First Indent"/>
    <w:basedOn w:val="8"/>
    <w:link w:val="57"/>
    <w:qFormat/>
    <w:uiPriority w:val="99"/>
    <w:pPr>
      <w:spacing w:line="300" w:lineRule="auto"/>
      <w:ind w:firstLine="425" w:firstLineChars="150"/>
    </w:pPr>
  </w:style>
  <w:style w:type="table" w:styleId="35">
    <w:name w:val="Table Grid"/>
    <w:basedOn w:val="34"/>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37">
    <w:name w:val="Strong"/>
    <w:qFormat/>
    <w:uiPriority w:val="99"/>
    <w:rPr>
      <w:b/>
      <w:bCs/>
    </w:rPr>
  </w:style>
  <w:style w:type="character" w:styleId="38">
    <w:name w:val="page number"/>
    <w:basedOn w:val="36"/>
    <w:qFormat/>
    <w:uiPriority w:val="99"/>
  </w:style>
  <w:style w:type="character" w:styleId="39">
    <w:name w:val="FollowedHyperlink"/>
    <w:qFormat/>
    <w:uiPriority w:val="99"/>
    <w:rPr>
      <w:color w:val="800080"/>
      <w:u w:val="single"/>
    </w:rPr>
  </w:style>
  <w:style w:type="character" w:styleId="40">
    <w:name w:val="Hyperlink"/>
    <w:qFormat/>
    <w:uiPriority w:val="99"/>
    <w:rPr>
      <w:color w:val="0000FF"/>
      <w:u w:val="single"/>
    </w:rPr>
  </w:style>
  <w:style w:type="character" w:styleId="41">
    <w:name w:val="annotation reference"/>
    <w:semiHidden/>
    <w:qFormat/>
    <w:uiPriority w:val="99"/>
    <w:rPr>
      <w:sz w:val="21"/>
      <w:szCs w:val="21"/>
    </w:rPr>
  </w:style>
  <w:style w:type="character" w:styleId="42">
    <w:name w:val="footnote reference"/>
    <w:semiHidden/>
    <w:qFormat/>
    <w:uiPriority w:val="99"/>
    <w:rPr>
      <w:vertAlign w:val="superscript"/>
    </w:rPr>
  </w:style>
  <w:style w:type="character" w:customStyle="1" w:styleId="43">
    <w:name w:val="标题 1 字符"/>
    <w:link w:val="2"/>
    <w:qFormat/>
    <w:uiPriority w:val="9"/>
    <w:rPr>
      <w:b/>
      <w:bCs/>
      <w:kern w:val="44"/>
      <w:sz w:val="44"/>
      <w:szCs w:val="44"/>
    </w:rPr>
  </w:style>
  <w:style w:type="character" w:customStyle="1" w:styleId="44">
    <w:name w:val="标题 2 字符"/>
    <w:link w:val="3"/>
    <w:semiHidden/>
    <w:qFormat/>
    <w:uiPriority w:val="9"/>
    <w:rPr>
      <w:rFonts w:ascii="Cambria" w:hAnsi="Cambria" w:eastAsia="宋体" w:cs="Times New Roman"/>
      <w:b/>
      <w:bCs/>
      <w:sz w:val="32"/>
      <w:szCs w:val="32"/>
    </w:rPr>
  </w:style>
  <w:style w:type="character" w:customStyle="1" w:styleId="45">
    <w:name w:val="标题 3 字符"/>
    <w:link w:val="5"/>
    <w:semiHidden/>
    <w:qFormat/>
    <w:uiPriority w:val="9"/>
    <w:rPr>
      <w:b/>
      <w:bCs/>
      <w:sz w:val="32"/>
      <w:szCs w:val="32"/>
    </w:rPr>
  </w:style>
  <w:style w:type="character" w:customStyle="1" w:styleId="46">
    <w:name w:val="标题 4 字符"/>
    <w:link w:val="6"/>
    <w:qFormat/>
    <w:locked/>
    <w:uiPriority w:val="99"/>
    <w:rPr>
      <w:rFonts w:ascii="Arial" w:hAnsi="Arial" w:eastAsia="黑体" w:cs="Arial"/>
      <w:b/>
      <w:bCs/>
      <w:kern w:val="2"/>
      <w:sz w:val="24"/>
      <w:szCs w:val="24"/>
    </w:rPr>
  </w:style>
  <w:style w:type="character" w:customStyle="1" w:styleId="47">
    <w:name w:val="标题 5 字符"/>
    <w:link w:val="7"/>
    <w:semiHidden/>
    <w:qFormat/>
    <w:uiPriority w:val="9"/>
    <w:rPr>
      <w:b/>
      <w:bCs/>
      <w:sz w:val="28"/>
      <w:szCs w:val="28"/>
    </w:rPr>
  </w:style>
  <w:style w:type="character" w:customStyle="1" w:styleId="48">
    <w:name w:val="标题 6 字符"/>
    <w:link w:val="9"/>
    <w:semiHidden/>
    <w:qFormat/>
    <w:uiPriority w:val="9"/>
    <w:rPr>
      <w:rFonts w:ascii="Cambria" w:hAnsi="Cambria" w:eastAsia="宋体" w:cs="Times New Roman"/>
      <w:b/>
      <w:bCs/>
      <w:sz w:val="24"/>
      <w:szCs w:val="24"/>
    </w:rPr>
  </w:style>
  <w:style w:type="character" w:customStyle="1" w:styleId="49">
    <w:name w:val="正文文本 字符"/>
    <w:link w:val="8"/>
    <w:semiHidden/>
    <w:qFormat/>
    <w:uiPriority w:val="99"/>
    <w:rPr>
      <w:szCs w:val="21"/>
    </w:rPr>
  </w:style>
  <w:style w:type="paragraph" w:customStyle="1" w:styleId="50">
    <w:name w:val="ccidsiTemplate"/>
    <w:basedOn w:val="1"/>
    <w:qFormat/>
    <w:uiPriority w:val="99"/>
    <w:pPr>
      <w:spacing w:line="360" w:lineRule="auto"/>
    </w:pPr>
    <w:rPr>
      <w:sz w:val="24"/>
      <w:szCs w:val="24"/>
    </w:rPr>
  </w:style>
  <w:style w:type="character" w:customStyle="1" w:styleId="51">
    <w:name w:val="big1"/>
    <w:qFormat/>
    <w:uiPriority w:val="99"/>
    <w:rPr>
      <w:spacing w:val="360"/>
      <w:sz w:val="22"/>
      <w:szCs w:val="22"/>
    </w:rPr>
  </w:style>
  <w:style w:type="character" w:customStyle="1" w:styleId="52">
    <w:name w:val="正文文本缩进 2 字符"/>
    <w:link w:val="20"/>
    <w:semiHidden/>
    <w:qFormat/>
    <w:uiPriority w:val="99"/>
    <w:rPr>
      <w:szCs w:val="21"/>
    </w:rPr>
  </w:style>
  <w:style w:type="character" w:customStyle="1" w:styleId="53">
    <w:name w:val="页眉 字符"/>
    <w:link w:val="23"/>
    <w:qFormat/>
    <w:uiPriority w:val="99"/>
    <w:rPr>
      <w:kern w:val="2"/>
      <w:sz w:val="18"/>
      <w:szCs w:val="18"/>
    </w:rPr>
  </w:style>
  <w:style w:type="character" w:customStyle="1" w:styleId="54">
    <w:name w:val="页脚 字符"/>
    <w:link w:val="22"/>
    <w:qFormat/>
    <w:locked/>
    <w:uiPriority w:val="99"/>
    <w:rPr>
      <w:kern w:val="2"/>
      <w:sz w:val="18"/>
      <w:szCs w:val="18"/>
    </w:rPr>
  </w:style>
  <w:style w:type="character" w:customStyle="1" w:styleId="55">
    <w:name w:val="纯文本 字符"/>
    <w:link w:val="17"/>
    <w:qFormat/>
    <w:locked/>
    <w:uiPriority w:val="99"/>
    <w:rPr>
      <w:rFonts w:ascii="宋体" w:hAnsi="Courier New" w:cs="宋体"/>
      <w:kern w:val="2"/>
      <w:sz w:val="16"/>
      <w:szCs w:val="16"/>
    </w:rPr>
  </w:style>
  <w:style w:type="character" w:customStyle="1" w:styleId="56">
    <w:name w:val="脚注文本 字符"/>
    <w:link w:val="26"/>
    <w:semiHidden/>
    <w:qFormat/>
    <w:locked/>
    <w:uiPriority w:val="99"/>
    <w:rPr>
      <w:kern w:val="2"/>
      <w:sz w:val="18"/>
      <w:szCs w:val="18"/>
    </w:rPr>
  </w:style>
  <w:style w:type="character" w:customStyle="1" w:styleId="57">
    <w:name w:val="正文首行缩进 字符"/>
    <w:link w:val="33"/>
    <w:semiHidden/>
    <w:qFormat/>
    <w:uiPriority w:val="99"/>
    <w:rPr>
      <w:szCs w:val="21"/>
    </w:rPr>
  </w:style>
  <w:style w:type="character" w:customStyle="1" w:styleId="58">
    <w:name w:val="正文文本缩进 字符"/>
    <w:link w:val="13"/>
    <w:semiHidden/>
    <w:qFormat/>
    <w:uiPriority w:val="99"/>
    <w:rPr>
      <w:szCs w:val="21"/>
    </w:rPr>
  </w:style>
  <w:style w:type="character" w:customStyle="1" w:styleId="59">
    <w:name w:val="正文文本缩进 3 字符"/>
    <w:link w:val="28"/>
    <w:semiHidden/>
    <w:qFormat/>
    <w:uiPriority w:val="99"/>
    <w:rPr>
      <w:sz w:val="16"/>
      <w:szCs w:val="16"/>
    </w:rPr>
  </w:style>
  <w:style w:type="character" w:customStyle="1" w:styleId="60">
    <w:name w:val="批注框文本 字符"/>
    <w:link w:val="21"/>
    <w:semiHidden/>
    <w:qFormat/>
    <w:uiPriority w:val="99"/>
    <w:rPr>
      <w:sz w:val="0"/>
      <w:szCs w:val="0"/>
    </w:rPr>
  </w:style>
  <w:style w:type="character" w:customStyle="1" w:styleId="61">
    <w:name w:val="ten51"/>
    <w:qFormat/>
    <w:uiPriority w:val="99"/>
    <w:rPr>
      <w:sz w:val="21"/>
      <w:szCs w:val="21"/>
    </w:rPr>
  </w:style>
  <w:style w:type="character" w:customStyle="1" w:styleId="62">
    <w:name w:val="批注文字 字符"/>
    <w:link w:val="12"/>
    <w:qFormat/>
    <w:locked/>
    <w:uiPriority w:val="99"/>
    <w:rPr>
      <w:kern w:val="2"/>
      <w:sz w:val="24"/>
      <w:szCs w:val="24"/>
    </w:rPr>
  </w:style>
  <w:style w:type="character" w:customStyle="1" w:styleId="63">
    <w:name w:val="批注主题 字符"/>
    <w:link w:val="32"/>
    <w:semiHidden/>
    <w:qFormat/>
    <w:uiPriority w:val="99"/>
    <w:rPr>
      <w:b/>
      <w:bCs/>
      <w:kern w:val="2"/>
      <w:sz w:val="24"/>
      <w:szCs w:val="21"/>
    </w:rPr>
  </w:style>
  <w:style w:type="character" w:customStyle="1" w:styleId="64">
    <w:name w:val="日期 字符"/>
    <w:link w:val="19"/>
    <w:semiHidden/>
    <w:qFormat/>
    <w:uiPriority w:val="99"/>
    <w:rPr>
      <w:szCs w:val="21"/>
    </w:rPr>
  </w:style>
  <w:style w:type="paragraph" w:customStyle="1" w:styleId="65">
    <w:name w:val="Char Char Char Char Char Char Char Char Char1 Char Char Char Char Char Char Char"/>
    <w:basedOn w:val="1"/>
    <w:qFormat/>
    <w:uiPriority w:val="99"/>
    <w:pPr>
      <w:tabs>
        <w:tab w:val="left" w:pos="840"/>
      </w:tabs>
      <w:ind w:left="840" w:hanging="360"/>
    </w:pPr>
    <w:rPr>
      <w:sz w:val="24"/>
      <w:szCs w:val="24"/>
    </w:rPr>
  </w:style>
  <w:style w:type="paragraph" w:customStyle="1" w:styleId="66">
    <w:name w:val="Char Char Char Char Char Char Char"/>
    <w:basedOn w:val="1"/>
    <w:qFormat/>
    <w:uiPriority w:val="99"/>
    <w:pPr>
      <w:tabs>
        <w:tab w:val="left" w:pos="840"/>
      </w:tabs>
      <w:ind w:left="840" w:hanging="360"/>
    </w:pPr>
    <w:rPr>
      <w:sz w:val="24"/>
      <w:szCs w:val="24"/>
    </w:rPr>
  </w:style>
  <w:style w:type="paragraph" w:customStyle="1" w:styleId="67">
    <w:name w:val="Char"/>
    <w:basedOn w:val="1"/>
    <w:qFormat/>
    <w:uiPriority w:val="99"/>
  </w:style>
  <w:style w:type="paragraph" w:customStyle="1" w:styleId="68">
    <w:name w:val="默认段落字体 Para Char"/>
    <w:basedOn w:val="1"/>
    <w:qFormat/>
    <w:uiPriority w:val="99"/>
    <w:pPr>
      <w:tabs>
        <w:tab w:val="left" w:pos="840"/>
      </w:tabs>
      <w:ind w:left="840" w:hanging="420"/>
    </w:pPr>
    <w:rPr>
      <w:sz w:val="24"/>
      <w:szCs w:val="24"/>
    </w:rPr>
  </w:style>
  <w:style w:type="paragraph" w:customStyle="1" w:styleId="69">
    <w:name w:val="Char Char Char Char1 Char Char Char"/>
    <w:basedOn w:val="1"/>
    <w:qFormat/>
    <w:uiPriority w:val="99"/>
  </w:style>
  <w:style w:type="paragraph" w:customStyle="1" w:styleId="70">
    <w:name w:val="Char Char Char Char Char"/>
    <w:basedOn w:val="1"/>
    <w:qFormat/>
    <w:uiPriority w:val="99"/>
    <w:pPr>
      <w:tabs>
        <w:tab w:val="left" w:pos="840"/>
      </w:tabs>
      <w:ind w:left="840" w:hanging="360"/>
    </w:pPr>
    <w:rPr>
      <w:sz w:val="24"/>
      <w:szCs w:val="24"/>
    </w:rPr>
  </w:style>
  <w:style w:type="paragraph" w:customStyle="1" w:styleId="71">
    <w:name w:val="Char Char"/>
    <w:basedOn w:val="1"/>
    <w:qFormat/>
    <w:uiPriority w:val="99"/>
    <w:pPr>
      <w:tabs>
        <w:tab w:val="left" w:pos="840"/>
      </w:tabs>
      <w:ind w:left="840" w:hanging="360"/>
    </w:pPr>
    <w:rPr>
      <w:sz w:val="24"/>
      <w:szCs w:val="24"/>
    </w:rPr>
  </w:style>
  <w:style w:type="paragraph" w:customStyle="1" w:styleId="72">
    <w:name w:val="默认段落字体 Para Char Char Char Char Char Char"/>
    <w:basedOn w:val="1"/>
    <w:qFormat/>
    <w:uiPriority w:val="99"/>
    <w:pPr>
      <w:tabs>
        <w:tab w:val="left" w:pos="840"/>
      </w:tabs>
      <w:ind w:left="840" w:hanging="360"/>
    </w:pPr>
    <w:rPr>
      <w:sz w:val="24"/>
      <w:szCs w:val="24"/>
    </w:rPr>
  </w:style>
  <w:style w:type="paragraph" w:customStyle="1" w:styleId="73">
    <w:name w:val="Char Char Char Char Char Char Char Char Char1 Char Char Char Char"/>
    <w:basedOn w:val="1"/>
    <w:qFormat/>
    <w:uiPriority w:val="99"/>
    <w:pPr>
      <w:tabs>
        <w:tab w:val="left" w:pos="840"/>
      </w:tabs>
      <w:ind w:left="840" w:hanging="360"/>
    </w:pPr>
    <w:rPr>
      <w:sz w:val="24"/>
      <w:szCs w:val="24"/>
    </w:rPr>
  </w:style>
  <w:style w:type="paragraph" w:customStyle="1" w:styleId="74">
    <w:name w:val="1 Char"/>
    <w:basedOn w:val="1"/>
    <w:semiHidden/>
    <w:qFormat/>
    <w:uiPriority w:val="99"/>
    <w:pPr>
      <w:tabs>
        <w:tab w:val="left" w:pos="360"/>
      </w:tabs>
    </w:pPr>
    <w:rPr>
      <w:sz w:val="24"/>
      <w:szCs w:val="24"/>
    </w:rPr>
  </w:style>
  <w:style w:type="paragraph" w:customStyle="1" w:styleId="75">
    <w:name w:val="Char Char Char"/>
    <w:basedOn w:val="1"/>
    <w:qFormat/>
    <w:uiPriority w:val="99"/>
  </w:style>
  <w:style w:type="paragraph" w:customStyle="1" w:styleId="76">
    <w:name w:val="Char1 Char Char Char Char Char Char"/>
    <w:basedOn w:val="1"/>
    <w:qFormat/>
    <w:uiPriority w:val="99"/>
  </w:style>
  <w:style w:type="paragraph" w:customStyle="1" w:styleId="77">
    <w:name w:val="c_"/>
    <w:qFormat/>
    <w:uiPriority w:val="99"/>
    <w:pPr>
      <w:widowControl w:val="0"/>
      <w:autoSpaceDE w:val="0"/>
      <w:autoSpaceDN w:val="0"/>
      <w:adjustRightInd w:val="0"/>
      <w:jc w:val="both"/>
    </w:pPr>
    <w:rPr>
      <w:rFonts w:ascii="五" w:hAnsi="Times New Roman" w:eastAsia="五" w:cs="五"/>
      <w:sz w:val="24"/>
      <w:szCs w:val="24"/>
      <w:lang w:val="en-US" w:eastAsia="zh-CN" w:bidi="ar-SA"/>
    </w:rPr>
  </w:style>
  <w:style w:type="paragraph" w:customStyle="1" w:styleId="78">
    <w:name w:val="修订1"/>
    <w:hidden/>
    <w:semiHidden/>
    <w:qFormat/>
    <w:uiPriority w:val="99"/>
    <w:rPr>
      <w:rFonts w:ascii="Times New Roman" w:hAnsi="Times New Roman" w:eastAsia="宋体" w:cs="Times New Roman"/>
      <w:kern w:val="2"/>
      <w:sz w:val="21"/>
      <w:szCs w:val="21"/>
      <w:lang w:val="en-US" w:eastAsia="zh-CN" w:bidi="ar-SA"/>
    </w:rPr>
  </w:style>
  <w:style w:type="paragraph" w:styleId="79">
    <w:name w:val="List Paragraph"/>
    <w:basedOn w:val="1"/>
    <w:qFormat/>
    <w:uiPriority w:val="34"/>
    <w:pPr>
      <w:ind w:firstLine="420" w:firstLineChars="200"/>
    </w:pPr>
  </w:style>
  <w:style w:type="character" w:customStyle="1" w:styleId="80">
    <w:name w:val="文档结构图 字符"/>
    <w:link w:val="11"/>
    <w:semiHidden/>
    <w:qFormat/>
    <w:uiPriority w:val="99"/>
    <w:rPr>
      <w:rFonts w:ascii="宋体"/>
      <w:kern w:val="2"/>
      <w:sz w:val="18"/>
      <w:szCs w:val="18"/>
    </w:rPr>
  </w:style>
  <w:style w:type="character" w:customStyle="1" w:styleId="81">
    <w:name w:val="txtcontent11"/>
    <w:qFormat/>
    <w:uiPriority w:val="0"/>
    <w:rPr>
      <w:rFonts w:hint="default" w:ascii="Times New Roman" w:hAnsi="Times New Roman" w:cs="Times New Roman"/>
      <w:color w:val="000000"/>
    </w:rPr>
  </w:style>
  <w:style w:type="paragraph" w:customStyle="1" w:styleId="82">
    <w:name w:val="修订2"/>
    <w:hidden/>
    <w:semiHidden/>
    <w:qFormat/>
    <w:uiPriority w:val="99"/>
    <w:rPr>
      <w:rFonts w:ascii="Times New Roman" w:hAnsi="Times New Roman" w:eastAsia="宋体" w:cs="Times New Roman"/>
      <w:kern w:val="2"/>
      <w:sz w:val="21"/>
      <w:szCs w:val="21"/>
      <w:lang w:val="en-US" w:eastAsia="zh-CN" w:bidi="ar-SA"/>
    </w:rPr>
  </w:style>
  <w:style w:type="paragraph" w:customStyle="1" w:styleId="83">
    <w:name w:val="修订3"/>
    <w:hidden/>
    <w:semiHidden/>
    <w:qFormat/>
    <w:uiPriority w:val="99"/>
    <w:rPr>
      <w:rFonts w:ascii="Times New Roman" w:hAnsi="Times New Roman" w:eastAsia="宋体" w:cs="Times New Roman"/>
      <w:kern w:val="2"/>
      <w:sz w:val="21"/>
      <w:szCs w:val="21"/>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83CED5-2CA9-4566-A04B-098597359452}">
  <ds:schemaRefs/>
</ds:datastoreItem>
</file>

<file path=docProps/app.xml><?xml version="1.0" encoding="utf-8"?>
<Properties xmlns="http://schemas.openxmlformats.org/officeDocument/2006/extended-properties" xmlns:vt="http://schemas.openxmlformats.org/officeDocument/2006/docPropsVTypes">
  <Template>Normal</Template>
  <Company>jysld</Company>
  <Pages>3</Pages>
  <Words>185</Words>
  <Characters>1061</Characters>
  <Lines>8</Lines>
  <Paragraphs>2</Paragraphs>
  <TotalTime>22</TotalTime>
  <ScaleCrop>false</ScaleCrop>
  <LinksUpToDate>false</LinksUpToDate>
  <CharactersWithSpaces>1244</CharactersWithSpaces>
  <Application>WPS Office_12.8.2.19823_F1E327BC-269C-435d-A152-05C5408002CA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2025-12-29T08:58:00Z</dcterms:created>
  <dc:creator>xzwang</dc:creator>
  <cp:lastModifiedBy>zhangjing1</cp:lastModifiedBy>
  <cp:lastPrinted>2015-04-27T09:59:00Z</cp:lastPrinted>
  <dcterms:modified xsi:type="dcterms:W3CDTF">2026-10-28T05:24:44Z</dcterms:modified>
  <dc:title>募集方案</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2052-12.8.2.19823</vt:lpwstr>
  </property>
  <property fmtid="{D5CDD505-2E9C-101B-9397-08002B2CF9AE}" pid="3" name="ICV">
    <vt:lpwstr>F0102AB58D0D4EC394F3CF2383F665F9_13</vt:lpwstr>
  </property>
</Properties>
</file>