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bidi w:val="0"/>
        <w:spacing w:after="280" w:afterAutospacing="1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30"/>
          <w:rtl w:val="0"/>
        </w:rPr>
        <w:t>交银施罗德基金管理有限公司旗下部分基金2026年第三季度报告提示性公告</w:t>
      </w:r>
      <w:r>
        <w:rPr>
          <w:rFonts w:ascii="Times New Roman" w:hAnsi="Times New Roman"/>
          <w:rtl w:val="0"/>
        </w:rPr>
        <w:t xml:space="preserve"> </w:t>
      </w:r>
    </w:p>
    <w:p>
      <w:pPr>
        <w:bidi w:val="0"/>
        <w:spacing w:after="280" w:afterAutospacing="1" w:line="440" w:lineRule="atLeast"/>
        <w:ind w:firstLine="420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>本公司董事会及董事保证基金季度报告所载资料不存在虚假记载、误导性陈述或重大遗漏，并对其内容的真实性、准确性和完整性承担个别及连带责任。</w:t>
      </w:r>
    </w:p>
    <w:p>
      <w:pPr>
        <w:bidi w:val="0"/>
        <w:spacing w:after="280" w:afterAutospacing="1" w:line="440" w:lineRule="atLeast"/>
        <w:ind w:firstLine="420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>交银施罗德基金管理有限公司旗下披露2026年第三季度报告的基金如下：</w:t>
      </w:r>
    </w:p>
    <w:tbl>
      <w:tblPr>
        <w:tblStyle w:val="2"/>
        <w:tblW w:w="4758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34"/>
        <w:gridCol w:w="700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交银施罗德中债1-3年农发行债券指数证券投资基金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2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交银施罗德裕祥纯债债券型证券投资基金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3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交银施罗德稳鑫短债债券型证券投资基金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4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交银施罗德安享稳健养老目标一年持有期混合型基金中基金（FOF）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5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交银施罗德天利宝货币市场基金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6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交银施罗德现金宝货币市场基金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7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交银施罗德活期通货币市场基金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8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交银施罗德天鑫宝货币市场基金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9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交银施罗德瑞鑫六个月持有期混合型证券投资基金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10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交银施罗德天益宝货币市场基金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11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交银施罗德医药创新股票型证券投资基金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12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交银施罗德增利增强债券型证券投资基金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13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交银施罗德股息优化混合型证券投资基金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14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交银施罗德恒益灵活配置混合型证券投资基金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15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交银施罗德持续成长主题混合型证券投资基金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16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交银施罗德品质升级混合型证券投资基金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17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交银施罗德丰晟收益债券型证券投资基金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18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交银施罗德裕如纯债债券型证券投资基金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19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交银施罗德创新成长混合型证券投资基金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20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深证300价值交易型开放式指数证券投资基金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21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交银施罗德信用添利债券证券投资基金（LOF）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22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交银施罗德国证新能源指数证券投资基金（LOF）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23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交银施罗德中证海外中国互联网指数型证券投资基金（LOF）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24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交银施罗德中证环境治理指数型证券投资基金（LOF）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25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上证180公司治理交易型开放式指数证券投资基金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26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交银施罗德货币市场证券投资基金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27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交银施罗德增利债券证券投资基金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28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交银施罗德双利债券证券投资基金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29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交银施罗德上证180公司治理交易型开放式指数证券投资基金联接基金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30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交银施罗德精选混合型证券投资基金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31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交银施罗德稳健配置混合型证券投资基金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32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交银施罗德成长混合型证券投资基金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33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交银施罗德蓝筹混合型证券投资基金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34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交银施罗德环球精选价值证券投资基金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35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交银施罗德优势行业灵活配置混合型证券投资基金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36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交银施罗德先锋混合型证券投资基金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37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交银施罗德主题优选灵活配置混合型证券投资基金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38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交银施罗德趋势优先混合型证券投资基金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39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交银施罗德先进制造混合型证券投资基金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40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交银施罗德深证300价值交易型开放式指数证券投资基金联接基金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41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交银施罗德策略回报灵活配置混合型证券投资基金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42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交银施罗德阿尔法核心混合型证券投资基金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43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交银施罗德消费新驱动股票型证券投资基金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44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交银施罗德纯债债券型发起式证券投资基金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45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交银施罗德双轮动债券型证券投资基金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46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交银施罗德稳固收益债券型证券投资基金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47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交银施罗德成长30混合型证券投资基金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48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交银施罗德定期支付月月丰债券型证券投资基金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49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交银施罗德定期支付双息平衡混合型证券投资基金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50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交银施罗德强化回报债券型证券投资基金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51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交银施罗德新成长混合型证券投资基金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52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交银施罗德周期回报灵活配置混合型证券投资基金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53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交银施罗德丰盈收益债券型证券投资基金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54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交银施罗德丰润收益债券型证券投资基金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55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交银施罗德丰享收益债券型证券投资基金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56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交银施罗德新回报灵活配置混合型证券投资基金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57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交银施罗德安心收益债券型证券投资基金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58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交银施罗德多策略回报灵活配置混合型证券投资基金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59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交银施罗德国企改革灵活配置混合型证券投资基金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60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交银施罗德裕通纯债债券型证券投资基金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61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交银施罗德核心资产混合型证券投资基金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62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交银施罗德瑞丰混合型证券投资基金（LOF）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63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交银施罗德荣鑫灵活配置混合型证券投资基金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64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交银施罗德科技创新灵活配置混合型证券投资基金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65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交银施罗德优选回报灵活配置混合型证券投资基金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66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交银施罗德优择回报灵活配置混合型证券投资基金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67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交银施罗德新生活力灵活配置混合型证券投资基金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68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交银施罗德数据产业灵活配置混合型证券投资基金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69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交银施罗德裕盈纯债债券型证券投资基金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70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交银施罗德经济新动力混合型证券投资基金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71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交银施罗德沪港深价值精选灵活配置混合型证券投资基金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72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交银施罗德裕隆纯债债券型证券投资基金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73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交银施罗德境尚收益债券型证券投资基金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74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交银施罗德裕利纯债债券型证券投资基金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75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交银施罗德可转债债券型证券投资基金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76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交银施罗德创业板50指数型证券投资基金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77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交银施罗德裕坤纯债一年定期开放债券型发起式证券投资基金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78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交银施罗德裕泰两年定期开放债券型证券投资基金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79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交银施罗德稳利中短债债券型证券投资基金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80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交银施罗德内核驱动混合型证券投资基金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81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交银施罗德启欣混合型证券投资基金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82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交银施罗德启诚混合型证券投资基金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83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交银施罗德稳安60天滚动持有债券型证券投资基金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84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交银施罗德中证同业存单AAA指数7天持有期证券投资基金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85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交银施罗德安悦平衡养老目标三年持有期混合型发起式基金中基金（FOF）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86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交银施罗德启合混合型证券投资基金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87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交银施罗德穗享多资产六个月持有期混合型基金中基金（FOF）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88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交银施罗德沃享稳健三个月持有期混合型基金中基金（FOF）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89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交银施罗德内需增长一年持有期混合型证券投资基金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90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交银施罗德启盛混合型证券投资基金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91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交银施罗德瑞元三年定期开放混合型证券投资基金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92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交银施罗德上证科创板100指数型证券投资基金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93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交银施罗德中证A50指数型证券投资基金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94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交银施罗德恒生港股通创新药精选指数型证券投资基金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95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交银施罗德港股通优质精选混合型证券投资基金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96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交银施罗德中证A500指数增强型发起式证券投资基金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97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交银施罗德养老目标日期2035三年持有期混合型基金中基金（FOF）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98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交银施罗德医疗健康混合型发起式证券投资基金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99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交银施罗德智选进取三个月持有期混合型发起式基金中基金（FOF）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100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交银施罗德120天滚动持有债券型证券投资基金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101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交银施罗德臻享多资产三个月持有期混合型基金中基金（FOF）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102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交银施罗德鸿宁三个月持有期债券型证券投资基金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103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交银施罗德鸿光一年持有期混合型证券投资基金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104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交银施罗德招享一年持有期混合型基金中基金（FOF）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105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交银施罗德鸿信一年持有期混合型证券投资基金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106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交银施罗德稳安30天滚动持有债券型证券投资基金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107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交银施罗德启信混合型发起式证券投资基金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108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交银施罗德中高等级信用债债券型证券投资基金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109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交银施罗德臻选回报混合型证券投资基金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110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交银施罗德启道混合型证券投资基金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111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交银施罗德均衡成长一年持有期混合型证券投资基金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112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交银施罗德品质增长一年持有期混合型证券投资基金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113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交银施罗德稳益短债债券型证券投资基金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114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交银施罗德悦信精选混合型证券投资基金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115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交银施罗德瑞安混合型证券投资基金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116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交银施罗德远见精选混合型证券投资基金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117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交银施罗德盈享多资产六个月持有期混合型基金中基金（FOF）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118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交银施罗德瑞思混合型证券投资基金（LOF）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119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交银施罗德启明混合型证券投资基金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120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交银施罗德中债1-3年政策性金融债指数证券投资基金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121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交银施罗德鸿福六个月持有期混合型证券投资基金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122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交银施罗德瑞卓三年持有期混合型证券投资基金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123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交银施罗德智选星光混合型基金中基金（FOF-LOF）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124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交银施罗德兴享一年持有期混合型基金中基金（FOF）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125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交银施罗德瑞和三年持有期混合型证券投资基金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126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交银施罗德启衡混合型证券投资基金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127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交银施罗德中证红利低波动100指数型证券投资基金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128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交银施罗德稳悦回报债券型证券投资基金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129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交银施罗德中债0-3年政策性金融债指数证券投资基金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130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交银施罗德远见成长混合型证券投资基金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131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交银施罗德中证智选沪深港科技50交易型开放式指数证券投资基金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132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交银施罗德科锐科技创新混合型证券投资基金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133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交银施罗德启汇混合型证券投资基金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134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交银施罗德产业机遇混合型证券投资基金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135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交银施罗德红利量化选股混合型证券投资基金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136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交银施罗德产业臻选混合型证券投资基金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137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交银施罗德佳宁债券型证券投资基金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138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交银施罗德创新领航混合型证券投资基金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139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交银施罗德成长动力一年持有期混合型证券投资基金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140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交银施罗德优享一年持有期混合型基金中基金（FOF）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141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交银施罗德裕道纯债一年定期开放债券型发起式证券投资基金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142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交银施罗德慧选睿信一年持有期混合型基金中基金（FOF）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143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交银施罗德稳安90天持有期债券型证券投资基金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144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交银施罗德启嘉混合型证券投资基金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145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交银施罗德中证A500指数型证券投资基金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146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交银施罗德180天持有期债券型证券投资基金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147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交银施罗德中证港股通央企红利指数型证券投资基金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148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交银施罗德智远量化选股股票型发起式证券投资基金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9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vAlign w:val="center"/>
          </w:tcPr>
          <w:p>
            <w:pPr>
              <w:bidi w:val="0"/>
              <w:spacing w:after="0" w:afterAutospacing="0"/>
              <w:jc w:val="center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149</w:t>
            </w:r>
          </w:p>
        </w:tc>
        <w:tc>
          <w:tcPr>
            <w:tcW w:w="4250" w:type="pct"/>
            <w:tcBorders>
              <w:top w:val="single" w:color="444444" w:sz="6" w:space="0"/>
              <w:left w:val="single" w:color="444444" w:sz="6" w:space="0"/>
              <w:bottom w:val="single" w:color="444444" w:sz="6" w:space="0"/>
              <w:right w:val="single" w:color="444444" w:sz="6" w:space="0"/>
            </w:tcBorders>
            <w:shd w:val="clear" w:color="auto" w:fill="auto"/>
            <w:tcMar>
              <w:left w:w="75" w:type="dxa"/>
            </w:tcMar>
            <w:vAlign w:val="center"/>
          </w:tcPr>
          <w:p>
            <w:pPr>
              <w:bidi w:val="0"/>
              <w:spacing w:after="0" w:afterAutospacing="0"/>
              <w:rPr>
                <w:rFonts w:ascii="Times New Roman" w:hAnsi="Times New Roman"/>
                <w:rtl w:val="0"/>
              </w:rPr>
            </w:pPr>
            <w:r>
              <w:rPr>
                <w:rFonts w:ascii="Times New Roman" w:hAnsi="Times New Roman"/>
                <w:rtl w:val="0"/>
              </w:rPr>
              <w:t>交银施罗德消费研选混合型发起式证券投资基金</w:t>
            </w:r>
          </w:p>
        </w:tc>
      </w:tr>
    </w:tbl>
    <w:p>
      <w:pPr>
        <w:bidi w:val="0"/>
        <w:spacing w:after="280" w:afterAutospacing="1" w:line="440" w:lineRule="atLeast"/>
        <w:ind w:firstLine="420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>上述基金2026年第三季度报告全文于2026年10月27日在本公司网站(www.fund001.com)和中国证监会基金电子披露网站(http://eid.csrc.gov.cn/fund)披露，供投资者查阅。如有疑问可拨打本公司客服电话（400-700-5000）咨询。</w:t>
      </w:r>
    </w:p>
    <w:p>
      <w:pPr>
        <w:bidi w:val="0"/>
        <w:spacing w:after="280" w:afterAutospacing="1" w:line="440" w:lineRule="atLeast"/>
        <w:ind w:firstLine="420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 xml:space="preserve">本基金管理人承诺以诚实信用、勤勉尽责的原则管理和运用基金资产，但不保证基金一定盈利，也不保证最低收益。请充分了解基金的风险收益特征，审慎做出投资决定。 </w:t>
      </w:r>
    </w:p>
    <w:p>
      <w:pPr>
        <w:bidi w:val="0"/>
        <w:spacing w:after="280" w:afterAutospacing="1" w:line="440" w:lineRule="atLeast"/>
        <w:ind w:firstLine="420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 xml:space="preserve">特此公告。 </w:t>
      </w:r>
    </w:p>
    <w:p>
      <w:pPr>
        <w:bidi w:val="0"/>
        <w:spacing w:after="280" w:afterAutospacing="1" w:line="440" w:lineRule="atLeast"/>
        <w:jc w:val="right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 xml:space="preserve">交银施罗德基金管理有限公司 </w:t>
      </w:r>
    </w:p>
    <w:p>
      <w:pPr>
        <w:pBdr>
          <w:right w:val="none" w:color="auto" w:sz="0" w:space="0"/>
        </w:pBdr>
        <w:bidi w:val="0"/>
        <w:spacing w:after="280" w:afterAutospacing="1"/>
        <w:jc w:val="right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 xml:space="preserve">2026年10月27日 </w:t>
      </w:r>
    </w:p>
    <w:p>
      <w:pPr>
        <w:bidi w:val="0"/>
        <w:rPr>
          <w:rFonts w:ascii="Times New Roman" w:hAnsi="Times New Roman"/>
          <w:rtl w:val="0"/>
        </w:rPr>
      </w:pPr>
      <w:bookmarkStart w:id="0" w:name="_GoBack"/>
      <w:bookmarkEnd w:id="0"/>
    </w:p>
    <w:sectPr>
      <w:footerReference r:id="rId3" w:type="default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t xml:space="preserve"> / </w:t>
    </w:r>
    <w:r>
      <w:fldChar w:fldCharType="begin"/>
    </w:r>
    <w:r>
      <w:instrText xml:space="preserve">NUMPAGES</w:instrText>
    </w:r>
    <w:r>
      <w:fldChar w:fldCharType="separate"/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80"/>
  <w:displayBackgroundShape w:val="1"/>
  <w:doNotTrackMoves/>
  <w:documentProtection w:enforcement="0"/>
  <w:defaultTabStop w:val="720"/>
  <w:noPunctuationKerning w:val="1"/>
  <w:characterSpacingControl w:val="doNotCompress"/>
  <w:compat>
    <w:useFELayout/>
    <w:compatSetting w:name="compatibilityMode" w:uri="http://schemas.microsoft.com/office/word" w:val="12"/>
  </w:compat>
  <w:rsids>
    <w:rsidRoot w:val="00000000"/>
    <w:rsid w:val="381026BC"/>
    <w:rsid w:val="7F006B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99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2026-10-26T01:23:00Z</dcterms:created>
  <cp:lastModifiedBy>haotingting</cp:lastModifiedBy>
  <dcterms:modified xsi:type="dcterms:W3CDTF">2026-10-26T05:43:30Z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C036FB41F33343518C0C8501C8F74DCA_12</vt:lpwstr>
  </property>
</Properties>
</file>