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Times New Roman" w:hAnsi="Times New Roman"/>
          <w:b/>
          <w:sz w:val="30"/>
          <w:szCs w:val="30"/>
        </w:rPr>
      </w:pPr>
      <w:r>
        <w:rPr>
          <w:rFonts w:hint="eastAsia" w:ascii="Times New Roman" w:hAnsi="Times New Roman"/>
          <w:b/>
          <w:sz w:val="30"/>
          <w:szCs w:val="30"/>
        </w:rPr>
        <w:t>交银施罗德基金管理有限公司关于</w:t>
      </w:r>
      <w:r>
        <w:rPr>
          <w:rFonts w:hint="eastAsia" w:ascii="Times New Roman" w:hAnsi="Times New Roman"/>
          <w:b/>
          <w:sz w:val="30"/>
          <w:szCs w:val="30"/>
          <w:lang w:val="en-US" w:eastAsia="zh-CN"/>
        </w:rPr>
        <w:t>交银施罗德瑞丰混合型证券投资基金（LOF）午间收盘</w:t>
      </w:r>
      <w:r>
        <w:rPr>
          <w:rFonts w:hint="eastAsia" w:ascii="Times New Roman" w:hAnsi="Times New Roman"/>
          <w:b/>
          <w:sz w:val="30"/>
          <w:szCs w:val="30"/>
        </w:rPr>
        <w:t>溢价风险提示公告</w:t>
      </w:r>
    </w:p>
    <w:p>
      <w:pPr>
        <w:spacing w:line="360" w:lineRule="auto"/>
        <w:rPr>
          <w:rFonts w:ascii="Times New Roman" w:hAnsi="Times New Roman"/>
          <w:sz w:val="24"/>
          <w:szCs w:val="24"/>
        </w:rPr>
      </w:pPr>
      <w:r>
        <w:rPr>
          <w:rFonts w:ascii="Times New Roman" w:hAnsi="Times New Roman"/>
          <w:sz w:val="24"/>
          <w:szCs w:val="24"/>
        </w:rPr>
        <w:t xml:space="preserve">  </w:t>
      </w:r>
    </w:p>
    <w:p>
      <w:pPr>
        <w:spacing w:line="360" w:lineRule="auto"/>
        <w:ind w:firstLine="480" w:firstLineChars="200"/>
        <w:rPr>
          <w:rFonts w:hint="default" w:ascii="Times New Roman" w:hAnsi="Times New Roman" w:eastAsiaTheme="minorEastAsia"/>
          <w:sz w:val="24"/>
          <w:szCs w:val="24"/>
          <w:lang w:val="en-US" w:eastAsia="zh-CN"/>
        </w:rPr>
      </w:pPr>
      <w:r>
        <w:rPr>
          <w:rFonts w:hint="eastAsia" w:ascii="Times New Roman" w:hAnsi="Times New Roman"/>
          <w:sz w:val="24"/>
          <w:szCs w:val="24"/>
        </w:rPr>
        <w:t>近期，交银施罗德基金管理有限公司（以下简称“本基金管理人”）旗下</w:t>
      </w:r>
      <w:r>
        <w:rPr>
          <w:rFonts w:hint="eastAsia" w:ascii="Times New Roman" w:hAnsi="Times New Roman"/>
          <w:sz w:val="24"/>
          <w:szCs w:val="24"/>
          <w:lang w:val="en-US" w:eastAsia="zh-CN"/>
        </w:rPr>
        <w:t>交银施罗德瑞丰混合型证券投资基金（LOF）</w:t>
      </w:r>
      <w:r>
        <w:rPr>
          <w:rFonts w:hint="eastAsia" w:ascii="Times New Roman" w:hAnsi="Times New Roman"/>
          <w:sz w:val="24"/>
          <w:szCs w:val="24"/>
        </w:rPr>
        <w:t>（</w:t>
      </w:r>
      <w:r>
        <w:rPr>
          <w:rFonts w:ascii="宋体" w:hAnsi="宋体"/>
          <w:sz w:val="24"/>
        </w:rPr>
        <w:t>场内简称：</w:t>
      </w:r>
      <w:r>
        <w:rPr>
          <w:rFonts w:hint="eastAsia" w:ascii="宋体" w:hAnsi="宋体"/>
          <w:sz w:val="24"/>
          <w:lang w:val="en-US" w:eastAsia="zh-CN"/>
        </w:rPr>
        <w:t>交银瑞丰</w:t>
      </w:r>
      <w:r>
        <w:rPr>
          <w:rFonts w:hint="eastAsia" w:ascii="Times New Roman" w:hAnsi="Times New Roman"/>
          <w:kern w:val="0"/>
          <w:sz w:val="24"/>
          <w:highlight w:val="none"/>
          <w:lang w:val="en-US" w:eastAsia="zh-CN"/>
        </w:rPr>
        <w:t>，代码：501087</w:t>
      </w:r>
      <w:r>
        <w:rPr>
          <w:rFonts w:hint="eastAsia" w:ascii="Times New Roman" w:hAnsi="Times New Roman"/>
          <w:sz w:val="24"/>
          <w:szCs w:val="24"/>
        </w:rPr>
        <w:t>；以下简称“本基金”）的二级市场交易</w:t>
      </w:r>
      <w:r>
        <w:rPr>
          <w:rFonts w:ascii="Times New Roman" w:hAnsi="Times New Roman"/>
          <w:sz w:val="24"/>
          <w:szCs w:val="24"/>
        </w:rPr>
        <w:t>价格明显</w:t>
      </w:r>
      <w:r>
        <w:rPr>
          <w:rFonts w:hint="eastAsia" w:ascii="Times New Roman" w:hAnsi="Times New Roman"/>
          <w:sz w:val="24"/>
          <w:szCs w:val="24"/>
          <w:lang w:val="en-US" w:eastAsia="zh-CN"/>
        </w:rPr>
        <w:t>高于</w:t>
      </w:r>
      <w:r>
        <w:rPr>
          <w:rFonts w:ascii="Times New Roman" w:hAnsi="Times New Roman"/>
          <w:sz w:val="24"/>
          <w:szCs w:val="24"/>
        </w:rPr>
        <w:t>基金份额</w:t>
      </w:r>
      <w:r>
        <w:rPr>
          <w:rFonts w:hint="eastAsia" w:ascii="Times New Roman" w:hAnsi="Times New Roman"/>
          <w:sz w:val="24"/>
          <w:szCs w:val="24"/>
          <w:lang w:val="en-US" w:eastAsia="zh-CN"/>
        </w:rPr>
        <w:t>参考</w:t>
      </w:r>
      <w:r>
        <w:rPr>
          <w:rFonts w:ascii="Times New Roman" w:hAnsi="Times New Roman"/>
          <w:sz w:val="24"/>
          <w:szCs w:val="24"/>
        </w:rPr>
        <w:t>净值</w:t>
      </w:r>
      <w:r>
        <w:rPr>
          <w:rFonts w:hint="eastAsia" w:ascii="Times New Roman" w:hAnsi="Times New Roman"/>
          <w:sz w:val="24"/>
          <w:szCs w:val="24"/>
          <w:lang w:eastAsia="zh-CN"/>
        </w:rPr>
        <w:t>，</w:t>
      </w:r>
      <w:r>
        <w:rPr>
          <w:rFonts w:hint="eastAsia" w:ascii="Times New Roman" w:hAnsi="Times New Roman"/>
          <w:sz w:val="24"/>
          <w:szCs w:val="24"/>
          <w:lang w:val="en-US" w:eastAsia="zh-CN"/>
        </w:rPr>
        <w:t>出现较大幅度溢价</w:t>
      </w:r>
      <w:r>
        <w:rPr>
          <w:rFonts w:hint="eastAsia" w:ascii="Times New Roman" w:hAnsi="Times New Roman"/>
          <w:sz w:val="24"/>
          <w:szCs w:val="24"/>
        </w:rPr>
        <w:t>。</w:t>
      </w:r>
      <w:r>
        <w:rPr>
          <w:rFonts w:hint="eastAsia" w:ascii="Times New Roman" w:hAnsi="Times New Roman"/>
          <w:b/>
          <w:bCs/>
          <w:sz w:val="24"/>
          <w:szCs w:val="24"/>
        </w:rPr>
        <w:t>特此提示投资者关注二级市场交易价格溢价风险，投资者如果</w:t>
      </w:r>
      <w:r>
        <w:rPr>
          <w:rFonts w:hint="eastAsia" w:ascii="Times New Roman" w:hAnsi="Times New Roman"/>
          <w:b/>
          <w:bCs/>
          <w:sz w:val="24"/>
          <w:szCs w:val="24"/>
          <w:lang w:val="en-US" w:eastAsia="zh-CN"/>
        </w:rPr>
        <w:t>盲目投资</w:t>
      </w:r>
      <w:r>
        <w:rPr>
          <w:rFonts w:hint="eastAsia" w:ascii="Times New Roman" w:hAnsi="Times New Roman"/>
          <w:b/>
          <w:bCs/>
          <w:sz w:val="24"/>
          <w:szCs w:val="24"/>
        </w:rPr>
        <w:t>，可能</w:t>
      </w:r>
      <w:r>
        <w:rPr>
          <w:rFonts w:hint="eastAsia" w:ascii="Times New Roman" w:hAnsi="Times New Roman"/>
          <w:b/>
          <w:bCs/>
          <w:sz w:val="24"/>
          <w:szCs w:val="24"/>
          <w:lang w:val="en-US" w:eastAsia="zh-CN"/>
        </w:rPr>
        <w:t>遭受重大</w:t>
      </w:r>
      <w:r>
        <w:rPr>
          <w:rFonts w:hint="eastAsia" w:ascii="Times New Roman" w:hAnsi="Times New Roman"/>
          <w:b/>
          <w:bCs/>
          <w:sz w:val="24"/>
          <w:szCs w:val="24"/>
        </w:rPr>
        <w:t>损失。</w:t>
      </w:r>
      <w:r>
        <w:rPr>
          <w:rFonts w:hint="eastAsia" w:ascii="Times New Roman" w:hAnsi="Times New Roman"/>
          <w:b/>
          <w:bCs/>
          <w:sz w:val="24"/>
          <w:szCs w:val="24"/>
          <w:lang w:val="en-US" w:eastAsia="zh-CN"/>
        </w:rPr>
        <w:t>若本基金2026年10月23日二级市场交易价格溢价幅度未有效回落，本基金有权采取向上海证券交易所申请盘中临时停牌、延长停牌时间等措施以向市场警示风险，具体以届时公告为准。</w:t>
      </w:r>
    </w:p>
    <w:p>
      <w:pPr>
        <w:spacing w:line="360" w:lineRule="auto"/>
        <w:ind w:firstLine="420"/>
        <w:rPr>
          <w:rFonts w:ascii="Times New Roman" w:hAnsi="Times New Roman"/>
          <w:sz w:val="24"/>
          <w:szCs w:val="24"/>
        </w:rPr>
      </w:pPr>
      <w:r>
        <w:rPr>
          <w:rFonts w:hint="eastAsia" w:ascii="Times New Roman" w:hAnsi="Times New Roman"/>
          <w:sz w:val="24"/>
          <w:szCs w:val="24"/>
        </w:rPr>
        <w:t>为此基金管理人声明如下：</w:t>
      </w:r>
    </w:p>
    <w:p>
      <w:pPr>
        <w:numPr>
          <w:ilvl w:val="0"/>
          <w:numId w:val="0"/>
        </w:numPr>
        <w:spacing w:line="360" w:lineRule="auto"/>
        <w:ind w:firstLine="480" w:firstLineChars="200"/>
        <w:rPr>
          <w:rFonts w:hint="eastAsia" w:ascii="Times New Roman" w:hAnsi="Times New Roman"/>
          <w:sz w:val="24"/>
          <w:szCs w:val="24"/>
        </w:rPr>
      </w:pPr>
      <w:r>
        <w:rPr>
          <w:rFonts w:hint="eastAsia" w:ascii="Times New Roman" w:hAnsi="Times New Roman"/>
          <w:sz w:val="24"/>
          <w:szCs w:val="24"/>
          <w:lang w:val="en-US" w:eastAsia="zh-CN"/>
        </w:rPr>
        <w:t>一、</w:t>
      </w:r>
      <w:r>
        <w:rPr>
          <w:rFonts w:hint="eastAsia" w:ascii="Times New Roman" w:hAnsi="Times New Roman"/>
          <w:sz w:val="24"/>
          <w:szCs w:val="24"/>
        </w:rPr>
        <w:t>本基金为上市开放式基金，除可在二级市场交易外，投资</w:t>
      </w:r>
      <w:r>
        <w:rPr>
          <w:rFonts w:hint="eastAsia" w:ascii="Times New Roman" w:hAnsi="Times New Roman"/>
          <w:sz w:val="24"/>
          <w:szCs w:val="24"/>
          <w:lang w:val="en-US" w:eastAsia="zh-CN"/>
        </w:rPr>
        <w:t>者</w:t>
      </w:r>
      <w:r>
        <w:rPr>
          <w:rFonts w:hint="eastAsia" w:ascii="Times New Roman" w:hAnsi="Times New Roman"/>
          <w:sz w:val="24"/>
          <w:szCs w:val="24"/>
        </w:rPr>
        <w:t>还可以</w:t>
      </w:r>
      <w:r>
        <w:rPr>
          <w:rFonts w:hint="eastAsia" w:ascii="Times New Roman" w:hAnsi="Times New Roman"/>
          <w:sz w:val="24"/>
          <w:szCs w:val="24"/>
          <w:lang w:val="en-US" w:eastAsia="zh-CN"/>
        </w:rPr>
        <w:t>通过</w:t>
      </w:r>
      <w:r>
        <w:rPr>
          <w:rFonts w:hint="eastAsia" w:ascii="Times New Roman" w:hAnsi="Times New Roman"/>
          <w:sz w:val="24"/>
          <w:szCs w:val="24"/>
        </w:rPr>
        <w:t>申购、赎回</w:t>
      </w:r>
      <w:r>
        <w:rPr>
          <w:rFonts w:hint="eastAsia" w:ascii="Times New Roman" w:hAnsi="Times New Roman"/>
          <w:sz w:val="24"/>
          <w:szCs w:val="24"/>
          <w:lang w:val="en-US" w:eastAsia="zh-CN"/>
        </w:rPr>
        <w:t>的方式投资</w:t>
      </w:r>
      <w:r>
        <w:rPr>
          <w:rFonts w:hint="eastAsia" w:ascii="Times New Roman" w:hAnsi="Times New Roman"/>
          <w:sz w:val="24"/>
          <w:szCs w:val="24"/>
        </w:rPr>
        <w:t>本基金</w:t>
      </w:r>
      <w:r>
        <w:rPr>
          <w:rFonts w:hint="eastAsia" w:ascii="Times New Roman" w:hAnsi="Times New Roman"/>
          <w:sz w:val="24"/>
          <w:szCs w:val="24"/>
          <w:lang w:eastAsia="zh-CN"/>
        </w:rPr>
        <w:t>，</w:t>
      </w:r>
      <w:r>
        <w:rPr>
          <w:rFonts w:hint="eastAsia" w:ascii="Times New Roman" w:hAnsi="Times New Roman"/>
          <w:sz w:val="24"/>
          <w:szCs w:val="24"/>
          <w:lang w:val="en-US" w:eastAsia="zh-CN"/>
        </w:rPr>
        <w:t>实际申赎状态以最新公告为准。</w:t>
      </w:r>
      <w:r>
        <w:rPr>
          <w:rFonts w:hint="eastAsia" w:ascii="Times New Roman" w:hAnsi="Times New Roman"/>
          <w:sz w:val="24"/>
          <w:szCs w:val="24"/>
        </w:rPr>
        <w:t>申购、赎回价格以申请当日收市后计算的基金份额净值进行计算，投资者可通过基金管理人网站或交易行情系统查询本基金的最新份额净值。</w:t>
      </w:r>
    </w:p>
    <w:p>
      <w:pPr>
        <w:numPr>
          <w:ilvl w:val="0"/>
          <w:numId w:val="0"/>
        </w:numPr>
        <w:spacing w:line="360" w:lineRule="auto"/>
        <w:ind w:firstLine="480" w:firstLineChars="200"/>
        <w:rPr>
          <w:rFonts w:ascii="Times New Roman" w:hAnsi="Times New Roman"/>
          <w:sz w:val="24"/>
          <w:szCs w:val="24"/>
          <w:highlight w:val="yellow"/>
        </w:rPr>
      </w:pPr>
      <w:r>
        <w:rPr>
          <w:rFonts w:hint="eastAsia" w:ascii="Times New Roman" w:hAnsi="Times New Roman"/>
          <w:sz w:val="24"/>
          <w:szCs w:val="24"/>
          <w:lang w:val="en-US" w:eastAsia="zh-CN"/>
        </w:rPr>
        <w:t>二、</w:t>
      </w:r>
      <w:r>
        <w:rPr>
          <w:rFonts w:hint="eastAsia" w:ascii="Times New Roman" w:hAnsi="Times New Roman"/>
          <w:sz w:val="24"/>
          <w:szCs w:val="24"/>
        </w:rPr>
        <w:t>本基金二级市场的交易价格，除了有基金份额净值变化的风险外，还会受到市场供求关系、系统性风险、流动性风险等其他因素的影响，可能使投资</w:t>
      </w:r>
      <w:r>
        <w:rPr>
          <w:rFonts w:hint="eastAsia" w:ascii="Times New Roman" w:hAnsi="Times New Roman"/>
          <w:sz w:val="24"/>
          <w:szCs w:val="24"/>
          <w:lang w:val="en-US" w:eastAsia="zh-CN"/>
        </w:rPr>
        <w:t>者</w:t>
      </w:r>
      <w:r>
        <w:rPr>
          <w:rFonts w:hint="eastAsia" w:ascii="Times New Roman" w:hAnsi="Times New Roman"/>
          <w:sz w:val="24"/>
          <w:szCs w:val="24"/>
        </w:rPr>
        <w:t>面临损失。</w:t>
      </w:r>
    </w:p>
    <w:p>
      <w:pPr>
        <w:spacing w:line="360" w:lineRule="auto"/>
        <w:ind w:firstLine="480" w:firstLineChars="200"/>
        <w:rPr>
          <w:rFonts w:ascii="Times New Roman" w:hAnsi="Times New Roman"/>
          <w:sz w:val="24"/>
          <w:szCs w:val="24"/>
        </w:rPr>
      </w:pPr>
      <w:r>
        <w:rPr>
          <w:rFonts w:hint="eastAsia" w:ascii="Times New Roman" w:hAnsi="Times New Roman"/>
          <w:sz w:val="24"/>
          <w:szCs w:val="24"/>
          <w:lang w:val="en-US" w:eastAsia="zh-CN"/>
        </w:rPr>
        <w:t>三</w:t>
      </w:r>
      <w:r>
        <w:rPr>
          <w:rFonts w:hint="eastAsia" w:ascii="Times New Roman" w:hAnsi="Times New Roman"/>
          <w:sz w:val="24"/>
          <w:szCs w:val="24"/>
        </w:rPr>
        <w:t>、截至</w:t>
      </w:r>
      <w:r>
        <w:rPr>
          <w:rFonts w:hint="eastAsia" w:ascii="Times New Roman" w:hAnsi="Times New Roman"/>
          <w:sz w:val="24"/>
          <w:szCs w:val="24"/>
          <w:lang w:val="en-US" w:eastAsia="zh-CN"/>
        </w:rPr>
        <w:t>目前</w:t>
      </w:r>
      <w:r>
        <w:rPr>
          <w:rFonts w:hint="eastAsia" w:ascii="Times New Roman" w:hAnsi="Times New Roman"/>
          <w:sz w:val="24"/>
          <w:szCs w:val="24"/>
        </w:rPr>
        <w:t>，本基金运作正常</w:t>
      </w:r>
      <w:r>
        <w:rPr>
          <w:rFonts w:hint="eastAsia" w:ascii="Times New Roman" w:hAnsi="Times New Roman"/>
          <w:sz w:val="24"/>
          <w:szCs w:val="24"/>
          <w:lang w:val="en-US" w:eastAsia="zh-CN"/>
        </w:rPr>
        <w:t>且</w:t>
      </w:r>
      <w:r>
        <w:rPr>
          <w:rFonts w:hint="eastAsia" w:ascii="Times New Roman" w:hAnsi="Times New Roman"/>
          <w:sz w:val="24"/>
          <w:szCs w:val="24"/>
        </w:rPr>
        <w:t>无应披露而未披露的重大信息。基金管理人将严格按照</w:t>
      </w:r>
      <w:r>
        <w:rPr>
          <w:rFonts w:hint="eastAsia" w:ascii="Times New Roman" w:hAnsi="Times New Roman"/>
          <w:sz w:val="24"/>
          <w:szCs w:val="24"/>
          <w:lang w:val="en-US" w:eastAsia="zh-CN"/>
        </w:rPr>
        <w:t>法律法规及基金合同的规定进行投资运作，履行</w:t>
      </w:r>
      <w:r>
        <w:rPr>
          <w:rFonts w:hint="eastAsia" w:ascii="Times New Roman" w:hAnsi="Times New Roman"/>
          <w:sz w:val="24"/>
          <w:szCs w:val="24"/>
        </w:rPr>
        <w:t>信息披露</w:t>
      </w:r>
      <w:r>
        <w:rPr>
          <w:rFonts w:hint="eastAsia" w:ascii="Times New Roman" w:hAnsi="Times New Roman"/>
          <w:sz w:val="24"/>
          <w:szCs w:val="24"/>
          <w:lang w:val="en-US" w:eastAsia="zh-CN"/>
        </w:rPr>
        <w:t>义务</w:t>
      </w:r>
      <w:r>
        <w:rPr>
          <w:rFonts w:hint="eastAsia" w:ascii="Times New Roman" w:hAnsi="Times New Roman"/>
          <w:sz w:val="24"/>
          <w:szCs w:val="24"/>
        </w:rPr>
        <w:t>。</w:t>
      </w:r>
    </w:p>
    <w:p>
      <w:pPr>
        <w:spacing w:line="360" w:lineRule="auto"/>
        <w:ind w:firstLine="480" w:firstLineChars="200"/>
        <w:rPr>
          <w:rFonts w:ascii="Times New Roman" w:hAnsi="Times New Roman"/>
          <w:sz w:val="24"/>
          <w:szCs w:val="24"/>
        </w:rPr>
      </w:pPr>
    </w:p>
    <w:p>
      <w:pPr>
        <w:spacing w:line="360" w:lineRule="auto"/>
        <w:ind w:firstLine="480" w:firstLineChars="200"/>
        <w:rPr>
          <w:rFonts w:ascii="Times New Roman" w:hAnsi="Times New Roman"/>
          <w:sz w:val="24"/>
          <w:szCs w:val="24"/>
        </w:rPr>
      </w:pPr>
      <w:r>
        <w:rPr>
          <w:rFonts w:hint="eastAsia" w:ascii="Times New Roman" w:hAnsi="Times New Roman"/>
          <w:sz w:val="24"/>
          <w:szCs w:val="24"/>
        </w:rPr>
        <w:t>风险提示：基金管理人承诺以诚实信用、勤勉尽责的原则管理和运用基金财产，但不保证基金一定盈利，也不保证最低收益。基金的过往业绩并不代表其未来表现。投资有风险，敬请投资者认真阅读基金的相关法律文件，并选择适合自身风险承受能力的投资品种进行投资。</w:t>
      </w:r>
    </w:p>
    <w:p>
      <w:pPr>
        <w:spacing w:line="360" w:lineRule="auto"/>
        <w:ind w:firstLine="480" w:firstLineChars="200"/>
        <w:rPr>
          <w:rFonts w:ascii="Times New Roman" w:hAnsi="Times New Roman"/>
          <w:sz w:val="24"/>
          <w:szCs w:val="24"/>
        </w:rPr>
      </w:pPr>
    </w:p>
    <w:p>
      <w:pPr>
        <w:spacing w:line="360" w:lineRule="auto"/>
        <w:ind w:firstLine="480" w:firstLineChars="200"/>
        <w:rPr>
          <w:rFonts w:ascii="Times New Roman" w:hAnsi="Times New Roman"/>
          <w:sz w:val="24"/>
          <w:szCs w:val="24"/>
        </w:rPr>
      </w:pPr>
      <w:r>
        <w:rPr>
          <w:rFonts w:hint="eastAsia" w:ascii="Times New Roman" w:hAnsi="Times New Roman"/>
          <w:sz w:val="24"/>
          <w:szCs w:val="24"/>
        </w:rPr>
        <w:t>特此公告。</w:t>
      </w:r>
    </w:p>
    <w:p>
      <w:pPr>
        <w:spacing w:line="360" w:lineRule="auto"/>
        <w:rPr>
          <w:rFonts w:ascii="Times New Roman" w:hAnsi="Times New Roman"/>
          <w:sz w:val="24"/>
          <w:szCs w:val="24"/>
        </w:rPr>
      </w:pPr>
    </w:p>
    <w:p>
      <w:pPr>
        <w:spacing w:line="360" w:lineRule="auto"/>
        <w:ind w:firstLine="480" w:firstLineChars="200"/>
        <w:rPr>
          <w:rFonts w:ascii="Times New Roman" w:hAnsi="Times New Roman"/>
          <w:sz w:val="24"/>
          <w:szCs w:val="24"/>
        </w:rPr>
      </w:pPr>
    </w:p>
    <w:p>
      <w:pPr>
        <w:spacing w:line="360" w:lineRule="auto"/>
        <w:ind w:firstLine="480" w:firstLineChars="200"/>
        <w:jc w:val="right"/>
        <w:rPr>
          <w:rFonts w:ascii="Times New Roman" w:hAnsi="Times New Roman"/>
          <w:sz w:val="24"/>
          <w:szCs w:val="24"/>
        </w:rPr>
      </w:pPr>
      <w:r>
        <w:rPr>
          <w:rFonts w:hint="eastAsia" w:ascii="Times New Roman" w:hAnsi="Times New Roman"/>
          <w:sz w:val="24"/>
          <w:szCs w:val="24"/>
        </w:rPr>
        <w:t>交银施罗德基金管理有限公司</w:t>
      </w:r>
    </w:p>
    <w:p>
      <w:pPr>
        <w:spacing w:line="360" w:lineRule="auto"/>
        <w:ind w:firstLine="480" w:firstLineChars="200"/>
        <w:jc w:val="right"/>
        <w:rPr>
          <w:rFonts w:hint="eastAsia" w:ascii="Times New Roman" w:hAnsi="Times New Roman"/>
          <w:sz w:val="24"/>
          <w:szCs w:val="24"/>
        </w:rPr>
      </w:pPr>
      <w:r>
        <w:rPr>
          <w:rFonts w:hint="eastAsia" w:ascii="Times New Roman" w:hAnsi="Times New Roman"/>
          <w:sz w:val="24"/>
          <w:szCs w:val="24"/>
          <w:lang w:val="en-US" w:eastAsia="zh-CN"/>
        </w:rPr>
        <w:t>二〇二六年十月二十三日</w:t>
      </w:r>
      <w:r>
        <w:rPr>
          <w:rFonts w:hint="eastAsia" w:ascii="Times New Roman" w:hAnsi="Times New Roman"/>
          <w:b/>
          <w:bCs/>
          <w:sz w:val="24"/>
          <w:szCs w:val="24"/>
          <w:lang w:val="en-US" w:eastAsia="zh-CN"/>
        </w:rPr>
        <w:t/>
      </w:r>
      <w:bookmarkStart w:id="0" w:name="_GoBack"/>
      <w:bookmarkEnd w:id="0"/>
      <w:r>
        <w:rPr>
          <w:rFonts w:hint="eastAsia" w:ascii="Times New Roman" w:hAnsi="Times New Roman"/>
          <w:sz w:val="24"/>
          <w:szCs w:val="24"/>
          <w:lang w:val="en-US" w:eastAsia="zh-CN"/>
        </w:rPr>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A07"/>
    <w:rsid w:val="00000C6B"/>
    <w:rsid w:val="00000E96"/>
    <w:rsid w:val="00017B5E"/>
    <w:rsid w:val="00022C69"/>
    <w:rsid w:val="00026C77"/>
    <w:rsid w:val="00027E29"/>
    <w:rsid w:val="00033E91"/>
    <w:rsid w:val="00035DC9"/>
    <w:rsid w:val="00036754"/>
    <w:rsid w:val="00037D6B"/>
    <w:rsid w:val="000422D0"/>
    <w:rsid w:val="00045A88"/>
    <w:rsid w:val="00047D05"/>
    <w:rsid w:val="00051052"/>
    <w:rsid w:val="00054971"/>
    <w:rsid w:val="000560BC"/>
    <w:rsid w:val="0006025F"/>
    <w:rsid w:val="0006276C"/>
    <w:rsid w:val="0006583C"/>
    <w:rsid w:val="000674F3"/>
    <w:rsid w:val="0007076C"/>
    <w:rsid w:val="00071917"/>
    <w:rsid w:val="00096EB6"/>
    <w:rsid w:val="000A742E"/>
    <w:rsid w:val="000B0F4D"/>
    <w:rsid w:val="000B6378"/>
    <w:rsid w:val="000C0C02"/>
    <w:rsid w:val="000C6CD5"/>
    <w:rsid w:val="000C729E"/>
    <w:rsid w:val="000C74A4"/>
    <w:rsid w:val="000D1686"/>
    <w:rsid w:val="000D562A"/>
    <w:rsid w:val="000D56DC"/>
    <w:rsid w:val="000D5A86"/>
    <w:rsid w:val="000D7E3E"/>
    <w:rsid w:val="000E301B"/>
    <w:rsid w:val="000E37B8"/>
    <w:rsid w:val="000E63CD"/>
    <w:rsid w:val="000E7194"/>
    <w:rsid w:val="000F064F"/>
    <w:rsid w:val="000F139D"/>
    <w:rsid w:val="000F69A0"/>
    <w:rsid w:val="0010586E"/>
    <w:rsid w:val="00107D6D"/>
    <w:rsid w:val="001201DC"/>
    <w:rsid w:val="001230EE"/>
    <w:rsid w:val="001235F8"/>
    <w:rsid w:val="00131053"/>
    <w:rsid w:val="00134748"/>
    <w:rsid w:val="00162D41"/>
    <w:rsid w:val="00163376"/>
    <w:rsid w:val="00165D0D"/>
    <w:rsid w:val="00177C57"/>
    <w:rsid w:val="00181331"/>
    <w:rsid w:val="001824BA"/>
    <w:rsid w:val="0018379D"/>
    <w:rsid w:val="00185777"/>
    <w:rsid w:val="001864FA"/>
    <w:rsid w:val="00195ADA"/>
    <w:rsid w:val="001A4D9A"/>
    <w:rsid w:val="001A5375"/>
    <w:rsid w:val="001B16FD"/>
    <w:rsid w:val="001B1F8D"/>
    <w:rsid w:val="001B3AAD"/>
    <w:rsid w:val="001D0ACA"/>
    <w:rsid w:val="001D137E"/>
    <w:rsid w:val="001D343E"/>
    <w:rsid w:val="001D6463"/>
    <w:rsid w:val="001D68A4"/>
    <w:rsid w:val="001D6F09"/>
    <w:rsid w:val="001F10D3"/>
    <w:rsid w:val="001F592F"/>
    <w:rsid w:val="001F72D3"/>
    <w:rsid w:val="002003C8"/>
    <w:rsid w:val="00201DE3"/>
    <w:rsid w:val="00220AC0"/>
    <w:rsid w:val="002314C5"/>
    <w:rsid w:val="00231E5A"/>
    <w:rsid w:val="00232748"/>
    <w:rsid w:val="0023725A"/>
    <w:rsid w:val="0024722A"/>
    <w:rsid w:val="0026195E"/>
    <w:rsid w:val="0026370B"/>
    <w:rsid w:val="00263F8E"/>
    <w:rsid w:val="00264515"/>
    <w:rsid w:val="00266330"/>
    <w:rsid w:val="00271FFF"/>
    <w:rsid w:val="00274E4A"/>
    <w:rsid w:val="00276E01"/>
    <w:rsid w:val="00282732"/>
    <w:rsid w:val="00283FB1"/>
    <w:rsid w:val="002923E6"/>
    <w:rsid w:val="00295911"/>
    <w:rsid w:val="002A3722"/>
    <w:rsid w:val="002A3741"/>
    <w:rsid w:val="002A658B"/>
    <w:rsid w:val="002A6F66"/>
    <w:rsid w:val="002B6A0B"/>
    <w:rsid w:val="002C08C9"/>
    <w:rsid w:val="002C1983"/>
    <w:rsid w:val="002C2BED"/>
    <w:rsid w:val="002C2F70"/>
    <w:rsid w:val="002C3C6F"/>
    <w:rsid w:val="002C7355"/>
    <w:rsid w:val="002D20BC"/>
    <w:rsid w:val="002D7791"/>
    <w:rsid w:val="002E4831"/>
    <w:rsid w:val="002E4C1F"/>
    <w:rsid w:val="002E5320"/>
    <w:rsid w:val="002F027A"/>
    <w:rsid w:val="00302A40"/>
    <w:rsid w:val="003041EE"/>
    <w:rsid w:val="003110E4"/>
    <w:rsid w:val="00315DCF"/>
    <w:rsid w:val="003163EF"/>
    <w:rsid w:val="003178FE"/>
    <w:rsid w:val="003219C1"/>
    <w:rsid w:val="00321BDF"/>
    <w:rsid w:val="00324DF6"/>
    <w:rsid w:val="00325B83"/>
    <w:rsid w:val="003367B0"/>
    <w:rsid w:val="00336B0B"/>
    <w:rsid w:val="00337457"/>
    <w:rsid w:val="00342F9C"/>
    <w:rsid w:val="00345E8B"/>
    <w:rsid w:val="0034733A"/>
    <w:rsid w:val="003474B0"/>
    <w:rsid w:val="00347E74"/>
    <w:rsid w:val="00352034"/>
    <w:rsid w:val="00363733"/>
    <w:rsid w:val="00363E1B"/>
    <w:rsid w:val="00364EF3"/>
    <w:rsid w:val="003661A0"/>
    <w:rsid w:val="0036735D"/>
    <w:rsid w:val="0037292A"/>
    <w:rsid w:val="00376A3B"/>
    <w:rsid w:val="00381D7B"/>
    <w:rsid w:val="00383170"/>
    <w:rsid w:val="00387074"/>
    <w:rsid w:val="0039689F"/>
    <w:rsid w:val="003A3B29"/>
    <w:rsid w:val="003B319B"/>
    <w:rsid w:val="003B48E9"/>
    <w:rsid w:val="003B7747"/>
    <w:rsid w:val="003C2C06"/>
    <w:rsid w:val="003C646C"/>
    <w:rsid w:val="003D2960"/>
    <w:rsid w:val="003D62C4"/>
    <w:rsid w:val="003F4700"/>
    <w:rsid w:val="004035EF"/>
    <w:rsid w:val="00406FD2"/>
    <w:rsid w:val="00410F37"/>
    <w:rsid w:val="00427D23"/>
    <w:rsid w:val="0043086E"/>
    <w:rsid w:val="004312AA"/>
    <w:rsid w:val="00435032"/>
    <w:rsid w:val="00436233"/>
    <w:rsid w:val="004410E8"/>
    <w:rsid w:val="004417DF"/>
    <w:rsid w:val="00443584"/>
    <w:rsid w:val="00445F20"/>
    <w:rsid w:val="004462CE"/>
    <w:rsid w:val="00452396"/>
    <w:rsid w:val="0045496D"/>
    <w:rsid w:val="00455FD8"/>
    <w:rsid w:val="004570F6"/>
    <w:rsid w:val="00461148"/>
    <w:rsid w:val="00463162"/>
    <w:rsid w:val="004679FE"/>
    <w:rsid w:val="00472F3B"/>
    <w:rsid w:val="00481820"/>
    <w:rsid w:val="00483381"/>
    <w:rsid w:val="00486171"/>
    <w:rsid w:val="004927B9"/>
    <w:rsid w:val="00492951"/>
    <w:rsid w:val="0049707C"/>
    <w:rsid w:val="004979F9"/>
    <w:rsid w:val="004A26E4"/>
    <w:rsid w:val="004A2B89"/>
    <w:rsid w:val="004B018D"/>
    <w:rsid w:val="004B562B"/>
    <w:rsid w:val="004C5830"/>
    <w:rsid w:val="004D3949"/>
    <w:rsid w:val="004E19F1"/>
    <w:rsid w:val="004E2FB2"/>
    <w:rsid w:val="004F028E"/>
    <w:rsid w:val="004F12BA"/>
    <w:rsid w:val="00510D1D"/>
    <w:rsid w:val="00511219"/>
    <w:rsid w:val="00514199"/>
    <w:rsid w:val="0052043C"/>
    <w:rsid w:val="00523637"/>
    <w:rsid w:val="00525234"/>
    <w:rsid w:val="00526A51"/>
    <w:rsid w:val="0053132F"/>
    <w:rsid w:val="00537BDB"/>
    <w:rsid w:val="00541651"/>
    <w:rsid w:val="00542932"/>
    <w:rsid w:val="00546973"/>
    <w:rsid w:val="00550020"/>
    <w:rsid w:val="0055362C"/>
    <w:rsid w:val="005552A0"/>
    <w:rsid w:val="005553F8"/>
    <w:rsid w:val="005707B3"/>
    <w:rsid w:val="00573A07"/>
    <w:rsid w:val="00573B8A"/>
    <w:rsid w:val="005826F7"/>
    <w:rsid w:val="00584B5F"/>
    <w:rsid w:val="00585DFA"/>
    <w:rsid w:val="00586D95"/>
    <w:rsid w:val="00586F40"/>
    <w:rsid w:val="005901C9"/>
    <w:rsid w:val="005926F8"/>
    <w:rsid w:val="0059538A"/>
    <w:rsid w:val="00596FB8"/>
    <w:rsid w:val="00597C92"/>
    <w:rsid w:val="005A6343"/>
    <w:rsid w:val="005A69E6"/>
    <w:rsid w:val="005A6EF3"/>
    <w:rsid w:val="005A7644"/>
    <w:rsid w:val="005B3076"/>
    <w:rsid w:val="005B3483"/>
    <w:rsid w:val="005B6E29"/>
    <w:rsid w:val="005C14BE"/>
    <w:rsid w:val="005C775C"/>
    <w:rsid w:val="005C7D2A"/>
    <w:rsid w:val="005D0823"/>
    <w:rsid w:val="005D19E1"/>
    <w:rsid w:val="005D69B3"/>
    <w:rsid w:val="005E5501"/>
    <w:rsid w:val="005E653F"/>
    <w:rsid w:val="005F72C7"/>
    <w:rsid w:val="00613091"/>
    <w:rsid w:val="00621FD9"/>
    <w:rsid w:val="00624B10"/>
    <w:rsid w:val="00626AA0"/>
    <w:rsid w:val="0063218F"/>
    <w:rsid w:val="006367FA"/>
    <w:rsid w:val="00642EC4"/>
    <w:rsid w:val="006436FA"/>
    <w:rsid w:val="006443BD"/>
    <w:rsid w:val="00644FCB"/>
    <w:rsid w:val="006461A1"/>
    <w:rsid w:val="0065153E"/>
    <w:rsid w:val="006555A4"/>
    <w:rsid w:val="00656422"/>
    <w:rsid w:val="006624B1"/>
    <w:rsid w:val="00663F1A"/>
    <w:rsid w:val="00664D19"/>
    <w:rsid w:val="00667891"/>
    <w:rsid w:val="0067073C"/>
    <w:rsid w:val="006729C6"/>
    <w:rsid w:val="00672D43"/>
    <w:rsid w:val="00677932"/>
    <w:rsid w:val="00681419"/>
    <w:rsid w:val="00694EA1"/>
    <w:rsid w:val="00694EA7"/>
    <w:rsid w:val="006959BA"/>
    <w:rsid w:val="00697610"/>
    <w:rsid w:val="006A217F"/>
    <w:rsid w:val="006A378A"/>
    <w:rsid w:val="006A66D8"/>
    <w:rsid w:val="006C0A64"/>
    <w:rsid w:val="006C3F0C"/>
    <w:rsid w:val="006D11A3"/>
    <w:rsid w:val="006D17EF"/>
    <w:rsid w:val="006D3843"/>
    <w:rsid w:val="006D5FB8"/>
    <w:rsid w:val="006D64B4"/>
    <w:rsid w:val="006F02CD"/>
    <w:rsid w:val="006F317B"/>
    <w:rsid w:val="006F3770"/>
    <w:rsid w:val="007100F2"/>
    <w:rsid w:val="0071017C"/>
    <w:rsid w:val="00711B6D"/>
    <w:rsid w:val="007140EA"/>
    <w:rsid w:val="0071677F"/>
    <w:rsid w:val="00717CCB"/>
    <w:rsid w:val="00737736"/>
    <w:rsid w:val="00740B42"/>
    <w:rsid w:val="007417D7"/>
    <w:rsid w:val="007449C9"/>
    <w:rsid w:val="00745B38"/>
    <w:rsid w:val="00750E59"/>
    <w:rsid w:val="007711FD"/>
    <w:rsid w:val="00772977"/>
    <w:rsid w:val="00777522"/>
    <w:rsid w:val="00784F5B"/>
    <w:rsid w:val="00790B86"/>
    <w:rsid w:val="007914A3"/>
    <w:rsid w:val="00792D74"/>
    <w:rsid w:val="00793D08"/>
    <w:rsid w:val="00797694"/>
    <w:rsid w:val="007A2090"/>
    <w:rsid w:val="007A276C"/>
    <w:rsid w:val="007A34EC"/>
    <w:rsid w:val="007A39B7"/>
    <w:rsid w:val="007A5F72"/>
    <w:rsid w:val="007A70F3"/>
    <w:rsid w:val="007A7333"/>
    <w:rsid w:val="007B7446"/>
    <w:rsid w:val="007B7C68"/>
    <w:rsid w:val="007C2C9E"/>
    <w:rsid w:val="007C36E0"/>
    <w:rsid w:val="007C74FD"/>
    <w:rsid w:val="007D5326"/>
    <w:rsid w:val="007D7CAC"/>
    <w:rsid w:val="007E7668"/>
    <w:rsid w:val="007F2A3A"/>
    <w:rsid w:val="00806748"/>
    <w:rsid w:val="008114CE"/>
    <w:rsid w:val="008124C2"/>
    <w:rsid w:val="00812B70"/>
    <w:rsid w:val="00815C2A"/>
    <w:rsid w:val="00817989"/>
    <w:rsid w:val="00817C5A"/>
    <w:rsid w:val="008204C3"/>
    <w:rsid w:val="00822FDA"/>
    <w:rsid w:val="00826049"/>
    <w:rsid w:val="00834D92"/>
    <w:rsid w:val="00834DC5"/>
    <w:rsid w:val="00836F72"/>
    <w:rsid w:val="008547CB"/>
    <w:rsid w:val="00855835"/>
    <w:rsid w:val="008600EC"/>
    <w:rsid w:val="00860939"/>
    <w:rsid w:val="00866B09"/>
    <w:rsid w:val="00867435"/>
    <w:rsid w:val="00870550"/>
    <w:rsid w:val="0087131C"/>
    <w:rsid w:val="00872AC9"/>
    <w:rsid w:val="00877EF1"/>
    <w:rsid w:val="0088357D"/>
    <w:rsid w:val="00883A46"/>
    <w:rsid w:val="00883A69"/>
    <w:rsid w:val="00884C1A"/>
    <w:rsid w:val="008858D0"/>
    <w:rsid w:val="00894284"/>
    <w:rsid w:val="008A0C8D"/>
    <w:rsid w:val="008A6660"/>
    <w:rsid w:val="008A7FE6"/>
    <w:rsid w:val="008B2F9A"/>
    <w:rsid w:val="008B46DA"/>
    <w:rsid w:val="008C39E9"/>
    <w:rsid w:val="008C449C"/>
    <w:rsid w:val="008D2535"/>
    <w:rsid w:val="008D2B88"/>
    <w:rsid w:val="008D3107"/>
    <w:rsid w:val="008D41B7"/>
    <w:rsid w:val="008D4751"/>
    <w:rsid w:val="008E4A8A"/>
    <w:rsid w:val="008E6803"/>
    <w:rsid w:val="008E7889"/>
    <w:rsid w:val="008F2B4F"/>
    <w:rsid w:val="00901343"/>
    <w:rsid w:val="00901CED"/>
    <w:rsid w:val="00905400"/>
    <w:rsid w:val="00910A7B"/>
    <w:rsid w:val="009127FF"/>
    <w:rsid w:val="0091630A"/>
    <w:rsid w:val="009312DA"/>
    <w:rsid w:val="00932C85"/>
    <w:rsid w:val="00934178"/>
    <w:rsid w:val="009369A5"/>
    <w:rsid w:val="00937D95"/>
    <w:rsid w:val="00945A6D"/>
    <w:rsid w:val="009566CB"/>
    <w:rsid w:val="00961EE4"/>
    <w:rsid w:val="0096342B"/>
    <w:rsid w:val="00963F21"/>
    <w:rsid w:val="009824B4"/>
    <w:rsid w:val="00985C05"/>
    <w:rsid w:val="009957FE"/>
    <w:rsid w:val="009A219D"/>
    <w:rsid w:val="009A434C"/>
    <w:rsid w:val="009B0759"/>
    <w:rsid w:val="009B1A6D"/>
    <w:rsid w:val="009B3687"/>
    <w:rsid w:val="009B3BEE"/>
    <w:rsid w:val="009C575E"/>
    <w:rsid w:val="009C70E6"/>
    <w:rsid w:val="009D071A"/>
    <w:rsid w:val="009F4B74"/>
    <w:rsid w:val="009F5AF5"/>
    <w:rsid w:val="00A007F6"/>
    <w:rsid w:val="00A1008A"/>
    <w:rsid w:val="00A12245"/>
    <w:rsid w:val="00A208E3"/>
    <w:rsid w:val="00A20DF3"/>
    <w:rsid w:val="00A25B85"/>
    <w:rsid w:val="00A2713C"/>
    <w:rsid w:val="00A33391"/>
    <w:rsid w:val="00A37523"/>
    <w:rsid w:val="00A37865"/>
    <w:rsid w:val="00A53635"/>
    <w:rsid w:val="00A53E15"/>
    <w:rsid w:val="00A53E24"/>
    <w:rsid w:val="00A55D6B"/>
    <w:rsid w:val="00A642E5"/>
    <w:rsid w:val="00A67103"/>
    <w:rsid w:val="00A74BF9"/>
    <w:rsid w:val="00A81E73"/>
    <w:rsid w:val="00A825B0"/>
    <w:rsid w:val="00A85AB8"/>
    <w:rsid w:val="00AB0918"/>
    <w:rsid w:val="00AB0E56"/>
    <w:rsid w:val="00AB0EB3"/>
    <w:rsid w:val="00AB3187"/>
    <w:rsid w:val="00AB3EE0"/>
    <w:rsid w:val="00AB6885"/>
    <w:rsid w:val="00AB6D8E"/>
    <w:rsid w:val="00AC1502"/>
    <w:rsid w:val="00AC63AC"/>
    <w:rsid w:val="00AD2A1B"/>
    <w:rsid w:val="00AD7646"/>
    <w:rsid w:val="00AE1F51"/>
    <w:rsid w:val="00AE23FA"/>
    <w:rsid w:val="00AE2652"/>
    <w:rsid w:val="00AE3E53"/>
    <w:rsid w:val="00AE64FB"/>
    <w:rsid w:val="00AE6EE5"/>
    <w:rsid w:val="00AF3741"/>
    <w:rsid w:val="00AF3EA6"/>
    <w:rsid w:val="00AF48E6"/>
    <w:rsid w:val="00AF606C"/>
    <w:rsid w:val="00B07B7B"/>
    <w:rsid w:val="00B10EE1"/>
    <w:rsid w:val="00B1272C"/>
    <w:rsid w:val="00B15C80"/>
    <w:rsid w:val="00B22479"/>
    <w:rsid w:val="00B24042"/>
    <w:rsid w:val="00B26DA2"/>
    <w:rsid w:val="00B33965"/>
    <w:rsid w:val="00B5026E"/>
    <w:rsid w:val="00B52841"/>
    <w:rsid w:val="00B52BAF"/>
    <w:rsid w:val="00B564D3"/>
    <w:rsid w:val="00B633B0"/>
    <w:rsid w:val="00B63D9E"/>
    <w:rsid w:val="00B64296"/>
    <w:rsid w:val="00B64450"/>
    <w:rsid w:val="00B67AD4"/>
    <w:rsid w:val="00B7131D"/>
    <w:rsid w:val="00B7291C"/>
    <w:rsid w:val="00B731B5"/>
    <w:rsid w:val="00B8119F"/>
    <w:rsid w:val="00B833BE"/>
    <w:rsid w:val="00B8598B"/>
    <w:rsid w:val="00B85C8C"/>
    <w:rsid w:val="00B908EC"/>
    <w:rsid w:val="00B95FF1"/>
    <w:rsid w:val="00BA7AF5"/>
    <w:rsid w:val="00BB13F6"/>
    <w:rsid w:val="00BB6FC9"/>
    <w:rsid w:val="00BC0979"/>
    <w:rsid w:val="00BC26FD"/>
    <w:rsid w:val="00BD1A71"/>
    <w:rsid w:val="00BE2698"/>
    <w:rsid w:val="00BE3323"/>
    <w:rsid w:val="00BF24BC"/>
    <w:rsid w:val="00BF25E5"/>
    <w:rsid w:val="00BF389C"/>
    <w:rsid w:val="00BF4780"/>
    <w:rsid w:val="00C01430"/>
    <w:rsid w:val="00C034F7"/>
    <w:rsid w:val="00C114CE"/>
    <w:rsid w:val="00C160D1"/>
    <w:rsid w:val="00C16674"/>
    <w:rsid w:val="00C245FB"/>
    <w:rsid w:val="00C24A92"/>
    <w:rsid w:val="00C315BD"/>
    <w:rsid w:val="00C31A76"/>
    <w:rsid w:val="00C414C5"/>
    <w:rsid w:val="00C470DD"/>
    <w:rsid w:val="00C506A0"/>
    <w:rsid w:val="00C517DB"/>
    <w:rsid w:val="00C521B9"/>
    <w:rsid w:val="00C62567"/>
    <w:rsid w:val="00C70757"/>
    <w:rsid w:val="00C76763"/>
    <w:rsid w:val="00C81483"/>
    <w:rsid w:val="00C87E9A"/>
    <w:rsid w:val="00C87FD3"/>
    <w:rsid w:val="00C903A4"/>
    <w:rsid w:val="00C9613B"/>
    <w:rsid w:val="00CA714B"/>
    <w:rsid w:val="00CB61AC"/>
    <w:rsid w:val="00CB6CF3"/>
    <w:rsid w:val="00CC1EFF"/>
    <w:rsid w:val="00CC3F04"/>
    <w:rsid w:val="00CD1AE6"/>
    <w:rsid w:val="00CD2475"/>
    <w:rsid w:val="00CD4225"/>
    <w:rsid w:val="00CD6D0A"/>
    <w:rsid w:val="00CE1983"/>
    <w:rsid w:val="00CE4F3D"/>
    <w:rsid w:val="00CF3FA1"/>
    <w:rsid w:val="00CF5DCF"/>
    <w:rsid w:val="00CF6421"/>
    <w:rsid w:val="00D1274A"/>
    <w:rsid w:val="00D15611"/>
    <w:rsid w:val="00D17B70"/>
    <w:rsid w:val="00D20096"/>
    <w:rsid w:val="00D2455E"/>
    <w:rsid w:val="00D2664A"/>
    <w:rsid w:val="00D302FA"/>
    <w:rsid w:val="00D3129F"/>
    <w:rsid w:val="00D3531A"/>
    <w:rsid w:val="00D36839"/>
    <w:rsid w:val="00D37524"/>
    <w:rsid w:val="00D40344"/>
    <w:rsid w:val="00D42515"/>
    <w:rsid w:val="00D4480F"/>
    <w:rsid w:val="00D53CE3"/>
    <w:rsid w:val="00D5541B"/>
    <w:rsid w:val="00D60828"/>
    <w:rsid w:val="00D63A3F"/>
    <w:rsid w:val="00D706BE"/>
    <w:rsid w:val="00D70F46"/>
    <w:rsid w:val="00D72259"/>
    <w:rsid w:val="00D732DB"/>
    <w:rsid w:val="00D7360E"/>
    <w:rsid w:val="00D7449C"/>
    <w:rsid w:val="00D83968"/>
    <w:rsid w:val="00D9473D"/>
    <w:rsid w:val="00D95ACD"/>
    <w:rsid w:val="00DA1D56"/>
    <w:rsid w:val="00DB0340"/>
    <w:rsid w:val="00DB0FA2"/>
    <w:rsid w:val="00DB7811"/>
    <w:rsid w:val="00DC29D5"/>
    <w:rsid w:val="00DC2F28"/>
    <w:rsid w:val="00DC5887"/>
    <w:rsid w:val="00DD075B"/>
    <w:rsid w:val="00DD473C"/>
    <w:rsid w:val="00DD72BF"/>
    <w:rsid w:val="00DE18FB"/>
    <w:rsid w:val="00DE614E"/>
    <w:rsid w:val="00DF13A4"/>
    <w:rsid w:val="00DF3E68"/>
    <w:rsid w:val="00DF65A0"/>
    <w:rsid w:val="00E12829"/>
    <w:rsid w:val="00E12A99"/>
    <w:rsid w:val="00E17BE4"/>
    <w:rsid w:val="00E17D27"/>
    <w:rsid w:val="00E205CA"/>
    <w:rsid w:val="00E21559"/>
    <w:rsid w:val="00E32946"/>
    <w:rsid w:val="00E34CC7"/>
    <w:rsid w:val="00E353A5"/>
    <w:rsid w:val="00E45C42"/>
    <w:rsid w:val="00E47E03"/>
    <w:rsid w:val="00E57F81"/>
    <w:rsid w:val="00E6156D"/>
    <w:rsid w:val="00E61EF7"/>
    <w:rsid w:val="00E64F24"/>
    <w:rsid w:val="00E708D6"/>
    <w:rsid w:val="00E73E7F"/>
    <w:rsid w:val="00E814E1"/>
    <w:rsid w:val="00E861AA"/>
    <w:rsid w:val="00E92F0B"/>
    <w:rsid w:val="00E940B5"/>
    <w:rsid w:val="00EA57CE"/>
    <w:rsid w:val="00EA7CF5"/>
    <w:rsid w:val="00EB2158"/>
    <w:rsid w:val="00EC28D2"/>
    <w:rsid w:val="00ED0963"/>
    <w:rsid w:val="00ED0C3C"/>
    <w:rsid w:val="00ED7646"/>
    <w:rsid w:val="00EF059F"/>
    <w:rsid w:val="00EF3CA8"/>
    <w:rsid w:val="00EF43F0"/>
    <w:rsid w:val="00F00AB5"/>
    <w:rsid w:val="00F034C9"/>
    <w:rsid w:val="00F06601"/>
    <w:rsid w:val="00F10D61"/>
    <w:rsid w:val="00F13858"/>
    <w:rsid w:val="00F20751"/>
    <w:rsid w:val="00F20E1E"/>
    <w:rsid w:val="00F23192"/>
    <w:rsid w:val="00F27090"/>
    <w:rsid w:val="00F325BB"/>
    <w:rsid w:val="00F329EF"/>
    <w:rsid w:val="00F32BDF"/>
    <w:rsid w:val="00F3406D"/>
    <w:rsid w:val="00F3542A"/>
    <w:rsid w:val="00F3719C"/>
    <w:rsid w:val="00F3738C"/>
    <w:rsid w:val="00F4292E"/>
    <w:rsid w:val="00F43E4A"/>
    <w:rsid w:val="00F50CA8"/>
    <w:rsid w:val="00F51273"/>
    <w:rsid w:val="00F52453"/>
    <w:rsid w:val="00F537F9"/>
    <w:rsid w:val="00F54545"/>
    <w:rsid w:val="00F604ED"/>
    <w:rsid w:val="00F64698"/>
    <w:rsid w:val="00F65FCF"/>
    <w:rsid w:val="00F67681"/>
    <w:rsid w:val="00F74D44"/>
    <w:rsid w:val="00F801E1"/>
    <w:rsid w:val="00F81116"/>
    <w:rsid w:val="00F830D7"/>
    <w:rsid w:val="00F83122"/>
    <w:rsid w:val="00F850FD"/>
    <w:rsid w:val="00F85490"/>
    <w:rsid w:val="00F857DD"/>
    <w:rsid w:val="00F94C3F"/>
    <w:rsid w:val="00F95F1D"/>
    <w:rsid w:val="00F96FA4"/>
    <w:rsid w:val="00FA2A25"/>
    <w:rsid w:val="00FA3A3D"/>
    <w:rsid w:val="00FA68EE"/>
    <w:rsid w:val="00FB12D5"/>
    <w:rsid w:val="00FC44CA"/>
    <w:rsid w:val="00FC6A3A"/>
    <w:rsid w:val="00FC74E7"/>
    <w:rsid w:val="00FD17C1"/>
    <w:rsid w:val="00FD1D44"/>
    <w:rsid w:val="00FD2D44"/>
    <w:rsid w:val="00FD32F7"/>
    <w:rsid w:val="00FD3D41"/>
    <w:rsid w:val="00FD3EBB"/>
    <w:rsid w:val="00FD6838"/>
    <w:rsid w:val="00FE3409"/>
    <w:rsid w:val="00FE6094"/>
    <w:rsid w:val="045B52FD"/>
    <w:rsid w:val="06C2102F"/>
    <w:rsid w:val="073019EF"/>
    <w:rsid w:val="0A177A4F"/>
    <w:rsid w:val="0A1E0C86"/>
    <w:rsid w:val="0C051A93"/>
    <w:rsid w:val="0D4C78BE"/>
    <w:rsid w:val="0DEA3F5F"/>
    <w:rsid w:val="0F3B74C8"/>
    <w:rsid w:val="10083DE1"/>
    <w:rsid w:val="132C48F6"/>
    <w:rsid w:val="159F57FE"/>
    <w:rsid w:val="18AA7840"/>
    <w:rsid w:val="1CD96BE2"/>
    <w:rsid w:val="1DCB214D"/>
    <w:rsid w:val="2299104D"/>
    <w:rsid w:val="24FD2DCA"/>
    <w:rsid w:val="256B2248"/>
    <w:rsid w:val="2643324B"/>
    <w:rsid w:val="27CF1BDE"/>
    <w:rsid w:val="2D4C32AF"/>
    <w:rsid w:val="2EBF2EBC"/>
    <w:rsid w:val="31083E1E"/>
    <w:rsid w:val="33E53814"/>
    <w:rsid w:val="39F34638"/>
    <w:rsid w:val="3CD83332"/>
    <w:rsid w:val="3CF52AE4"/>
    <w:rsid w:val="42294B17"/>
    <w:rsid w:val="42C41D55"/>
    <w:rsid w:val="438622AD"/>
    <w:rsid w:val="451D6E0B"/>
    <w:rsid w:val="46C11D14"/>
    <w:rsid w:val="46C824D6"/>
    <w:rsid w:val="4D4048AE"/>
    <w:rsid w:val="507E118F"/>
    <w:rsid w:val="50B01BFE"/>
    <w:rsid w:val="5219153F"/>
    <w:rsid w:val="533446BB"/>
    <w:rsid w:val="535C08D2"/>
    <w:rsid w:val="53D974F8"/>
    <w:rsid w:val="558F690E"/>
    <w:rsid w:val="561635EC"/>
    <w:rsid w:val="56786617"/>
    <w:rsid w:val="573D251B"/>
    <w:rsid w:val="57C05695"/>
    <w:rsid w:val="58272107"/>
    <w:rsid w:val="5836793E"/>
    <w:rsid w:val="592759DA"/>
    <w:rsid w:val="61D2590E"/>
    <w:rsid w:val="64065513"/>
    <w:rsid w:val="65DC2975"/>
    <w:rsid w:val="6F6A1CB1"/>
    <w:rsid w:val="72F05ABB"/>
    <w:rsid w:val="74860EF4"/>
    <w:rsid w:val="77FA647F"/>
    <w:rsid w:val="7D986B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0"/>
    <w:semiHidden/>
    <w:unhideWhenUsed/>
    <w:qFormat/>
    <w:uiPriority w:val="99"/>
    <w:pPr>
      <w:jc w:val="left"/>
    </w:pPr>
  </w:style>
  <w:style w:type="paragraph" w:styleId="3">
    <w:name w:val="Balloon Text"/>
    <w:basedOn w:val="1"/>
    <w:link w:val="12"/>
    <w:semiHidden/>
    <w:unhideWhenUsed/>
    <w:qFormat/>
    <w:uiPriority w:val="99"/>
    <w:rPr>
      <w:sz w:val="18"/>
      <w:szCs w:val="18"/>
    </w:r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1"/>
    <w:semiHidden/>
    <w:unhideWhenUsed/>
    <w:qFormat/>
    <w:uiPriority w:val="99"/>
    <w:rPr>
      <w:b/>
      <w:bCs/>
    </w:rPr>
  </w:style>
  <w:style w:type="character" w:styleId="9">
    <w:name w:val="annotation reference"/>
    <w:basedOn w:val="8"/>
    <w:semiHidden/>
    <w:unhideWhenUsed/>
    <w:qFormat/>
    <w:uiPriority w:val="99"/>
    <w:rPr>
      <w:sz w:val="21"/>
      <w:szCs w:val="21"/>
    </w:rPr>
  </w:style>
  <w:style w:type="character" w:customStyle="1" w:styleId="10">
    <w:name w:val="批注文字 字符"/>
    <w:basedOn w:val="8"/>
    <w:link w:val="2"/>
    <w:semiHidden/>
    <w:qFormat/>
    <w:uiPriority w:val="99"/>
  </w:style>
  <w:style w:type="character" w:customStyle="1" w:styleId="11">
    <w:name w:val="批注主题 字符"/>
    <w:basedOn w:val="10"/>
    <w:link w:val="6"/>
    <w:semiHidden/>
    <w:qFormat/>
    <w:uiPriority w:val="99"/>
    <w:rPr>
      <w:b/>
      <w:bCs/>
    </w:rPr>
  </w:style>
  <w:style w:type="character" w:customStyle="1" w:styleId="12">
    <w:name w:val="批注框文本 字符"/>
    <w:basedOn w:val="8"/>
    <w:link w:val="3"/>
    <w:semiHidden/>
    <w:qFormat/>
    <w:uiPriority w:val="99"/>
    <w:rPr>
      <w:sz w:val="18"/>
      <w:szCs w:val="18"/>
    </w:rPr>
  </w:style>
  <w:style w:type="character" w:customStyle="1" w:styleId="13">
    <w:name w:val="页眉 字符"/>
    <w:basedOn w:val="8"/>
    <w:link w:val="5"/>
    <w:qFormat/>
    <w:uiPriority w:val="99"/>
    <w:rPr>
      <w:sz w:val="18"/>
      <w:szCs w:val="18"/>
    </w:rPr>
  </w:style>
  <w:style w:type="character" w:customStyle="1" w:styleId="14">
    <w:name w:val="页脚 字符"/>
    <w:basedOn w:val="8"/>
    <w:link w:val="4"/>
    <w:qFormat/>
    <w:uiPriority w:val="99"/>
    <w:rPr>
      <w:sz w:val="18"/>
      <w:szCs w:val="18"/>
    </w:rPr>
  </w:style>
  <w:style w:type="paragraph" w:styleId="15">
    <w:name w:val="List Paragraph"/>
    <w:basedOn w:val="1"/>
    <w:qFormat/>
    <w:uiPriority w:val="34"/>
    <w:pPr>
      <w:ind w:firstLine="420" w:firstLineChars="200"/>
    </w:p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customXml/item1.xml" Type="http://schemas.openxmlformats.org/officeDocument/2006/relationships/customXml"/><Relationship Id="rId5"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0A1365-3A3B-468F-9903-4306B3C27BF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644</Words>
  <Characters>755</Characters>
  <Lines>5</Lines>
  <Paragraphs>1</Paragraphs>
  <TotalTime>0</TotalTime>
  <ScaleCrop>false</ScaleCrop>
  <LinksUpToDate>false</LinksUpToDate>
  <CharactersWithSpaces>757</CharactersWithSpaces>
  <Application>WPS Office_11.8.2.12187_F1E327BC-269C-435d-A152-05C5408002CA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2020-08-05T01:49:00Z</dcterms:created>
  <dc:creator>张玲斌</dc:creator>
  <cp:lastModifiedBy>leipan</cp:lastModifiedBy>
  <cp:lastPrinted>2018-04-26T07:51:00Z</cp:lastPrinted>
  <dcterms:modified xsi:type="dcterms:W3CDTF">2026-06-03T05:30:18Z</dcterms:modified>
  <cp:revision>127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2052-11.8.2.12187</vt:lpwstr>
  </property>
  <property fmtid="{D5CDD505-2E9C-101B-9397-08002B2CF9AE}" pid="3" name="ICV">
    <vt:lpwstr>9D4A1F7ADA6A4D969B08911D6C6DC464</vt:lpwstr>
  </property>
</Properties>
</file>