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3AB36">
      <w:pPr>
        <w:pStyle w:val="3"/>
        <w:jc w:val="center"/>
        <w:rPr>
          <w:rFonts w:ascii="宋体"/>
          <w:sz w:val="56"/>
        </w:rPr>
      </w:pPr>
    </w:p>
    <w:p w14:paraId="450151FD">
      <w:pPr>
        <w:pStyle w:val="3"/>
        <w:jc w:val="center"/>
        <w:rPr>
          <w:rFonts w:ascii="宋体" w:hAnsi="宋体"/>
          <w:sz w:val="52"/>
          <w:szCs w:val="52"/>
        </w:rPr>
      </w:pPr>
      <w:r>
        <w:rPr>
          <w:rFonts w:hint="eastAsia" w:ascii="宋体" w:hAnsi="宋体"/>
          <w:sz w:val="52"/>
          <w:szCs w:val="52"/>
        </w:rPr>
        <w:t>交银施罗德裕惠纯债债券型证券投资基金清算报告</w:t>
      </w:r>
    </w:p>
    <w:p w14:paraId="6906B0E8">
      <w:pPr>
        <w:rPr>
          <w:rFonts w:ascii="宋体"/>
        </w:rPr>
      </w:pPr>
    </w:p>
    <w:p w14:paraId="330FEB57">
      <w:pPr>
        <w:rPr>
          <w:rFonts w:ascii="宋体"/>
        </w:rPr>
      </w:pPr>
    </w:p>
    <w:p w14:paraId="0138DED8">
      <w:pPr>
        <w:rPr>
          <w:rFonts w:ascii="宋体"/>
        </w:rPr>
      </w:pPr>
    </w:p>
    <w:p w14:paraId="04928F2A">
      <w:pPr>
        <w:rPr>
          <w:rFonts w:ascii="宋体"/>
        </w:rPr>
      </w:pPr>
    </w:p>
    <w:p w14:paraId="4BA88336">
      <w:pPr>
        <w:rPr>
          <w:rFonts w:ascii="宋体"/>
        </w:rPr>
      </w:pPr>
    </w:p>
    <w:p w14:paraId="0918F96E">
      <w:pPr>
        <w:rPr>
          <w:rFonts w:ascii="宋体"/>
        </w:rPr>
      </w:pPr>
    </w:p>
    <w:p w14:paraId="18E8E8A8">
      <w:pPr>
        <w:rPr>
          <w:rFonts w:ascii="宋体"/>
        </w:rPr>
      </w:pPr>
    </w:p>
    <w:p w14:paraId="3734E708">
      <w:pPr>
        <w:rPr>
          <w:rFonts w:ascii="宋体"/>
        </w:rPr>
      </w:pPr>
    </w:p>
    <w:p w14:paraId="5C9918B3">
      <w:pPr>
        <w:rPr>
          <w:rFonts w:ascii="宋体"/>
        </w:rPr>
      </w:pPr>
    </w:p>
    <w:p w14:paraId="6596CB45">
      <w:pPr>
        <w:rPr>
          <w:rFonts w:ascii="宋体"/>
        </w:rPr>
      </w:pPr>
    </w:p>
    <w:p w14:paraId="1C15AB3B">
      <w:pPr>
        <w:rPr>
          <w:rFonts w:ascii="宋体"/>
        </w:rPr>
      </w:pPr>
    </w:p>
    <w:p w14:paraId="5257A987">
      <w:pPr>
        <w:rPr>
          <w:rFonts w:ascii="宋体"/>
        </w:rPr>
      </w:pPr>
    </w:p>
    <w:p w14:paraId="0CCC69A7">
      <w:pPr>
        <w:rPr>
          <w:rFonts w:ascii="宋体"/>
        </w:rPr>
      </w:pPr>
    </w:p>
    <w:p w14:paraId="1162C4EF">
      <w:pPr>
        <w:rPr>
          <w:rFonts w:ascii="宋体"/>
        </w:rPr>
      </w:pPr>
    </w:p>
    <w:p w14:paraId="3BD5452E">
      <w:pPr>
        <w:jc w:val="center"/>
        <w:rPr>
          <w:rFonts w:ascii="宋体"/>
          <w:sz w:val="24"/>
        </w:rPr>
      </w:pPr>
      <w:r>
        <w:rPr>
          <w:rFonts w:hint="eastAsia" w:ascii="宋体" w:hAnsi="宋体"/>
          <w:sz w:val="24"/>
        </w:rPr>
        <w:t>基金管理人：交银施罗德基金管理有限公司</w:t>
      </w:r>
    </w:p>
    <w:p w14:paraId="68F527C2">
      <w:pPr>
        <w:jc w:val="center"/>
        <w:rPr>
          <w:rFonts w:ascii="宋体" w:hAnsi="宋体"/>
          <w:sz w:val="24"/>
        </w:rPr>
      </w:pPr>
      <w:r>
        <w:rPr>
          <w:rFonts w:hint="eastAsia" w:ascii="宋体" w:hAnsi="宋体"/>
          <w:sz w:val="24"/>
        </w:rPr>
        <w:t>基金托管人：中国建设银行股份有限公司</w:t>
      </w:r>
    </w:p>
    <w:p w14:paraId="6B109EC4">
      <w:pPr>
        <w:jc w:val="center"/>
        <w:rPr>
          <w:rFonts w:ascii="宋体"/>
          <w:sz w:val="24"/>
        </w:rPr>
      </w:pPr>
      <w:r>
        <w:rPr>
          <w:rFonts w:hint="eastAsia" w:ascii="宋体" w:hAnsi="宋体"/>
          <w:sz w:val="24"/>
        </w:rPr>
        <w:t>清算报告出具日：</w:t>
      </w:r>
      <w:r>
        <w:rPr>
          <w:rFonts w:ascii="宋体" w:hAnsi="宋体"/>
        </w:rPr>
        <w:t>20</w:t>
      </w:r>
      <w:r>
        <w:rPr>
          <w:rFonts w:hint="eastAsia" w:ascii="宋体" w:hAnsi="宋体"/>
        </w:rPr>
        <w:t>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23</w:t>
      </w:r>
      <w:r>
        <w:rPr>
          <w:rFonts w:hint="eastAsia" w:ascii="宋体" w:hAnsi="宋体"/>
        </w:rPr>
        <w:t>日</w:t>
      </w:r>
    </w:p>
    <w:p w14:paraId="6A54E5F8">
      <w:pPr>
        <w:jc w:val="center"/>
        <w:rPr>
          <w:rFonts w:ascii="宋体"/>
          <w:sz w:val="24"/>
        </w:rPr>
      </w:pPr>
      <w:r>
        <w:rPr>
          <w:rFonts w:hint="eastAsia" w:ascii="宋体" w:hAnsi="宋体"/>
          <w:sz w:val="24"/>
        </w:rPr>
        <w:t>清算报告公告日：</w:t>
      </w:r>
      <w:r>
        <w:rPr>
          <w:rFonts w:ascii="宋体" w:hAnsi="宋体"/>
        </w:rPr>
        <w:t>20</w:t>
      </w:r>
      <w:r>
        <w:rPr>
          <w:rFonts w:hint="eastAsia" w:ascii="宋体" w:hAnsi="宋体"/>
        </w:rPr>
        <w:t>2</w:t>
      </w:r>
      <w:r>
        <w:rPr>
          <w:rFonts w:ascii="宋体" w:hAnsi="宋体"/>
        </w:rPr>
        <w:t>6</w:t>
      </w:r>
      <w:r>
        <w:rPr>
          <w:rFonts w:hint="eastAsia" w:ascii="宋体" w:hAnsi="宋体"/>
        </w:rPr>
        <w:t>年</w:t>
      </w:r>
      <w:r>
        <w:rPr>
          <w:rFonts w:hint="eastAsia" w:ascii="宋体" w:hAnsi="宋体"/>
          <w:lang w:val="en-US" w:eastAsia="zh-CN"/>
        </w:rPr>
        <w:t>10</w:t>
      </w:r>
      <w:r>
        <w:rPr>
          <w:rFonts w:hint="eastAsia" w:ascii="宋体" w:hAnsi="宋体"/>
        </w:rPr>
        <w:t>月</w:t>
      </w:r>
      <w:r>
        <w:rPr>
          <w:rFonts w:hint="eastAsia" w:ascii="宋体" w:hAnsi="宋体"/>
          <w:lang w:val="en-US" w:eastAsia="zh-CN"/>
        </w:rPr>
        <w:t>21</w:t>
      </w:r>
      <w:r>
        <w:rPr>
          <w:rFonts w:hint="eastAsia" w:ascii="宋体" w:hAnsi="宋体"/>
        </w:rPr>
        <w:t>日</w:t>
      </w:r>
    </w:p>
    <w:p w14:paraId="2F5E1983">
      <w:pPr>
        <w:rPr>
          <w:rFonts w:ascii="宋体"/>
          <w:sz w:val="22"/>
        </w:rPr>
      </w:pPr>
    </w:p>
    <w:p w14:paraId="71557350">
      <w:pPr>
        <w:widowControl/>
        <w:jc w:val="left"/>
        <w:rPr>
          <w:rFonts w:ascii="宋体"/>
        </w:rPr>
      </w:pPr>
      <w:r>
        <w:rPr>
          <w:rFonts w:ascii="宋体"/>
        </w:rPr>
        <w:br w:type="page"/>
      </w:r>
    </w:p>
    <w:p w14:paraId="04C2B761">
      <w:pPr>
        <w:spacing w:after="312" w:afterLines="100"/>
        <w:rPr>
          <w:rStyle w:val="14"/>
        </w:rPr>
      </w:pPr>
      <w:r>
        <w:rPr>
          <w:rStyle w:val="14"/>
          <w:rFonts w:hint="eastAsia"/>
        </w:rPr>
        <w:t>一、重要提示</w:t>
      </w:r>
    </w:p>
    <w:p w14:paraId="5177DA65">
      <w:pPr>
        <w:ind w:firstLine="420"/>
        <w:rPr>
          <w:rFonts w:ascii="宋体" w:hAnsi="宋体"/>
        </w:rPr>
      </w:pPr>
      <w:r>
        <w:rPr>
          <w:rFonts w:hint="eastAsia" w:ascii="宋体" w:hAnsi="宋体"/>
        </w:rPr>
        <w:t>交银施罗德裕惠纯债债券型证券投资基金（以下简称“本基金”）由交银施罗德理财60天债券型证券投资基金变更注册而来。2020年4月15日中国证券监督管理委员会（以下简称“中国证监会”）证监许可【2020】714号文准予交银施罗德理财60天债券型证券投资基金变更注册。自2020年7月28日起，由《交银施罗德理财60天债券型证券投资基金基金合同》修订而成的《交银施罗德裕惠纯债债券型证券投资基金基金合同》生效。</w:t>
      </w:r>
    </w:p>
    <w:p w14:paraId="41D70AFF">
      <w:pPr>
        <w:ind w:firstLine="420"/>
        <w:rPr>
          <w:rFonts w:ascii="宋体" w:hAnsi="宋体"/>
        </w:rPr>
      </w:pPr>
      <w:r>
        <w:rPr>
          <w:rFonts w:hint="eastAsia" w:ascii="宋体" w:hAnsi="宋体"/>
        </w:rPr>
        <w:t>根据《中华人民共和国证券投资基金法》、《公开募集证券投资基金运作管理办法》和《交银施罗德裕惠纯债债券型证券投资基金基金合同》（以下简称“基金合同”或“《基金合同》”）的有关规定，本基金出现了基金合同终止事由，交银施罗德基金管理有限公司（以下简称“基金管理人”或“本基金管理人”）应当在上述事由出现后终止基金合同并依法履行基金财产清算程序，此事项不需召开基金份额持有人大会。</w:t>
      </w:r>
    </w:p>
    <w:p w14:paraId="67F3668B">
      <w:pPr>
        <w:ind w:firstLine="420"/>
        <w:rPr>
          <w:rFonts w:ascii="宋体"/>
        </w:rPr>
      </w:pPr>
      <w:r>
        <w:rPr>
          <w:rFonts w:hint="eastAsia" w:ascii="宋体" w:hAnsi="宋体"/>
        </w:rPr>
        <w:t>本基金最后运作日为2</w:t>
      </w:r>
      <w:r>
        <w:rPr>
          <w:rFonts w:ascii="宋体" w:hAnsi="宋体"/>
        </w:rPr>
        <w:t>026</w:t>
      </w:r>
      <w:r>
        <w:rPr>
          <w:rFonts w:hint="eastAsia" w:ascii="宋体" w:hAnsi="宋体"/>
        </w:rPr>
        <w:t>年</w:t>
      </w:r>
      <w:r>
        <w:rPr>
          <w:rFonts w:ascii="宋体" w:hAnsi="宋体"/>
        </w:rPr>
        <w:t>9</w:t>
      </w:r>
      <w:r>
        <w:rPr>
          <w:rFonts w:hint="eastAsia" w:ascii="宋体" w:hAnsi="宋体"/>
        </w:rPr>
        <w:t>月</w:t>
      </w:r>
      <w:r>
        <w:rPr>
          <w:rFonts w:ascii="宋体" w:hAnsi="宋体"/>
        </w:rPr>
        <w:t>14</w:t>
      </w:r>
      <w:r>
        <w:rPr>
          <w:rFonts w:hint="eastAsia" w:ascii="宋体" w:hAnsi="宋体"/>
        </w:rPr>
        <w:t>日，自2</w:t>
      </w:r>
      <w:r>
        <w:rPr>
          <w:rFonts w:ascii="宋体" w:hAnsi="宋体"/>
        </w:rPr>
        <w:t>026</w:t>
      </w:r>
      <w:r>
        <w:rPr>
          <w:rFonts w:hint="eastAsia" w:ascii="宋体" w:hAnsi="宋体"/>
        </w:rPr>
        <w:t>年</w:t>
      </w:r>
      <w:r>
        <w:rPr>
          <w:rFonts w:ascii="宋体" w:hAnsi="宋体"/>
        </w:rPr>
        <w:t>9</w:t>
      </w:r>
      <w:r>
        <w:rPr>
          <w:rFonts w:hint="eastAsia" w:ascii="宋体" w:hAnsi="宋体"/>
        </w:rPr>
        <w:t>月</w:t>
      </w:r>
      <w:r>
        <w:rPr>
          <w:rFonts w:ascii="宋体" w:hAnsi="宋体"/>
        </w:rPr>
        <w:t>15</w:t>
      </w:r>
      <w:r>
        <w:rPr>
          <w:rFonts w:hint="eastAsia" w:ascii="宋体" w:hAnsi="宋体"/>
        </w:rPr>
        <w:t>日起进入清算期，由基金管理人交银施罗德基金管理有限公司、基金托管人中国建设银行股份有限公司、毕马威华振会计师事务所（特殊普通合伙）、上海市通力律师事务所组成基金财产清算小组履行基金财产清算程序，并由毕马威华振会计师事务所（特殊普通合伙）对清算报告进行审计，上海市通力律师事务所对清算报告出具法律意见。</w:t>
      </w:r>
    </w:p>
    <w:p w14:paraId="1F909D54">
      <w:pPr>
        <w:ind w:firstLine="420"/>
        <w:rPr>
          <w:rFonts w:ascii="宋体"/>
        </w:rPr>
      </w:pPr>
    </w:p>
    <w:p w14:paraId="0C784716">
      <w:pPr>
        <w:spacing w:after="312" w:afterLines="100"/>
        <w:rPr>
          <w:rStyle w:val="14"/>
        </w:rPr>
      </w:pPr>
      <w:r>
        <w:rPr>
          <w:rStyle w:val="14"/>
          <w:rFonts w:hint="eastAsia"/>
        </w:rPr>
        <w:t>二、基金概况</w:t>
      </w:r>
    </w:p>
    <w:p w14:paraId="6111DF74">
      <w:pPr>
        <w:spacing w:before="156" w:beforeLines="50" w:after="156" w:afterLines="50"/>
        <w:rPr>
          <w:rFonts w:ascii="宋体" w:hAnsi="宋体"/>
          <w:b/>
        </w:rPr>
      </w:pPr>
      <w:r>
        <w:rPr>
          <w:rFonts w:ascii="宋体" w:hAnsi="宋体"/>
          <w:b/>
        </w:rPr>
        <w:t>1</w:t>
      </w:r>
      <w:r>
        <w:rPr>
          <w:rFonts w:hint="eastAsia" w:ascii="宋体" w:hAnsi="宋体"/>
          <w:b/>
        </w:rPr>
        <w:t>、基金基本情况</w:t>
      </w:r>
    </w:p>
    <w:tbl>
      <w:tblPr>
        <w:tblStyle w:val="11"/>
        <w:tblW w:w="5000" w:type="pct"/>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2204"/>
        <w:gridCol w:w="6318"/>
      </w:tblGrid>
      <w:tr w14:paraId="7D2949F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416A142D">
            <w:pPr>
              <w:widowControl/>
              <w:spacing w:line="315" w:lineRule="atLeast"/>
              <w:jc w:val="left"/>
            </w:pPr>
            <w:bookmarkStart w:id="0" w:name="OLE_LINK1"/>
            <w:r>
              <w:rPr>
                <w:rFonts w:hint="eastAsia" w:ascii="宋体" w:hAnsi="宋体" w:cs="宋体"/>
              </w:rPr>
              <w:t xml:space="preserve">基金名称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58A357A0">
            <w:pPr>
              <w:widowControl/>
              <w:spacing w:line="315" w:lineRule="atLeast"/>
              <w:jc w:val="left"/>
            </w:pPr>
            <w:r>
              <w:rPr>
                <w:rFonts w:hint="eastAsia" w:ascii="宋体" w:hAnsi="宋体" w:cs="宋体"/>
              </w:rPr>
              <w:t>交银施罗德裕惠纯债债券型证券投资基金</w:t>
            </w:r>
          </w:p>
        </w:tc>
      </w:tr>
      <w:tr w14:paraId="7DB6762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7B1C9523">
            <w:pPr>
              <w:widowControl/>
              <w:spacing w:line="315" w:lineRule="atLeast"/>
              <w:jc w:val="left"/>
            </w:pPr>
            <w:r>
              <w:rPr>
                <w:rFonts w:hint="eastAsia" w:ascii="宋体" w:hAnsi="宋体" w:cs="宋体"/>
              </w:rPr>
              <w:t xml:space="preserve">基金简称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7529C4AC">
            <w:pPr>
              <w:widowControl/>
              <w:spacing w:line="315" w:lineRule="atLeast"/>
              <w:jc w:val="left"/>
            </w:pPr>
            <w:r>
              <w:rPr>
                <w:rFonts w:hint="eastAsia" w:ascii="宋体" w:hAnsi="宋体" w:cs="宋体"/>
              </w:rPr>
              <w:t>交银裕惠纯债债券</w:t>
            </w:r>
          </w:p>
        </w:tc>
      </w:tr>
      <w:tr w14:paraId="6BD1428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09E0DFA2">
            <w:pPr>
              <w:widowControl/>
              <w:spacing w:line="315" w:lineRule="atLeast"/>
              <w:jc w:val="left"/>
            </w:pPr>
            <w:r>
              <w:rPr>
                <w:rFonts w:hint="eastAsia" w:ascii="宋体" w:hAnsi="宋体" w:cs="宋体"/>
              </w:rPr>
              <w:t xml:space="preserve">基金代码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41DDA796">
            <w:pPr>
              <w:widowControl/>
              <w:spacing w:line="315" w:lineRule="atLeast"/>
              <w:jc w:val="left"/>
            </w:pPr>
            <w:r>
              <w:rPr>
                <w:rFonts w:hint="eastAsia" w:ascii="宋体" w:hAnsi="宋体" w:cs="宋体"/>
              </w:rPr>
              <w:t>519722</w:t>
            </w:r>
          </w:p>
        </w:tc>
      </w:tr>
      <w:tr w14:paraId="291E34C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60031EBE">
            <w:pPr>
              <w:widowControl/>
              <w:spacing w:line="315" w:lineRule="atLeast"/>
              <w:jc w:val="left"/>
            </w:pPr>
            <w:r>
              <w:rPr>
                <w:rFonts w:hint="eastAsia" w:ascii="宋体" w:hAnsi="宋体" w:cs="宋体"/>
              </w:rPr>
              <w:t xml:space="preserve">基金运作方式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51AA8441">
            <w:pPr>
              <w:widowControl/>
              <w:spacing w:line="315" w:lineRule="atLeast"/>
              <w:jc w:val="left"/>
            </w:pPr>
            <w:r>
              <w:rPr>
                <w:rFonts w:hint="eastAsia" w:ascii="宋体" w:hAnsi="宋体" w:cs="宋体"/>
              </w:rPr>
              <w:t>契约型开放式</w:t>
            </w:r>
          </w:p>
        </w:tc>
      </w:tr>
      <w:tr w14:paraId="35289D9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60934E95">
            <w:pPr>
              <w:widowControl/>
              <w:spacing w:line="315" w:lineRule="atLeast"/>
              <w:jc w:val="left"/>
            </w:pPr>
            <w:r>
              <w:rPr>
                <w:rFonts w:hint="eastAsia" w:ascii="宋体" w:hAnsi="宋体" w:cs="宋体"/>
              </w:rPr>
              <w:t xml:space="preserve">基金合同生效日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369541AB">
            <w:pPr>
              <w:widowControl/>
              <w:spacing w:line="315" w:lineRule="atLeast"/>
              <w:jc w:val="left"/>
            </w:pPr>
            <w:r>
              <w:rPr>
                <w:rFonts w:hint="eastAsia" w:ascii="宋体" w:hAnsi="宋体" w:cs="宋体"/>
              </w:rPr>
              <w:t>2020年7月28日</w:t>
            </w:r>
          </w:p>
        </w:tc>
      </w:tr>
      <w:tr w14:paraId="4F8B56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43D20250">
            <w:pPr>
              <w:widowControl/>
              <w:spacing w:line="315" w:lineRule="atLeast"/>
              <w:jc w:val="left"/>
            </w:pPr>
            <w:r>
              <w:rPr>
                <w:rFonts w:hint="eastAsia" w:ascii="宋体" w:hAnsi="宋体" w:cs="宋体"/>
              </w:rPr>
              <w:t xml:space="preserve">基金管理人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6629A7E7">
            <w:pPr>
              <w:widowControl/>
              <w:spacing w:line="315" w:lineRule="atLeast"/>
              <w:jc w:val="left"/>
            </w:pPr>
            <w:r>
              <w:rPr>
                <w:rFonts w:hint="eastAsia" w:ascii="宋体" w:hAnsi="宋体" w:cs="宋体"/>
              </w:rPr>
              <w:t>交银施罗德基金管理有限公司</w:t>
            </w:r>
          </w:p>
        </w:tc>
      </w:tr>
      <w:tr w14:paraId="18150CC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10E8D657">
            <w:pPr>
              <w:widowControl/>
              <w:spacing w:line="315" w:lineRule="atLeast"/>
              <w:jc w:val="left"/>
            </w:pPr>
            <w:r>
              <w:rPr>
                <w:rFonts w:hint="eastAsia" w:ascii="宋体" w:hAnsi="宋体" w:cs="宋体"/>
              </w:rPr>
              <w:t xml:space="preserve">基金托管人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54072F51">
            <w:pPr>
              <w:widowControl/>
              <w:spacing w:line="315" w:lineRule="atLeast"/>
              <w:jc w:val="left"/>
            </w:pPr>
            <w:r>
              <w:rPr>
                <w:rFonts w:hint="eastAsia" w:ascii="宋体" w:hAnsi="宋体" w:cs="宋体"/>
              </w:rPr>
              <w:t>中国建设银行股份有限公司</w:t>
            </w:r>
          </w:p>
        </w:tc>
      </w:tr>
      <w:tr w14:paraId="1084129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2B3E7AFD">
            <w:pPr>
              <w:widowControl/>
              <w:spacing w:line="315" w:lineRule="atLeast"/>
              <w:jc w:val="left"/>
            </w:pPr>
            <w:r>
              <w:rPr>
                <w:rFonts w:hint="eastAsia" w:ascii="宋体" w:hAnsi="宋体" w:cs="宋体"/>
              </w:rPr>
              <w:t xml:space="preserve">报告期末基金份额总额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3BD636FA">
            <w:pPr>
              <w:widowControl/>
              <w:spacing w:line="315" w:lineRule="atLeast"/>
              <w:jc w:val="left"/>
            </w:pPr>
            <w:r>
              <w:rPr>
                <w:rFonts w:ascii="宋体" w:hAnsi="宋体" w:cs="宋体"/>
              </w:rPr>
              <w:t>1,223,370.95</w:t>
            </w:r>
            <w:r>
              <w:rPr>
                <w:rFonts w:hint="eastAsia" w:ascii="宋体" w:hAnsi="宋体" w:cs="宋体"/>
              </w:rPr>
              <w:t xml:space="preserve">份 </w:t>
            </w:r>
          </w:p>
        </w:tc>
      </w:tr>
      <w:tr w14:paraId="00C9FF0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4" w:hRule="atLeast"/>
        </w:trPr>
        <w:tc>
          <w:tcPr>
            <w:tcW w:w="1293"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4528096E">
            <w:pPr>
              <w:widowControl/>
              <w:spacing w:line="315" w:lineRule="atLeast"/>
              <w:jc w:val="left"/>
            </w:pPr>
            <w:r>
              <w:rPr>
                <w:rFonts w:hint="eastAsia" w:ascii="宋体" w:hAnsi="宋体" w:cs="宋体"/>
              </w:rPr>
              <w:t xml:space="preserve">基金合同存续期 </w:t>
            </w:r>
          </w:p>
        </w:tc>
        <w:tc>
          <w:tcPr>
            <w:tcW w:w="3706" w:type="pct"/>
            <w:tcBorders>
              <w:top w:val="single" w:color="000000" w:sz="4" w:space="0"/>
              <w:left w:val="single" w:color="000000" w:sz="4" w:space="0"/>
              <w:bottom w:val="single" w:color="000000" w:sz="4" w:space="0"/>
              <w:right w:val="single" w:color="000000" w:sz="4" w:space="0"/>
            </w:tcBorders>
            <w:tcMar>
              <w:left w:w="108" w:type="dxa"/>
              <w:right w:w="108" w:type="dxa"/>
            </w:tcMar>
          </w:tcPr>
          <w:p w14:paraId="0E13B04F">
            <w:pPr>
              <w:widowControl/>
              <w:spacing w:line="315" w:lineRule="atLeast"/>
              <w:jc w:val="left"/>
            </w:pPr>
            <w:r>
              <w:rPr>
                <w:rFonts w:hint="eastAsia" w:ascii="宋体" w:hAnsi="宋体" w:cs="宋体"/>
              </w:rPr>
              <w:t>不定期</w:t>
            </w:r>
          </w:p>
        </w:tc>
      </w:tr>
      <w:bookmarkEnd w:id="0"/>
    </w:tbl>
    <w:p w14:paraId="49C5DB04">
      <w:pPr>
        <w:spacing w:line="360" w:lineRule="auto"/>
        <w:rPr>
          <w:rFonts w:hint="eastAsia" w:ascii="宋体" w:hAnsi="宋体" w:cs="宋体"/>
        </w:rPr>
      </w:pPr>
      <w:r>
        <w:rPr>
          <w:rFonts w:hint="eastAsia" w:ascii="宋体" w:hAnsi="宋体" w:cs="宋体"/>
          <w:sz w:val="20"/>
          <w:szCs w:val="20"/>
        </w:rPr>
        <w:t>注：本基金于2020年7月28日由交银施罗德理财60天债券型证券投资基金转型为交银施罗德裕惠纯债债券型证券投资基金。</w:t>
      </w:r>
    </w:p>
    <w:p w14:paraId="136B996B">
      <w:pPr>
        <w:spacing w:before="156" w:beforeLines="50" w:after="156" w:afterLines="50"/>
        <w:rPr>
          <w:rFonts w:ascii="宋体" w:hAnsi="宋体"/>
          <w:b/>
        </w:rPr>
      </w:pPr>
      <w:r>
        <w:rPr>
          <w:rFonts w:ascii="宋体" w:hAnsi="宋体"/>
          <w:b/>
        </w:rPr>
        <w:t>2</w:t>
      </w:r>
      <w:r>
        <w:rPr>
          <w:rFonts w:hint="eastAsia" w:ascii="宋体" w:hAnsi="宋体"/>
          <w:b/>
        </w:rPr>
        <w:t>、基金产品说明</w:t>
      </w:r>
    </w:p>
    <w:tbl>
      <w:tblPr>
        <w:tblStyle w:val="11"/>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9"/>
        <w:gridCol w:w="6517"/>
      </w:tblGrid>
      <w:tr w14:paraId="7D1E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Pr>
          <w:p w14:paraId="08094BDC">
            <w:pPr>
              <w:rPr>
                <w:rFonts w:ascii="宋体"/>
              </w:rPr>
            </w:pPr>
            <w:bookmarkStart w:id="1" w:name="_Hlk242789430"/>
            <w:r>
              <w:rPr>
                <w:rFonts w:hint="eastAsia" w:ascii="宋体" w:hAnsi="宋体" w:cs="宋体"/>
              </w:rPr>
              <w:t xml:space="preserve">投资目标 </w:t>
            </w:r>
          </w:p>
        </w:tc>
        <w:tc>
          <w:tcPr>
            <w:tcW w:w="6517" w:type="dxa"/>
          </w:tcPr>
          <w:p w14:paraId="7DF35A40">
            <w:pPr>
              <w:jc w:val="left"/>
              <w:rPr>
                <w:rFonts w:ascii="宋体"/>
              </w:rPr>
            </w:pPr>
            <w:r>
              <w:rPr>
                <w:rFonts w:hint="eastAsia" w:ascii="宋体" w:hAnsi="宋体" w:cs="宋体"/>
                <w:szCs w:val="24"/>
              </w:rPr>
              <w:t>在严格控制风险和保持较高流动性的前提下，力求获得高于业绩比较基准的投资收益。</w:t>
            </w:r>
          </w:p>
        </w:tc>
      </w:tr>
      <w:bookmarkEnd w:id="1"/>
      <w:tr w14:paraId="4B54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Pr>
          <w:p w14:paraId="446B9935">
            <w:pPr>
              <w:rPr>
                <w:rFonts w:ascii="宋体"/>
              </w:rPr>
            </w:pPr>
            <w:r>
              <w:rPr>
                <w:rFonts w:hint="eastAsia" w:ascii="宋体" w:hAnsi="宋体" w:cs="宋体"/>
              </w:rPr>
              <w:t xml:space="preserve">投资策略 </w:t>
            </w:r>
          </w:p>
        </w:tc>
        <w:tc>
          <w:tcPr>
            <w:tcW w:w="6517" w:type="dxa"/>
          </w:tcPr>
          <w:p w14:paraId="0F553C73">
            <w:pPr>
              <w:jc w:val="left"/>
              <w:rPr>
                <w:rFonts w:ascii="宋体" w:hAnsi="宋体"/>
              </w:rPr>
            </w:pPr>
            <w:r>
              <w:rPr>
                <w:rFonts w:hint="eastAsia" w:ascii="宋体" w:hAnsi="宋体" w:cs="宋体"/>
                <w:szCs w:val="24"/>
              </w:rPr>
              <w:t>本基金充分发挥基金管理人的研究优势，融合规范化的基本面研究和严谨的信用分析，在分析和判断宏观经济运行状况和金融市场运行趋势的基础上，动态调整大类金融资产比例，自上而下决定类属资产配置和债券组合久期、期限结构；在严谨深入的信用分析基础上，综合考量信用债券的信用评级，以及各类债券的流动性、供求关系和收益率水平等，自下而上精选投资标的。</w:t>
            </w:r>
          </w:p>
        </w:tc>
      </w:tr>
      <w:tr w14:paraId="29B2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Pr>
          <w:p w14:paraId="13A4CFF4">
            <w:pPr>
              <w:rPr>
                <w:rFonts w:ascii="宋体"/>
              </w:rPr>
            </w:pPr>
            <w:r>
              <w:rPr>
                <w:rFonts w:hint="eastAsia" w:ascii="宋体" w:hAnsi="宋体" w:cs="宋体"/>
              </w:rPr>
              <w:t xml:space="preserve">业绩比较基准 </w:t>
            </w:r>
          </w:p>
        </w:tc>
        <w:tc>
          <w:tcPr>
            <w:tcW w:w="6517" w:type="dxa"/>
          </w:tcPr>
          <w:p w14:paraId="42BAB92D">
            <w:pPr>
              <w:jc w:val="left"/>
              <w:rPr>
                <w:rFonts w:ascii="宋体" w:hAnsi="宋体"/>
              </w:rPr>
            </w:pPr>
            <w:r>
              <w:rPr>
                <w:rFonts w:hint="eastAsia" w:ascii="宋体" w:hAnsi="宋体" w:cs="宋体"/>
                <w:szCs w:val="24"/>
              </w:rPr>
              <w:t>中债综合全价指数收益率</w:t>
            </w:r>
          </w:p>
        </w:tc>
      </w:tr>
      <w:tr w14:paraId="0B33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9" w:type="dxa"/>
          </w:tcPr>
          <w:p w14:paraId="6ADE7CCD">
            <w:pPr>
              <w:rPr>
                <w:rFonts w:ascii="宋体"/>
              </w:rPr>
            </w:pPr>
            <w:r>
              <w:rPr>
                <w:rFonts w:hint="eastAsia" w:ascii="宋体" w:hAnsi="宋体" w:cs="宋体"/>
              </w:rPr>
              <w:t xml:space="preserve">风险收益特征 </w:t>
            </w:r>
          </w:p>
        </w:tc>
        <w:tc>
          <w:tcPr>
            <w:tcW w:w="6517" w:type="dxa"/>
          </w:tcPr>
          <w:p w14:paraId="1466836B">
            <w:pPr>
              <w:jc w:val="left"/>
              <w:rPr>
                <w:rFonts w:ascii="宋体"/>
              </w:rPr>
            </w:pPr>
            <w:r>
              <w:rPr>
                <w:rFonts w:hint="eastAsia" w:ascii="宋体" w:hAnsi="宋体" w:cs="宋体"/>
                <w:szCs w:val="24"/>
              </w:rPr>
              <w:t>本基金是一只债券型基金，其预期风险与预期收益高于货币市场基金，低于混合型基金和股票型基金。</w:t>
            </w:r>
          </w:p>
        </w:tc>
      </w:tr>
    </w:tbl>
    <w:p w14:paraId="6611FC46">
      <w:pPr>
        <w:rPr>
          <w:rFonts w:ascii="宋体"/>
        </w:rPr>
      </w:pPr>
    </w:p>
    <w:p w14:paraId="0E92A08D">
      <w:pPr>
        <w:spacing w:after="312" w:afterLines="100"/>
        <w:rPr>
          <w:rStyle w:val="14"/>
        </w:rPr>
      </w:pPr>
      <w:r>
        <w:rPr>
          <w:rStyle w:val="14"/>
          <w:rFonts w:hint="eastAsia"/>
        </w:rPr>
        <w:t>三、财务会计报告</w:t>
      </w:r>
    </w:p>
    <w:p w14:paraId="29A26E08">
      <w:pPr>
        <w:spacing w:after="156" w:afterLines="50"/>
        <w:rPr>
          <w:rFonts w:ascii="宋体"/>
          <w:b/>
        </w:rPr>
      </w:pPr>
      <w:r>
        <w:rPr>
          <w:rFonts w:hint="eastAsia" w:ascii="宋体" w:hAnsi="宋体"/>
          <w:b/>
        </w:rPr>
        <w:t>资产负债表（经审计）</w:t>
      </w:r>
    </w:p>
    <w:p w14:paraId="5F2CBBA2">
      <w:pPr>
        <w:rPr>
          <w:rFonts w:ascii="宋体"/>
        </w:rPr>
      </w:pPr>
      <w:r>
        <w:rPr>
          <w:rFonts w:hint="eastAsia" w:ascii="宋体" w:hAnsi="宋体"/>
        </w:rPr>
        <w:t>会计主体：</w:t>
      </w:r>
      <w:r>
        <w:rPr>
          <w:rFonts w:hint="eastAsia" w:ascii="宋体" w:hAnsi="宋体" w:cs="宋体"/>
        </w:rPr>
        <w:t>交银施罗德裕惠纯债债券型证券投资基金</w:t>
      </w:r>
    </w:p>
    <w:p w14:paraId="7C6AA62E">
      <w:pPr>
        <w:rPr>
          <w:rFonts w:ascii="宋体" w:hAnsi="宋体"/>
        </w:rPr>
      </w:pPr>
      <w:r>
        <w:rPr>
          <w:rFonts w:hint="eastAsia" w:ascii="宋体" w:hAnsi="宋体"/>
        </w:rPr>
        <w:t>最后运作日：202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14</w:t>
      </w:r>
      <w:r>
        <w:rPr>
          <w:rFonts w:hint="eastAsia" w:ascii="宋体" w:hAnsi="宋体"/>
        </w:rPr>
        <w:t>日</w:t>
      </w:r>
    </w:p>
    <w:p w14:paraId="2D04094D">
      <w:pPr>
        <w:rPr>
          <w:rFonts w:ascii="宋体" w:hAnsi="宋体"/>
        </w:rPr>
      </w:pPr>
      <w:r>
        <w:rPr>
          <w:rFonts w:hint="eastAsia" w:ascii="宋体" w:hAnsi="宋体"/>
        </w:rPr>
        <w:t>单位：人民币元</w:t>
      </w:r>
    </w:p>
    <w:tbl>
      <w:tblPr>
        <w:tblStyle w:val="11"/>
        <w:tblW w:w="5000" w:type="pct"/>
        <w:tblInd w:w="0" w:type="dxa"/>
        <w:tblLayout w:type="fixed"/>
        <w:tblCellMar>
          <w:top w:w="0" w:type="dxa"/>
          <w:left w:w="108" w:type="dxa"/>
          <w:bottom w:w="0" w:type="dxa"/>
          <w:right w:w="108" w:type="dxa"/>
        </w:tblCellMar>
      </w:tblPr>
      <w:tblGrid>
        <w:gridCol w:w="2606"/>
        <w:gridCol w:w="1744"/>
        <w:gridCol w:w="2631"/>
        <w:gridCol w:w="1541"/>
      </w:tblGrid>
      <w:tr w14:paraId="53D80FE5">
        <w:tblPrEx>
          <w:tblCellMar>
            <w:top w:w="0" w:type="dxa"/>
            <w:left w:w="108" w:type="dxa"/>
            <w:bottom w:w="0" w:type="dxa"/>
            <w:right w:w="108" w:type="dxa"/>
          </w:tblCellMar>
        </w:tblPrEx>
        <w:trPr>
          <w:trHeight w:val="300" w:hRule="atLeast"/>
        </w:trPr>
        <w:tc>
          <w:tcPr>
            <w:tcW w:w="1529" w:type="pct"/>
            <w:tcBorders>
              <w:top w:val="double" w:color="000000" w:sz="6" w:space="0"/>
              <w:left w:val="double" w:color="000000" w:sz="6" w:space="0"/>
              <w:bottom w:val="single" w:color="000000" w:sz="4" w:space="0"/>
              <w:right w:val="single" w:color="000000" w:sz="4" w:space="0"/>
            </w:tcBorders>
            <w:shd w:val="clear" w:color="000000" w:fill="FFFFFF"/>
            <w:noWrap/>
          </w:tcPr>
          <w:p w14:paraId="5995252F">
            <w:pPr>
              <w:widowControl/>
              <w:jc w:val="center"/>
              <w:rPr>
                <w:rFonts w:cs="Arial" w:asciiTheme="minorEastAsia" w:hAnsiTheme="minorEastAsia" w:eastAsiaTheme="minorEastAsia"/>
                <w:color w:val="000000"/>
                <w:sz w:val="21"/>
                <w:szCs w:val="21"/>
              </w:rPr>
            </w:pPr>
            <w:r>
              <w:rPr>
                <w:rFonts w:hint="eastAsia"/>
              </w:rPr>
              <w:t>资</w:t>
            </w:r>
            <w:r>
              <w:t xml:space="preserve">     </w:t>
            </w:r>
            <w:r>
              <w:rPr>
                <w:rFonts w:hint="eastAsia"/>
              </w:rPr>
              <w:t>产</w:t>
            </w:r>
          </w:p>
        </w:tc>
        <w:tc>
          <w:tcPr>
            <w:tcW w:w="1023" w:type="pct"/>
            <w:tcBorders>
              <w:top w:val="double" w:color="000000" w:sz="6" w:space="0"/>
              <w:left w:val="nil"/>
              <w:bottom w:val="single" w:color="000000" w:sz="4" w:space="0"/>
              <w:right w:val="single" w:color="000000" w:sz="4" w:space="0"/>
            </w:tcBorders>
            <w:shd w:val="clear" w:color="000000" w:fill="FFFFFF"/>
            <w:noWrap/>
          </w:tcPr>
          <w:p w14:paraId="7E31AA5E">
            <w:pPr>
              <w:widowControl/>
              <w:jc w:val="center"/>
              <w:rPr>
                <w:rFonts w:cs="Arial" w:asciiTheme="minorEastAsia" w:hAnsiTheme="minorEastAsia" w:eastAsiaTheme="minorEastAsia"/>
                <w:color w:val="000000"/>
                <w:sz w:val="21"/>
                <w:szCs w:val="21"/>
              </w:rPr>
            </w:pPr>
            <w:r>
              <w:rPr>
                <w:rFonts w:hint="eastAsia"/>
              </w:rPr>
              <w:t>最后运作日</w:t>
            </w:r>
          </w:p>
        </w:tc>
        <w:tc>
          <w:tcPr>
            <w:tcW w:w="1544" w:type="pct"/>
            <w:tcBorders>
              <w:top w:val="double" w:color="000000" w:sz="6" w:space="0"/>
              <w:left w:val="nil"/>
              <w:bottom w:val="single" w:color="000000" w:sz="4" w:space="0"/>
              <w:right w:val="single" w:color="000000" w:sz="4" w:space="0"/>
            </w:tcBorders>
            <w:shd w:val="clear" w:color="000000" w:fill="FFFFFF"/>
            <w:noWrap/>
          </w:tcPr>
          <w:p w14:paraId="3A0AFB03">
            <w:pPr>
              <w:widowControl/>
              <w:jc w:val="center"/>
              <w:rPr>
                <w:rFonts w:cs="Arial" w:asciiTheme="minorEastAsia" w:hAnsiTheme="minorEastAsia" w:eastAsiaTheme="minorEastAsia"/>
                <w:color w:val="000000"/>
                <w:sz w:val="21"/>
                <w:szCs w:val="21"/>
              </w:rPr>
            </w:pPr>
            <w:r>
              <w:rPr>
                <w:rFonts w:hint="eastAsia"/>
              </w:rPr>
              <w:t>负债和所有者权益</w:t>
            </w:r>
          </w:p>
        </w:tc>
        <w:tc>
          <w:tcPr>
            <w:tcW w:w="904" w:type="pct"/>
            <w:tcBorders>
              <w:top w:val="double" w:color="000000" w:sz="6" w:space="0"/>
              <w:left w:val="nil"/>
              <w:bottom w:val="single" w:color="000000" w:sz="4" w:space="0"/>
              <w:right w:val="single" w:color="000000" w:sz="4" w:space="0"/>
            </w:tcBorders>
            <w:shd w:val="clear" w:color="000000" w:fill="FFFFFF"/>
            <w:noWrap/>
          </w:tcPr>
          <w:p w14:paraId="7E658706">
            <w:pPr>
              <w:widowControl/>
              <w:jc w:val="center"/>
              <w:rPr>
                <w:rFonts w:cs="Arial" w:asciiTheme="minorEastAsia" w:hAnsiTheme="minorEastAsia" w:eastAsiaTheme="minorEastAsia"/>
                <w:color w:val="000000"/>
                <w:sz w:val="21"/>
                <w:szCs w:val="21"/>
              </w:rPr>
            </w:pPr>
            <w:r>
              <w:rPr>
                <w:rFonts w:hint="eastAsia"/>
              </w:rPr>
              <w:t>最后运作日</w:t>
            </w:r>
          </w:p>
        </w:tc>
      </w:tr>
      <w:tr w14:paraId="53C09B6F">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03FCCB80">
            <w:pPr>
              <w:widowControl/>
              <w:jc w:val="center"/>
              <w:rPr>
                <w:rFonts w:cs="Arial" w:asciiTheme="minorEastAsia" w:hAnsiTheme="minorEastAsia" w:eastAsiaTheme="minorEastAsia"/>
                <w:color w:val="000000"/>
                <w:sz w:val="21"/>
                <w:szCs w:val="21"/>
              </w:rPr>
            </w:pPr>
          </w:p>
        </w:tc>
        <w:tc>
          <w:tcPr>
            <w:tcW w:w="1023" w:type="pct"/>
            <w:tcBorders>
              <w:top w:val="nil"/>
              <w:left w:val="nil"/>
              <w:bottom w:val="single" w:color="000000" w:sz="4" w:space="0"/>
              <w:right w:val="single" w:color="000000" w:sz="4" w:space="0"/>
            </w:tcBorders>
            <w:shd w:val="clear" w:color="000000" w:fill="FFFFFF"/>
            <w:noWrap/>
          </w:tcPr>
          <w:p w14:paraId="1233EC20">
            <w:pPr>
              <w:widowControl/>
              <w:jc w:val="center"/>
              <w:rPr>
                <w:rFonts w:cs="Arial" w:asciiTheme="minorEastAsia" w:hAnsiTheme="minorEastAsia"/>
                <w:color w:val="000000"/>
                <w:sz w:val="21"/>
                <w:szCs w:val="21"/>
              </w:rPr>
            </w:pPr>
            <w:r>
              <w:rPr>
                <w:color w:val="000000"/>
              </w:rPr>
              <w:t>2026/9/14</w:t>
            </w:r>
          </w:p>
        </w:tc>
        <w:tc>
          <w:tcPr>
            <w:tcW w:w="1544" w:type="pct"/>
            <w:tcBorders>
              <w:top w:val="nil"/>
              <w:left w:val="nil"/>
              <w:bottom w:val="single" w:color="000000" w:sz="4" w:space="0"/>
              <w:right w:val="single" w:color="000000" w:sz="4" w:space="0"/>
            </w:tcBorders>
            <w:shd w:val="clear" w:color="000000" w:fill="FFFFFF"/>
            <w:noWrap/>
          </w:tcPr>
          <w:p w14:paraId="4A2997C8">
            <w:pPr>
              <w:widowControl/>
              <w:jc w:val="center"/>
              <w:rPr>
                <w:rFonts w:cs="Arial" w:asciiTheme="minorEastAsia" w:hAnsiTheme="minorEastAsia" w:eastAsiaTheme="minorEastAsia"/>
                <w:color w:val="000000"/>
                <w:sz w:val="21"/>
                <w:szCs w:val="21"/>
              </w:rPr>
            </w:pPr>
          </w:p>
        </w:tc>
        <w:tc>
          <w:tcPr>
            <w:tcW w:w="904" w:type="pct"/>
            <w:tcBorders>
              <w:top w:val="nil"/>
              <w:left w:val="nil"/>
              <w:bottom w:val="single" w:color="000000" w:sz="4" w:space="0"/>
              <w:right w:val="single" w:color="000000" w:sz="4" w:space="0"/>
            </w:tcBorders>
            <w:shd w:val="clear" w:color="000000" w:fill="FFFFFF"/>
            <w:noWrap/>
          </w:tcPr>
          <w:p w14:paraId="413B4612">
            <w:pPr>
              <w:widowControl/>
              <w:jc w:val="center"/>
              <w:rPr>
                <w:rFonts w:cs="Arial" w:asciiTheme="minorEastAsia" w:hAnsiTheme="minorEastAsia" w:eastAsiaTheme="minorEastAsia"/>
                <w:color w:val="000000"/>
                <w:sz w:val="21"/>
                <w:szCs w:val="21"/>
              </w:rPr>
            </w:pPr>
            <w:r>
              <w:t>2026/9/14</w:t>
            </w:r>
          </w:p>
        </w:tc>
      </w:tr>
      <w:tr w14:paraId="1230D8D0">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7B972198">
            <w:pPr>
              <w:widowControl/>
              <w:jc w:val="left"/>
              <w:rPr>
                <w:rFonts w:cs="宋体" w:asciiTheme="minorEastAsia" w:hAnsiTheme="minorEastAsia" w:eastAsiaTheme="minorEastAsia"/>
                <w:b/>
                <w:bCs/>
                <w:color w:val="000000"/>
                <w:sz w:val="21"/>
                <w:szCs w:val="21"/>
              </w:rPr>
            </w:pPr>
            <w:r>
              <w:rPr>
                <w:rFonts w:hint="eastAsia"/>
              </w:rPr>
              <w:t>资</w:t>
            </w:r>
            <w:r>
              <w:t xml:space="preserve">  </w:t>
            </w:r>
            <w:r>
              <w:rPr>
                <w:rFonts w:hint="eastAsia"/>
              </w:rPr>
              <w:t>产</w:t>
            </w:r>
            <w:r>
              <w:t xml:space="preserve"> :</w:t>
            </w:r>
          </w:p>
        </w:tc>
        <w:tc>
          <w:tcPr>
            <w:tcW w:w="1023" w:type="pct"/>
            <w:tcBorders>
              <w:top w:val="nil"/>
              <w:left w:val="nil"/>
              <w:bottom w:val="single" w:color="000000" w:sz="4" w:space="0"/>
              <w:right w:val="single" w:color="000000" w:sz="4" w:space="0"/>
            </w:tcBorders>
            <w:shd w:val="clear" w:color="000000" w:fill="FFFFFF"/>
            <w:noWrap/>
          </w:tcPr>
          <w:p w14:paraId="7272EDD4">
            <w:pPr>
              <w:widowControl/>
              <w:jc w:val="right"/>
              <w:rPr>
                <w:rFonts w:cs="宋体" w:asciiTheme="minorEastAsia" w:hAnsiTheme="minorEastAsia" w:eastAsiaTheme="minorEastAsia"/>
                <w:color w:val="000000"/>
                <w:sz w:val="21"/>
                <w:szCs w:val="21"/>
              </w:rPr>
            </w:pPr>
          </w:p>
        </w:tc>
        <w:tc>
          <w:tcPr>
            <w:tcW w:w="1544" w:type="pct"/>
            <w:tcBorders>
              <w:top w:val="nil"/>
              <w:left w:val="nil"/>
              <w:bottom w:val="single" w:color="000000" w:sz="4" w:space="0"/>
              <w:right w:val="single" w:color="000000" w:sz="4" w:space="0"/>
            </w:tcBorders>
            <w:shd w:val="clear" w:color="000000" w:fill="FFFFFF"/>
            <w:noWrap/>
          </w:tcPr>
          <w:p w14:paraId="4C27C9D3">
            <w:pPr>
              <w:widowControl/>
              <w:jc w:val="left"/>
              <w:rPr>
                <w:rFonts w:cs="宋体" w:asciiTheme="minorEastAsia" w:hAnsiTheme="minorEastAsia" w:eastAsiaTheme="minorEastAsia"/>
                <w:b/>
                <w:bCs/>
                <w:color w:val="000000"/>
                <w:sz w:val="21"/>
                <w:szCs w:val="21"/>
              </w:rPr>
            </w:pPr>
            <w:r>
              <w:rPr>
                <w:rFonts w:hint="eastAsia"/>
              </w:rPr>
              <w:t>负债</w:t>
            </w:r>
            <w:r>
              <w:t>:</w:t>
            </w:r>
          </w:p>
        </w:tc>
        <w:tc>
          <w:tcPr>
            <w:tcW w:w="904" w:type="pct"/>
            <w:tcBorders>
              <w:top w:val="nil"/>
              <w:left w:val="nil"/>
              <w:bottom w:val="single" w:color="000000" w:sz="4" w:space="0"/>
              <w:right w:val="single" w:color="000000" w:sz="4" w:space="0"/>
            </w:tcBorders>
            <w:shd w:val="clear" w:color="000000" w:fill="FFFFFF"/>
            <w:noWrap/>
          </w:tcPr>
          <w:p w14:paraId="7DC924F2">
            <w:pPr>
              <w:widowControl/>
              <w:jc w:val="right"/>
              <w:rPr>
                <w:rFonts w:cs="宋体" w:asciiTheme="minorEastAsia" w:hAnsiTheme="minorEastAsia" w:eastAsiaTheme="minorEastAsia"/>
                <w:color w:val="000000"/>
                <w:sz w:val="21"/>
                <w:szCs w:val="21"/>
              </w:rPr>
            </w:pPr>
          </w:p>
        </w:tc>
      </w:tr>
      <w:tr w14:paraId="5297ED1A">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20ABC675">
            <w:pPr>
              <w:widowControl/>
              <w:jc w:val="left"/>
              <w:rPr>
                <w:rFonts w:cs="宋体" w:asciiTheme="minorEastAsia" w:hAnsiTheme="minorEastAsia" w:eastAsiaTheme="minorEastAsia"/>
                <w:color w:val="000000"/>
                <w:sz w:val="21"/>
                <w:szCs w:val="21"/>
              </w:rPr>
            </w:pPr>
            <w:r>
              <w:rPr>
                <w:rFonts w:hint="eastAsia"/>
              </w:rPr>
              <w:t>银行存款</w:t>
            </w:r>
          </w:p>
        </w:tc>
        <w:tc>
          <w:tcPr>
            <w:tcW w:w="1023" w:type="pct"/>
            <w:tcBorders>
              <w:top w:val="nil"/>
              <w:left w:val="nil"/>
              <w:bottom w:val="single" w:color="000000" w:sz="4" w:space="0"/>
              <w:right w:val="single" w:color="000000" w:sz="4" w:space="0"/>
            </w:tcBorders>
            <w:shd w:val="clear" w:color="000000" w:fill="FFFFFF"/>
            <w:noWrap/>
            <w:vAlign w:val="center"/>
          </w:tcPr>
          <w:p w14:paraId="5A91FAF6">
            <w:pPr>
              <w:widowControl/>
              <w:jc w:val="right"/>
            </w:pPr>
            <w:r>
              <w:rPr>
                <w:color w:val="000000"/>
              </w:rPr>
              <w:t>417,592.19</w:t>
            </w:r>
          </w:p>
        </w:tc>
        <w:tc>
          <w:tcPr>
            <w:tcW w:w="1544" w:type="pct"/>
            <w:tcBorders>
              <w:top w:val="nil"/>
              <w:left w:val="nil"/>
              <w:bottom w:val="single" w:color="000000" w:sz="4" w:space="0"/>
              <w:right w:val="single" w:color="000000" w:sz="4" w:space="0"/>
            </w:tcBorders>
            <w:shd w:val="clear" w:color="000000" w:fill="FFFFFF"/>
            <w:noWrap/>
          </w:tcPr>
          <w:p w14:paraId="7C6B9CA5">
            <w:pPr>
              <w:widowControl/>
              <w:jc w:val="left"/>
              <w:rPr>
                <w:rFonts w:cs="宋体" w:asciiTheme="minorEastAsia" w:hAnsiTheme="minorEastAsia" w:eastAsiaTheme="minorEastAsia"/>
                <w:color w:val="000000"/>
                <w:sz w:val="21"/>
                <w:szCs w:val="21"/>
              </w:rPr>
            </w:pPr>
            <w:r>
              <w:t xml:space="preserve"> </w:t>
            </w:r>
            <w:r>
              <w:rPr>
                <w:rFonts w:hint="eastAsia"/>
              </w:rPr>
              <w:t>短期借款</w:t>
            </w:r>
            <w:r>
              <w:t xml:space="preserve"> </w:t>
            </w:r>
          </w:p>
        </w:tc>
        <w:tc>
          <w:tcPr>
            <w:tcW w:w="904" w:type="pct"/>
            <w:tcBorders>
              <w:top w:val="nil"/>
              <w:left w:val="nil"/>
              <w:bottom w:val="single" w:color="000000" w:sz="4" w:space="0"/>
              <w:right w:val="single" w:color="000000" w:sz="4" w:space="0"/>
            </w:tcBorders>
            <w:shd w:val="clear" w:color="000000" w:fill="FFFFFF"/>
            <w:noWrap/>
          </w:tcPr>
          <w:p w14:paraId="6EAD1BF4">
            <w:pPr>
              <w:widowControl/>
              <w:jc w:val="right"/>
              <w:rPr>
                <w:rFonts w:cs="宋体" w:asciiTheme="minorEastAsia" w:hAnsiTheme="minorEastAsia" w:eastAsiaTheme="minorEastAsia"/>
                <w:color w:val="000000"/>
                <w:sz w:val="21"/>
                <w:szCs w:val="21"/>
              </w:rPr>
            </w:pPr>
            <w:r>
              <w:rPr>
                <w:color w:val="000000"/>
              </w:rPr>
              <w:t xml:space="preserve"> </w:t>
            </w:r>
            <w:r>
              <w:rPr>
                <w:rStyle w:val="31"/>
              </w:rPr>
              <w:t>-</w:t>
            </w:r>
            <w:r>
              <w:rPr>
                <w:rStyle w:val="30"/>
                <w:rFonts w:hint="default"/>
              </w:rPr>
              <w:t>　</w:t>
            </w:r>
          </w:p>
        </w:tc>
      </w:tr>
      <w:tr w14:paraId="3C88A0E4">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26BC7A31">
            <w:pPr>
              <w:widowControl/>
              <w:jc w:val="left"/>
              <w:rPr>
                <w:rFonts w:cs="宋体" w:asciiTheme="minorEastAsia" w:hAnsiTheme="minorEastAsia" w:eastAsiaTheme="minorEastAsia"/>
                <w:color w:val="000000"/>
                <w:sz w:val="21"/>
                <w:szCs w:val="21"/>
              </w:rPr>
            </w:pPr>
            <w:r>
              <w:rPr>
                <w:rFonts w:hint="eastAsia"/>
              </w:rPr>
              <w:t>结算备付金</w:t>
            </w:r>
          </w:p>
        </w:tc>
        <w:tc>
          <w:tcPr>
            <w:tcW w:w="1023" w:type="pct"/>
            <w:tcBorders>
              <w:top w:val="nil"/>
              <w:left w:val="nil"/>
              <w:bottom w:val="single" w:color="000000" w:sz="4" w:space="0"/>
              <w:right w:val="single" w:color="000000" w:sz="4" w:space="0"/>
            </w:tcBorders>
            <w:shd w:val="clear" w:color="000000" w:fill="FFFFFF"/>
            <w:noWrap/>
          </w:tcPr>
          <w:p w14:paraId="1420EE8B">
            <w:pPr>
              <w:widowControl/>
              <w:jc w:val="right"/>
            </w:pPr>
            <w:r>
              <w:rPr>
                <w:color w:val="000000"/>
              </w:rPr>
              <w:t>-</w:t>
            </w:r>
          </w:p>
        </w:tc>
        <w:tc>
          <w:tcPr>
            <w:tcW w:w="1544" w:type="pct"/>
            <w:tcBorders>
              <w:top w:val="nil"/>
              <w:left w:val="nil"/>
              <w:bottom w:val="single" w:color="000000" w:sz="4" w:space="0"/>
              <w:right w:val="single" w:color="000000" w:sz="4" w:space="0"/>
            </w:tcBorders>
            <w:shd w:val="clear" w:color="000000" w:fill="FFFFFF"/>
            <w:noWrap/>
          </w:tcPr>
          <w:p w14:paraId="5DF3274E">
            <w:pPr>
              <w:widowControl/>
              <w:jc w:val="left"/>
              <w:rPr>
                <w:rFonts w:cs="宋体" w:asciiTheme="minorEastAsia" w:hAnsiTheme="minorEastAsia" w:eastAsiaTheme="minorEastAsia"/>
                <w:color w:val="000000"/>
                <w:sz w:val="21"/>
                <w:szCs w:val="21"/>
              </w:rPr>
            </w:pPr>
            <w:r>
              <w:t xml:space="preserve"> </w:t>
            </w:r>
            <w:r>
              <w:rPr>
                <w:rFonts w:hint="eastAsia"/>
              </w:rPr>
              <w:t>交易性金融负债</w:t>
            </w:r>
            <w:r>
              <w:t xml:space="preserve"> </w:t>
            </w:r>
          </w:p>
        </w:tc>
        <w:tc>
          <w:tcPr>
            <w:tcW w:w="904" w:type="pct"/>
            <w:tcBorders>
              <w:top w:val="nil"/>
              <w:left w:val="nil"/>
              <w:bottom w:val="single" w:color="000000" w:sz="4" w:space="0"/>
              <w:right w:val="single" w:color="000000" w:sz="4" w:space="0"/>
            </w:tcBorders>
            <w:shd w:val="clear" w:color="000000" w:fill="FFFFFF"/>
            <w:noWrap/>
          </w:tcPr>
          <w:p w14:paraId="3E495E59">
            <w:pPr>
              <w:widowControl/>
              <w:jc w:val="right"/>
              <w:rPr>
                <w:rFonts w:cs="宋体" w:asciiTheme="minorEastAsia" w:hAnsiTheme="minorEastAsia" w:eastAsiaTheme="minorEastAsia"/>
                <w:color w:val="000000"/>
                <w:sz w:val="21"/>
                <w:szCs w:val="21"/>
              </w:rPr>
            </w:pPr>
            <w:r>
              <w:rPr>
                <w:color w:val="000000"/>
              </w:rPr>
              <w:t xml:space="preserve"> </w:t>
            </w:r>
            <w:r>
              <w:rPr>
                <w:rStyle w:val="31"/>
              </w:rPr>
              <w:t>-</w:t>
            </w:r>
            <w:r>
              <w:rPr>
                <w:rStyle w:val="30"/>
                <w:rFonts w:hint="default"/>
              </w:rPr>
              <w:t>　</w:t>
            </w:r>
          </w:p>
        </w:tc>
      </w:tr>
      <w:tr w14:paraId="1515F1C4">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79117906">
            <w:pPr>
              <w:widowControl/>
              <w:jc w:val="left"/>
              <w:rPr>
                <w:rFonts w:cs="宋体" w:asciiTheme="minorEastAsia" w:hAnsiTheme="minorEastAsia" w:eastAsiaTheme="minorEastAsia"/>
                <w:color w:val="000000"/>
                <w:sz w:val="21"/>
                <w:szCs w:val="21"/>
              </w:rPr>
            </w:pPr>
            <w:r>
              <w:rPr>
                <w:rFonts w:hint="eastAsia"/>
              </w:rPr>
              <w:t>存出保证金</w:t>
            </w:r>
          </w:p>
        </w:tc>
        <w:tc>
          <w:tcPr>
            <w:tcW w:w="1023" w:type="pct"/>
            <w:tcBorders>
              <w:top w:val="nil"/>
              <w:left w:val="nil"/>
              <w:bottom w:val="single" w:color="000000" w:sz="4" w:space="0"/>
              <w:right w:val="single" w:color="000000" w:sz="4" w:space="0"/>
            </w:tcBorders>
            <w:shd w:val="clear" w:color="000000" w:fill="FFFFFF"/>
            <w:noWrap/>
          </w:tcPr>
          <w:p w14:paraId="43552D5F">
            <w:pPr>
              <w:widowControl/>
              <w:jc w:val="right"/>
            </w:pPr>
            <w:r>
              <w:rPr>
                <w:color w:val="000000"/>
              </w:rPr>
              <w:t>8,615.39</w:t>
            </w:r>
          </w:p>
        </w:tc>
        <w:tc>
          <w:tcPr>
            <w:tcW w:w="1544" w:type="pct"/>
            <w:tcBorders>
              <w:top w:val="nil"/>
              <w:left w:val="nil"/>
              <w:bottom w:val="single" w:color="000000" w:sz="4" w:space="0"/>
              <w:right w:val="single" w:color="000000" w:sz="4" w:space="0"/>
            </w:tcBorders>
            <w:shd w:val="clear" w:color="000000" w:fill="FFFFFF"/>
            <w:noWrap/>
          </w:tcPr>
          <w:p w14:paraId="55F67808">
            <w:pPr>
              <w:widowControl/>
              <w:jc w:val="left"/>
              <w:rPr>
                <w:rFonts w:cs="宋体" w:asciiTheme="minorEastAsia" w:hAnsiTheme="minorEastAsia" w:eastAsiaTheme="minorEastAsia"/>
                <w:color w:val="000000"/>
                <w:sz w:val="21"/>
                <w:szCs w:val="21"/>
              </w:rPr>
            </w:pPr>
            <w:r>
              <w:t xml:space="preserve"> </w:t>
            </w:r>
            <w:r>
              <w:rPr>
                <w:rFonts w:hint="eastAsia"/>
              </w:rPr>
              <w:t>衍生金融负债</w:t>
            </w:r>
            <w:r>
              <w:t xml:space="preserve"> </w:t>
            </w:r>
          </w:p>
        </w:tc>
        <w:tc>
          <w:tcPr>
            <w:tcW w:w="904" w:type="pct"/>
            <w:tcBorders>
              <w:top w:val="nil"/>
              <w:left w:val="nil"/>
              <w:bottom w:val="single" w:color="000000" w:sz="4" w:space="0"/>
              <w:right w:val="single" w:color="000000" w:sz="4" w:space="0"/>
            </w:tcBorders>
            <w:shd w:val="clear" w:color="000000" w:fill="FFFFFF"/>
            <w:noWrap/>
          </w:tcPr>
          <w:p w14:paraId="589FBED7">
            <w:pPr>
              <w:widowControl/>
              <w:jc w:val="right"/>
              <w:rPr>
                <w:rFonts w:cs="宋体" w:asciiTheme="minorEastAsia" w:hAnsiTheme="minorEastAsia" w:eastAsiaTheme="minorEastAsia"/>
                <w:color w:val="000000"/>
                <w:sz w:val="21"/>
                <w:szCs w:val="21"/>
              </w:rPr>
            </w:pPr>
            <w:r>
              <w:rPr>
                <w:color w:val="000000"/>
              </w:rPr>
              <w:t xml:space="preserve"> </w:t>
            </w:r>
            <w:r>
              <w:rPr>
                <w:rStyle w:val="31"/>
              </w:rPr>
              <w:t>-</w:t>
            </w:r>
            <w:r>
              <w:rPr>
                <w:rStyle w:val="30"/>
                <w:rFonts w:hint="default"/>
              </w:rPr>
              <w:t>　</w:t>
            </w:r>
          </w:p>
        </w:tc>
      </w:tr>
      <w:tr w14:paraId="3310D475">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27B2FC47">
            <w:pPr>
              <w:widowControl/>
              <w:jc w:val="left"/>
              <w:rPr>
                <w:rFonts w:cs="宋体" w:asciiTheme="minorEastAsia" w:hAnsiTheme="minorEastAsia" w:eastAsiaTheme="minorEastAsia"/>
                <w:color w:val="000000"/>
                <w:sz w:val="21"/>
                <w:szCs w:val="21"/>
              </w:rPr>
            </w:pPr>
            <w:r>
              <w:rPr>
                <w:rFonts w:hint="eastAsia"/>
              </w:rPr>
              <w:t>交易性金融资产</w:t>
            </w:r>
          </w:p>
        </w:tc>
        <w:tc>
          <w:tcPr>
            <w:tcW w:w="1023" w:type="pct"/>
            <w:tcBorders>
              <w:top w:val="nil"/>
              <w:left w:val="nil"/>
              <w:bottom w:val="single" w:color="000000" w:sz="4" w:space="0"/>
              <w:right w:val="single" w:color="000000" w:sz="4" w:space="0"/>
            </w:tcBorders>
            <w:shd w:val="clear" w:color="000000" w:fill="FFFFFF"/>
            <w:noWrap/>
            <w:vAlign w:val="center"/>
          </w:tcPr>
          <w:p w14:paraId="44E2D532">
            <w:pPr>
              <w:widowControl/>
              <w:jc w:val="right"/>
            </w:pPr>
            <w:r>
              <w:rPr>
                <w:color w:val="000000"/>
              </w:rPr>
              <w:t>201,664.44</w:t>
            </w:r>
          </w:p>
        </w:tc>
        <w:tc>
          <w:tcPr>
            <w:tcW w:w="1544" w:type="pct"/>
            <w:tcBorders>
              <w:top w:val="nil"/>
              <w:left w:val="nil"/>
              <w:bottom w:val="single" w:color="000000" w:sz="4" w:space="0"/>
              <w:right w:val="single" w:color="000000" w:sz="4" w:space="0"/>
            </w:tcBorders>
            <w:shd w:val="clear" w:color="000000" w:fill="FFFFFF"/>
            <w:noWrap/>
          </w:tcPr>
          <w:p w14:paraId="5CA1EB50">
            <w:pPr>
              <w:widowControl/>
              <w:jc w:val="left"/>
            </w:pPr>
            <w:r>
              <w:t xml:space="preserve"> </w:t>
            </w:r>
            <w:r>
              <w:rPr>
                <w:rFonts w:hint="eastAsia"/>
              </w:rPr>
              <w:t>卖出回购金融资产款</w:t>
            </w:r>
            <w:r>
              <w:t xml:space="preserve"> </w:t>
            </w:r>
          </w:p>
        </w:tc>
        <w:tc>
          <w:tcPr>
            <w:tcW w:w="904" w:type="pct"/>
            <w:tcBorders>
              <w:top w:val="nil"/>
              <w:left w:val="nil"/>
              <w:bottom w:val="single" w:color="000000" w:sz="4" w:space="0"/>
              <w:right w:val="single" w:color="000000" w:sz="4" w:space="0"/>
            </w:tcBorders>
            <w:shd w:val="clear" w:color="000000" w:fill="FFFFFF"/>
            <w:noWrap/>
          </w:tcPr>
          <w:p w14:paraId="4B7CBF8D">
            <w:pPr>
              <w:widowControl/>
              <w:jc w:val="right"/>
              <w:rPr>
                <w:rFonts w:cs="宋体" w:asciiTheme="minorEastAsia" w:hAnsiTheme="minorEastAsia" w:eastAsiaTheme="minorEastAsia"/>
                <w:color w:val="000000"/>
                <w:sz w:val="21"/>
                <w:szCs w:val="21"/>
              </w:rPr>
            </w:pPr>
            <w:r>
              <w:rPr>
                <w:color w:val="000000"/>
              </w:rPr>
              <w:t xml:space="preserve"> </w:t>
            </w:r>
            <w:r>
              <w:rPr>
                <w:rStyle w:val="31"/>
              </w:rPr>
              <w:t>-</w:t>
            </w:r>
          </w:p>
        </w:tc>
      </w:tr>
      <w:tr w14:paraId="1BAC2FE4">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4CA6CA96">
            <w:pPr>
              <w:widowControl/>
              <w:jc w:val="left"/>
              <w:rPr>
                <w:rFonts w:cs="宋体" w:asciiTheme="minorEastAsia" w:hAnsiTheme="minorEastAsia" w:eastAsiaTheme="minorEastAsia"/>
                <w:color w:val="000000"/>
                <w:sz w:val="21"/>
                <w:szCs w:val="21"/>
              </w:rPr>
            </w:pPr>
            <w:r>
              <w:rPr>
                <w:rFonts w:hint="eastAsia"/>
              </w:rPr>
              <w:t>其中：股票投资</w:t>
            </w:r>
          </w:p>
        </w:tc>
        <w:tc>
          <w:tcPr>
            <w:tcW w:w="1023" w:type="pct"/>
            <w:tcBorders>
              <w:top w:val="nil"/>
              <w:left w:val="nil"/>
              <w:bottom w:val="single" w:color="000000" w:sz="4" w:space="0"/>
              <w:right w:val="single" w:color="000000" w:sz="4" w:space="0"/>
            </w:tcBorders>
            <w:shd w:val="clear" w:color="000000" w:fill="FFFFFF"/>
            <w:noWrap/>
          </w:tcPr>
          <w:p w14:paraId="634164F6">
            <w:pPr>
              <w:widowControl/>
              <w:jc w:val="right"/>
            </w:pPr>
            <w:r>
              <w:rPr>
                <w:color w:val="000000"/>
              </w:rPr>
              <w:t>-</w:t>
            </w:r>
          </w:p>
        </w:tc>
        <w:tc>
          <w:tcPr>
            <w:tcW w:w="1544" w:type="pct"/>
            <w:tcBorders>
              <w:top w:val="nil"/>
              <w:left w:val="nil"/>
              <w:bottom w:val="single" w:color="000000" w:sz="4" w:space="0"/>
              <w:right w:val="single" w:color="000000" w:sz="4" w:space="0"/>
            </w:tcBorders>
            <w:shd w:val="clear" w:color="000000" w:fill="FFFFFF"/>
            <w:noWrap/>
          </w:tcPr>
          <w:p w14:paraId="6E8C8A2B">
            <w:pPr>
              <w:widowControl/>
              <w:jc w:val="left"/>
              <w:rPr>
                <w:rFonts w:cs="宋体" w:asciiTheme="minorEastAsia" w:hAnsiTheme="minorEastAsia" w:eastAsiaTheme="minorEastAsia"/>
                <w:color w:val="000000"/>
                <w:sz w:val="21"/>
                <w:szCs w:val="21"/>
              </w:rPr>
            </w:pPr>
            <w:r>
              <w:t xml:space="preserve"> </w:t>
            </w:r>
            <w:r>
              <w:rPr>
                <w:rFonts w:hint="eastAsia"/>
              </w:rPr>
              <w:t>应付证券清算款</w:t>
            </w:r>
            <w:r>
              <w:t xml:space="preserve"> </w:t>
            </w:r>
          </w:p>
        </w:tc>
        <w:tc>
          <w:tcPr>
            <w:tcW w:w="904" w:type="pct"/>
            <w:tcBorders>
              <w:top w:val="nil"/>
              <w:left w:val="nil"/>
              <w:bottom w:val="single" w:color="000000" w:sz="4" w:space="0"/>
              <w:right w:val="single" w:color="000000" w:sz="4" w:space="0"/>
            </w:tcBorders>
            <w:shd w:val="clear" w:color="000000" w:fill="FFFFFF"/>
            <w:noWrap/>
          </w:tcPr>
          <w:p w14:paraId="36980753">
            <w:pPr>
              <w:widowControl/>
              <w:jc w:val="right"/>
              <w:rPr>
                <w:rFonts w:cs="宋体" w:asciiTheme="minorEastAsia" w:hAnsiTheme="minorEastAsia" w:eastAsiaTheme="minorEastAsia"/>
                <w:color w:val="000000"/>
                <w:sz w:val="21"/>
                <w:szCs w:val="21"/>
              </w:rPr>
            </w:pPr>
            <w:r>
              <w:rPr>
                <w:color w:val="000000"/>
              </w:rPr>
              <w:t xml:space="preserve"> </w:t>
            </w:r>
            <w:r>
              <w:rPr>
                <w:rStyle w:val="31"/>
              </w:rPr>
              <w:t>-</w:t>
            </w:r>
          </w:p>
        </w:tc>
      </w:tr>
      <w:tr w14:paraId="195D3416">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3469F721">
            <w:pPr>
              <w:widowControl/>
              <w:jc w:val="left"/>
              <w:rPr>
                <w:rFonts w:cs="宋体" w:asciiTheme="minorEastAsia" w:hAnsiTheme="minorEastAsia" w:eastAsiaTheme="minorEastAsia"/>
                <w:color w:val="000000"/>
                <w:sz w:val="21"/>
                <w:szCs w:val="21"/>
              </w:rPr>
            </w:pPr>
            <w:r>
              <w:t xml:space="preserve">      </w:t>
            </w:r>
            <w:r>
              <w:rPr>
                <w:rFonts w:hint="eastAsia"/>
              </w:rPr>
              <w:t>债券投资</w:t>
            </w:r>
          </w:p>
        </w:tc>
        <w:tc>
          <w:tcPr>
            <w:tcW w:w="1023" w:type="pct"/>
            <w:tcBorders>
              <w:top w:val="nil"/>
              <w:left w:val="nil"/>
              <w:bottom w:val="single" w:color="000000" w:sz="4" w:space="0"/>
              <w:right w:val="single" w:color="000000" w:sz="4" w:space="0"/>
            </w:tcBorders>
            <w:shd w:val="clear" w:color="000000" w:fill="FFFFFF"/>
            <w:noWrap/>
            <w:vAlign w:val="center"/>
          </w:tcPr>
          <w:p w14:paraId="7D7350F0">
            <w:pPr>
              <w:widowControl/>
              <w:jc w:val="right"/>
            </w:pPr>
            <w:r>
              <w:rPr>
                <w:color w:val="000000"/>
              </w:rPr>
              <w:t>201,664.44</w:t>
            </w:r>
          </w:p>
        </w:tc>
        <w:tc>
          <w:tcPr>
            <w:tcW w:w="1544" w:type="pct"/>
            <w:tcBorders>
              <w:top w:val="nil"/>
              <w:left w:val="nil"/>
              <w:bottom w:val="single" w:color="000000" w:sz="4" w:space="0"/>
              <w:right w:val="single" w:color="000000" w:sz="4" w:space="0"/>
            </w:tcBorders>
            <w:shd w:val="clear" w:color="000000" w:fill="FFFFFF"/>
            <w:noWrap/>
          </w:tcPr>
          <w:p w14:paraId="235D558F">
            <w:pPr>
              <w:widowControl/>
              <w:jc w:val="left"/>
              <w:rPr>
                <w:rFonts w:cs="宋体" w:asciiTheme="minorEastAsia" w:hAnsiTheme="minorEastAsia" w:eastAsiaTheme="minorEastAsia"/>
                <w:color w:val="000000"/>
                <w:sz w:val="21"/>
                <w:szCs w:val="21"/>
              </w:rPr>
            </w:pPr>
            <w:r>
              <w:t xml:space="preserve"> </w:t>
            </w:r>
            <w:r>
              <w:rPr>
                <w:rFonts w:hint="eastAsia"/>
              </w:rPr>
              <w:t>应付赎回款</w:t>
            </w:r>
            <w:r>
              <w:t xml:space="preserve"> </w:t>
            </w:r>
          </w:p>
        </w:tc>
        <w:tc>
          <w:tcPr>
            <w:tcW w:w="904" w:type="pct"/>
            <w:tcBorders>
              <w:top w:val="nil"/>
              <w:left w:val="nil"/>
              <w:bottom w:val="single" w:color="000000" w:sz="4" w:space="0"/>
              <w:right w:val="single" w:color="000000" w:sz="4" w:space="0"/>
            </w:tcBorders>
            <w:shd w:val="clear" w:color="000000" w:fill="FFFFFF"/>
            <w:noWrap/>
          </w:tcPr>
          <w:p w14:paraId="169E37CC">
            <w:pPr>
              <w:widowControl/>
              <w:jc w:val="right"/>
              <w:rPr>
                <w:rFonts w:cs="宋体" w:asciiTheme="minorEastAsia" w:hAnsiTheme="minorEastAsia" w:eastAsiaTheme="minorEastAsia"/>
                <w:color w:val="000000"/>
                <w:sz w:val="21"/>
                <w:szCs w:val="21"/>
              </w:rPr>
            </w:pPr>
            <w:r>
              <w:rPr>
                <w:color w:val="000000"/>
              </w:rPr>
              <w:t xml:space="preserve">75.95 </w:t>
            </w:r>
          </w:p>
        </w:tc>
      </w:tr>
      <w:tr w14:paraId="28774666">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3B969467">
            <w:pPr>
              <w:widowControl/>
              <w:jc w:val="left"/>
              <w:rPr>
                <w:rFonts w:cs="宋体" w:asciiTheme="minorEastAsia" w:hAnsiTheme="minorEastAsia" w:eastAsiaTheme="minorEastAsia"/>
                <w:color w:val="000000"/>
                <w:sz w:val="21"/>
                <w:szCs w:val="21"/>
              </w:rPr>
            </w:pPr>
            <w:r>
              <w:t xml:space="preserve">      </w:t>
            </w:r>
            <w:r>
              <w:rPr>
                <w:rFonts w:hint="eastAsia"/>
              </w:rPr>
              <w:t>资产支持证券投资</w:t>
            </w:r>
          </w:p>
        </w:tc>
        <w:tc>
          <w:tcPr>
            <w:tcW w:w="1023" w:type="pct"/>
            <w:tcBorders>
              <w:top w:val="nil"/>
              <w:left w:val="nil"/>
              <w:bottom w:val="single" w:color="000000" w:sz="4" w:space="0"/>
              <w:right w:val="single" w:color="000000" w:sz="4" w:space="0"/>
            </w:tcBorders>
            <w:shd w:val="clear" w:color="000000" w:fill="FFFFFF"/>
            <w:noWrap/>
          </w:tcPr>
          <w:p w14:paraId="22594826">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29694B09">
            <w:pPr>
              <w:widowControl/>
              <w:jc w:val="left"/>
              <w:rPr>
                <w:rFonts w:cs="宋体" w:asciiTheme="minorEastAsia" w:hAnsiTheme="minorEastAsia" w:eastAsiaTheme="minorEastAsia"/>
                <w:color w:val="000000"/>
                <w:sz w:val="21"/>
                <w:szCs w:val="21"/>
              </w:rPr>
            </w:pPr>
            <w:r>
              <w:t xml:space="preserve"> </w:t>
            </w:r>
            <w:r>
              <w:rPr>
                <w:rFonts w:hint="eastAsia"/>
              </w:rPr>
              <w:t>应付管理人报酬</w:t>
            </w:r>
            <w:r>
              <w:t xml:space="preserve"> </w:t>
            </w:r>
          </w:p>
        </w:tc>
        <w:tc>
          <w:tcPr>
            <w:tcW w:w="904" w:type="pct"/>
            <w:tcBorders>
              <w:top w:val="nil"/>
              <w:left w:val="nil"/>
              <w:bottom w:val="single" w:color="000000" w:sz="4" w:space="0"/>
              <w:right w:val="single" w:color="000000" w:sz="4" w:space="0"/>
            </w:tcBorders>
            <w:shd w:val="clear" w:color="000000" w:fill="FFFFFF"/>
            <w:noWrap/>
            <w:vAlign w:val="center"/>
          </w:tcPr>
          <w:p w14:paraId="62093F0E">
            <w:pPr>
              <w:widowControl/>
              <w:jc w:val="right"/>
            </w:pPr>
            <w:r>
              <w:rPr>
                <w:color w:val="000000"/>
              </w:rPr>
              <w:t xml:space="preserve">63.39 </w:t>
            </w:r>
          </w:p>
        </w:tc>
      </w:tr>
      <w:tr w14:paraId="76F3F3FF">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5FC7AB5B">
            <w:pPr>
              <w:widowControl/>
              <w:jc w:val="left"/>
              <w:rPr>
                <w:rFonts w:cs="宋体" w:asciiTheme="minorEastAsia" w:hAnsiTheme="minorEastAsia" w:eastAsiaTheme="minorEastAsia"/>
                <w:color w:val="000000"/>
                <w:sz w:val="21"/>
                <w:szCs w:val="21"/>
              </w:rPr>
            </w:pPr>
            <w:r>
              <w:t xml:space="preserve">      </w:t>
            </w:r>
            <w:r>
              <w:rPr>
                <w:rFonts w:hint="eastAsia"/>
              </w:rPr>
              <w:t>基金投资</w:t>
            </w:r>
          </w:p>
        </w:tc>
        <w:tc>
          <w:tcPr>
            <w:tcW w:w="1023" w:type="pct"/>
            <w:tcBorders>
              <w:top w:val="nil"/>
              <w:left w:val="nil"/>
              <w:bottom w:val="single" w:color="000000" w:sz="4" w:space="0"/>
              <w:right w:val="single" w:color="000000" w:sz="4" w:space="0"/>
            </w:tcBorders>
            <w:shd w:val="clear" w:color="000000" w:fill="FFFFFF"/>
            <w:noWrap/>
          </w:tcPr>
          <w:p w14:paraId="76C03E57">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06F8D15E">
            <w:pPr>
              <w:widowControl/>
              <w:jc w:val="left"/>
              <w:rPr>
                <w:rFonts w:cs="宋体" w:asciiTheme="minorEastAsia" w:hAnsiTheme="minorEastAsia" w:eastAsiaTheme="minorEastAsia"/>
                <w:color w:val="000000"/>
                <w:sz w:val="21"/>
                <w:szCs w:val="21"/>
              </w:rPr>
            </w:pPr>
            <w:r>
              <w:t xml:space="preserve"> </w:t>
            </w:r>
            <w:r>
              <w:rPr>
                <w:rFonts w:hint="eastAsia"/>
              </w:rPr>
              <w:t>应付托管费</w:t>
            </w:r>
            <w:r>
              <w:t xml:space="preserve"> </w:t>
            </w:r>
          </w:p>
        </w:tc>
        <w:tc>
          <w:tcPr>
            <w:tcW w:w="904" w:type="pct"/>
            <w:tcBorders>
              <w:top w:val="nil"/>
              <w:left w:val="nil"/>
              <w:bottom w:val="single" w:color="000000" w:sz="4" w:space="0"/>
              <w:right w:val="single" w:color="000000" w:sz="4" w:space="0"/>
            </w:tcBorders>
            <w:shd w:val="clear" w:color="000000" w:fill="FFFFFF"/>
            <w:noWrap/>
            <w:vAlign w:val="center"/>
          </w:tcPr>
          <w:p w14:paraId="58FFD073">
            <w:pPr>
              <w:widowControl/>
              <w:jc w:val="right"/>
            </w:pPr>
            <w:r>
              <w:rPr>
                <w:color w:val="000000"/>
              </w:rPr>
              <w:t xml:space="preserve">10.59 </w:t>
            </w:r>
          </w:p>
        </w:tc>
      </w:tr>
      <w:tr w14:paraId="780CD60C">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04DA218E">
            <w:pPr>
              <w:widowControl/>
              <w:jc w:val="left"/>
              <w:rPr>
                <w:rFonts w:cs="宋体" w:asciiTheme="minorEastAsia" w:hAnsiTheme="minorEastAsia" w:eastAsiaTheme="minorEastAsia"/>
                <w:color w:val="000000"/>
                <w:sz w:val="21"/>
                <w:szCs w:val="21"/>
              </w:rPr>
            </w:pPr>
            <w:r>
              <w:rPr>
                <w:rFonts w:hint="eastAsia"/>
              </w:rPr>
              <w:t>衍生金融资产</w:t>
            </w:r>
          </w:p>
        </w:tc>
        <w:tc>
          <w:tcPr>
            <w:tcW w:w="1023" w:type="pct"/>
            <w:tcBorders>
              <w:top w:val="nil"/>
              <w:left w:val="nil"/>
              <w:bottom w:val="single" w:color="000000" w:sz="4" w:space="0"/>
              <w:right w:val="single" w:color="000000" w:sz="4" w:space="0"/>
            </w:tcBorders>
            <w:shd w:val="clear" w:color="000000" w:fill="FFFFFF"/>
            <w:noWrap/>
          </w:tcPr>
          <w:p w14:paraId="7C6C4306">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573929DD">
            <w:pPr>
              <w:widowControl/>
              <w:jc w:val="left"/>
              <w:rPr>
                <w:rFonts w:cs="宋体" w:asciiTheme="minorEastAsia" w:hAnsiTheme="minorEastAsia" w:eastAsiaTheme="minorEastAsia"/>
                <w:color w:val="000000"/>
                <w:sz w:val="21"/>
                <w:szCs w:val="21"/>
              </w:rPr>
            </w:pPr>
            <w:r>
              <w:t xml:space="preserve"> </w:t>
            </w:r>
            <w:r>
              <w:rPr>
                <w:rFonts w:hint="eastAsia"/>
              </w:rPr>
              <w:t>应付销售服务费</w:t>
            </w:r>
            <w:r>
              <w:t xml:space="preserve"> </w:t>
            </w:r>
          </w:p>
        </w:tc>
        <w:tc>
          <w:tcPr>
            <w:tcW w:w="904" w:type="pct"/>
            <w:tcBorders>
              <w:top w:val="nil"/>
              <w:left w:val="nil"/>
              <w:bottom w:val="single" w:color="000000" w:sz="4" w:space="0"/>
              <w:right w:val="single" w:color="000000" w:sz="4" w:space="0"/>
            </w:tcBorders>
            <w:shd w:val="clear" w:color="000000" w:fill="FFFFFF"/>
            <w:noWrap/>
          </w:tcPr>
          <w:p w14:paraId="1E1312D0">
            <w:pPr>
              <w:widowControl/>
              <w:jc w:val="right"/>
            </w:pPr>
            <w:r>
              <w:rPr>
                <w:color w:val="000000"/>
              </w:rPr>
              <w:t xml:space="preserve"> </w:t>
            </w:r>
            <w:r>
              <w:rPr>
                <w:rStyle w:val="31"/>
              </w:rPr>
              <w:t>-</w:t>
            </w:r>
          </w:p>
        </w:tc>
      </w:tr>
      <w:tr w14:paraId="33295BAB">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589F6822">
            <w:pPr>
              <w:widowControl/>
              <w:jc w:val="left"/>
              <w:rPr>
                <w:rFonts w:cs="宋体" w:asciiTheme="minorEastAsia" w:hAnsiTheme="minorEastAsia" w:eastAsiaTheme="minorEastAsia"/>
                <w:color w:val="000000"/>
                <w:sz w:val="21"/>
                <w:szCs w:val="21"/>
              </w:rPr>
            </w:pPr>
            <w:r>
              <w:rPr>
                <w:rFonts w:hint="eastAsia"/>
              </w:rPr>
              <w:t>买入返售金融资产</w:t>
            </w:r>
          </w:p>
        </w:tc>
        <w:tc>
          <w:tcPr>
            <w:tcW w:w="1023" w:type="pct"/>
            <w:tcBorders>
              <w:top w:val="nil"/>
              <w:left w:val="nil"/>
              <w:bottom w:val="single" w:color="000000" w:sz="4" w:space="0"/>
              <w:right w:val="single" w:color="000000" w:sz="4" w:space="0"/>
            </w:tcBorders>
            <w:shd w:val="clear" w:color="000000" w:fill="FFFFFF"/>
            <w:noWrap/>
          </w:tcPr>
          <w:p w14:paraId="61668FBF">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4AAD968B">
            <w:pPr>
              <w:widowControl/>
              <w:jc w:val="left"/>
              <w:rPr>
                <w:rFonts w:cs="宋体" w:asciiTheme="minorEastAsia" w:hAnsiTheme="minorEastAsia" w:eastAsiaTheme="minorEastAsia"/>
                <w:color w:val="000000"/>
                <w:sz w:val="21"/>
                <w:szCs w:val="21"/>
              </w:rPr>
            </w:pPr>
            <w:r>
              <w:t xml:space="preserve"> </w:t>
            </w:r>
            <w:r>
              <w:rPr>
                <w:rFonts w:hint="eastAsia"/>
              </w:rPr>
              <w:t>应付交易费用</w:t>
            </w:r>
            <w:r>
              <w:t xml:space="preserve"> </w:t>
            </w:r>
          </w:p>
        </w:tc>
        <w:tc>
          <w:tcPr>
            <w:tcW w:w="904" w:type="pct"/>
            <w:tcBorders>
              <w:top w:val="nil"/>
              <w:left w:val="nil"/>
              <w:bottom w:val="single" w:color="000000" w:sz="4" w:space="0"/>
              <w:right w:val="single" w:color="000000" w:sz="4" w:space="0"/>
            </w:tcBorders>
            <w:shd w:val="clear" w:color="000000" w:fill="FFFFFF"/>
            <w:noWrap/>
          </w:tcPr>
          <w:p w14:paraId="12BCB1E3">
            <w:pPr>
              <w:widowControl/>
              <w:jc w:val="right"/>
            </w:pPr>
            <w:r>
              <w:rPr>
                <w:rFonts w:hint="eastAsia"/>
                <w:color w:val="000000"/>
              </w:rPr>
              <w:t>-</w:t>
            </w:r>
            <w:r>
              <w:rPr>
                <w:color w:val="000000"/>
              </w:rPr>
              <w:t xml:space="preserve"> </w:t>
            </w:r>
          </w:p>
        </w:tc>
      </w:tr>
      <w:tr w14:paraId="1291A306">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22B719D8">
            <w:pPr>
              <w:widowControl/>
              <w:jc w:val="left"/>
              <w:rPr>
                <w:rFonts w:cs="宋体" w:asciiTheme="minorEastAsia" w:hAnsiTheme="minorEastAsia" w:eastAsiaTheme="minorEastAsia"/>
                <w:color w:val="000000"/>
                <w:sz w:val="21"/>
                <w:szCs w:val="21"/>
              </w:rPr>
            </w:pPr>
            <w:r>
              <w:rPr>
                <w:rFonts w:hint="eastAsia"/>
              </w:rPr>
              <w:t>应收证券清算款</w:t>
            </w:r>
          </w:p>
        </w:tc>
        <w:tc>
          <w:tcPr>
            <w:tcW w:w="1023" w:type="pct"/>
            <w:tcBorders>
              <w:top w:val="nil"/>
              <w:left w:val="nil"/>
              <w:bottom w:val="single" w:color="000000" w:sz="4" w:space="0"/>
              <w:right w:val="single" w:color="000000" w:sz="4" w:space="0"/>
            </w:tcBorders>
            <w:shd w:val="clear" w:color="000000" w:fill="FFFFFF"/>
            <w:noWrap/>
          </w:tcPr>
          <w:p w14:paraId="7B022B52">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067A5279">
            <w:pPr>
              <w:widowControl/>
              <w:jc w:val="left"/>
              <w:rPr>
                <w:rFonts w:cs="宋体" w:asciiTheme="minorEastAsia" w:hAnsiTheme="minorEastAsia" w:eastAsiaTheme="minorEastAsia"/>
                <w:color w:val="000000"/>
                <w:sz w:val="21"/>
                <w:szCs w:val="21"/>
              </w:rPr>
            </w:pPr>
            <w:r>
              <w:t xml:space="preserve"> </w:t>
            </w:r>
            <w:r>
              <w:rPr>
                <w:rFonts w:hint="eastAsia"/>
              </w:rPr>
              <w:t>应付税费</w:t>
            </w:r>
            <w:r>
              <w:t xml:space="preserve"> </w:t>
            </w:r>
          </w:p>
        </w:tc>
        <w:tc>
          <w:tcPr>
            <w:tcW w:w="904" w:type="pct"/>
            <w:tcBorders>
              <w:top w:val="nil"/>
              <w:left w:val="nil"/>
              <w:bottom w:val="single" w:color="000000" w:sz="4" w:space="0"/>
              <w:right w:val="single" w:color="000000" w:sz="4" w:space="0"/>
            </w:tcBorders>
            <w:shd w:val="clear" w:color="000000" w:fill="FFFFFF"/>
            <w:noWrap/>
          </w:tcPr>
          <w:p w14:paraId="43633268">
            <w:pPr>
              <w:widowControl/>
              <w:jc w:val="right"/>
            </w:pPr>
            <w:r>
              <w:rPr>
                <w:color w:val="000000"/>
              </w:rPr>
              <w:t xml:space="preserve">5.46 </w:t>
            </w:r>
          </w:p>
        </w:tc>
      </w:tr>
      <w:tr w14:paraId="5CFC8E14">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34E97825">
            <w:pPr>
              <w:widowControl/>
              <w:jc w:val="left"/>
              <w:rPr>
                <w:rFonts w:cs="宋体" w:asciiTheme="minorEastAsia" w:hAnsiTheme="minorEastAsia" w:eastAsiaTheme="minorEastAsia"/>
                <w:color w:val="000000"/>
                <w:sz w:val="21"/>
                <w:szCs w:val="21"/>
              </w:rPr>
            </w:pPr>
            <w:r>
              <w:rPr>
                <w:rFonts w:hint="eastAsia"/>
              </w:rPr>
              <w:t>应收利息</w:t>
            </w:r>
          </w:p>
        </w:tc>
        <w:tc>
          <w:tcPr>
            <w:tcW w:w="1023" w:type="pct"/>
            <w:tcBorders>
              <w:top w:val="nil"/>
              <w:left w:val="nil"/>
              <w:bottom w:val="single" w:color="000000" w:sz="4" w:space="0"/>
              <w:right w:val="single" w:color="000000" w:sz="4" w:space="0"/>
            </w:tcBorders>
            <w:shd w:val="clear" w:color="000000" w:fill="FFFFFF"/>
            <w:noWrap/>
          </w:tcPr>
          <w:p w14:paraId="0ED0A239">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281A669F">
            <w:pPr>
              <w:widowControl/>
              <w:jc w:val="left"/>
              <w:rPr>
                <w:rFonts w:cs="宋体" w:asciiTheme="minorEastAsia" w:hAnsiTheme="minorEastAsia" w:eastAsiaTheme="minorEastAsia"/>
                <w:color w:val="000000"/>
                <w:sz w:val="21"/>
                <w:szCs w:val="21"/>
              </w:rPr>
            </w:pPr>
            <w:r>
              <w:t xml:space="preserve"> </w:t>
            </w:r>
            <w:r>
              <w:rPr>
                <w:rFonts w:hint="eastAsia"/>
              </w:rPr>
              <w:t>应付利息</w:t>
            </w:r>
            <w:r>
              <w:t xml:space="preserve"> </w:t>
            </w:r>
          </w:p>
        </w:tc>
        <w:tc>
          <w:tcPr>
            <w:tcW w:w="904" w:type="pct"/>
            <w:tcBorders>
              <w:top w:val="nil"/>
              <w:left w:val="nil"/>
              <w:bottom w:val="single" w:color="000000" w:sz="4" w:space="0"/>
              <w:right w:val="single" w:color="000000" w:sz="4" w:space="0"/>
            </w:tcBorders>
            <w:shd w:val="clear" w:color="000000" w:fill="FFFFFF"/>
            <w:noWrap/>
          </w:tcPr>
          <w:p w14:paraId="3815EA07">
            <w:pPr>
              <w:widowControl/>
              <w:jc w:val="right"/>
            </w:pPr>
            <w:r>
              <w:rPr>
                <w:color w:val="000000"/>
              </w:rPr>
              <w:t xml:space="preserve"> </w:t>
            </w:r>
            <w:r>
              <w:rPr>
                <w:rStyle w:val="31"/>
              </w:rPr>
              <w:t>-</w:t>
            </w:r>
            <w:r>
              <w:rPr>
                <w:rStyle w:val="30"/>
                <w:rFonts w:hint="default"/>
              </w:rPr>
              <w:t>　</w:t>
            </w:r>
          </w:p>
        </w:tc>
      </w:tr>
      <w:tr w14:paraId="7EFB0023">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50125959">
            <w:pPr>
              <w:widowControl/>
              <w:jc w:val="left"/>
              <w:rPr>
                <w:rFonts w:cs="宋体" w:asciiTheme="minorEastAsia" w:hAnsiTheme="minorEastAsia" w:eastAsiaTheme="minorEastAsia"/>
                <w:color w:val="000000"/>
                <w:sz w:val="21"/>
                <w:szCs w:val="21"/>
              </w:rPr>
            </w:pPr>
            <w:r>
              <w:rPr>
                <w:rFonts w:hint="eastAsia"/>
              </w:rPr>
              <w:t>应收股利</w:t>
            </w:r>
          </w:p>
        </w:tc>
        <w:tc>
          <w:tcPr>
            <w:tcW w:w="1023" w:type="pct"/>
            <w:tcBorders>
              <w:top w:val="nil"/>
              <w:left w:val="nil"/>
              <w:bottom w:val="single" w:color="000000" w:sz="4" w:space="0"/>
              <w:right w:val="single" w:color="000000" w:sz="4" w:space="0"/>
            </w:tcBorders>
            <w:shd w:val="clear" w:color="000000" w:fill="FFFFFF"/>
            <w:noWrap/>
          </w:tcPr>
          <w:p w14:paraId="6B19DDC9">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6F621D4F">
            <w:pPr>
              <w:widowControl/>
              <w:jc w:val="left"/>
              <w:rPr>
                <w:rFonts w:cs="宋体" w:asciiTheme="minorEastAsia" w:hAnsiTheme="minorEastAsia" w:eastAsiaTheme="minorEastAsia"/>
                <w:color w:val="000000"/>
                <w:sz w:val="21"/>
                <w:szCs w:val="21"/>
              </w:rPr>
            </w:pPr>
            <w:r>
              <w:t xml:space="preserve"> </w:t>
            </w:r>
            <w:r>
              <w:rPr>
                <w:rFonts w:hint="eastAsia"/>
              </w:rPr>
              <w:t>应付利润</w:t>
            </w:r>
            <w:r>
              <w:t xml:space="preserve"> </w:t>
            </w:r>
          </w:p>
        </w:tc>
        <w:tc>
          <w:tcPr>
            <w:tcW w:w="904" w:type="pct"/>
            <w:tcBorders>
              <w:top w:val="nil"/>
              <w:left w:val="nil"/>
              <w:bottom w:val="single" w:color="000000" w:sz="4" w:space="0"/>
              <w:right w:val="single" w:color="000000" w:sz="4" w:space="0"/>
            </w:tcBorders>
            <w:shd w:val="clear" w:color="000000" w:fill="FFFFFF"/>
            <w:noWrap/>
          </w:tcPr>
          <w:p w14:paraId="024A893A">
            <w:pPr>
              <w:widowControl/>
              <w:jc w:val="right"/>
            </w:pPr>
            <w:r>
              <w:rPr>
                <w:color w:val="000000"/>
              </w:rPr>
              <w:t xml:space="preserve"> </w:t>
            </w:r>
            <w:r>
              <w:rPr>
                <w:rStyle w:val="31"/>
              </w:rPr>
              <w:t>-</w:t>
            </w:r>
            <w:r>
              <w:rPr>
                <w:rStyle w:val="30"/>
                <w:rFonts w:hint="default"/>
              </w:rPr>
              <w:t>　</w:t>
            </w:r>
          </w:p>
        </w:tc>
      </w:tr>
      <w:tr w14:paraId="20C6C7AE">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1B91A8BD">
            <w:pPr>
              <w:widowControl/>
              <w:jc w:val="left"/>
              <w:rPr>
                <w:rFonts w:cs="宋体" w:asciiTheme="minorEastAsia" w:hAnsiTheme="minorEastAsia" w:eastAsiaTheme="minorEastAsia"/>
                <w:color w:val="000000"/>
                <w:sz w:val="21"/>
                <w:szCs w:val="21"/>
              </w:rPr>
            </w:pPr>
            <w:r>
              <w:rPr>
                <w:rFonts w:hint="eastAsia"/>
              </w:rPr>
              <w:t>应收申购款</w:t>
            </w:r>
          </w:p>
        </w:tc>
        <w:tc>
          <w:tcPr>
            <w:tcW w:w="1023" w:type="pct"/>
            <w:tcBorders>
              <w:top w:val="nil"/>
              <w:left w:val="nil"/>
              <w:bottom w:val="single" w:color="000000" w:sz="4" w:space="0"/>
              <w:right w:val="single" w:color="000000" w:sz="4" w:space="0"/>
            </w:tcBorders>
            <w:shd w:val="clear" w:color="000000" w:fill="FFFFFF"/>
            <w:noWrap/>
            <w:vAlign w:val="center"/>
          </w:tcPr>
          <w:p w14:paraId="6346E378">
            <w:pPr>
              <w:widowControl/>
              <w:jc w:val="right"/>
            </w:pPr>
            <w:r>
              <w:rPr>
                <w:color w:val="000000"/>
              </w:rPr>
              <w:t>825,103.39</w:t>
            </w:r>
          </w:p>
        </w:tc>
        <w:tc>
          <w:tcPr>
            <w:tcW w:w="1544" w:type="pct"/>
            <w:tcBorders>
              <w:top w:val="nil"/>
              <w:left w:val="nil"/>
              <w:bottom w:val="single" w:color="000000" w:sz="4" w:space="0"/>
              <w:right w:val="single" w:color="000000" w:sz="4" w:space="0"/>
            </w:tcBorders>
            <w:shd w:val="clear" w:color="000000" w:fill="FFFFFF"/>
            <w:noWrap/>
          </w:tcPr>
          <w:p w14:paraId="2695E3FC">
            <w:pPr>
              <w:widowControl/>
              <w:jc w:val="left"/>
              <w:rPr>
                <w:rFonts w:cs="宋体" w:asciiTheme="minorEastAsia" w:hAnsiTheme="minorEastAsia" w:eastAsiaTheme="minorEastAsia"/>
                <w:color w:val="000000"/>
                <w:sz w:val="21"/>
                <w:szCs w:val="21"/>
              </w:rPr>
            </w:pPr>
            <w:r>
              <w:t xml:space="preserve"> </w:t>
            </w:r>
            <w:r>
              <w:rPr>
                <w:rFonts w:hint="eastAsia"/>
              </w:rPr>
              <w:t>其他负债</w:t>
            </w:r>
            <w:r>
              <w:t xml:space="preserve"> </w:t>
            </w:r>
          </w:p>
        </w:tc>
        <w:tc>
          <w:tcPr>
            <w:tcW w:w="904" w:type="pct"/>
            <w:tcBorders>
              <w:top w:val="nil"/>
              <w:left w:val="nil"/>
              <w:bottom w:val="single" w:color="000000" w:sz="4" w:space="0"/>
              <w:right w:val="single" w:color="000000" w:sz="4" w:space="0"/>
            </w:tcBorders>
            <w:shd w:val="clear" w:color="000000" w:fill="FFFFFF"/>
            <w:noWrap/>
            <w:vAlign w:val="center"/>
          </w:tcPr>
          <w:p w14:paraId="71BD1C85">
            <w:pPr>
              <w:widowControl/>
              <w:jc w:val="right"/>
            </w:pPr>
            <w:r>
              <w:t>40,083.50</w:t>
            </w:r>
            <w:r>
              <w:rPr>
                <w:color w:val="000000"/>
              </w:rPr>
              <w:t xml:space="preserve"> </w:t>
            </w:r>
          </w:p>
        </w:tc>
      </w:tr>
      <w:tr w14:paraId="6A80CBA6">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0DD1C66B">
            <w:pPr>
              <w:widowControl/>
              <w:jc w:val="left"/>
              <w:rPr>
                <w:rFonts w:cs="宋体" w:asciiTheme="minorEastAsia" w:hAnsiTheme="minorEastAsia" w:eastAsiaTheme="minorEastAsia"/>
                <w:color w:val="000000"/>
                <w:sz w:val="21"/>
                <w:szCs w:val="21"/>
              </w:rPr>
            </w:pPr>
            <w:r>
              <w:rPr>
                <w:rFonts w:hint="eastAsia"/>
              </w:rPr>
              <w:t>其他资产</w:t>
            </w:r>
          </w:p>
        </w:tc>
        <w:tc>
          <w:tcPr>
            <w:tcW w:w="1023" w:type="pct"/>
            <w:tcBorders>
              <w:top w:val="nil"/>
              <w:left w:val="nil"/>
              <w:bottom w:val="single" w:color="000000" w:sz="4" w:space="0"/>
              <w:right w:val="single" w:color="000000" w:sz="4" w:space="0"/>
            </w:tcBorders>
            <w:shd w:val="clear" w:color="000000" w:fill="FFFFFF"/>
            <w:noWrap/>
          </w:tcPr>
          <w:p w14:paraId="04491EE8">
            <w:pPr>
              <w:widowControl/>
              <w:jc w:val="right"/>
            </w:pPr>
            <w:r>
              <w:rPr>
                <w:color w:val="000000"/>
              </w:rPr>
              <w:t xml:space="preserve"> </w:t>
            </w:r>
            <w:r>
              <w:rPr>
                <w:rStyle w:val="29"/>
              </w:rPr>
              <w:t>-</w:t>
            </w:r>
            <w:r>
              <w:rPr>
                <w:rStyle w:val="30"/>
                <w:rFonts w:hint="default"/>
              </w:rPr>
              <w:t>　</w:t>
            </w:r>
          </w:p>
        </w:tc>
        <w:tc>
          <w:tcPr>
            <w:tcW w:w="1544" w:type="pct"/>
            <w:tcBorders>
              <w:top w:val="nil"/>
              <w:left w:val="nil"/>
              <w:bottom w:val="single" w:color="000000" w:sz="4" w:space="0"/>
              <w:right w:val="single" w:color="000000" w:sz="4" w:space="0"/>
            </w:tcBorders>
            <w:shd w:val="clear" w:color="000000" w:fill="FFFFFF"/>
            <w:noWrap/>
          </w:tcPr>
          <w:p w14:paraId="65DC5503">
            <w:pPr>
              <w:widowControl/>
              <w:jc w:val="left"/>
              <w:rPr>
                <w:rFonts w:cs="宋体" w:asciiTheme="minorEastAsia" w:hAnsiTheme="minorEastAsia" w:eastAsiaTheme="minorEastAsia"/>
                <w:b/>
                <w:bCs/>
                <w:color w:val="000000"/>
                <w:sz w:val="21"/>
                <w:szCs w:val="21"/>
              </w:rPr>
            </w:pPr>
            <w:r>
              <w:t xml:space="preserve"> </w:t>
            </w:r>
            <w:r>
              <w:rPr>
                <w:rFonts w:hint="eastAsia"/>
              </w:rPr>
              <w:t>负债合计</w:t>
            </w:r>
            <w:r>
              <w:t xml:space="preserve"> </w:t>
            </w:r>
          </w:p>
        </w:tc>
        <w:tc>
          <w:tcPr>
            <w:tcW w:w="904" w:type="pct"/>
            <w:tcBorders>
              <w:top w:val="nil"/>
              <w:left w:val="nil"/>
              <w:bottom w:val="single" w:color="000000" w:sz="4" w:space="0"/>
              <w:right w:val="single" w:color="000000" w:sz="4" w:space="0"/>
            </w:tcBorders>
            <w:shd w:val="clear" w:color="000000" w:fill="FFFFFF"/>
            <w:noWrap/>
            <w:vAlign w:val="center"/>
          </w:tcPr>
          <w:p w14:paraId="1BB86506">
            <w:pPr>
              <w:widowControl/>
              <w:jc w:val="right"/>
            </w:pPr>
            <w:r>
              <w:rPr>
                <w:color w:val="000000"/>
              </w:rPr>
              <w:t xml:space="preserve">40,238.89 </w:t>
            </w:r>
          </w:p>
        </w:tc>
      </w:tr>
      <w:tr w14:paraId="4C29DA20">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06F12238">
            <w:pPr>
              <w:widowControl/>
              <w:jc w:val="left"/>
              <w:rPr>
                <w:rFonts w:cs="宋体" w:asciiTheme="minorEastAsia" w:hAnsiTheme="minorEastAsia" w:eastAsiaTheme="minorEastAsia"/>
                <w:color w:val="000000"/>
                <w:sz w:val="21"/>
                <w:szCs w:val="21"/>
              </w:rPr>
            </w:pPr>
          </w:p>
        </w:tc>
        <w:tc>
          <w:tcPr>
            <w:tcW w:w="1023" w:type="pct"/>
            <w:tcBorders>
              <w:top w:val="nil"/>
              <w:left w:val="nil"/>
              <w:bottom w:val="single" w:color="000000" w:sz="4" w:space="0"/>
              <w:right w:val="single" w:color="000000" w:sz="4" w:space="0"/>
            </w:tcBorders>
            <w:shd w:val="clear" w:color="000000" w:fill="FFFFFF"/>
            <w:noWrap/>
          </w:tcPr>
          <w:p w14:paraId="3AD308D2">
            <w:pPr>
              <w:widowControl/>
              <w:jc w:val="right"/>
              <w:rPr>
                <w:rFonts w:cs="宋体" w:asciiTheme="minorEastAsia" w:hAnsiTheme="minorEastAsia" w:eastAsiaTheme="minorEastAsia"/>
                <w:color w:val="000000"/>
                <w:sz w:val="21"/>
                <w:szCs w:val="21"/>
              </w:rPr>
            </w:pPr>
          </w:p>
        </w:tc>
        <w:tc>
          <w:tcPr>
            <w:tcW w:w="1544" w:type="pct"/>
            <w:tcBorders>
              <w:top w:val="nil"/>
              <w:left w:val="nil"/>
              <w:bottom w:val="single" w:color="000000" w:sz="4" w:space="0"/>
              <w:right w:val="single" w:color="000000" w:sz="4" w:space="0"/>
            </w:tcBorders>
            <w:shd w:val="clear" w:color="000000" w:fill="FFFFFF"/>
            <w:noWrap/>
          </w:tcPr>
          <w:p w14:paraId="255AE891">
            <w:pPr>
              <w:widowControl/>
              <w:jc w:val="left"/>
              <w:rPr>
                <w:rFonts w:cs="宋体" w:asciiTheme="minorEastAsia" w:hAnsiTheme="minorEastAsia" w:eastAsiaTheme="minorEastAsia"/>
                <w:b/>
                <w:bCs/>
                <w:color w:val="000000"/>
                <w:sz w:val="21"/>
                <w:szCs w:val="21"/>
              </w:rPr>
            </w:pPr>
            <w:r>
              <w:t xml:space="preserve"> </w:t>
            </w:r>
            <w:r>
              <w:rPr>
                <w:rFonts w:hint="eastAsia"/>
              </w:rPr>
              <w:t>所有者权益：</w:t>
            </w:r>
            <w:r>
              <w:t xml:space="preserve"> </w:t>
            </w:r>
          </w:p>
        </w:tc>
        <w:tc>
          <w:tcPr>
            <w:tcW w:w="904" w:type="pct"/>
            <w:tcBorders>
              <w:top w:val="nil"/>
              <w:left w:val="nil"/>
              <w:bottom w:val="single" w:color="000000" w:sz="4" w:space="0"/>
              <w:right w:val="single" w:color="000000" w:sz="4" w:space="0"/>
            </w:tcBorders>
            <w:shd w:val="clear" w:color="000000" w:fill="FFFFFF"/>
            <w:noWrap/>
          </w:tcPr>
          <w:p w14:paraId="1598E03A">
            <w:pPr>
              <w:widowControl/>
              <w:jc w:val="right"/>
            </w:pPr>
          </w:p>
        </w:tc>
      </w:tr>
      <w:tr w14:paraId="6CDF264C">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091B6A43">
            <w:pPr>
              <w:widowControl/>
              <w:jc w:val="left"/>
              <w:rPr>
                <w:rFonts w:cs="宋体" w:asciiTheme="minorEastAsia" w:hAnsiTheme="minorEastAsia" w:eastAsiaTheme="minorEastAsia"/>
                <w:color w:val="000000"/>
                <w:sz w:val="21"/>
                <w:szCs w:val="21"/>
              </w:rPr>
            </w:pPr>
          </w:p>
        </w:tc>
        <w:tc>
          <w:tcPr>
            <w:tcW w:w="1023" w:type="pct"/>
            <w:tcBorders>
              <w:top w:val="nil"/>
              <w:left w:val="nil"/>
              <w:bottom w:val="single" w:color="000000" w:sz="4" w:space="0"/>
              <w:right w:val="single" w:color="000000" w:sz="4" w:space="0"/>
            </w:tcBorders>
            <w:shd w:val="clear" w:color="000000" w:fill="FFFFFF"/>
            <w:noWrap/>
          </w:tcPr>
          <w:p w14:paraId="40D9AD86">
            <w:pPr>
              <w:widowControl/>
              <w:jc w:val="right"/>
              <w:rPr>
                <w:rFonts w:cs="宋体" w:asciiTheme="minorEastAsia" w:hAnsiTheme="minorEastAsia" w:eastAsiaTheme="minorEastAsia"/>
                <w:color w:val="000000"/>
                <w:sz w:val="21"/>
                <w:szCs w:val="21"/>
              </w:rPr>
            </w:pPr>
          </w:p>
        </w:tc>
        <w:tc>
          <w:tcPr>
            <w:tcW w:w="1544" w:type="pct"/>
            <w:tcBorders>
              <w:top w:val="nil"/>
              <w:left w:val="nil"/>
              <w:bottom w:val="single" w:color="000000" w:sz="4" w:space="0"/>
              <w:right w:val="single" w:color="000000" w:sz="4" w:space="0"/>
            </w:tcBorders>
            <w:shd w:val="clear" w:color="000000" w:fill="FFFFFF"/>
            <w:noWrap/>
          </w:tcPr>
          <w:p w14:paraId="5486EEE4">
            <w:pPr>
              <w:widowControl/>
              <w:jc w:val="left"/>
              <w:rPr>
                <w:rFonts w:cs="宋体" w:asciiTheme="minorEastAsia" w:hAnsiTheme="minorEastAsia" w:eastAsiaTheme="minorEastAsia"/>
                <w:color w:val="000000"/>
                <w:sz w:val="21"/>
                <w:szCs w:val="21"/>
              </w:rPr>
            </w:pPr>
            <w:r>
              <w:t xml:space="preserve"> </w:t>
            </w:r>
            <w:r>
              <w:rPr>
                <w:rFonts w:hint="eastAsia"/>
              </w:rPr>
              <w:t>实收基金</w:t>
            </w:r>
            <w:r>
              <w:t xml:space="preserve"> </w:t>
            </w:r>
          </w:p>
        </w:tc>
        <w:tc>
          <w:tcPr>
            <w:tcW w:w="904" w:type="pct"/>
            <w:tcBorders>
              <w:top w:val="nil"/>
              <w:left w:val="nil"/>
              <w:bottom w:val="single" w:color="000000" w:sz="4" w:space="0"/>
              <w:right w:val="single" w:color="000000" w:sz="4" w:space="0"/>
            </w:tcBorders>
            <w:shd w:val="clear" w:color="000000" w:fill="FFFFFF"/>
            <w:noWrap/>
            <w:vAlign w:val="center"/>
          </w:tcPr>
          <w:p w14:paraId="6DAD5BC9">
            <w:pPr>
              <w:widowControl/>
              <w:jc w:val="right"/>
            </w:pPr>
            <w:r>
              <w:rPr>
                <w:color w:val="000000"/>
              </w:rPr>
              <w:t xml:space="preserve">1,223,370.95 </w:t>
            </w:r>
          </w:p>
        </w:tc>
      </w:tr>
      <w:tr w14:paraId="30CF6956">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7901F0C1">
            <w:pPr>
              <w:widowControl/>
              <w:jc w:val="left"/>
              <w:rPr>
                <w:rFonts w:cs="宋体" w:asciiTheme="minorEastAsia" w:hAnsiTheme="minorEastAsia" w:eastAsiaTheme="minorEastAsia"/>
                <w:color w:val="000000"/>
                <w:sz w:val="21"/>
                <w:szCs w:val="21"/>
              </w:rPr>
            </w:pPr>
          </w:p>
        </w:tc>
        <w:tc>
          <w:tcPr>
            <w:tcW w:w="1023" w:type="pct"/>
            <w:tcBorders>
              <w:top w:val="nil"/>
              <w:left w:val="nil"/>
              <w:bottom w:val="single" w:color="000000" w:sz="4" w:space="0"/>
              <w:right w:val="single" w:color="000000" w:sz="4" w:space="0"/>
            </w:tcBorders>
            <w:shd w:val="clear" w:color="000000" w:fill="FFFFFF"/>
            <w:noWrap/>
          </w:tcPr>
          <w:p w14:paraId="214EEDDB">
            <w:pPr>
              <w:widowControl/>
              <w:jc w:val="right"/>
              <w:rPr>
                <w:rFonts w:cs="宋体" w:asciiTheme="minorEastAsia" w:hAnsiTheme="minorEastAsia" w:eastAsiaTheme="minorEastAsia"/>
                <w:color w:val="000000"/>
                <w:sz w:val="21"/>
                <w:szCs w:val="21"/>
              </w:rPr>
            </w:pPr>
          </w:p>
        </w:tc>
        <w:tc>
          <w:tcPr>
            <w:tcW w:w="1544" w:type="pct"/>
            <w:tcBorders>
              <w:top w:val="nil"/>
              <w:left w:val="nil"/>
              <w:bottom w:val="single" w:color="000000" w:sz="4" w:space="0"/>
              <w:right w:val="single" w:color="000000" w:sz="4" w:space="0"/>
            </w:tcBorders>
            <w:shd w:val="clear" w:color="000000" w:fill="FFFFFF"/>
            <w:noWrap/>
          </w:tcPr>
          <w:p w14:paraId="7734CF8A">
            <w:pPr>
              <w:widowControl/>
              <w:jc w:val="left"/>
              <w:rPr>
                <w:rFonts w:cs="宋体" w:asciiTheme="minorEastAsia" w:hAnsiTheme="minorEastAsia" w:eastAsiaTheme="minorEastAsia"/>
                <w:color w:val="000000"/>
                <w:sz w:val="21"/>
                <w:szCs w:val="21"/>
              </w:rPr>
            </w:pPr>
            <w:r>
              <w:t xml:space="preserve"> </w:t>
            </w:r>
            <w:r>
              <w:rPr>
                <w:rFonts w:hint="eastAsia"/>
              </w:rPr>
              <w:t>未分配利润</w:t>
            </w:r>
            <w:r>
              <w:t xml:space="preserve"> </w:t>
            </w:r>
          </w:p>
        </w:tc>
        <w:tc>
          <w:tcPr>
            <w:tcW w:w="904" w:type="pct"/>
            <w:tcBorders>
              <w:top w:val="nil"/>
              <w:left w:val="nil"/>
              <w:bottom w:val="single" w:color="000000" w:sz="4" w:space="0"/>
              <w:right w:val="single" w:color="000000" w:sz="4" w:space="0"/>
            </w:tcBorders>
            <w:shd w:val="clear" w:color="000000" w:fill="FFFFFF"/>
            <w:noWrap/>
            <w:vAlign w:val="center"/>
          </w:tcPr>
          <w:p w14:paraId="1D309AAB">
            <w:pPr>
              <w:widowControl/>
              <w:jc w:val="right"/>
            </w:pPr>
            <w:r>
              <w:rPr>
                <w:color w:val="000000"/>
              </w:rPr>
              <w:t xml:space="preserve">189,365.57 </w:t>
            </w:r>
          </w:p>
        </w:tc>
      </w:tr>
      <w:tr w14:paraId="1DF02EF1">
        <w:tblPrEx>
          <w:tblCellMar>
            <w:top w:w="0" w:type="dxa"/>
            <w:left w:w="108" w:type="dxa"/>
            <w:bottom w:w="0" w:type="dxa"/>
            <w:right w:w="108" w:type="dxa"/>
          </w:tblCellMar>
        </w:tblPrEx>
        <w:trPr>
          <w:trHeight w:val="288" w:hRule="atLeast"/>
        </w:trPr>
        <w:tc>
          <w:tcPr>
            <w:tcW w:w="1529" w:type="pct"/>
            <w:tcBorders>
              <w:top w:val="nil"/>
              <w:left w:val="double" w:color="000000" w:sz="6" w:space="0"/>
              <w:bottom w:val="single" w:color="000000" w:sz="4" w:space="0"/>
              <w:right w:val="single" w:color="000000" w:sz="4" w:space="0"/>
            </w:tcBorders>
            <w:shd w:val="clear" w:color="000000" w:fill="FFFFFF"/>
            <w:noWrap/>
          </w:tcPr>
          <w:p w14:paraId="19FCEB9B">
            <w:pPr>
              <w:widowControl/>
              <w:jc w:val="left"/>
              <w:rPr>
                <w:rFonts w:cs="宋体" w:asciiTheme="minorEastAsia" w:hAnsiTheme="minorEastAsia" w:eastAsiaTheme="minorEastAsia"/>
                <w:color w:val="000000"/>
                <w:sz w:val="21"/>
                <w:szCs w:val="21"/>
              </w:rPr>
            </w:pPr>
          </w:p>
        </w:tc>
        <w:tc>
          <w:tcPr>
            <w:tcW w:w="1023" w:type="pct"/>
            <w:tcBorders>
              <w:top w:val="nil"/>
              <w:left w:val="nil"/>
              <w:bottom w:val="single" w:color="000000" w:sz="4" w:space="0"/>
              <w:right w:val="single" w:color="000000" w:sz="4" w:space="0"/>
            </w:tcBorders>
            <w:shd w:val="clear" w:color="000000" w:fill="FFFFFF"/>
            <w:noWrap/>
          </w:tcPr>
          <w:p w14:paraId="23E7A8D4">
            <w:pPr>
              <w:widowControl/>
              <w:jc w:val="right"/>
              <w:rPr>
                <w:rFonts w:cs="宋体" w:asciiTheme="minorEastAsia" w:hAnsiTheme="minorEastAsia" w:eastAsiaTheme="minorEastAsia"/>
                <w:color w:val="000000"/>
                <w:sz w:val="21"/>
                <w:szCs w:val="21"/>
              </w:rPr>
            </w:pPr>
          </w:p>
        </w:tc>
        <w:tc>
          <w:tcPr>
            <w:tcW w:w="1544" w:type="pct"/>
            <w:tcBorders>
              <w:top w:val="nil"/>
              <w:left w:val="nil"/>
              <w:bottom w:val="single" w:color="000000" w:sz="4" w:space="0"/>
              <w:right w:val="single" w:color="000000" w:sz="4" w:space="0"/>
            </w:tcBorders>
            <w:shd w:val="clear" w:color="000000" w:fill="FFFFFF"/>
            <w:noWrap/>
          </w:tcPr>
          <w:p w14:paraId="3047B82D">
            <w:pPr>
              <w:widowControl/>
              <w:jc w:val="left"/>
              <w:rPr>
                <w:rFonts w:cs="宋体" w:asciiTheme="minorEastAsia" w:hAnsiTheme="minorEastAsia" w:eastAsiaTheme="minorEastAsia"/>
                <w:b/>
                <w:bCs/>
                <w:color w:val="000000"/>
                <w:sz w:val="21"/>
                <w:szCs w:val="21"/>
              </w:rPr>
            </w:pPr>
            <w:r>
              <w:t xml:space="preserve"> </w:t>
            </w:r>
            <w:r>
              <w:rPr>
                <w:rFonts w:hint="eastAsia"/>
              </w:rPr>
              <w:t>所有者权益合计</w:t>
            </w:r>
            <w:r>
              <w:t xml:space="preserve"> </w:t>
            </w:r>
          </w:p>
        </w:tc>
        <w:tc>
          <w:tcPr>
            <w:tcW w:w="904" w:type="pct"/>
            <w:tcBorders>
              <w:top w:val="nil"/>
              <w:left w:val="nil"/>
              <w:bottom w:val="single" w:color="000000" w:sz="4" w:space="0"/>
              <w:right w:val="single" w:color="000000" w:sz="4" w:space="0"/>
            </w:tcBorders>
            <w:shd w:val="clear" w:color="000000" w:fill="FFFFFF"/>
            <w:noWrap/>
            <w:vAlign w:val="center"/>
          </w:tcPr>
          <w:p w14:paraId="04448031">
            <w:pPr>
              <w:widowControl/>
              <w:jc w:val="right"/>
              <w:rPr>
                <w:highlight w:val="yellow"/>
              </w:rPr>
            </w:pPr>
            <w:r>
              <w:rPr>
                <w:color w:val="000000"/>
              </w:rPr>
              <w:t xml:space="preserve">1,412,736.52 </w:t>
            </w:r>
          </w:p>
        </w:tc>
      </w:tr>
      <w:tr w14:paraId="0E70124D">
        <w:tblPrEx>
          <w:tblCellMar>
            <w:top w:w="0" w:type="dxa"/>
            <w:left w:w="108" w:type="dxa"/>
            <w:bottom w:w="0" w:type="dxa"/>
            <w:right w:w="108" w:type="dxa"/>
          </w:tblCellMar>
        </w:tblPrEx>
        <w:trPr>
          <w:trHeight w:val="300" w:hRule="atLeast"/>
        </w:trPr>
        <w:tc>
          <w:tcPr>
            <w:tcW w:w="1529" w:type="pct"/>
            <w:tcBorders>
              <w:top w:val="nil"/>
              <w:left w:val="double" w:color="000000" w:sz="6" w:space="0"/>
              <w:bottom w:val="double" w:color="000000" w:sz="6" w:space="0"/>
              <w:right w:val="single" w:color="000000" w:sz="4" w:space="0"/>
            </w:tcBorders>
            <w:shd w:val="clear" w:color="000000" w:fill="FFFFFF"/>
            <w:noWrap/>
          </w:tcPr>
          <w:p w14:paraId="305BBA36">
            <w:pPr>
              <w:widowControl/>
              <w:jc w:val="left"/>
              <w:rPr>
                <w:rFonts w:cs="宋体" w:asciiTheme="minorEastAsia" w:hAnsiTheme="minorEastAsia" w:eastAsiaTheme="minorEastAsia"/>
                <w:b/>
                <w:bCs/>
                <w:color w:val="000000"/>
                <w:sz w:val="21"/>
                <w:szCs w:val="21"/>
              </w:rPr>
            </w:pPr>
            <w:r>
              <w:rPr>
                <w:rFonts w:hint="eastAsia"/>
              </w:rPr>
              <w:t>资产合计</w:t>
            </w:r>
            <w:r>
              <w:t>:</w:t>
            </w:r>
          </w:p>
        </w:tc>
        <w:tc>
          <w:tcPr>
            <w:tcW w:w="1023" w:type="pct"/>
            <w:tcBorders>
              <w:top w:val="nil"/>
              <w:left w:val="nil"/>
              <w:bottom w:val="double" w:color="000000" w:sz="6" w:space="0"/>
              <w:right w:val="single" w:color="000000" w:sz="4" w:space="0"/>
            </w:tcBorders>
            <w:shd w:val="clear" w:color="000000" w:fill="FFFFFF"/>
            <w:noWrap/>
            <w:vAlign w:val="center"/>
          </w:tcPr>
          <w:p w14:paraId="4799A8AD">
            <w:pPr>
              <w:widowControl/>
              <w:jc w:val="right"/>
            </w:pPr>
            <w:r>
              <w:rPr>
                <w:color w:val="000000"/>
              </w:rPr>
              <w:t>1,452,975.41</w:t>
            </w:r>
          </w:p>
        </w:tc>
        <w:tc>
          <w:tcPr>
            <w:tcW w:w="1544" w:type="pct"/>
            <w:tcBorders>
              <w:top w:val="nil"/>
              <w:left w:val="nil"/>
              <w:bottom w:val="double" w:color="000000" w:sz="6" w:space="0"/>
              <w:right w:val="single" w:color="000000" w:sz="4" w:space="0"/>
            </w:tcBorders>
            <w:shd w:val="clear" w:color="000000" w:fill="FFFFFF"/>
            <w:noWrap/>
          </w:tcPr>
          <w:p w14:paraId="5045B9B1">
            <w:pPr>
              <w:widowControl/>
              <w:jc w:val="left"/>
              <w:rPr>
                <w:rFonts w:cs="宋体" w:asciiTheme="minorEastAsia" w:hAnsiTheme="minorEastAsia" w:eastAsiaTheme="minorEastAsia"/>
                <w:b/>
                <w:bCs/>
                <w:color w:val="000000"/>
                <w:sz w:val="21"/>
                <w:szCs w:val="21"/>
              </w:rPr>
            </w:pPr>
            <w:r>
              <w:t xml:space="preserve"> </w:t>
            </w:r>
            <w:r>
              <w:rPr>
                <w:rFonts w:hint="eastAsia"/>
              </w:rPr>
              <w:t>负债与持有人权益总计：</w:t>
            </w:r>
            <w:r>
              <w:t xml:space="preserve"> </w:t>
            </w:r>
          </w:p>
        </w:tc>
        <w:tc>
          <w:tcPr>
            <w:tcW w:w="904" w:type="pct"/>
            <w:tcBorders>
              <w:top w:val="nil"/>
              <w:left w:val="nil"/>
              <w:bottom w:val="double" w:color="000000" w:sz="6" w:space="0"/>
              <w:right w:val="single" w:color="000000" w:sz="4" w:space="0"/>
            </w:tcBorders>
            <w:shd w:val="clear" w:color="000000" w:fill="FFFFFF"/>
            <w:noWrap/>
            <w:vAlign w:val="center"/>
          </w:tcPr>
          <w:p w14:paraId="04259A74">
            <w:pPr>
              <w:widowControl/>
              <w:jc w:val="right"/>
              <w:rPr>
                <w:highlight w:val="yellow"/>
              </w:rPr>
            </w:pPr>
            <w:r>
              <w:rPr>
                <w:color w:val="000000"/>
              </w:rPr>
              <w:t xml:space="preserve">1,452,975.41 </w:t>
            </w:r>
          </w:p>
        </w:tc>
      </w:tr>
    </w:tbl>
    <w:p w14:paraId="0BA8653C">
      <w:pPr>
        <w:rPr>
          <w:rFonts w:ascii="宋体"/>
        </w:rPr>
      </w:pPr>
    </w:p>
    <w:p w14:paraId="10544035">
      <w:pPr>
        <w:spacing w:after="312" w:afterLines="100"/>
        <w:rPr>
          <w:rStyle w:val="14"/>
        </w:rPr>
      </w:pPr>
      <w:r>
        <w:rPr>
          <w:rStyle w:val="14"/>
          <w:rFonts w:hint="eastAsia"/>
        </w:rPr>
        <w:t>四、清算报表附注</w:t>
      </w:r>
    </w:p>
    <w:p w14:paraId="76E91602">
      <w:pPr>
        <w:spacing w:before="156" w:beforeLines="50" w:after="156" w:afterLines="50"/>
        <w:rPr>
          <w:rFonts w:ascii="宋体" w:hAnsi="宋体"/>
          <w:b/>
        </w:rPr>
      </w:pPr>
      <w:r>
        <w:rPr>
          <w:rFonts w:ascii="宋体" w:hAnsi="宋体"/>
          <w:b/>
        </w:rPr>
        <w:t>1</w:t>
      </w:r>
      <w:r>
        <w:rPr>
          <w:rFonts w:hint="eastAsia" w:ascii="宋体" w:hAnsi="宋体"/>
          <w:b/>
        </w:rPr>
        <w:t>、基金基本情况</w:t>
      </w:r>
    </w:p>
    <w:p w14:paraId="1A756CE9">
      <w:pPr>
        <w:ind w:firstLine="420"/>
        <w:rPr>
          <w:rFonts w:ascii="宋体"/>
        </w:rPr>
      </w:pPr>
      <w:r>
        <w:rPr>
          <w:rFonts w:hint="eastAsia" w:ascii="宋体" w:hAnsi="宋体"/>
        </w:rPr>
        <w:t>交银施罗德裕惠纯债债券型证券投资基金是由原交银施罗德理财60天债券型证券投资基金(以下简称“原基金”)转型而来。原基金经中国证券监督管理委员会(以下简称“中国证监会”)证监许可[2012]1768号《关于核准交银施罗德理财60天债券型证券投资基金募集的批复》核准，由交银施罗德基金管理有限公司依照《中华人民共和国证券投资基金法》和《交银施罗德理财60天债券型证券投资基金基金合同》负责公开募集。本基金为契约型开放式证券投资基金，存续期限不定。首次设立募集不包括认购资金利息共募集人民币777,735,040.55元。经向中国证监会备案，《交银施罗德理财60天债券型证券投资基金基金合同》于2013年3月13日正式生效，基金合同生效日的基金份额总额为777,917,201.14份基金份额，其中认购资金利息折合182,160.59份基金份额。本基金的基金管理人为交银施罗德基金管理有限公司，基金托管人为中国建设银行股份有限公司。</w:t>
      </w:r>
    </w:p>
    <w:p w14:paraId="1E85A532">
      <w:pPr>
        <w:ind w:firstLine="420"/>
        <w:rPr>
          <w:rFonts w:ascii="宋体"/>
        </w:rPr>
      </w:pPr>
      <w:r>
        <w:rPr>
          <w:rFonts w:hint="eastAsia" w:ascii="宋体" w:hAnsi="宋体"/>
        </w:rPr>
        <w:t>根据《交银施罗德裕惠纯债债券型证券投资基金基金合同》及交银施罗德基金管理有限公司于202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15</w:t>
      </w:r>
      <w:r>
        <w:rPr>
          <w:rFonts w:hint="eastAsia" w:ascii="宋体" w:hAnsi="宋体"/>
        </w:rPr>
        <w:t>日发布的《交银施罗德基金管理有限公司关于交银施罗德裕惠纯债债券型证券投资基金基金合同终止及基金财产清算的公告》，202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14</w:t>
      </w:r>
      <w:r>
        <w:rPr>
          <w:rFonts w:hint="eastAsia" w:ascii="宋体" w:hAnsi="宋体"/>
        </w:rPr>
        <w:t>日未赎回的基金份额于202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15</w:t>
      </w:r>
      <w:r>
        <w:rPr>
          <w:rFonts w:hint="eastAsia" w:ascii="宋体" w:hAnsi="宋体"/>
        </w:rPr>
        <w:t>日全部进入清算程序。</w:t>
      </w:r>
    </w:p>
    <w:p w14:paraId="75FD3762">
      <w:pPr>
        <w:spacing w:before="156" w:beforeLines="50" w:after="156" w:afterLines="50"/>
        <w:rPr>
          <w:rFonts w:ascii="宋体" w:hAnsi="宋体"/>
          <w:b/>
        </w:rPr>
      </w:pPr>
      <w:r>
        <w:rPr>
          <w:rFonts w:ascii="宋体" w:hAnsi="宋体"/>
          <w:b/>
        </w:rPr>
        <w:t>2</w:t>
      </w:r>
      <w:r>
        <w:rPr>
          <w:rFonts w:hint="eastAsia" w:ascii="宋体" w:hAnsi="宋体"/>
          <w:b/>
        </w:rPr>
        <w:t>、清算原因</w:t>
      </w:r>
    </w:p>
    <w:p w14:paraId="6CBD51A1">
      <w:pPr>
        <w:ind w:firstLine="420"/>
        <w:rPr>
          <w:rFonts w:ascii="宋体" w:hAnsi="宋体"/>
        </w:rPr>
      </w:pPr>
      <w:r>
        <w:rPr>
          <w:rFonts w:hint="eastAsia" w:ascii="宋体" w:hAnsi="宋体"/>
        </w:rPr>
        <w:t>根据基金合同“第五部分 基金的存续”的约定：</w:t>
      </w:r>
    </w:p>
    <w:p w14:paraId="1C901DD6">
      <w:pPr>
        <w:ind w:firstLine="420"/>
        <w:rPr>
          <w:rFonts w:ascii="宋体" w:hAnsi="宋体"/>
        </w:rPr>
      </w:pPr>
      <w:bookmarkStart w:id="2" w:name="OLE_LINK3"/>
      <w:bookmarkStart w:id="3" w:name="OLE_LINK2"/>
      <w:r>
        <w:rPr>
          <w:rFonts w:hint="eastAsia" w:ascii="宋体" w:hAnsi="宋体"/>
        </w:rPr>
        <w:t>“《基金合同》生效后，连续20个工作日出现基金份额持有人数量不满200人或者基金资产净值低于5000万元情形的，基金管理人应当在定期报告中予以披露；连续50个工作日出现前述情形的，基金管理人提前终止《基金合同》，不需召开基金份额持有人大会。”</w:t>
      </w:r>
    </w:p>
    <w:bookmarkEnd w:id="2"/>
    <w:bookmarkEnd w:id="3"/>
    <w:p w14:paraId="6DD442C8">
      <w:pPr>
        <w:ind w:firstLine="420"/>
        <w:rPr>
          <w:rFonts w:ascii="宋体" w:hAnsi="宋体"/>
        </w:rPr>
      </w:pPr>
      <w:r>
        <w:rPr>
          <w:rFonts w:hint="eastAsia" w:ascii="宋体" w:hAnsi="宋体"/>
        </w:rPr>
        <w:t>截至202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14</w:t>
      </w:r>
      <w:r>
        <w:rPr>
          <w:rFonts w:hint="eastAsia" w:ascii="宋体" w:hAnsi="宋体"/>
        </w:rPr>
        <w:t>日日终，本基金的基金资产净值已连续50个工作日低于5000万元，已触发《基金合同》中约定的基金合同终止事由，《基金合同》自动终止，基金管理人将根据法律法规的规定及《基金合同》的约定对本基金进行基金财产清算，无需召开基金份额持有人大会。</w:t>
      </w:r>
    </w:p>
    <w:p w14:paraId="473C08EE">
      <w:pPr>
        <w:spacing w:before="156" w:beforeLines="50" w:after="156" w:afterLines="50"/>
        <w:rPr>
          <w:rFonts w:ascii="宋体" w:hAnsi="宋体"/>
          <w:b/>
        </w:rPr>
      </w:pPr>
      <w:r>
        <w:rPr>
          <w:rFonts w:ascii="宋体" w:hAnsi="宋体"/>
          <w:b/>
        </w:rPr>
        <w:t>3</w:t>
      </w:r>
      <w:r>
        <w:rPr>
          <w:rFonts w:hint="eastAsia" w:ascii="宋体" w:hAnsi="宋体"/>
          <w:b/>
        </w:rPr>
        <w:t>、清算起始日</w:t>
      </w:r>
    </w:p>
    <w:p w14:paraId="79EA7A5B">
      <w:pPr>
        <w:ind w:firstLine="420"/>
        <w:rPr>
          <w:rFonts w:ascii="宋体"/>
        </w:rPr>
      </w:pPr>
      <w:r>
        <w:rPr>
          <w:rFonts w:hint="eastAsia" w:ascii="宋体" w:hAnsi="宋体"/>
        </w:rPr>
        <w:t>根据《交银施罗德基金管理有限公司关于交银施罗德裕惠纯债债券型证券投资基金基金合同终止及基金财产清算的公告》，自202</w:t>
      </w:r>
      <w:r>
        <w:rPr>
          <w:rFonts w:ascii="宋体" w:hAnsi="宋体"/>
        </w:rPr>
        <w:t>6</w:t>
      </w:r>
      <w:r>
        <w:rPr>
          <w:rFonts w:hint="eastAsia" w:ascii="宋体" w:hAnsi="宋体"/>
        </w:rPr>
        <w:t>年9月</w:t>
      </w:r>
      <w:r>
        <w:rPr>
          <w:rFonts w:ascii="宋体" w:hAnsi="宋体"/>
        </w:rPr>
        <w:t>15</w:t>
      </w:r>
      <w:r>
        <w:rPr>
          <w:rFonts w:hint="eastAsia" w:ascii="宋体" w:hAnsi="宋体"/>
        </w:rPr>
        <w:t>日起，本基金进入清算程序。故本基金清算起始日为202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15</w:t>
      </w:r>
      <w:r>
        <w:rPr>
          <w:rFonts w:hint="eastAsia" w:ascii="宋体" w:hAnsi="宋体"/>
        </w:rPr>
        <w:t>日。</w:t>
      </w:r>
    </w:p>
    <w:p w14:paraId="54D5BE70">
      <w:pPr>
        <w:spacing w:before="156" w:beforeLines="50" w:after="156" w:afterLines="50"/>
        <w:rPr>
          <w:rFonts w:ascii="宋体" w:hAnsi="宋体"/>
          <w:b/>
        </w:rPr>
      </w:pPr>
      <w:r>
        <w:rPr>
          <w:rFonts w:ascii="宋体" w:hAnsi="宋体"/>
          <w:b/>
        </w:rPr>
        <w:t>4</w:t>
      </w:r>
      <w:r>
        <w:rPr>
          <w:rFonts w:hint="eastAsia" w:ascii="宋体" w:hAnsi="宋体"/>
          <w:b/>
        </w:rPr>
        <w:t>、清算报表编制基础</w:t>
      </w:r>
    </w:p>
    <w:p w14:paraId="2F2EA6E7">
      <w:pPr>
        <w:ind w:firstLine="408"/>
        <w:rPr>
          <w:rFonts w:ascii="宋体"/>
        </w:rPr>
      </w:pPr>
      <w:r>
        <w:rPr>
          <w:rFonts w:hint="eastAsia" w:ascii="宋体" w:hAnsi="宋体"/>
        </w:rPr>
        <w:t>本基金的清算报表是在非持续经营的前提下参考《企业会计准则》及《证券投资基金会计核算业务指引》的有关规定编制的。自本基金最后运作日起，资产负债按清算价格计价。由于报告性质所致，本清算报表并无比较期间的相关数据列示。</w:t>
      </w:r>
    </w:p>
    <w:p w14:paraId="53E98114">
      <w:pPr>
        <w:rPr>
          <w:rFonts w:ascii="宋体"/>
        </w:rPr>
      </w:pPr>
    </w:p>
    <w:p w14:paraId="55FF890F">
      <w:pPr>
        <w:spacing w:after="312" w:afterLines="100"/>
        <w:rPr>
          <w:rStyle w:val="14"/>
        </w:rPr>
      </w:pPr>
      <w:r>
        <w:rPr>
          <w:rStyle w:val="14"/>
          <w:rFonts w:hint="eastAsia"/>
        </w:rPr>
        <w:t>五、清算情况</w:t>
      </w:r>
    </w:p>
    <w:p w14:paraId="2A5D8F2A">
      <w:pPr>
        <w:ind w:firstLine="408"/>
        <w:rPr>
          <w:rFonts w:ascii="宋体"/>
        </w:rPr>
      </w:pPr>
      <w:r>
        <w:rPr>
          <w:rFonts w:hint="eastAsia" w:ascii="宋体" w:hAnsi="宋体"/>
        </w:rPr>
        <w:t>自</w:t>
      </w:r>
      <w:r>
        <w:rPr>
          <w:rFonts w:ascii="宋体" w:hAnsi="宋体"/>
        </w:rPr>
        <w:t>20</w:t>
      </w:r>
      <w:r>
        <w:rPr>
          <w:rFonts w:hint="eastAsia" w:ascii="宋体" w:hAnsi="宋体"/>
        </w:rPr>
        <w:t>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15</w:t>
      </w:r>
      <w:r>
        <w:rPr>
          <w:rFonts w:hint="eastAsia" w:ascii="宋体" w:hAnsi="宋体"/>
        </w:rPr>
        <w:t>日至</w:t>
      </w:r>
      <w:r>
        <w:rPr>
          <w:rFonts w:ascii="宋体" w:hAnsi="宋体"/>
        </w:rPr>
        <w:t>20</w:t>
      </w:r>
      <w:r>
        <w:rPr>
          <w:rFonts w:hint="eastAsia" w:ascii="宋体" w:hAnsi="宋体"/>
        </w:rPr>
        <w:t>2</w:t>
      </w:r>
      <w:r>
        <w:rPr>
          <w:rFonts w:ascii="宋体" w:hAnsi="宋体"/>
        </w:rPr>
        <w:t>6</w:t>
      </w:r>
      <w:r>
        <w:rPr>
          <w:rFonts w:hint="eastAsia" w:ascii="宋体" w:hAnsi="宋体"/>
        </w:rPr>
        <w:t>年9月</w:t>
      </w:r>
      <w:r>
        <w:rPr>
          <w:rFonts w:ascii="宋体" w:hAnsi="宋体"/>
        </w:rPr>
        <w:t xml:space="preserve"> 22</w:t>
      </w:r>
      <w:r>
        <w:rPr>
          <w:rFonts w:hint="eastAsia" w:ascii="宋体" w:hAnsi="宋体"/>
        </w:rPr>
        <w:t>日止清算期间，基金财产清算小组对本基金的资产、负债进行清算，全部清算工作按清算原则和清算手续进行。具体清算情况如下：</w:t>
      </w:r>
    </w:p>
    <w:p w14:paraId="77BA9184">
      <w:pPr>
        <w:spacing w:before="156" w:beforeLines="50" w:after="156" w:afterLines="50"/>
        <w:rPr>
          <w:rFonts w:ascii="宋体" w:hAnsi="宋体"/>
          <w:b/>
        </w:rPr>
      </w:pPr>
      <w:r>
        <w:rPr>
          <w:rFonts w:ascii="宋体" w:hAnsi="宋体"/>
          <w:b/>
        </w:rPr>
        <w:t>1</w:t>
      </w:r>
      <w:r>
        <w:rPr>
          <w:rFonts w:hint="eastAsia" w:ascii="宋体" w:hAnsi="宋体"/>
          <w:b/>
        </w:rPr>
        <w:t>、清算费用</w:t>
      </w:r>
    </w:p>
    <w:p w14:paraId="51322888">
      <w:pPr>
        <w:ind w:firstLine="312"/>
        <w:rPr>
          <w:rFonts w:ascii="宋体"/>
        </w:rPr>
      </w:pPr>
      <w:r>
        <w:rPr>
          <w:rFonts w:hint="eastAsia" w:ascii="宋体" w:hAnsi="宋体"/>
        </w:rPr>
        <w:t>按照《交银施罗德裕惠纯债债券型证券投资基金基金合同》第十九部分“基金合同的变更、终止与基金财产的清算”的规定，清算费用是指基金财产清算小组在进行基金清算过程中发生的所有合理费用，清算费用由基金财产清算小组优先从基金财产中支付。但从保护基金份额持有人利益的角度出发，本基金清算期间的律师费由基金管理人承担。</w:t>
      </w:r>
    </w:p>
    <w:p w14:paraId="204B7AB6">
      <w:pPr>
        <w:spacing w:before="156" w:beforeLines="50" w:after="156" w:afterLines="50"/>
        <w:rPr>
          <w:rFonts w:ascii="宋体" w:hAnsi="宋体"/>
          <w:b/>
        </w:rPr>
      </w:pPr>
      <w:r>
        <w:rPr>
          <w:rFonts w:ascii="宋体" w:hAnsi="宋体"/>
          <w:b/>
        </w:rPr>
        <w:t>2</w:t>
      </w:r>
      <w:r>
        <w:rPr>
          <w:rFonts w:hint="eastAsia" w:ascii="宋体" w:hAnsi="宋体"/>
          <w:b/>
        </w:rPr>
        <w:t>、资产处置情况</w:t>
      </w:r>
    </w:p>
    <w:p w14:paraId="7E1CE294">
      <w:pPr>
        <w:ind w:firstLine="408"/>
        <w:rPr>
          <w:rFonts w:ascii="宋体" w:hAnsi="宋体"/>
        </w:rPr>
      </w:pPr>
      <w:r>
        <w:rPr>
          <w:rFonts w:hint="eastAsia" w:ascii="宋体" w:hAnsi="宋体"/>
        </w:rPr>
        <w:t>（1）本基金最后运作日存出保证金（含利息）为人民币</w:t>
      </w:r>
      <w:r>
        <w:rPr>
          <w:rFonts w:ascii="宋体" w:hAnsi="宋体"/>
        </w:rPr>
        <w:t>8,615.39</w:t>
      </w:r>
      <w:r>
        <w:rPr>
          <w:rFonts w:hint="eastAsia" w:ascii="宋体" w:hAnsi="宋体"/>
        </w:rPr>
        <w:t>元。</w:t>
      </w:r>
    </w:p>
    <w:p w14:paraId="6AF6B0E0">
      <w:pPr>
        <w:ind w:firstLine="408"/>
        <w:rPr>
          <w:rFonts w:ascii="宋体" w:hAnsi="宋体"/>
        </w:rPr>
      </w:pPr>
      <w:r>
        <w:rPr>
          <w:rFonts w:hint="eastAsia" w:ascii="宋体" w:hAnsi="宋体"/>
        </w:rPr>
        <w:t>（2）本基金最后运作日银行存款（含利息）为人民币共计</w:t>
      </w:r>
      <w:r>
        <w:rPr>
          <w:rFonts w:ascii="宋体" w:hAnsi="宋体"/>
        </w:rPr>
        <w:t>417,592.19</w:t>
      </w:r>
      <w:r>
        <w:rPr>
          <w:rFonts w:hint="eastAsia" w:ascii="宋体" w:hAnsi="宋体"/>
        </w:rPr>
        <w:t>元。</w:t>
      </w:r>
    </w:p>
    <w:p w14:paraId="75860BE6">
      <w:pPr>
        <w:ind w:firstLine="408"/>
        <w:rPr>
          <w:rFonts w:ascii="宋体" w:hAnsi="宋体"/>
        </w:rPr>
      </w:pPr>
      <w:r>
        <w:rPr>
          <w:rFonts w:hint="eastAsia" w:ascii="宋体" w:hAnsi="宋体"/>
        </w:rPr>
        <w:t>（3）本基金最后运作日交易性金融资产为人民币共计</w:t>
      </w:r>
      <w:r>
        <w:rPr>
          <w:rFonts w:ascii="宋体" w:hAnsi="宋体"/>
        </w:rPr>
        <w:t>201,664.44</w:t>
      </w:r>
      <w:r>
        <w:rPr>
          <w:rFonts w:hint="eastAsia" w:ascii="宋体" w:hAnsi="宋体"/>
        </w:rPr>
        <w:t>元，该款项已于清算期间变现后划入托管账户。</w:t>
      </w:r>
    </w:p>
    <w:p w14:paraId="2EF568A7">
      <w:pPr>
        <w:ind w:firstLine="408"/>
        <w:rPr>
          <w:rFonts w:ascii="宋体" w:hAnsi="宋体"/>
        </w:rPr>
      </w:pPr>
      <w:r>
        <w:rPr>
          <w:rFonts w:hint="eastAsia" w:ascii="宋体" w:hAnsi="宋体"/>
        </w:rPr>
        <w:t>（</w:t>
      </w:r>
      <w:r>
        <w:rPr>
          <w:rFonts w:ascii="宋体" w:hAnsi="宋体"/>
        </w:rPr>
        <w:t>4</w:t>
      </w:r>
      <w:r>
        <w:rPr>
          <w:rFonts w:hint="eastAsia" w:ascii="宋体" w:hAnsi="宋体"/>
        </w:rPr>
        <w:t>）本基金最后运作日应收申购款为人民币</w:t>
      </w:r>
      <w:r>
        <w:rPr>
          <w:rFonts w:ascii="宋体" w:hAnsi="宋体"/>
        </w:rPr>
        <w:t>825,103.39</w:t>
      </w:r>
      <w:r>
        <w:rPr>
          <w:rFonts w:hint="eastAsia" w:ascii="宋体" w:hAnsi="宋体"/>
        </w:rPr>
        <w:t>元，该款项于202</w:t>
      </w:r>
      <w:r>
        <w:rPr>
          <w:rFonts w:ascii="宋体" w:hAnsi="宋体"/>
        </w:rPr>
        <w:t>6</w:t>
      </w:r>
      <w:r>
        <w:rPr>
          <w:rFonts w:hint="eastAsia" w:ascii="宋体" w:hAnsi="宋体"/>
        </w:rPr>
        <w:t>年</w:t>
      </w:r>
      <w:r>
        <w:rPr>
          <w:rFonts w:ascii="宋体" w:hAnsi="宋体"/>
        </w:rPr>
        <w:t>9</w:t>
      </w:r>
      <w:r>
        <w:rPr>
          <w:rFonts w:hint="eastAsia" w:ascii="宋体" w:hAnsi="宋体"/>
        </w:rPr>
        <w:t>月15日划入托管账户。</w:t>
      </w:r>
    </w:p>
    <w:p w14:paraId="1B55912D">
      <w:pPr>
        <w:ind w:firstLine="408"/>
        <w:rPr>
          <w:rFonts w:ascii="宋体" w:hAnsi="宋体"/>
        </w:rPr>
      </w:pPr>
      <w:r>
        <w:rPr>
          <w:rFonts w:hint="eastAsia" w:ascii="宋体" w:hAnsi="宋体"/>
        </w:rPr>
        <w:t>（</w:t>
      </w:r>
      <w:r>
        <w:rPr>
          <w:rFonts w:ascii="宋体" w:hAnsi="宋体"/>
        </w:rPr>
        <w:t>5</w:t>
      </w:r>
      <w:r>
        <w:rPr>
          <w:rFonts w:hint="eastAsia" w:ascii="宋体" w:hAnsi="宋体"/>
        </w:rPr>
        <w:t>）本基金最后运作日无其他资产。</w:t>
      </w:r>
    </w:p>
    <w:p w14:paraId="7B01A02C">
      <w:pPr>
        <w:spacing w:before="156" w:beforeLines="50" w:after="156" w:afterLines="50"/>
        <w:rPr>
          <w:rFonts w:ascii="宋体" w:hAnsi="宋体"/>
        </w:rPr>
      </w:pPr>
      <w:r>
        <w:rPr>
          <w:rFonts w:ascii="宋体" w:hAnsi="宋体"/>
        </w:rPr>
        <w:t>3</w:t>
      </w:r>
      <w:r>
        <w:rPr>
          <w:rFonts w:hint="eastAsia" w:ascii="宋体" w:hAnsi="宋体"/>
        </w:rPr>
        <w:t>、负债清偿情况</w:t>
      </w:r>
    </w:p>
    <w:p w14:paraId="7375289F">
      <w:pPr>
        <w:ind w:firstLine="408"/>
        <w:rPr>
          <w:rFonts w:ascii="宋体" w:hAnsi="宋体"/>
        </w:rPr>
      </w:pPr>
      <w:r>
        <w:rPr>
          <w:rFonts w:hint="eastAsia" w:ascii="宋体" w:hAnsi="宋体"/>
        </w:rPr>
        <w:t>（</w:t>
      </w:r>
      <w:r>
        <w:rPr>
          <w:rFonts w:ascii="宋体" w:hAnsi="宋体"/>
        </w:rPr>
        <w:t>1</w:t>
      </w:r>
      <w:r>
        <w:rPr>
          <w:rFonts w:hint="eastAsia" w:ascii="宋体" w:hAnsi="宋体"/>
        </w:rPr>
        <w:t>）本基金最后运作日应付赎回款为人民币</w:t>
      </w:r>
      <w:r>
        <w:rPr>
          <w:rFonts w:ascii="宋体" w:hAnsi="宋体"/>
        </w:rPr>
        <w:t>75.95</w:t>
      </w:r>
      <w:r>
        <w:rPr>
          <w:rFonts w:hint="eastAsia" w:ascii="宋体" w:hAnsi="宋体"/>
        </w:rPr>
        <w:t>元</w:t>
      </w:r>
      <w:r>
        <w:rPr>
          <w:rFonts w:ascii="宋体" w:hAnsi="宋体"/>
        </w:rPr>
        <w:t>，</w:t>
      </w:r>
      <w:r>
        <w:rPr>
          <w:rFonts w:hint="eastAsia" w:ascii="宋体" w:hAnsi="宋体"/>
        </w:rPr>
        <w:t>该款项于202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15</w:t>
      </w:r>
      <w:r>
        <w:rPr>
          <w:rFonts w:hint="eastAsia" w:ascii="宋体" w:hAnsi="宋体"/>
        </w:rPr>
        <w:t>日支付。</w:t>
      </w:r>
    </w:p>
    <w:p w14:paraId="4F7404F7">
      <w:pPr>
        <w:ind w:firstLine="408"/>
        <w:rPr>
          <w:rFonts w:ascii="宋体"/>
        </w:rPr>
      </w:pPr>
      <w:r>
        <w:rPr>
          <w:rFonts w:hint="eastAsia" w:ascii="宋体" w:hAnsi="宋体"/>
        </w:rPr>
        <w:t>（</w:t>
      </w:r>
      <w:r>
        <w:rPr>
          <w:rFonts w:ascii="宋体" w:hAnsi="宋体"/>
        </w:rPr>
        <w:t>2</w:t>
      </w:r>
      <w:r>
        <w:rPr>
          <w:rFonts w:hint="eastAsia" w:ascii="宋体" w:hAnsi="宋体"/>
        </w:rPr>
        <w:t>）本基金最后运作日应付管理人报酬为人民币</w:t>
      </w:r>
      <w:r>
        <w:rPr>
          <w:rFonts w:ascii="宋体" w:hAnsi="宋体"/>
        </w:rPr>
        <w:t>63.39</w:t>
      </w:r>
      <w:r>
        <w:rPr>
          <w:rFonts w:hint="eastAsia" w:ascii="宋体" w:hAnsi="宋体"/>
        </w:rPr>
        <w:t>元，该款项于202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22</w:t>
      </w:r>
      <w:r>
        <w:rPr>
          <w:rFonts w:hint="eastAsia" w:ascii="宋体" w:hAnsi="宋体"/>
        </w:rPr>
        <w:t>日支付。</w:t>
      </w:r>
    </w:p>
    <w:p w14:paraId="14AAD146">
      <w:pPr>
        <w:ind w:firstLine="408"/>
        <w:rPr>
          <w:rFonts w:ascii="宋体"/>
        </w:rPr>
      </w:pPr>
      <w:r>
        <w:rPr>
          <w:rFonts w:hint="eastAsia" w:ascii="宋体" w:hAnsi="宋体"/>
        </w:rPr>
        <w:t>（</w:t>
      </w:r>
      <w:r>
        <w:rPr>
          <w:rFonts w:ascii="宋体" w:hAnsi="宋体"/>
        </w:rPr>
        <w:t>3</w:t>
      </w:r>
      <w:r>
        <w:rPr>
          <w:rFonts w:hint="eastAsia" w:ascii="宋体" w:hAnsi="宋体"/>
        </w:rPr>
        <w:t>）本基金最后运作日应付托管费为人民币</w:t>
      </w:r>
      <w:r>
        <w:rPr>
          <w:rFonts w:ascii="宋体" w:hAnsi="宋体"/>
        </w:rPr>
        <w:t>10.59</w:t>
      </w:r>
      <w:r>
        <w:rPr>
          <w:rFonts w:hint="eastAsia" w:ascii="宋体" w:hAnsi="宋体"/>
        </w:rPr>
        <w:t>元，该款项于202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22</w:t>
      </w:r>
      <w:r>
        <w:rPr>
          <w:rFonts w:hint="eastAsia" w:ascii="宋体" w:hAnsi="宋体"/>
        </w:rPr>
        <w:t>日支付。</w:t>
      </w:r>
    </w:p>
    <w:p w14:paraId="28F0ECA0">
      <w:pPr>
        <w:ind w:firstLine="408"/>
        <w:rPr>
          <w:rFonts w:ascii="宋体"/>
        </w:rPr>
      </w:pPr>
      <w:r>
        <w:rPr>
          <w:rFonts w:hint="eastAsia" w:ascii="宋体" w:hAnsi="宋体"/>
        </w:rPr>
        <w:t>（4）本基金最后运作日应付税费为人民币</w:t>
      </w:r>
      <w:r>
        <w:t>5.46</w:t>
      </w:r>
      <w:r>
        <w:rPr>
          <w:rFonts w:hint="eastAsia" w:ascii="宋体" w:hAnsi="宋体"/>
        </w:rPr>
        <w:t>元，该款项于202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22</w:t>
      </w:r>
      <w:r>
        <w:rPr>
          <w:rFonts w:hint="eastAsia" w:ascii="宋体" w:hAnsi="宋体"/>
        </w:rPr>
        <w:t>日支付。</w:t>
      </w:r>
    </w:p>
    <w:p w14:paraId="3D91D081">
      <w:pPr>
        <w:ind w:firstLine="408"/>
        <w:rPr>
          <w:rFonts w:ascii="宋体"/>
        </w:rPr>
      </w:pPr>
      <w:r>
        <w:rPr>
          <w:rFonts w:hint="eastAsia" w:ascii="宋体" w:hAnsi="宋体"/>
        </w:rPr>
        <w:t>（5）</w:t>
      </w:r>
      <w:r>
        <w:rPr>
          <w:rFonts w:hint="eastAsia"/>
        </w:rPr>
        <w:t>本基金最后运作日其他负债为人民币40,083.50元，包括交易所和银行间交易费用</w:t>
      </w:r>
      <w:bookmarkStart w:id="4" w:name="OLE_LINK8"/>
      <w:bookmarkStart w:id="5" w:name="OLE_LINK9"/>
      <w:r>
        <w:rPr>
          <w:color w:val="000000"/>
        </w:rPr>
        <w:t>375.00</w:t>
      </w:r>
      <w:bookmarkEnd w:id="4"/>
      <w:bookmarkEnd w:id="5"/>
      <w:r>
        <w:rPr>
          <w:rFonts w:hint="eastAsia"/>
        </w:rPr>
        <w:t>元，预提审计费</w:t>
      </w:r>
      <w:bookmarkStart w:id="6" w:name="OLE_LINK11"/>
      <w:bookmarkStart w:id="7" w:name="OLE_LINK10"/>
      <w:r>
        <w:rPr>
          <w:rFonts w:hint="eastAsia"/>
        </w:rPr>
        <w:t>15,000.00</w:t>
      </w:r>
      <w:bookmarkEnd w:id="6"/>
      <w:bookmarkEnd w:id="7"/>
      <w:r>
        <w:rPr>
          <w:rFonts w:hint="eastAsia"/>
        </w:rPr>
        <w:t>元，预提信息披露费</w:t>
      </w:r>
      <w:bookmarkStart w:id="8" w:name="OLE_LINK13"/>
      <w:bookmarkStart w:id="9" w:name="OLE_LINK12"/>
      <w:r>
        <w:rPr>
          <w:rFonts w:hint="eastAsia"/>
        </w:rPr>
        <w:t>24,708.50</w:t>
      </w:r>
      <w:bookmarkEnd w:id="8"/>
      <w:bookmarkEnd w:id="9"/>
      <w:r>
        <w:rPr>
          <w:rFonts w:hint="eastAsia"/>
        </w:rPr>
        <w:t>元。2026年</w:t>
      </w:r>
      <w:bookmarkStart w:id="10" w:name="OLE_LINK4"/>
      <w:bookmarkStart w:id="11" w:name="OLE_LINK5"/>
      <w:bookmarkStart w:id="12" w:name="OLE_LINK24"/>
      <w:r>
        <w:rPr>
          <w:rFonts w:hint="eastAsia"/>
        </w:rPr>
        <w:t>9月22日</w:t>
      </w:r>
      <w:bookmarkEnd w:id="10"/>
      <w:bookmarkEnd w:id="11"/>
      <w:bookmarkEnd w:id="12"/>
      <w:r>
        <w:rPr>
          <w:rFonts w:hint="eastAsia"/>
        </w:rPr>
        <w:t>支付审计费15,000.00元和交易所和银行间交易费用</w:t>
      </w:r>
      <w:r>
        <w:rPr>
          <w:color w:val="000000"/>
        </w:rPr>
        <w:t>375.00</w:t>
      </w:r>
      <w:r>
        <w:rPr>
          <w:rFonts w:hint="eastAsia"/>
        </w:rPr>
        <w:t>元，剩余负债于2026年9月22日之后支付。</w:t>
      </w:r>
    </w:p>
    <w:p w14:paraId="0F17AA97">
      <w:pPr>
        <w:spacing w:before="156" w:beforeLines="50" w:after="156" w:afterLines="50"/>
        <w:rPr>
          <w:rFonts w:ascii="宋体" w:hAnsi="宋体"/>
          <w:b/>
        </w:rPr>
      </w:pPr>
      <w:r>
        <w:rPr>
          <w:rFonts w:hint="eastAsia" w:ascii="宋体" w:hAnsi="宋体"/>
          <w:b/>
        </w:rPr>
        <w:t>4、清算期间的损益情况</w:t>
      </w:r>
    </w:p>
    <w:p w14:paraId="255D4D5D">
      <w:pPr>
        <w:jc w:val="center"/>
        <w:rPr>
          <w:rFonts w:ascii="宋体" w:hAnsi="宋体"/>
        </w:rPr>
      </w:pPr>
      <w:r>
        <w:rPr>
          <w:rFonts w:hint="eastAsia" w:ascii="宋体" w:hAnsi="宋体"/>
        </w:rPr>
        <w:t>自</w:t>
      </w:r>
      <w:r>
        <w:rPr>
          <w:rFonts w:ascii="宋体" w:hAnsi="宋体"/>
        </w:rPr>
        <w:t>20</w:t>
      </w:r>
      <w:r>
        <w:rPr>
          <w:rFonts w:hint="eastAsia" w:ascii="宋体" w:hAnsi="宋体"/>
        </w:rPr>
        <w:t>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15</w:t>
      </w:r>
      <w:r>
        <w:rPr>
          <w:rFonts w:hint="eastAsia" w:ascii="宋体" w:hAnsi="宋体"/>
        </w:rPr>
        <w:t>日至</w:t>
      </w:r>
      <w:r>
        <w:rPr>
          <w:rFonts w:ascii="宋体" w:hAnsi="宋体"/>
        </w:rPr>
        <w:t>20</w:t>
      </w:r>
      <w:r>
        <w:rPr>
          <w:rFonts w:hint="eastAsia" w:ascii="宋体" w:hAnsi="宋体"/>
        </w:rPr>
        <w:t>2</w:t>
      </w:r>
      <w:r>
        <w:rPr>
          <w:rFonts w:ascii="宋体" w:hAnsi="宋体"/>
        </w:rPr>
        <w:t>6</w:t>
      </w:r>
      <w:r>
        <w:rPr>
          <w:rFonts w:hint="eastAsia" w:ascii="宋体" w:hAnsi="宋体"/>
        </w:rPr>
        <w:t>年</w:t>
      </w:r>
      <w:r>
        <w:rPr>
          <w:rFonts w:ascii="宋体" w:hAnsi="宋体"/>
        </w:rPr>
        <w:t>9</w:t>
      </w:r>
      <w:r>
        <w:rPr>
          <w:rFonts w:hint="eastAsia" w:ascii="宋体" w:hAnsi="宋体"/>
        </w:rPr>
        <w:t>月</w:t>
      </w:r>
      <w:r>
        <w:rPr>
          <w:rFonts w:ascii="宋体" w:hAnsi="宋体"/>
        </w:rPr>
        <w:t>22</w:t>
      </w:r>
      <w:r>
        <w:rPr>
          <w:rFonts w:hint="eastAsia" w:ascii="宋体" w:hAnsi="宋体"/>
        </w:rPr>
        <w:t>日止清算期间</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0"/>
        <w:gridCol w:w="4146"/>
      </w:tblGrid>
      <w:tr w14:paraId="6429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1B3DBD8B">
            <w:pPr>
              <w:rPr>
                <w:rFonts w:ascii="宋体" w:hAnsi="宋体"/>
              </w:rPr>
            </w:pPr>
            <w:r>
              <w:rPr>
                <w:rFonts w:hint="eastAsia" w:ascii="宋体" w:hAnsi="宋体"/>
              </w:rPr>
              <w:t>项目</w:t>
            </w:r>
          </w:p>
        </w:tc>
        <w:tc>
          <w:tcPr>
            <w:tcW w:w="4146" w:type="dxa"/>
            <w:tcBorders>
              <w:top w:val="single" w:color="auto" w:sz="4" w:space="0"/>
              <w:left w:val="single" w:color="auto" w:sz="4" w:space="0"/>
              <w:bottom w:val="single" w:color="auto" w:sz="4" w:space="0"/>
              <w:right w:val="single" w:color="auto" w:sz="4" w:space="0"/>
            </w:tcBorders>
          </w:tcPr>
          <w:p w14:paraId="597FE77D">
            <w:pPr>
              <w:rPr>
                <w:rFonts w:ascii="宋体" w:hAnsi="宋体"/>
              </w:rPr>
            </w:pPr>
            <w:r>
              <w:rPr>
                <w:rFonts w:hint="eastAsia" w:ascii="宋体" w:hAnsi="宋体"/>
              </w:rPr>
              <w:t>金额（单位：人民币元）</w:t>
            </w:r>
          </w:p>
        </w:tc>
      </w:tr>
      <w:tr w14:paraId="7472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3C3543A4">
            <w:pPr>
              <w:rPr>
                <w:rFonts w:ascii="宋体" w:hAnsi="宋体"/>
              </w:rPr>
            </w:pPr>
            <w:r>
              <w:rPr>
                <w:rFonts w:hint="eastAsia" w:ascii="宋体" w:hAnsi="宋体"/>
              </w:rPr>
              <w:t>一、清算收益</w:t>
            </w:r>
          </w:p>
        </w:tc>
        <w:tc>
          <w:tcPr>
            <w:tcW w:w="4146" w:type="dxa"/>
            <w:tcBorders>
              <w:top w:val="single" w:color="auto" w:sz="4" w:space="0"/>
              <w:left w:val="single" w:color="auto" w:sz="4" w:space="0"/>
              <w:bottom w:val="single" w:color="auto" w:sz="4" w:space="0"/>
              <w:right w:val="single" w:color="auto" w:sz="4" w:space="0"/>
            </w:tcBorders>
          </w:tcPr>
          <w:p w14:paraId="54FE49EF">
            <w:pPr>
              <w:rPr>
                <w:rFonts w:ascii="宋体" w:hAnsi="宋体"/>
              </w:rPr>
            </w:pPr>
          </w:p>
        </w:tc>
      </w:tr>
      <w:tr w14:paraId="26C6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6FEB3624">
            <w:pPr>
              <w:rPr>
                <w:rFonts w:ascii="宋体" w:hAnsi="宋体"/>
              </w:rPr>
            </w:pPr>
            <w:r>
              <w:rPr>
                <w:rFonts w:hint="eastAsia" w:ascii="宋体" w:hAnsi="宋体"/>
              </w:rPr>
              <w:t>利息收入（注</w:t>
            </w:r>
            <w:r>
              <w:rPr>
                <w:rFonts w:ascii="宋体" w:hAnsi="宋体"/>
              </w:rPr>
              <w:t>1）</w:t>
            </w:r>
          </w:p>
        </w:tc>
        <w:tc>
          <w:tcPr>
            <w:tcW w:w="4146" w:type="dxa"/>
            <w:tcBorders>
              <w:top w:val="single" w:color="auto" w:sz="4" w:space="0"/>
              <w:left w:val="single" w:color="auto" w:sz="4" w:space="0"/>
              <w:bottom w:val="single" w:color="auto" w:sz="4" w:space="0"/>
              <w:right w:val="single" w:color="auto" w:sz="4" w:space="0"/>
            </w:tcBorders>
          </w:tcPr>
          <w:p w14:paraId="57479BAB">
            <w:pPr>
              <w:rPr>
                <w:rFonts w:ascii="宋体" w:hAnsi="宋体"/>
              </w:rPr>
            </w:pPr>
            <w:r>
              <w:rPr>
                <w:rFonts w:hint="eastAsia"/>
                <w:color w:val="000000"/>
              </w:rPr>
              <w:t xml:space="preserve">310.15 </w:t>
            </w:r>
          </w:p>
        </w:tc>
      </w:tr>
      <w:tr w14:paraId="5E69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744AC38F">
            <w:pPr>
              <w:rPr>
                <w:rFonts w:ascii="宋体" w:hAnsi="宋体"/>
              </w:rPr>
            </w:pPr>
            <w:r>
              <w:rPr>
                <w:rFonts w:hint="eastAsia" w:ascii="宋体" w:hAnsi="宋体"/>
              </w:rPr>
              <w:t>债券投资收益（损失以"-"填列）</w:t>
            </w:r>
          </w:p>
        </w:tc>
        <w:tc>
          <w:tcPr>
            <w:tcW w:w="4146" w:type="dxa"/>
            <w:tcBorders>
              <w:top w:val="single" w:color="auto" w:sz="4" w:space="0"/>
              <w:left w:val="single" w:color="auto" w:sz="4" w:space="0"/>
              <w:bottom w:val="single" w:color="auto" w:sz="4" w:space="0"/>
              <w:right w:val="single" w:color="auto" w:sz="4" w:space="0"/>
            </w:tcBorders>
            <w:vAlign w:val="center"/>
          </w:tcPr>
          <w:p w14:paraId="0861A25A">
            <w:pPr>
              <w:rPr>
                <w:rFonts w:ascii="宋体" w:hAnsi="宋体"/>
              </w:rPr>
            </w:pPr>
            <w:r>
              <w:rPr>
                <w:rFonts w:hint="eastAsia"/>
                <w:color w:val="000000"/>
              </w:rPr>
              <w:t>-</w:t>
            </w:r>
            <w:bookmarkStart w:id="13" w:name="OLE_LINK14"/>
            <w:bookmarkStart w:id="14" w:name="OLE_LINK15"/>
            <w:r>
              <w:rPr>
                <w:rFonts w:hint="eastAsia"/>
                <w:color w:val="000000"/>
              </w:rPr>
              <w:t xml:space="preserve">125.74 </w:t>
            </w:r>
            <w:bookmarkEnd w:id="13"/>
            <w:bookmarkEnd w:id="14"/>
          </w:p>
        </w:tc>
      </w:tr>
      <w:tr w14:paraId="0889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2949854B">
            <w:pPr>
              <w:rPr>
                <w:rFonts w:ascii="宋体" w:hAnsi="宋体"/>
              </w:rPr>
            </w:pPr>
            <w:r>
              <w:rPr>
                <w:rFonts w:hint="eastAsia" w:ascii="宋体" w:hAnsi="宋体"/>
              </w:rPr>
              <w:t>股票投资收益（损失以"-"填列）</w:t>
            </w:r>
          </w:p>
        </w:tc>
        <w:tc>
          <w:tcPr>
            <w:tcW w:w="4146" w:type="dxa"/>
            <w:tcBorders>
              <w:top w:val="single" w:color="auto" w:sz="4" w:space="0"/>
              <w:left w:val="single" w:color="auto" w:sz="4" w:space="0"/>
              <w:bottom w:val="single" w:color="auto" w:sz="4" w:space="0"/>
              <w:right w:val="single" w:color="auto" w:sz="4" w:space="0"/>
            </w:tcBorders>
          </w:tcPr>
          <w:p w14:paraId="6042B800">
            <w:pPr>
              <w:rPr>
                <w:rFonts w:ascii="宋体" w:hAnsi="宋体"/>
              </w:rPr>
            </w:pPr>
            <w:r>
              <w:rPr>
                <w:rFonts w:hint="eastAsia"/>
                <w:color w:val="000000"/>
              </w:rPr>
              <w:t>-</w:t>
            </w:r>
          </w:p>
        </w:tc>
      </w:tr>
      <w:tr w14:paraId="11BE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04320F99">
            <w:pPr>
              <w:rPr>
                <w:rFonts w:ascii="宋体" w:hAnsi="宋体"/>
              </w:rPr>
            </w:pPr>
            <w:r>
              <w:rPr>
                <w:rFonts w:hint="eastAsia" w:ascii="宋体" w:hAnsi="宋体"/>
              </w:rPr>
              <w:t>股利收益（损失以"-"填列）</w:t>
            </w:r>
          </w:p>
        </w:tc>
        <w:tc>
          <w:tcPr>
            <w:tcW w:w="4146" w:type="dxa"/>
            <w:tcBorders>
              <w:top w:val="single" w:color="auto" w:sz="4" w:space="0"/>
              <w:left w:val="single" w:color="auto" w:sz="4" w:space="0"/>
              <w:bottom w:val="single" w:color="auto" w:sz="4" w:space="0"/>
              <w:right w:val="single" w:color="auto" w:sz="4" w:space="0"/>
            </w:tcBorders>
            <w:vAlign w:val="center"/>
          </w:tcPr>
          <w:p w14:paraId="0E447CA4">
            <w:pPr>
              <w:rPr>
                <w:rFonts w:ascii="宋体" w:hAnsi="宋体"/>
              </w:rPr>
            </w:pPr>
            <w:r>
              <w:rPr>
                <w:rFonts w:hint="eastAsia"/>
                <w:color w:val="000000"/>
              </w:rPr>
              <w:t>-</w:t>
            </w:r>
          </w:p>
        </w:tc>
      </w:tr>
      <w:tr w14:paraId="2679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244C6A59">
            <w:pPr>
              <w:rPr>
                <w:rFonts w:ascii="宋体" w:hAnsi="宋体"/>
              </w:rPr>
            </w:pPr>
            <w:bookmarkStart w:id="15" w:name="_Hlk242790900"/>
            <w:r>
              <w:rPr>
                <w:rFonts w:hint="eastAsia" w:ascii="宋体" w:hAnsi="宋体"/>
              </w:rPr>
              <w:t>公允价值变动损益（损失以"-"填列）</w:t>
            </w:r>
          </w:p>
        </w:tc>
        <w:tc>
          <w:tcPr>
            <w:tcW w:w="4146" w:type="dxa"/>
            <w:tcBorders>
              <w:top w:val="single" w:color="auto" w:sz="4" w:space="0"/>
              <w:left w:val="single" w:color="auto" w:sz="4" w:space="0"/>
              <w:bottom w:val="single" w:color="auto" w:sz="4" w:space="0"/>
              <w:right w:val="single" w:color="auto" w:sz="4" w:space="0"/>
            </w:tcBorders>
            <w:vAlign w:val="center"/>
          </w:tcPr>
          <w:p w14:paraId="1D8DEE2B">
            <w:pPr>
              <w:rPr>
                <w:rFonts w:ascii="宋体" w:hAnsi="宋体"/>
              </w:rPr>
            </w:pPr>
            <w:r>
              <w:rPr>
                <w:rFonts w:hint="eastAsia"/>
                <w:color w:val="000000"/>
              </w:rPr>
              <w:t xml:space="preserve">110.23 </w:t>
            </w:r>
          </w:p>
        </w:tc>
      </w:tr>
      <w:bookmarkEnd w:id="15"/>
      <w:tr w14:paraId="14BA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11BE2CAD">
            <w:pPr>
              <w:rPr>
                <w:rFonts w:ascii="宋体" w:hAnsi="宋体"/>
              </w:rPr>
            </w:pPr>
            <w:bookmarkStart w:id="16" w:name="_Hlk242790907"/>
            <w:r>
              <w:rPr>
                <w:rFonts w:hint="eastAsia" w:ascii="宋体" w:hAnsi="宋体"/>
              </w:rPr>
              <w:t>其他收入（损失以"-"填列）</w:t>
            </w:r>
          </w:p>
        </w:tc>
        <w:tc>
          <w:tcPr>
            <w:tcW w:w="4146" w:type="dxa"/>
            <w:tcBorders>
              <w:top w:val="single" w:color="auto" w:sz="4" w:space="0"/>
              <w:left w:val="single" w:color="auto" w:sz="4" w:space="0"/>
              <w:bottom w:val="single" w:color="auto" w:sz="4" w:space="0"/>
              <w:right w:val="single" w:color="auto" w:sz="4" w:space="0"/>
            </w:tcBorders>
            <w:vAlign w:val="center"/>
          </w:tcPr>
          <w:p w14:paraId="21FA9AA1">
            <w:pPr>
              <w:rPr>
                <w:rFonts w:ascii="宋体" w:hAnsi="宋体"/>
              </w:rPr>
            </w:pPr>
            <w:r>
              <w:rPr>
                <w:rFonts w:hint="eastAsia"/>
                <w:color w:val="000000"/>
              </w:rPr>
              <w:t xml:space="preserve">3,784.42 </w:t>
            </w:r>
          </w:p>
        </w:tc>
      </w:tr>
      <w:bookmarkEnd w:id="16"/>
      <w:tr w14:paraId="4A9C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6966815D">
            <w:pPr>
              <w:rPr>
                <w:rFonts w:ascii="宋体" w:hAnsi="宋体"/>
              </w:rPr>
            </w:pPr>
            <w:r>
              <w:rPr>
                <w:rFonts w:hint="eastAsia" w:ascii="宋体" w:hAnsi="宋体"/>
              </w:rPr>
              <w:t>清算收入小计（</w:t>
            </w:r>
            <w:r>
              <w:rPr>
                <w:rFonts w:ascii="宋体" w:hAnsi="宋体"/>
              </w:rPr>
              <w:t>1</w:t>
            </w:r>
            <w:r>
              <w:rPr>
                <w:rFonts w:hint="eastAsia" w:ascii="宋体" w:hAnsi="宋体"/>
              </w:rPr>
              <w:t>）</w:t>
            </w:r>
          </w:p>
        </w:tc>
        <w:tc>
          <w:tcPr>
            <w:tcW w:w="4146" w:type="dxa"/>
            <w:tcBorders>
              <w:top w:val="single" w:color="auto" w:sz="4" w:space="0"/>
              <w:left w:val="single" w:color="auto" w:sz="4" w:space="0"/>
              <w:bottom w:val="single" w:color="auto" w:sz="4" w:space="0"/>
              <w:right w:val="single" w:color="auto" w:sz="4" w:space="0"/>
            </w:tcBorders>
            <w:vAlign w:val="center"/>
          </w:tcPr>
          <w:p w14:paraId="40F1749A">
            <w:pPr>
              <w:rPr>
                <w:rFonts w:ascii="宋体" w:hAnsi="宋体"/>
              </w:rPr>
            </w:pPr>
            <w:r>
              <w:rPr>
                <w:rFonts w:hint="eastAsia"/>
                <w:color w:val="000000"/>
              </w:rPr>
              <w:t xml:space="preserve">4,079.06 </w:t>
            </w:r>
          </w:p>
        </w:tc>
      </w:tr>
      <w:tr w14:paraId="4086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6E191510">
            <w:pPr>
              <w:rPr>
                <w:rFonts w:ascii="宋体" w:hAnsi="宋体"/>
              </w:rPr>
            </w:pPr>
          </w:p>
        </w:tc>
        <w:tc>
          <w:tcPr>
            <w:tcW w:w="4146" w:type="dxa"/>
            <w:tcBorders>
              <w:top w:val="single" w:color="auto" w:sz="4" w:space="0"/>
              <w:left w:val="single" w:color="auto" w:sz="4" w:space="0"/>
              <w:bottom w:val="single" w:color="auto" w:sz="4" w:space="0"/>
              <w:right w:val="single" w:color="auto" w:sz="4" w:space="0"/>
            </w:tcBorders>
          </w:tcPr>
          <w:p w14:paraId="019F2BAA">
            <w:pPr>
              <w:rPr>
                <w:rFonts w:ascii="宋体" w:hAnsi="宋体"/>
              </w:rPr>
            </w:pPr>
          </w:p>
        </w:tc>
      </w:tr>
      <w:tr w14:paraId="493E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1B4E7DA3">
            <w:pPr>
              <w:rPr>
                <w:rFonts w:ascii="宋体" w:hAnsi="宋体"/>
              </w:rPr>
            </w:pPr>
            <w:r>
              <w:rPr>
                <w:rFonts w:hint="eastAsia" w:ascii="宋体" w:hAnsi="宋体"/>
              </w:rPr>
              <w:t>二、清算费用</w:t>
            </w:r>
          </w:p>
        </w:tc>
        <w:tc>
          <w:tcPr>
            <w:tcW w:w="4146" w:type="dxa"/>
            <w:tcBorders>
              <w:top w:val="single" w:color="auto" w:sz="4" w:space="0"/>
              <w:left w:val="single" w:color="auto" w:sz="4" w:space="0"/>
              <w:bottom w:val="single" w:color="auto" w:sz="4" w:space="0"/>
              <w:right w:val="single" w:color="auto" w:sz="4" w:space="0"/>
            </w:tcBorders>
          </w:tcPr>
          <w:p w14:paraId="4CD7AAB6">
            <w:pPr>
              <w:rPr>
                <w:rFonts w:ascii="宋体" w:hAnsi="宋体"/>
              </w:rPr>
            </w:pPr>
          </w:p>
        </w:tc>
      </w:tr>
      <w:tr w14:paraId="6E03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08700D34">
            <w:pPr>
              <w:rPr>
                <w:rFonts w:ascii="宋体" w:hAnsi="宋体"/>
              </w:rPr>
            </w:pPr>
            <w:r>
              <w:rPr>
                <w:rFonts w:hint="eastAsia" w:ascii="宋体" w:hAnsi="宋体"/>
              </w:rPr>
              <w:t>银行划款手续费</w:t>
            </w:r>
          </w:p>
        </w:tc>
        <w:tc>
          <w:tcPr>
            <w:tcW w:w="4146" w:type="dxa"/>
            <w:tcBorders>
              <w:top w:val="single" w:color="auto" w:sz="4" w:space="0"/>
              <w:left w:val="single" w:color="auto" w:sz="4" w:space="0"/>
              <w:bottom w:val="single" w:color="auto" w:sz="4" w:space="0"/>
              <w:right w:val="single" w:color="auto" w:sz="4" w:space="0"/>
            </w:tcBorders>
          </w:tcPr>
          <w:p w14:paraId="6C4BBF79">
            <w:pPr>
              <w:rPr>
                <w:rFonts w:ascii="宋体" w:hAnsi="宋体"/>
              </w:rPr>
            </w:pPr>
            <w:r>
              <w:rPr>
                <w:rFonts w:hint="eastAsia"/>
                <w:color w:val="000000"/>
              </w:rPr>
              <w:t>-</w:t>
            </w:r>
          </w:p>
        </w:tc>
      </w:tr>
      <w:tr w14:paraId="2014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4EACE28E">
            <w:pPr>
              <w:rPr>
                <w:rFonts w:ascii="宋体" w:hAnsi="宋体"/>
              </w:rPr>
            </w:pPr>
            <w:r>
              <w:rPr>
                <w:rFonts w:hint="eastAsia" w:ascii="宋体" w:hAnsi="宋体"/>
              </w:rPr>
              <w:t>交易费用</w:t>
            </w:r>
          </w:p>
        </w:tc>
        <w:tc>
          <w:tcPr>
            <w:tcW w:w="4146" w:type="dxa"/>
            <w:tcBorders>
              <w:top w:val="single" w:color="auto" w:sz="4" w:space="0"/>
              <w:left w:val="single" w:color="auto" w:sz="4" w:space="0"/>
              <w:bottom w:val="single" w:color="auto" w:sz="4" w:space="0"/>
              <w:right w:val="single" w:color="auto" w:sz="4" w:space="0"/>
            </w:tcBorders>
          </w:tcPr>
          <w:p w14:paraId="380528EF">
            <w:pPr>
              <w:rPr>
                <w:rFonts w:ascii="宋体" w:hAnsi="宋体"/>
              </w:rPr>
            </w:pPr>
            <w:r>
              <w:rPr>
                <w:rFonts w:hint="eastAsia"/>
                <w:color w:val="000000"/>
              </w:rPr>
              <w:t>-</w:t>
            </w:r>
          </w:p>
        </w:tc>
      </w:tr>
      <w:tr w14:paraId="4BB9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5D69AFFB">
            <w:pPr>
              <w:rPr>
                <w:rFonts w:ascii="宋体" w:hAnsi="宋体"/>
              </w:rPr>
            </w:pPr>
            <w:r>
              <w:rPr>
                <w:rFonts w:hint="eastAsia" w:ascii="宋体" w:hAnsi="宋体"/>
              </w:rPr>
              <w:t>其他费用</w:t>
            </w:r>
          </w:p>
        </w:tc>
        <w:tc>
          <w:tcPr>
            <w:tcW w:w="4146" w:type="dxa"/>
            <w:tcBorders>
              <w:top w:val="single" w:color="auto" w:sz="4" w:space="0"/>
              <w:left w:val="single" w:color="auto" w:sz="4" w:space="0"/>
              <w:bottom w:val="single" w:color="auto" w:sz="4" w:space="0"/>
              <w:right w:val="single" w:color="auto" w:sz="4" w:space="0"/>
            </w:tcBorders>
          </w:tcPr>
          <w:p w14:paraId="2CE2E671">
            <w:pPr>
              <w:rPr>
                <w:rFonts w:ascii="宋体" w:hAnsi="宋体"/>
              </w:rPr>
            </w:pPr>
            <w:r>
              <w:rPr>
                <w:rFonts w:hint="eastAsia"/>
                <w:color w:val="000000"/>
              </w:rPr>
              <w:t xml:space="preserve">0.01 </w:t>
            </w:r>
          </w:p>
        </w:tc>
      </w:tr>
      <w:tr w14:paraId="5754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74389673">
            <w:pPr>
              <w:rPr>
                <w:rFonts w:ascii="宋体" w:hAnsi="宋体"/>
              </w:rPr>
            </w:pPr>
            <w:r>
              <w:rPr>
                <w:rFonts w:hint="eastAsia" w:ascii="宋体" w:hAnsi="宋体"/>
              </w:rPr>
              <w:t>清算费用小计（</w:t>
            </w:r>
            <w:r>
              <w:rPr>
                <w:rFonts w:ascii="宋体" w:hAnsi="宋体"/>
              </w:rPr>
              <w:t>2</w:t>
            </w:r>
            <w:r>
              <w:rPr>
                <w:rFonts w:hint="eastAsia" w:ascii="宋体" w:hAnsi="宋体"/>
              </w:rPr>
              <w:t>）</w:t>
            </w:r>
          </w:p>
        </w:tc>
        <w:tc>
          <w:tcPr>
            <w:tcW w:w="4146" w:type="dxa"/>
            <w:tcBorders>
              <w:top w:val="single" w:color="auto" w:sz="4" w:space="0"/>
              <w:left w:val="single" w:color="auto" w:sz="4" w:space="0"/>
              <w:bottom w:val="single" w:color="auto" w:sz="4" w:space="0"/>
              <w:right w:val="single" w:color="auto" w:sz="4" w:space="0"/>
            </w:tcBorders>
          </w:tcPr>
          <w:p w14:paraId="478A44B2">
            <w:pPr>
              <w:rPr>
                <w:rFonts w:ascii="宋体" w:hAnsi="宋体"/>
              </w:rPr>
            </w:pPr>
            <w:r>
              <w:rPr>
                <w:rFonts w:hint="eastAsia"/>
                <w:color w:val="000000"/>
              </w:rPr>
              <w:t xml:space="preserve">0.01 </w:t>
            </w:r>
          </w:p>
        </w:tc>
      </w:tr>
      <w:tr w14:paraId="0359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0" w:type="dxa"/>
            <w:tcBorders>
              <w:top w:val="single" w:color="auto" w:sz="4" w:space="0"/>
              <w:left w:val="single" w:color="auto" w:sz="4" w:space="0"/>
              <w:bottom w:val="single" w:color="auto" w:sz="4" w:space="0"/>
              <w:right w:val="single" w:color="auto" w:sz="4" w:space="0"/>
            </w:tcBorders>
          </w:tcPr>
          <w:p w14:paraId="545CC04C">
            <w:pPr>
              <w:rPr>
                <w:rFonts w:ascii="宋体" w:hAnsi="宋体"/>
              </w:rPr>
            </w:pPr>
            <w:r>
              <w:rPr>
                <w:rFonts w:hint="eastAsia" w:ascii="宋体" w:hAnsi="宋体"/>
              </w:rPr>
              <w:t>三、清算净收益（</w:t>
            </w:r>
            <w:r>
              <w:rPr>
                <w:rFonts w:ascii="宋体" w:hAnsi="宋体"/>
              </w:rPr>
              <w:t>1</w:t>
            </w:r>
            <w:r>
              <w:rPr>
                <w:rFonts w:hint="eastAsia" w:ascii="宋体" w:hAnsi="宋体"/>
              </w:rPr>
              <w:t>）</w:t>
            </w:r>
            <w:r>
              <w:rPr>
                <w:rFonts w:ascii="宋体" w:hAnsi="宋体"/>
              </w:rPr>
              <w:t>-</w:t>
            </w:r>
            <w:r>
              <w:rPr>
                <w:rFonts w:hint="eastAsia" w:ascii="宋体" w:hAnsi="宋体"/>
              </w:rPr>
              <w:t>（</w:t>
            </w:r>
            <w:r>
              <w:rPr>
                <w:rFonts w:ascii="宋体" w:hAnsi="宋体"/>
              </w:rPr>
              <w:t>2</w:t>
            </w:r>
            <w:r>
              <w:rPr>
                <w:rFonts w:hint="eastAsia" w:ascii="宋体" w:hAnsi="宋体"/>
              </w:rPr>
              <w:t>）</w:t>
            </w:r>
          </w:p>
        </w:tc>
        <w:tc>
          <w:tcPr>
            <w:tcW w:w="4146" w:type="dxa"/>
            <w:tcBorders>
              <w:top w:val="single" w:color="auto" w:sz="4" w:space="0"/>
              <w:left w:val="single" w:color="auto" w:sz="4" w:space="0"/>
              <w:bottom w:val="single" w:color="auto" w:sz="4" w:space="0"/>
              <w:right w:val="single" w:color="auto" w:sz="4" w:space="0"/>
            </w:tcBorders>
            <w:vAlign w:val="center"/>
          </w:tcPr>
          <w:p w14:paraId="2E98649F">
            <w:pPr>
              <w:rPr>
                <w:rFonts w:ascii="宋体" w:hAnsi="宋体"/>
              </w:rPr>
            </w:pPr>
            <w:r>
              <w:rPr>
                <w:rFonts w:hint="eastAsia"/>
                <w:color w:val="000000"/>
              </w:rPr>
              <w:t xml:space="preserve">4,079.05 </w:t>
            </w:r>
          </w:p>
        </w:tc>
      </w:tr>
    </w:tbl>
    <w:p w14:paraId="2A1FF5CE">
      <w:pPr>
        <w:rPr>
          <w:rFonts w:ascii="宋体"/>
        </w:rPr>
      </w:pPr>
      <w:r>
        <w:rPr>
          <w:rFonts w:hint="eastAsia" w:ascii="宋体"/>
        </w:rPr>
        <w:t>注:</w:t>
      </w:r>
      <w:r>
        <w:rPr>
          <w:rFonts w:hint="eastAsia"/>
        </w:rPr>
        <w:t xml:space="preserve"> </w:t>
      </w:r>
      <w:r>
        <w:rPr>
          <w:rFonts w:hint="eastAsia" w:ascii="宋体"/>
        </w:rPr>
        <w:t>1、利息收入系计提的自202</w:t>
      </w:r>
      <w:r>
        <w:rPr>
          <w:rFonts w:ascii="宋体"/>
        </w:rPr>
        <w:t>6</w:t>
      </w:r>
      <w:r>
        <w:rPr>
          <w:rFonts w:hint="eastAsia" w:ascii="宋体"/>
        </w:rPr>
        <w:t>年</w:t>
      </w:r>
      <w:r>
        <w:rPr>
          <w:rFonts w:ascii="宋体"/>
        </w:rPr>
        <w:t>9</w:t>
      </w:r>
      <w:r>
        <w:rPr>
          <w:rFonts w:hint="eastAsia" w:ascii="宋体"/>
        </w:rPr>
        <w:t>月</w:t>
      </w:r>
      <w:r>
        <w:rPr>
          <w:rFonts w:ascii="宋体"/>
        </w:rPr>
        <w:t>15</w:t>
      </w:r>
      <w:r>
        <w:rPr>
          <w:rFonts w:hint="eastAsia" w:ascii="宋体"/>
        </w:rPr>
        <w:t>日至202</w:t>
      </w:r>
      <w:r>
        <w:rPr>
          <w:rFonts w:ascii="宋体"/>
        </w:rPr>
        <w:t>6</w:t>
      </w:r>
      <w:r>
        <w:rPr>
          <w:rFonts w:hint="eastAsia" w:ascii="宋体"/>
        </w:rPr>
        <w:t>年</w:t>
      </w:r>
      <w:r>
        <w:rPr>
          <w:rFonts w:ascii="宋体"/>
        </w:rPr>
        <w:t>9</w:t>
      </w:r>
      <w:r>
        <w:rPr>
          <w:rFonts w:hint="eastAsia" w:ascii="宋体"/>
        </w:rPr>
        <w:t>月</w:t>
      </w:r>
      <w:r>
        <w:rPr>
          <w:rFonts w:ascii="宋体"/>
        </w:rPr>
        <w:t>22</w:t>
      </w:r>
      <w:r>
        <w:rPr>
          <w:rFonts w:hint="eastAsia" w:ascii="宋体"/>
        </w:rPr>
        <w:t>日止清算期间的银行存款利息收入和存出保证金利息收入。</w:t>
      </w:r>
    </w:p>
    <w:p w14:paraId="22425C3D">
      <w:pPr>
        <w:rPr>
          <w:rFonts w:ascii="宋体"/>
        </w:rPr>
      </w:pPr>
      <w:r>
        <w:rPr>
          <w:rFonts w:ascii="宋体"/>
        </w:rPr>
        <w:t>2</w:t>
      </w:r>
      <w:r>
        <w:rPr>
          <w:rFonts w:hint="eastAsia" w:ascii="宋体"/>
        </w:rPr>
        <w:t>、本基金清算期间的律师费（如有）由基金管理人承担。</w:t>
      </w:r>
    </w:p>
    <w:p w14:paraId="33D4E385">
      <w:pPr>
        <w:spacing w:before="156" w:beforeLines="50" w:after="156" w:afterLines="50"/>
        <w:rPr>
          <w:rFonts w:ascii="宋体" w:hAnsi="宋体"/>
          <w:b/>
        </w:rPr>
      </w:pPr>
      <w:r>
        <w:rPr>
          <w:rFonts w:hint="eastAsia" w:ascii="宋体" w:hAnsi="宋体"/>
          <w:b/>
        </w:rPr>
        <w:t>5、资产处置及负债清偿后的剩余资产分配情况</w:t>
      </w:r>
    </w:p>
    <w:tbl>
      <w:tblPr>
        <w:tblStyle w:val="11"/>
        <w:tblW w:w="8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0"/>
        <w:gridCol w:w="4192"/>
      </w:tblGrid>
      <w:tr w14:paraId="0981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0" w:type="dxa"/>
          </w:tcPr>
          <w:p w14:paraId="6B11C192">
            <w:pPr>
              <w:rPr>
                <w:rFonts w:ascii="宋体"/>
              </w:rPr>
            </w:pPr>
            <w:r>
              <w:rPr>
                <w:rFonts w:hint="eastAsia" w:ascii="宋体" w:hAnsi="宋体"/>
              </w:rPr>
              <w:t>项目</w:t>
            </w:r>
          </w:p>
        </w:tc>
        <w:tc>
          <w:tcPr>
            <w:tcW w:w="4192" w:type="dxa"/>
          </w:tcPr>
          <w:p w14:paraId="0291668D">
            <w:pPr>
              <w:rPr>
                <w:rFonts w:ascii="宋体"/>
              </w:rPr>
            </w:pPr>
            <w:r>
              <w:rPr>
                <w:rFonts w:hint="eastAsia" w:ascii="宋体" w:hAnsi="宋体"/>
              </w:rPr>
              <w:t>金额（单位：人民币元）</w:t>
            </w:r>
          </w:p>
        </w:tc>
      </w:tr>
      <w:tr w14:paraId="0DE5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0" w:type="dxa"/>
          </w:tcPr>
          <w:p w14:paraId="112C419A">
            <w:pPr>
              <w:rPr>
                <w:rFonts w:ascii="宋体"/>
              </w:rPr>
            </w:pPr>
            <w:bookmarkStart w:id="17" w:name="_Hlk242791704"/>
            <w:r>
              <w:rPr>
                <w:rFonts w:hint="eastAsia"/>
                <w:color w:val="000000"/>
              </w:rPr>
              <w:t>一、最后运作日2026年9月14日基金净资产</w:t>
            </w:r>
          </w:p>
        </w:tc>
        <w:tc>
          <w:tcPr>
            <w:tcW w:w="4192" w:type="dxa"/>
            <w:vAlign w:val="center"/>
          </w:tcPr>
          <w:p w14:paraId="309590BF">
            <w:pPr>
              <w:jc w:val="right"/>
              <w:rPr>
                <w:rFonts w:ascii="宋体" w:hAnsi="宋体"/>
              </w:rPr>
            </w:pPr>
            <w:r>
              <w:rPr>
                <w:rFonts w:hint="eastAsia"/>
                <w:color w:val="000000"/>
              </w:rPr>
              <w:t>1,412,736.52</w:t>
            </w:r>
          </w:p>
        </w:tc>
      </w:tr>
      <w:bookmarkEnd w:id="17"/>
      <w:tr w14:paraId="57E2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0" w:type="dxa"/>
          </w:tcPr>
          <w:p w14:paraId="29E7CB73">
            <w:pPr>
              <w:rPr>
                <w:rFonts w:ascii="宋体"/>
              </w:rPr>
            </w:pPr>
            <w:r>
              <w:rPr>
                <w:rFonts w:hint="eastAsia"/>
                <w:color w:val="000000"/>
              </w:rPr>
              <w:t>加：清算期间净收益</w:t>
            </w:r>
          </w:p>
        </w:tc>
        <w:tc>
          <w:tcPr>
            <w:tcW w:w="4192" w:type="dxa"/>
            <w:vAlign w:val="center"/>
          </w:tcPr>
          <w:p w14:paraId="77EA77AC">
            <w:pPr>
              <w:jc w:val="right"/>
              <w:rPr>
                <w:rFonts w:ascii="宋体" w:hAnsi="宋体"/>
              </w:rPr>
            </w:pPr>
            <w:r>
              <w:rPr>
                <w:rFonts w:hint="eastAsia"/>
                <w:color w:val="000000"/>
              </w:rPr>
              <w:t>4,079.05</w:t>
            </w:r>
          </w:p>
        </w:tc>
      </w:tr>
      <w:tr w14:paraId="169C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0" w:type="dxa"/>
          </w:tcPr>
          <w:p w14:paraId="59CCAEB5">
            <w:pPr>
              <w:rPr>
                <w:rFonts w:ascii="宋体" w:hAnsi="宋体"/>
                <w:color w:val="FF0000"/>
                <w:highlight w:val="yellow"/>
              </w:rPr>
            </w:pPr>
            <w:r>
              <w:rPr>
                <w:rFonts w:hint="eastAsia"/>
                <w:color w:val="000000"/>
              </w:rPr>
              <w:t>加：2026年9月15日确认的净申购款</w:t>
            </w:r>
          </w:p>
        </w:tc>
        <w:tc>
          <w:tcPr>
            <w:tcW w:w="4192" w:type="dxa"/>
            <w:vAlign w:val="bottom"/>
          </w:tcPr>
          <w:p w14:paraId="146E09BB">
            <w:pPr>
              <w:widowControl/>
              <w:jc w:val="right"/>
              <w:textAlignment w:val="bottom"/>
              <w:rPr>
                <w:rFonts w:ascii="宋体" w:hAnsi="宋体"/>
                <w:highlight w:val="yellow"/>
              </w:rPr>
            </w:pPr>
            <w:r>
              <w:rPr>
                <w:rFonts w:hint="eastAsia"/>
                <w:color w:val="000000"/>
              </w:rPr>
              <w:t>2,927,208.13</w:t>
            </w:r>
          </w:p>
        </w:tc>
      </w:tr>
      <w:tr w14:paraId="2E7A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340" w:type="dxa"/>
          </w:tcPr>
          <w:p w14:paraId="04C49BDC">
            <w:pPr>
              <w:rPr>
                <w:rFonts w:ascii="宋体"/>
              </w:rPr>
            </w:pPr>
            <w:r>
              <w:rPr>
                <w:rFonts w:hint="eastAsia"/>
                <w:color w:val="000000"/>
              </w:rPr>
              <w:t>二、2026年9月22日基金净资产</w:t>
            </w:r>
          </w:p>
        </w:tc>
        <w:tc>
          <w:tcPr>
            <w:tcW w:w="4192" w:type="dxa"/>
            <w:vAlign w:val="center"/>
          </w:tcPr>
          <w:p w14:paraId="4111056D">
            <w:pPr>
              <w:jc w:val="right"/>
              <w:rPr>
                <w:rFonts w:ascii="宋体" w:hAnsi="宋体"/>
              </w:rPr>
            </w:pPr>
            <w:r>
              <w:rPr>
                <w:rFonts w:hint="eastAsia"/>
                <w:color w:val="000000"/>
                <w:sz w:val="18"/>
                <w:szCs w:val="18"/>
              </w:rPr>
              <w:t>4,344,023.70</w:t>
            </w:r>
          </w:p>
        </w:tc>
      </w:tr>
    </w:tbl>
    <w:p w14:paraId="4718CCB8">
      <w:pPr>
        <w:ind w:firstLine="400" w:firstLineChars="200"/>
        <w:rPr>
          <w:rFonts w:ascii="宋体"/>
        </w:rPr>
      </w:pPr>
      <w:r>
        <w:rPr>
          <w:rFonts w:hint="eastAsia" w:ascii="宋体" w:hAnsi="宋体"/>
        </w:rPr>
        <w:t>资产处置及负债清偿后，</w:t>
      </w:r>
      <w:r>
        <w:rPr>
          <w:rFonts w:hint="eastAsia" w:ascii="宋体"/>
        </w:rPr>
        <w:t>202</w:t>
      </w:r>
      <w:r>
        <w:rPr>
          <w:rFonts w:ascii="宋体"/>
        </w:rPr>
        <w:t>6</w:t>
      </w:r>
      <w:r>
        <w:rPr>
          <w:rFonts w:hint="eastAsia" w:ascii="宋体"/>
        </w:rPr>
        <w:t>年</w:t>
      </w:r>
      <w:r>
        <w:rPr>
          <w:rFonts w:ascii="宋体"/>
        </w:rPr>
        <w:t>9</w:t>
      </w:r>
      <w:r>
        <w:rPr>
          <w:rFonts w:hint="eastAsia" w:ascii="宋体"/>
        </w:rPr>
        <w:t>月</w:t>
      </w:r>
      <w:r>
        <w:rPr>
          <w:rFonts w:ascii="宋体"/>
        </w:rPr>
        <w:t>22</w:t>
      </w:r>
      <w:r>
        <w:rPr>
          <w:rFonts w:hint="eastAsia" w:ascii="宋体"/>
        </w:rPr>
        <w:t>日</w:t>
      </w:r>
      <w:r>
        <w:rPr>
          <w:rFonts w:hint="eastAsia" w:ascii="宋体" w:hAnsi="宋体"/>
        </w:rPr>
        <w:t>本基金剩余财产为人民币</w:t>
      </w:r>
      <w:r>
        <w:rPr>
          <w:rFonts w:hint="eastAsia"/>
          <w:color w:val="000000"/>
        </w:rPr>
        <w:t>4,344,023.70</w:t>
      </w:r>
      <w:r>
        <w:rPr>
          <w:rFonts w:hint="eastAsia" w:ascii="宋体" w:hAnsi="宋体"/>
        </w:rPr>
        <w:t>元，根据本基金的基金合同约定，依据基金财产清算的分配方案，将基金财产清算后的全部剩余资产扣除基金财产清算费用、缴纳所欠税款并清偿基金债务后，按基金份额持有人持有的基金份额比例进行分配。若后续清算中出现资产不足以支付债务的</w:t>
      </w:r>
      <w:r>
        <w:rPr>
          <w:rFonts w:ascii="宋体" w:hAnsi="宋体"/>
        </w:rPr>
        <w:t>情况，</w:t>
      </w:r>
      <w:r>
        <w:rPr>
          <w:rFonts w:hint="eastAsia" w:ascii="宋体" w:hAnsi="宋体"/>
        </w:rPr>
        <w:t>以持有人利益考虑，由基金管理人承担。</w:t>
      </w:r>
    </w:p>
    <w:p w14:paraId="70A4D59B">
      <w:pPr>
        <w:ind w:firstLine="408"/>
        <w:rPr>
          <w:rFonts w:ascii="宋体" w:hAnsi="宋体"/>
        </w:rPr>
      </w:pPr>
      <w:r>
        <w:rPr>
          <w:rFonts w:hint="eastAsia" w:ascii="宋体" w:hAnsi="宋体"/>
        </w:rPr>
        <w:t>清算结束日</w:t>
      </w:r>
      <w:r>
        <w:rPr>
          <w:rFonts w:hint="eastAsia" w:ascii="宋体"/>
        </w:rPr>
        <w:t>202</w:t>
      </w:r>
      <w:r>
        <w:rPr>
          <w:rFonts w:ascii="宋体"/>
        </w:rPr>
        <w:t>6</w:t>
      </w:r>
      <w:r>
        <w:rPr>
          <w:rFonts w:hint="eastAsia" w:ascii="宋体"/>
        </w:rPr>
        <w:t>年</w:t>
      </w:r>
      <w:r>
        <w:rPr>
          <w:rFonts w:ascii="宋体"/>
        </w:rPr>
        <w:t>9</w:t>
      </w:r>
      <w:r>
        <w:rPr>
          <w:rFonts w:hint="eastAsia" w:ascii="宋体"/>
        </w:rPr>
        <w:t>月</w:t>
      </w:r>
      <w:r>
        <w:rPr>
          <w:rFonts w:ascii="宋体"/>
        </w:rPr>
        <w:t>22</w:t>
      </w:r>
      <w:r>
        <w:rPr>
          <w:rFonts w:hint="eastAsia" w:ascii="宋体"/>
        </w:rPr>
        <w:t>日</w:t>
      </w:r>
      <w:r>
        <w:rPr>
          <w:rFonts w:hint="eastAsia" w:ascii="宋体" w:hAnsi="宋体"/>
        </w:rPr>
        <w:t>至清算款划出日前一日的银行存款产生的利息亦属份额持有人所有。清算期间的应收利息将由基金管理人以自有资金垫付，于清算款划出日前划入托管账户。</w:t>
      </w:r>
      <w:r>
        <w:rPr>
          <w:rFonts w:hint="eastAsia" w:ascii="宋体"/>
        </w:rPr>
        <w:t>202</w:t>
      </w:r>
      <w:r>
        <w:rPr>
          <w:rFonts w:ascii="宋体"/>
        </w:rPr>
        <w:t>6</w:t>
      </w:r>
      <w:r>
        <w:rPr>
          <w:rFonts w:hint="eastAsia" w:ascii="宋体"/>
        </w:rPr>
        <w:t>年</w:t>
      </w:r>
      <w:r>
        <w:rPr>
          <w:rFonts w:ascii="宋体"/>
        </w:rPr>
        <w:t>9</w:t>
      </w:r>
      <w:r>
        <w:rPr>
          <w:rFonts w:hint="eastAsia" w:ascii="宋体"/>
        </w:rPr>
        <w:t>月</w:t>
      </w:r>
      <w:r>
        <w:rPr>
          <w:rFonts w:ascii="宋体"/>
        </w:rPr>
        <w:t>22</w:t>
      </w:r>
      <w:r>
        <w:rPr>
          <w:rFonts w:hint="eastAsia" w:ascii="宋体"/>
        </w:rPr>
        <w:t>日</w:t>
      </w:r>
      <w:r>
        <w:rPr>
          <w:rFonts w:hint="eastAsia" w:ascii="宋体" w:hAnsi="宋体"/>
        </w:rPr>
        <w:t>至清算款划出日前一日的银行存款产生的利息亦由基金管理人以自有资金垫付。实际结息金额与垫付金额的尾差由基金管理人承担。</w:t>
      </w:r>
    </w:p>
    <w:p w14:paraId="75D809B0">
      <w:pPr>
        <w:spacing w:before="156" w:beforeLines="50" w:after="156" w:afterLines="50"/>
        <w:rPr>
          <w:rFonts w:ascii="宋体" w:hAnsi="宋体"/>
          <w:b/>
        </w:rPr>
      </w:pPr>
      <w:r>
        <w:rPr>
          <w:rFonts w:hint="eastAsia" w:ascii="宋体" w:hAnsi="宋体"/>
          <w:b/>
        </w:rPr>
        <w:t>6、基金财产清算报告的告知安排</w:t>
      </w:r>
    </w:p>
    <w:p w14:paraId="6AC5D190">
      <w:pPr>
        <w:ind w:firstLine="408"/>
        <w:rPr>
          <w:rFonts w:ascii="宋体"/>
        </w:rPr>
      </w:pPr>
      <w:r>
        <w:rPr>
          <w:rFonts w:hint="eastAsia" w:ascii="宋体" w:hAnsi="宋体"/>
        </w:rPr>
        <w:t>清算报告已经基金托管人复核，在经会计师事务所审计、律师事务所出具法律意见书后，报中国证监会备案后向基金份额持有人公告。</w:t>
      </w:r>
    </w:p>
    <w:p w14:paraId="2316483F">
      <w:pPr>
        <w:spacing w:after="312" w:afterLines="100"/>
        <w:rPr>
          <w:rStyle w:val="14"/>
        </w:rPr>
      </w:pPr>
      <w:r>
        <w:rPr>
          <w:rStyle w:val="14"/>
          <w:rFonts w:hint="eastAsia"/>
        </w:rPr>
        <w:t>六、备查文件目录</w:t>
      </w:r>
    </w:p>
    <w:p w14:paraId="04F52B82">
      <w:pPr>
        <w:spacing w:before="156" w:beforeLines="50" w:after="156" w:afterLines="50"/>
        <w:rPr>
          <w:rFonts w:ascii="宋体" w:hAnsi="宋体"/>
          <w:b/>
        </w:rPr>
      </w:pPr>
      <w:r>
        <w:rPr>
          <w:rFonts w:hint="eastAsia" w:ascii="宋体" w:hAnsi="宋体"/>
          <w:b/>
        </w:rPr>
        <w:t>1、备查文件目录</w:t>
      </w:r>
    </w:p>
    <w:p w14:paraId="0FF8B384">
      <w:pPr>
        <w:ind w:firstLine="396"/>
        <w:rPr>
          <w:rFonts w:ascii="宋体"/>
        </w:rPr>
      </w:pPr>
      <w:r>
        <w:rPr>
          <w:rFonts w:hint="eastAsia" w:ascii="宋体" w:hAnsi="宋体"/>
        </w:rPr>
        <w:t>（</w:t>
      </w:r>
      <w:r>
        <w:rPr>
          <w:rFonts w:ascii="宋体" w:hAnsi="宋体"/>
        </w:rPr>
        <w:t>1</w:t>
      </w:r>
      <w:r>
        <w:rPr>
          <w:rFonts w:hint="eastAsia" w:ascii="宋体" w:hAnsi="宋体"/>
        </w:rPr>
        <w:t>）《交银施罗德裕惠纯债债券型证券投资基金清算审计报告》；</w:t>
      </w:r>
    </w:p>
    <w:p w14:paraId="15C1B68F">
      <w:pPr>
        <w:ind w:firstLine="396"/>
        <w:rPr>
          <w:rFonts w:ascii="宋体" w:hAnsi="宋体"/>
        </w:rPr>
      </w:pPr>
      <w:r>
        <w:rPr>
          <w:rFonts w:hint="eastAsia" w:ascii="宋体" w:hAnsi="宋体"/>
        </w:rPr>
        <w:t>（2）关于《交银施罗德裕惠纯债债券型证券投资基金清算报告》的法律意见。</w:t>
      </w:r>
    </w:p>
    <w:p w14:paraId="3786D79F">
      <w:pPr>
        <w:spacing w:before="156" w:beforeLines="50" w:after="156" w:afterLines="50"/>
        <w:rPr>
          <w:rFonts w:ascii="宋体" w:hAnsi="宋体"/>
          <w:b/>
        </w:rPr>
      </w:pPr>
      <w:r>
        <w:rPr>
          <w:rFonts w:hint="eastAsia" w:ascii="宋体" w:hAnsi="宋体"/>
          <w:b/>
        </w:rPr>
        <w:t>2、存放地点</w:t>
      </w:r>
    </w:p>
    <w:p w14:paraId="07D5823E">
      <w:pPr>
        <w:ind w:firstLine="408"/>
        <w:rPr>
          <w:rFonts w:ascii="宋体"/>
        </w:rPr>
      </w:pPr>
      <w:r>
        <w:rPr>
          <w:rFonts w:hint="eastAsia" w:ascii="宋体" w:hAnsi="宋体"/>
        </w:rPr>
        <w:t>上述备查文本存放在本基金管理人办公场所，投资者可免费查阅，在支付工本费后，可在合理时间内取得上述文件的复制件或复印件。相关公开披露的法律文件，投资者还可在本基金管理人网站（</w:t>
      </w:r>
      <w:r>
        <w:t>http://www.fund001.com</w:t>
      </w:r>
      <w:r>
        <w:rPr>
          <w:rFonts w:hint="eastAsia" w:ascii="宋体" w:hAnsi="宋体"/>
        </w:rPr>
        <w:t>）查阅。</w:t>
      </w:r>
    </w:p>
    <w:p w14:paraId="1ED09D23">
      <w:pPr>
        <w:spacing w:before="156" w:beforeLines="50" w:after="156" w:afterLines="50"/>
        <w:rPr>
          <w:rFonts w:ascii="宋体" w:hAnsi="宋体"/>
          <w:b/>
        </w:rPr>
      </w:pPr>
      <w:r>
        <w:rPr>
          <w:rFonts w:hint="eastAsia" w:ascii="宋体" w:hAnsi="宋体"/>
          <w:b/>
        </w:rPr>
        <w:t>3、查阅方式</w:t>
      </w:r>
    </w:p>
    <w:p w14:paraId="2358BAB5">
      <w:pPr>
        <w:ind w:firstLine="396"/>
        <w:rPr>
          <w:rFonts w:ascii="宋体"/>
        </w:rPr>
      </w:pPr>
      <w:r>
        <w:rPr>
          <w:rFonts w:hint="eastAsia" w:ascii="宋体" w:hAnsi="宋体"/>
        </w:rPr>
        <w:t>本报告存放在本基金管理人及基金托管人住所，供公众查阅、复制。</w:t>
      </w:r>
    </w:p>
    <w:p w14:paraId="1AF1A744">
      <w:pPr>
        <w:ind w:firstLine="396"/>
        <w:rPr>
          <w:rFonts w:ascii="宋体"/>
        </w:rPr>
      </w:pPr>
    </w:p>
    <w:p w14:paraId="4E1ABA22">
      <w:pPr>
        <w:ind w:firstLine="396"/>
        <w:rPr>
          <w:rFonts w:ascii="宋体"/>
        </w:rPr>
      </w:pPr>
    </w:p>
    <w:p w14:paraId="6677BEFD">
      <w:pPr>
        <w:ind w:firstLine="396"/>
        <w:jc w:val="right"/>
        <w:rPr>
          <w:rFonts w:ascii="宋体" w:hAnsi="宋体"/>
        </w:rPr>
      </w:pPr>
      <w:r>
        <w:rPr>
          <w:rFonts w:hint="eastAsia" w:ascii="宋体" w:hAnsi="宋体"/>
        </w:rPr>
        <w:t>交银施罗德裕惠纯债债券型证券投资基金</w:t>
      </w:r>
    </w:p>
    <w:p w14:paraId="753921E7">
      <w:pPr>
        <w:ind w:firstLine="396"/>
        <w:jc w:val="right"/>
        <w:rPr>
          <w:rFonts w:ascii="宋体"/>
        </w:rPr>
      </w:pPr>
      <w:r>
        <w:rPr>
          <w:rFonts w:hint="eastAsia" w:ascii="宋体" w:hAnsi="宋体"/>
        </w:rPr>
        <w:t>基金财产清算小组</w:t>
      </w:r>
    </w:p>
    <w:p w14:paraId="2E4B440F">
      <w:pPr>
        <w:ind w:firstLine="396"/>
        <w:jc w:val="right"/>
        <w:rPr>
          <w:rFonts w:ascii="宋体"/>
        </w:rPr>
      </w:pPr>
      <w:r>
        <w:rPr>
          <w:rFonts w:ascii="宋体" w:hAnsi="宋体"/>
        </w:rPr>
        <w:t>20</w:t>
      </w:r>
      <w:r>
        <w:rPr>
          <w:rFonts w:hint="eastAsia" w:ascii="宋体" w:hAnsi="宋体"/>
        </w:rPr>
        <w:t>2</w:t>
      </w:r>
      <w:r>
        <w:rPr>
          <w:rFonts w:ascii="宋体" w:hAnsi="宋体"/>
        </w:rPr>
        <w:t>6</w:t>
      </w:r>
      <w:r>
        <w:rPr>
          <w:rFonts w:hint="eastAsia" w:ascii="宋体" w:hAnsi="宋体"/>
        </w:rPr>
        <w:t>年</w:t>
      </w:r>
      <w:r>
        <w:rPr>
          <w:rFonts w:hint="eastAsia" w:ascii="宋体" w:hAnsi="宋体"/>
          <w:lang w:val="en-US" w:eastAsia="zh-CN"/>
        </w:rPr>
        <w:t>10</w:t>
      </w:r>
      <w:r>
        <w:rPr>
          <w:rFonts w:hint="eastAsia" w:ascii="宋体" w:hAnsi="宋体"/>
        </w:rPr>
        <w:t>月</w:t>
      </w:r>
      <w:r>
        <w:rPr>
          <w:rFonts w:hint="eastAsia" w:ascii="宋体" w:hAnsi="宋体"/>
          <w:lang w:val="en-US" w:eastAsia="zh-CN"/>
        </w:rPr>
        <w:t>21</w:t>
      </w:r>
      <w:bookmarkStart w:id="18" w:name="_GoBack"/>
      <w:bookmarkEnd w:id="18"/>
      <w:r>
        <w:rPr>
          <w:rFonts w:hint="eastAsia" w:ascii="宋体" w:hAnsi="宋体"/>
        </w:rPr>
        <w:t>日</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00B42">
    <w:pPr>
      <w:pStyle w:val="6"/>
      <w:jc w:val="center"/>
    </w:pPr>
    <w:r>
      <w:rPr>
        <w:lang w:val="zh-CN"/>
      </w:rPr>
      <w:t xml:space="preserve"> </w:t>
    </w:r>
    <w:r>
      <w:rPr>
        <w:b/>
      </w:rPr>
      <w:fldChar w:fldCharType="begin"/>
    </w:r>
    <w:r>
      <w:rPr>
        <w:b/>
      </w:rPr>
      <w:instrText xml:space="preserve">PAGE</w:instrText>
    </w:r>
    <w:r>
      <w:rPr>
        <w:b/>
      </w:rPr>
      <w:fldChar w:fldCharType="separate"/>
    </w:r>
    <w:r>
      <w:rPr>
        <w:b/>
      </w:rPr>
      <w:t>6</w:t>
    </w:r>
    <w:r>
      <w:rPr>
        <w:b/>
      </w:rPr>
      <w:fldChar w:fldCharType="end"/>
    </w:r>
    <w:r>
      <w:rPr>
        <w:lang w:val="zh-CN"/>
      </w:rPr>
      <w:t xml:space="preserve"> / </w:t>
    </w:r>
    <w:r>
      <w:rPr>
        <w:b/>
      </w:rPr>
      <w:fldChar w:fldCharType="begin"/>
    </w:r>
    <w:r>
      <w:rPr>
        <w:b/>
      </w:rPr>
      <w:instrText xml:space="preserve">NUMPAGES</w:instrText>
    </w:r>
    <w:r>
      <w:rPr>
        <w:b/>
      </w:rPr>
      <w:fldChar w:fldCharType="separate"/>
    </w:r>
    <w:r>
      <w:rPr>
        <w:b/>
      </w:rPr>
      <w:t>7</w:t>
    </w:r>
    <w:r>
      <w:rPr>
        <w:b/>
      </w:rPr>
      <w:fldChar w:fldCharType="end"/>
    </w:r>
  </w:p>
  <w:p w14:paraId="2D411AA1">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A070">
    <w:pPr>
      <w:pStyle w:val="7"/>
      <w:rPr>
        <w:rFonts w:ascii="宋体" w:hAnsi="宋体" w:cs="宋体"/>
      </w:rPr>
    </w:pPr>
    <w:r>
      <w:rPr>
        <w:rFonts w:hint="eastAsia" w:ascii="宋体" w:hAnsi="宋体" w:cs="宋体"/>
      </w:rPr>
      <w:t>交银施罗德裕惠纯债债券型证券投资基金清算报告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D73"/>
    <w:rsid w:val="00003342"/>
    <w:rsid w:val="00003397"/>
    <w:rsid w:val="00004249"/>
    <w:rsid w:val="00004C87"/>
    <w:rsid w:val="000165AB"/>
    <w:rsid w:val="00017D01"/>
    <w:rsid w:val="00024F9F"/>
    <w:rsid w:val="000308F8"/>
    <w:rsid w:val="00036817"/>
    <w:rsid w:val="00041179"/>
    <w:rsid w:val="0004187B"/>
    <w:rsid w:val="00047577"/>
    <w:rsid w:val="0006105C"/>
    <w:rsid w:val="00062EF3"/>
    <w:rsid w:val="000635AB"/>
    <w:rsid w:val="0006571A"/>
    <w:rsid w:val="000667F3"/>
    <w:rsid w:val="00070567"/>
    <w:rsid w:val="00070754"/>
    <w:rsid w:val="00070872"/>
    <w:rsid w:val="00081056"/>
    <w:rsid w:val="00083B02"/>
    <w:rsid w:val="00086426"/>
    <w:rsid w:val="00086FBB"/>
    <w:rsid w:val="00087A25"/>
    <w:rsid w:val="000901A5"/>
    <w:rsid w:val="00090CE2"/>
    <w:rsid w:val="00094F45"/>
    <w:rsid w:val="000A6784"/>
    <w:rsid w:val="000B1A05"/>
    <w:rsid w:val="000B253B"/>
    <w:rsid w:val="000B6D18"/>
    <w:rsid w:val="000B6DEC"/>
    <w:rsid w:val="000D4429"/>
    <w:rsid w:val="000D5DE1"/>
    <w:rsid w:val="000D76F6"/>
    <w:rsid w:val="000D7740"/>
    <w:rsid w:val="000E10B2"/>
    <w:rsid w:val="000E1C02"/>
    <w:rsid w:val="000E75FE"/>
    <w:rsid w:val="000E79B9"/>
    <w:rsid w:val="000F62B1"/>
    <w:rsid w:val="000F6D2E"/>
    <w:rsid w:val="00103333"/>
    <w:rsid w:val="0010427A"/>
    <w:rsid w:val="001044A0"/>
    <w:rsid w:val="00104B6C"/>
    <w:rsid w:val="00104D0B"/>
    <w:rsid w:val="00107837"/>
    <w:rsid w:val="00107C94"/>
    <w:rsid w:val="00110AF9"/>
    <w:rsid w:val="00115D72"/>
    <w:rsid w:val="0011628A"/>
    <w:rsid w:val="00116696"/>
    <w:rsid w:val="001328C0"/>
    <w:rsid w:val="00135A9D"/>
    <w:rsid w:val="0014090E"/>
    <w:rsid w:val="00142365"/>
    <w:rsid w:val="00145EDE"/>
    <w:rsid w:val="00146EC8"/>
    <w:rsid w:val="001519D7"/>
    <w:rsid w:val="00152371"/>
    <w:rsid w:val="001533BB"/>
    <w:rsid w:val="00154637"/>
    <w:rsid w:val="001579F3"/>
    <w:rsid w:val="0016163A"/>
    <w:rsid w:val="0016262F"/>
    <w:rsid w:val="0018253F"/>
    <w:rsid w:val="001839B2"/>
    <w:rsid w:val="001A48E6"/>
    <w:rsid w:val="001A6512"/>
    <w:rsid w:val="001A7847"/>
    <w:rsid w:val="001B6855"/>
    <w:rsid w:val="001B761C"/>
    <w:rsid w:val="001C7ACD"/>
    <w:rsid w:val="001D0BB8"/>
    <w:rsid w:val="001D2408"/>
    <w:rsid w:val="001D35CF"/>
    <w:rsid w:val="001D663B"/>
    <w:rsid w:val="001F0B55"/>
    <w:rsid w:val="001F22F5"/>
    <w:rsid w:val="001F6838"/>
    <w:rsid w:val="002007EA"/>
    <w:rsid w:val="00200D08"/>
    <w:rsid w:val="00214F33"/>
    <w:rsid w:val="00215F4F"/>
    <w:rsid w:val="00216357"/>
    <w:rsid w:val="00217302"/>
    <w:rsid w:val="00221DA0"/>
    <w:rsid w:val="00227B2B"/>
    <w:rsid w:val="00232D71"/>
    <w:rsid w:val="002373EE"/>
    <w:rsid w:val="002435CA"/>
    <w:rsid w:val="00246722"/>
    <w:rsid w:val="00246755"/>
    <w:rsid w:val="0024746F"/>
    <w:rsid w:val="0025249A"/>
    <w:rsid w:val="002563E1"/>
    <w:rsid w:val="0026281F"/>
    <w:rsid w:val="002636E3"/>
    <w:rsid w:val="00271365"/>
    <w:rsid w:val="00272D47"/>
    <w:rsid w:val="002747E2"/>
    <w:rsid w:val="002776B0"/>
    <w:rsid w:val="002819E4"/>
    <w:rsid w:val="00281CCF"/>
    <w:rsid w:val="00282A7D"/>
    <w:rsid w:val="00286F85"/>
    <w:rsid w:val="00287357"/>
    <w:rsid w:val="00290253"/>
    <w:rsid w:val="00291EB5"/>
    <w:rsid w:val="00294F6C"/>
    <w:rsid w:val="002A1625"/>
    <w:rsid w:val="002A2848"/>
    <w:rsid w:val="002B002A"/>
    <w:rsid w:val="002B2418"/>
    <w:rsid w:val="002B7ACE"/>
    <w:rsid w:val="002C0BA3"/>
    <w:rsid w:val="002C2CAE"/>
    <w:rsid w:val="002C4383"/>
    <w:rsid w:val="002D60B9"/>
    <w:rsid w:val="002D6B3F"/>
    <w:rsid w:val="002D7D4E"/>
    <w:rsid w:val="002E2255"/>
    <w:rsid w:val="002E27AC"/>
    <w:rsid w:val="002E7BDD"/>
    <w:rsid w:val="002F08D1"/>
    <w:rsid w:val="002F14AC"/>
    <w:rsid w:val="002F2888"/>
    <w:rsid w:val="002F423D"/>
    <w:rsid w:val="002F6065"/>
    <w:rsid w:val="002F6DF6"/>
    <w:rsid w:val="00301CE6"/>
    <w:rsid w:val="00302882"/>
    <w:rsid w:val="003118F9"/>
    <w:rsid w:val="00312942"/>
    <w:rsid w:val="00314538"/>
    <w:rsid w:val="0031513A"/>
    <w:rsid w:val="00322DB3"/>
    <w:rsid w:val="00324E38"/>
    <w:rsid w:val="00326678"/>
    <w:rsid w:val="00326DDB"/>
    <w:rsid w:val="00336134"/>
    <w:rsid w:val="0033615C"/>
    <w:rsid w:val="00350AC2"/>
    <w:rsid w:val="0035109E"/>
    <w:rsid w:val="003514A8"/>
    <w:rsid w:val="003514C4"/>
    <w:rsid w:val="003520F5"/>
    <w:rsid w:val="00354A64"/>
    <w:rsid w:val="00354F90"/>
    <w:rsid w:val="00361006"/>
    <w:rsid w:val="00363514"/>
    <w:rsid w:val="00367E7F"/>
    <w:rsid w:val="003717BE"/>
    <w:rsid w:val="00371AAD"/>
    <w:rsid w:val="003732D0"/>
    <w:rsid w:val="003759E5"/>
    <w:rsid w:val="00380EB5"/>
    <w:rsid w:val="00385840"/>
    <w:rsid w:val="00386DF5"/>
    <w:rsid w:val="00387A8C"/>
    <w:rsid w:val="00387CFF"/>
    <w:rsid w:val="00391171"/>
    <w:rsid w:val="00392A0C"/>
    <w:rsid w:val="00396AD2"/>
    <w:rsid w:val="003A142F"/>
    <w:rsid w:val="003A2273"/>
    <w:rsid w:val="003B0022"/>
    <w:rsid w:val="003B2660"/>
    <w:rsid w:val="003B5599"/>
    <w:rsid w:val="003B68C1"/>
    <w:rsid w:val="003B70BC"/>
    <w:rsid w:val="003C29FF"/>
    <w:rsid w:val="003C45D2"/>
    <w:rsid w:val="003C4958"/>
    <w:rsid w:val="003C7775"/>
    <w:rsid w:val="003D0A03"/>
    <w:rsid w:val="003D33A8"/>
    <w:rsid w:val="003D54AA"/>
    <w:rsid w:val="003D668D"/>
    <w:rsid w:val="003D6EFA"/>
    <w:rsid w:val="003E457F"/>
    <w:rsid w:val="003E47B7"/>
    <w:rsid w:val="003F1ACD"/>
    <w:rsid w:val="003F3486"/>
    <w:rsid w:val="003F3765"/>
    <w:rsid w:val="003F5981"/>
    <w:rsid w:val="004004E4"/>
    <w:rsid w:val="00403F97"/>
    <w:rsid w:val="004101AC"/>
    <w:rsid w:val="00413595"/>
    <w:rsid w:val="004221DD"/>
    <w:rsid w:val="00427980"/>
    <w:rsid w:val="00432DB3"/>
    <w:rsid w:val="00433875"/>
    <w:rsid w:val="00434F5A"/>
    <w:rsid w:val="00436E86"/>
    <w:rsid w:val="00437CE9"/>
    <w:rsid w:val="0044741A"/>
    <w:rsid w:val="00451246"/>
    <w:rsid w:val="00452316"/>
    <w:rsid w:val="004542B7"/>
    <w:rsid w:val="00455B11"/>
    <w:rsid w:val="00463517"/>
    <w:rsid w:val="004653A6"/>
    <w:rsid w:val="0046689D"/>
    <w:rsid w:val="00466ADB"/>
    <w:rsid w:val="00470691"/>
    <w:rsid w:val="00477040"/>
    <w:rsid w:val="00477D58"/>
    <w:rsid w:val="004803BF"/>
    <w:rsid w:val="00480896"/>
    <w:rsid w:val="0048193C"/>
    <w:rsid w:val="00484900"/>
    <w:rsid w:val="00485816"/>
    <w:rsid w:val="00485E74"/>
    <w:rsid w:val="00486B53"/>
    <w:rsid w:val="00487020"/>
    <w:rsid w:val="0049073C"/>
    <w:rsid w:val="004932B6"/>
    <w:rsid w:val="00495CF3"/>
    <w:rsid w:val="004972F4"/>
    <w:rsid w:val="00497A3D"/>
    <w:rsid w:val="004A0214"/>
    <w:rsid w:val="004A398B"/>
    <w:rsid w:val="004A418D"/>
    <w:rsid w:val="004B0EB0"/>
    <w:rsid w:val="004B1491"/>
    <w:rsid w:val="004B285A"/>
    <w:rsid w:val="004C2EC7"/>
    <w:rsid w:val="004C69DF"/>
    <w:rsid w:val="004E43FD"/>
    <w:rsid w:val="004E4A5F"/>
    <w:rsid w:val="004E69B1"/>
    <w:rsid w:val="004F56DC"/>
    <w:rsid w:val="004F7582"/>
    <w:rsid w:val="00501855"/>
    <w:rsid w:val="00502320"/>
    <w:rsid w:val="005126D9"/>
    <w:rsid w:val="00513347"/>
    <w:rsid w:val="00514141"/>
    <w:rsid w:val="00517426"/>
    <w:rsid w:val="005202DB"/>
    <w:rsid w:val="00520798"/>
    <w:rsid w:val="005217A3"/>
    <w:rsid w:val="00523C14"/>
    <w:rsid w:val="00527156"/>
    <w:rsid w:val="005278AE"/>
    <w:rsid w:val="00533C66"/>
    <w:rsid w:val="00536B53"/>
    <w:rsid w:val="00550014"/>
    <w:rsid w:val="00553182"/>
    <w:rsid w:val="00555724"/>
    <w:rsid w:val="00556CBC"/>
    <w:rsid w:val="005603F0"/>
    <w:rsid w:val="005614BC"/>
    <w:rsid w:val="00570FD4"/>
    <w:rsid w:val="00595EE8"/>
    <w:rsid w:val="005A7553"/>
    <w:rsid w:val="005B3374"/>
    <w:rsid w:val="005B35D5"/>
    <w:rsid w:val="005B6925"/>
    <w:rsid w:val="005E19B8"/>
    <w:rsid w:val="005E33F8"/>
    <w:rsid w:val="005E648B"/>
    <w:rsid w:val="005F2103"/>
    <w:rsid w:val="005F67AB"/>
    <w:rsid w:val="005F76E5"/>
    <w:rsid w:val="006012FA"/>
    <w:rsid w:val="00606889"/>
    <w:rsid w:val="006078B2"/>
    <w:rsid w:val="00610688"/>
    <w:rsid w:val="00612866"/>
    <w:rsid w:val="00615E0D"/>
    <w:rsid w:val="0061615F"/>
    <w:rsid w:val="0061621F"/>
    <w:rsid w:val="0061744A"/>
    <w:rsid w:val="00621504"/>
    <w:rsid w:val="00623D4C"/>
    <w:rsid w:val="00626BC5"/>
    <w:rsid w:val="00630A4F"/>
    <w:rsid w:val="0063163F"/>
    <w:rsid w:val="0064381D"/>
    <w:rsid w:val="00645DC0"/>
    <w:rsid w:val="00647B6B"/>
    <w:rsid w:val="00653258"/>
    <w:rsid w:val="006537C5"/>
    <w:rsid w:val="00653C91"/>
    <w:rsid w:val="00654599"/>
    <w:rsid w:val="00654D15"/>
    <w:rsid w:val="00655438"/>
    <w:rsid w:val="00671BD0"/>
    <w:rsid w:val="006827A8"/>
    <w:rsid w:val="00684D16"/>
    <w:rsid w:val="00685493"/>
    <w:rsid w:val="00686E18"/>
    <w:rsid w:val="00690772"/>
    <w:rsid w:val="00695EC6"/>
    <w:rsid w:val="006A1DAA"/>
    <w:rsid w:val="006A265D"/>
    <w:rsid w:val="006A6031"/>
    <w:rsid w:val="006A65A5"/>
    <w:rsid w:val="006B4E62"/>
    <w:rsid w:val="006B69EA"/>
    <w:rsid w:val="006D1534"/>
    <w:rsid w:val="006D177A"/>
    <w:rsid w:val="006D6381"/>
    <w:rsid w:val="006E1BBB"/>
    <w:rsid w:val="006F15B3"/>
    <w:rsid w:val="006F33A4"/>
    <w:rsid w:val="006F388E"/>
    <w:rsid w:val="006F4A0D"/>
    <w:rsid w:val="006F5713"/>
    <w:rsid w:val="0070058B"/>
    <w:rsid w:val="00702CFC"/>
    <w:rsid w:val="00702D4A"/>
    <w:rsid w:val="00704551"/>
    <w:rsid w:val="007078C1"/>
    <w:rsid w:val="00707986"/>
    <w:rsid w:val="00711DD2"/>
    <w:rsid w:val="007178FD"/>
    <w:rsid w:val="0072303E"/>
    <w:rsid w:val="007265C1"/>
    <w:rsid w:val="007345AB"/>
    <w:rsid w:val="0073471B"/>
    <w:rsid w:val="007348E3"/>
    <w:rsid w:val="00737905"/>
    <w:rsid w:val="00737D17"/>
    <w:rsid w:val="00742A8C"/>
    <w:rsid w:val="00756B63"/>
    <w:rsid w:val="007637EB"/>
    <w:rsid w:val="00764942"/>
    <w:rsid w:val="007839C4"/>
    <w:rsid w:val="00787C37"/>
    <w:rsid w:val="00795524"/>
    <w:rsid w:val="007A0445"/>
    <w:rsid w:val="007B530C"/>
    <w:rsid w:val="007B6201"/>
    <w:rsid w:val="007C03B7"/>
    <w:rsid w:val="007C05AF"/>
    <w:rsid w:val="007C11D8"/>
    <w:rsid w:val="007C3A50"/>
    <w:rsid w:val="007E14F0"/>
    <w:rsid w:val="007E300F"/>
    <w:rsid w:val="007E62E9"/>
    <w:rsid w:val="007F2FDD"/>
    <w:rsid w:val="00801893"/>
    <w:rsid w:val="00802145"/>
    <w:rsid w:val="0080674B"/>
    <w:rsid w:val="00807A5F"/>
    <w:rsid w:val="00817B68"/>
    <w:rsid w:val="00822B78"/>
    <w:rsid w:val="0082481D"/>
    <w:rsid w:val="008258B6"/>
    <w:rsid w:val="00826590"/>
    <w:rsid w:val="00826F50"/>
    <w:rsid w:val="00830473"/>
    <w:rsid w:val="00832185"/>
    <w:rsid w:val="00836BDC"/>
    <w:rsid w:val="00843A50"/>
    <w:rsid w:val="00843A79"/>
    <w:rsid w:val="0084489B"/>
    <w:rsid w:val="00844EAD"/>
    <w:rsid w:val="00854BC4"/>
    <w:rsid w:val="0085735E"/>
    <w:rsid w:val="00860A0D"/>
    <w:rsid w:val="00880E4F"/>
    <w:rsid w:val="00890A0E"/>
    <w:rsid w:val="00891EB1"/>
    <w:rsid w:val="00892AC7"/>
    <w:rsid w:val="008A1D7A"/>
    <w:rsid w:val="008A44A3"/>
    <w:rsid w:val="008A7521"/>
    <w:rsid w:val="008A7E08"/>
    <w:rsid w:val="008B0458"/>
    <w:rsid w:val="008C204D"/>
    <w:rsid w:val="008E0688"/>
    <w:rsid w:val="008E0C63"/>
    <w:rsid w:val="008E2893"/>
    <w:rsid w:val="008E2D42"/>
    <w:rsid w:val="008E3FC6"/>
    <w:rsid w:val="008E409B"/>
    <w:rsid w:val="008F262E"/>
    <w:rsid w:val="008F2A1B"/>
    <w:rsid w:val="008F5E06"/>
    <w:rsid w:val="00903958"/>
    <w:rsid w:val="009159A0"/>
    <w:rsid w:val="009207C8"/>
    <w:rsid w:val="0092151B"/>
    <w:rsid w:val="009334D7"/>
    <w:rsid w:val="009344B6"/>
    <w:rsid w:val="00934E68"/>
    <w:rsid w:val="009361B1"/>
    <w:rsid w:val="00936C10"/>
    <w:rsid w:val="00941525"/>
    <w:rsid w:val="00942FD8"/>
    <w:rsid w:val="00946CC2"/>
    <w:rsid w:val="00952DAE"/>
    <w:rsid w:val="00961826"/>
    <w:rsid w:val="0096616F"/>
    <w:rsid w:val="0096721B"/>
    <w:rsid w:val="00995547"/>
    <w:rsid w:val="009961D2"/>
    <w:rsid w:val="009A150A"/>
    <w:rsid w:val="009A4EB1"/>
    <w:rsid w:val="009A5128"/>
    <w:rsid w:val="009A644C"/>
    <w:rsid w:val="009A7257"/>
    <w:rsid w:val="009B1679"/>
    <w:rsid w:val="009B75F3"/>
    <w:rsid w:val="009C135B"/>
    <w:rsid w:val="009C5B2D"/>
    <w:rsid w:val="009D3291"/>
    <w:rsid w:val="009D688F"/>
    <w:rsid w:val="009D6E94"/>
    <w:rsid w:val="009D71A7"/>
    <w:rsid w:val="009D79CD"/>
    <w:rsid w:val="009E6C68"/>
    <w:rsid w:val="009F135C"/>
    <w:rsid w:val="009F2F09"/>
    <w:rsid w:val="009F3626"/>
    <w:rsid w:val="009F3CED"/>
    <w:rsid w:val="00A013F0"/>
    <w:rsid w:val="00A04BBE"/>
    <w:rsid w:val="00A05E50"/>
    <w:rsid w:val="00A07889"/>
    <w:rsid w:val="00A07E18"/>
    <w:rsid w:val="00A12101"/>
    <w:rsid w:val="00A12110"/>
    <w:rsid w:val="00A15D9E"/>
    <w:rsid w:val="00A211A2"/>
    <w:rsid w:val="00A24D0E"/>
    <w:rsid w:val="00A25BB8"/>
    <w:rsid w:val="00A31D9C"/>
    <w:rsid w:val="00A33D06"/>
    <w:rsid w:val="00A340DF"/>
    <w:rsid w:val="00A361FF"/>
    <w:rsid w:val="00A47669"/>
    <w:rsid w:val="00A50782"/>
    <w:rsid w:val="00A63346"/>
    <w:rsid w:val="00A633EC"/>
    <w:rsid w:val="00A63C4C"/>
    <w:rsid w:val="00A64EE8"/>
    <w:rsid w:val="00A84108"/>
    <w:rsid w:val="00A90D9B"/>
    <w:rsid w:val="00A92200"/>
    <w:rsid w:val="00A952DA"/>
    <w:rsid w:val="00AA0803"/>
    <w:rsid w:val="00AA19E6"/>
    <w:rsid w:val="00AA4A20"/>
    <w:rsid w:val="00AB14E2"/>
    <w:rsid w:val="00AB2B65"/>
    <w:rsid w:val="00AB33BA"/>
    <w:rsid w:val="00AC04BC"/>
    <w:rsid w:val="00AC637A"/>
    <w:rsid w:val="00AC6AC9"/>
    <w:rsid w:val="00AD0105"/>
    <w:rsid w:val="00AD6BA9"/>
    <w:rsid w:val="00AE1CF6"/>
    <w:rsid w:val="00AE2FD8"/>
    <w:rsid w:val="00AE3A1C"/>
    <w:rsid w:val="00AE3B5A"/>
    <w:rsid w:val="00AE40E6"/>
    <w:rsid w:val="00AF487E"/>
    <w:rsid w:val="00AF61E5"/>
    <w:rsid w:val="00B107D9"/>
    <w:rsid w:val="00B12CDD"/>
    <w:rsid w:val="00B13BCF"/>
    <w:rsid w:val="00B176F3"/>
    <w:rsid w:val="00B21790"/>
    <w:rsid w:val="00B21E1D"/>
    <w:rsid w:val="00B22D2C"/>
    <w:rsid w:val="00B241C1"/>
    <w:rsid w:val="00B24FFA"/>
    <w:rsid w:val="00B267DA"/>
    <w:rsid w:val="00B31785"/>
    <w:rsid w:val="00B31A0B"/>
    <w:rsid w:val="00B34AE0"/>
    <w:rsid w:val="00B43672"/>
    <w:rsid w:val="00B443E9"/>
    <w:rsid w:val="00B505B6"/>
    <w:rsid w:val="00B56C7B"/>
    <w:rsid w:val="00B60F59"/>
    <w:rsid w:val="00B63FE6"/>
    <w:rsid w:val="00B64CA4"/>
    <w:rsid w:val="00B70975"/>
    <w:rsid w:val="00B73D67"/>
    <w:rsid w:val="00B74E18"/>
    <w:rsid w:val="00B7536D"/>
    <w:rsid w:val="00B76168"/>
    <w:rsid w:val="00B76CA6"/>
    <w:rsid w:val="00B90415"/>
    <w:rsid w:val="00BA0F3F"/>
    <w:rsid w:val="00BA1039"/>
    <w:rsid w:val="00BA27FD"/>
    <w:rsid w:val="00BA7891"/>
    <w:rsid w:val="00BB15B5"/>
    <w:rsid w:val="00BB5C21"/>
    <w:rsid w:val="00BB7735"/>
    <w:rsid w:val="00BD7F80"/>
    <w:rsid w:val="00BE4D9E"/>
    <w:rsid w:val="00BE7191"/>
    <w:rsid w:val="00BF0602"/>
    <w:rsid w:val="00BF74ED"/>
    <w:rsid w:val="00BF751A"/>
    <w:rsid w:val="00C04892"/>
    <w:rsid w:val="00C0582F"/>
    <w:rsid w:val="00C067DD"/>
    <w:rsid w:val="00C079CE"/>
    <w:rsid w:val="00C13F53"/>
    <w:rsid w:val="00C14181"/>
    <w:rsid w:val="00C16F1F"/>
    <w:rsid w:val="00C1709A"/>
    <w:rsid w:val="00C17285"/>
    <w:rsid w:val="00C20DB8"/>
    <w:rsid w:val="00C21563"/>
    <w:rsid w:val="00C22050"/>
    <w:rsid w:val="00C36E1C"/>
    <w:rsid w:val="00C43916"/>
    <w:rsid w:val="00C476C3"/>
    <w:rsid w:val="00C50AAF"/>
    <w:rsid w:val="00C52F8B"/>
    <w:rsid w:val="00C57C74"/>
    <w:rsid w:val="00C63370"/>
    <w:rsid w:val="00C75007"/>
    <w:rsid w:val="00C83717"/>
    <w:rsid w:val="00C8401D"/>
    <w:rsid w:val="00C93386"/>
    <w:rsid w:val="00C94EA1"/>
    <w:rsid w:val="00C95394"/>
    <w:rsid w:val="00CA3376"/>
    <w:rsid w:val="00CA4D26"/>
    <w:rsid w:val="00CA59D7"/>
    <w:rsid w:val="00CA7BCB"/>
    <w:rsid w:val="00CA7C3E"/>
    <w:rsid w:val="00CA7C64"/>
    <w:rsid w:val="00CB1A0B"/>
    <w:rsid w:val="00CB2707"/>
    <w:rsid w:val="00CD41BA"/>
    <w:rsid w:val="00CD6F74"/>
    <w:rsid w:val="00CD7142"/>
    <w:rsid w:val="00CE5FDA"/>
    <w:rsid w:val="00CE6421"/>
    <w:rsid w:val="00CF1DEA"/>
    <w:rsid w:val="00CF4CE9"/>
    <w:rsid w:val="00CF69E3"/>
    <w:rsid w:val="00D0743F"/>
    <w:rsid w:val="00D143B9"/>
    <w:rsid w:val="00D16C1D"/>
    <w:rsid w:val="00D208C1"/>
    <w:rsid w:val="00D216F5"/>
    <w:rsid w:val="00D257D3"/>
    <w:rsid w:val="00D2690D"/>
    <w:rsid w:val="00D327B0"/>
    <w:rsid w:val="00D33914"/>
    <w:rsid w:val="00D35C97"/>
    <w:rsid w:val="00D36385"/>
    <w:rsid w:val="00D53D73"/>
    <w:rsid w:val="00D62916"/>
    <w:rsid w:val="00D72CB6"/>
    <w:rsid w:val="00D76523"/>
    <w:rsid w:val="00D801D9"/>
    <w:rsid w:val="00D81287"/>
    <w:rsid w:val="00D878D7"/>
    <w:rsid w:val="00D90870"/>
    <w:rsid w:val="00D92FE1"/>
    <w:rsid w:val="00D93F99"/>
    <w:rsid w:val="00D9609A"/>
    <w:rsid w:val="00DA0F35"/>
    <w:rsid w:val="00DB2C9A"/>
    <w:rsid w:val="00DB44A4"/>
    <w:rsid w:val="00DB7642"/>
    <w:rsid w:val="00DC3906"/>
    <w:rsid w:val="00DC7D1E"/>
    <w:rsid w:val="00DD0D39"/>
    <w:rsid w:val="00DD6238"/>
    <w:rsid w:val="00DE0689"/>
    <w:rsid w:val="00DE142D"/>
    <w:rsid w:val="00DE2523"/>
    <w:rsid w:val="00DE2B2E"/>
    <w:rsid w:val="00DE3307"/>
    <w:rsid w:val="00DE63BF"/>
    <w:rsid w:val="00DE7F36"/>
    <w:rsid w:val="00DF0AF1"/>
    <w:rsid w:val="00DF15D2"/>
    <w:rsid w:val="00DF3837"/>
    <w:rsid w:val="00DF4F60"/>
    <w:rsid w:val="00DF5C7F"/>
    <w:rsid w:val="00E0120F"/>
    <w:rsid w:val="00E020F0"/>
    <w:rsid w:val="00E03A07"/>
    <w:rsid w:val="00E03B53"/>
    <w:rsid w:val="00E051CF"/>
    <w:rsid w:val="00E06C0D"/>
    <w:rsid w:val="00E07013"/>
    <w:rsid w:val="00E131B7"/>
    <w:rsid w:val="00E16031"/>
    <w:rsid w:val="00E201AA"/>
    <w:rsid w:val="00E21BF1"/>
    <w:rsid w:val="00E269BD"/>
    <w:rsid w:val="00E32FC2"/>
    <w:rsid w:val="00E35EDF"/>
    <w:rsid w:val="00E37A4C"/>
    <w:rsid w:val="00E46C22"/>
    <w:rsid w:val="00E47DC0"/>
    <w:rsid w:val="00E5597F"/>
    <w:rsid w:val="00E5623B"/>
    <w:rsid w:val="00E6410D"/>
    <w:rsid w:val="00E7003B"/>
    <w:rsid w:val="00E7065F"/>
    <w:rsid w:val="00E82751"/>
    <w:rsid w:val="00E84A89"/>
    <w:rsid w:val="00E903DF"/>
    <w:rsid w:val="00E907E3"/>
    <w:rsid w:val="00E93A5B"/>
    <w:rsid w:val="00E959B0"/>
    <w:rsid w:val="00EA06D5"/>
    <w:rsid w:val="00EA3A1B"/>
    <w:rsid w:val="00EA50E9"/>
    <w:rsid w:val="00EB0BF5"/>
    <w:rsid w:val="00EB204A"/>
    <w:rsid w:val="00EB2CB3"/>
    <w:rsid w:val="00EB6F1B"/>
    <w:rsid w:val="00EC1CCC"/>
    <w:rsid w:val="00EC4953"/>
    <w:rsid w:val="00ED04D8"/>
    <w:rsid w:val="00ED1FAE"/>
    <w:rsid w:val="00ED2EA3"/>
    <w:rsid w:val="00ED2FF2"/>
    <w:rsid w:val="00ED3524"/>
    <w:rsid w:val="00ED3DF0"/>
    <w:rsid w:val="00ED4016"/>
    <w:rsid w:val="00ED425C"/>
    <w:rsid w:val="00ED54CA"/>
    <w:rsid w:val="00ED5971"/>
    <w:rsid w:val="00EE0E1A"/>
    <w:rsid w:val="00EE1CF6"/>
    <w:rsid w:val="00EE3FD2"/>
    <w:rsid w:val="00EE4A9E"/>
    <w:rsid w:val="00EE5277"/>
    <w:rsid w:val="00EE6D3A"/>
    <w:rsid w:val="00EF2ECD"/>
    <w:rsid w:val="00EF397F"/>
    <w:rsid w:val="00EF4435"/>
    <w:rsid w:val="00EF5114"/>
    <w:rsid w:val="00EF6970"/>
    <w:rsid w:val="00EF6A73"/>
    <w:rsid w:val="00F01731"/>
    <w:rsid w:val="00F021DE"/>
    <w:rsid w:val="00F03300"/>
    <w:rsid w:val="00F06788"/>
    <w:rsid w:val="00F127E3"/>
    <w:rsid w:val="00F165B0"/>
    <w:rsid w:val="00F17BC7"/>
    <w:rsid w:val="00F17DEE"/>
    <w:rsid w:val="00F341D4"/>
    <w:rsid w:val="00F46754"/>
    <w:rsid w:val="00F5016E"/>
    <w:rsid w:val="00F530F3"/>
    <w:rsid w:val="00F56771"/>
    <w:rsid w:val="00F57828"/>
    <w:rsid w:val="00F65AEB"/>
    <w:rsid w:val="00F75CE3"/>
    <w:rsid w:val="00F81C73"/>
    <w:rsid w:val="00F867ED"/>
    <w:rsid w:val="00F937E3"/>
    <w:rsid w:val="00F94699"/>
    <w:rsid w:val="00FA1505"/>
    <w:rsid w:val="00FA4863"/>
    <w:rsid w:val="00FB6086"/>
    <w:rsid w:val="00FB6290"/>
    <w:rsid w:val="00FC3B02"/>
    <w:rsid w:val="00FC52EA"/>
    <w:rsid w:val="00FD371E"/>
    <w:rsid w:val="00FD5213"/>
    <w:rsid w:val="00FE15C6"/>
    <w:rsid w:val="00FE3D41"/>
    <w:rsid w:val="00FE5A05"/>
    <w:rsid w:val="00FF1339"/>
    <w:rsid w:val="00FF1655"/>
    <w:rsid w:val="00FF3D4D"/>
    <w:rsid w:val="05570264"/>
    <w:rsid w:val="06886F63"/>
    <w:rsid w:val="06CE0504"/>
    <w:rsid w:val="06E6788C"/>
    <w:rsid w:val="09C45BB3"/>
    <w:rsid w:val="0A9B4D34"/>
    <w:rsid w:val="0BD004B8"/>
    <w:rsid w:val="0C4D203F"/>
    <w:rsid w:val="0C5A51DD"/>
    <w:rsid w:val="0DE4383B"/>
    <w:rsid w:val="0E110D22"/>
    <w:rsid w:val="0F6964B5"/>
    <w:rsid w:val="11430EC2"/>
    <w:rsid w:val="128A7BF7"/>
    <w:rsid w:val="13465239"/>
    <w:rsid w:val="136E36ED"/>
    <w:rsid w:val="13AD5B6F"/>
    <w:rsid w:val="14A26068"/>
    <w:rsid w:val="155B515D"/>
    <w:rsid w:val="164E3D34"/>
    <w:rsid w:val="16D90A2F"/>
    <w:rsid w:val="17A36019"/>
    <w:rsid w:val="184D106D"/>
    <w:rsid w:val="189101BE"/>
    <w:rsid w:val="1A134061"/>
    <w:rsid w:val="1A453A2A"/>
    <w:rsid w:val="1A8B6099"/>
    <w:rsid w:val="1C8A4972"/>
    <w:rsid w:val="1E40742E"/>
    <w:rsid w:val="1E76570A"/>
    <w:rsid w:val="20785E1B"/>
    <w:rsid w:val="20D10B80"/>
    <w:rsid w:val="25FD3041"/>
    <w:rsid w:val="2653388E"/>
    <w:rsid w:val="28A804C0"/>
    <w:rsid w:val="29932D65"/>
    <w:rsid w:val="29D62C0D"/>
    <w:rsid w:val="2A34234D"/>
    <w:rsid w:val="2AD84683"/>
    <w:rsid w:val="2B07085A"/>
    <w:rsid w:val="2FFC423C"/>
    <w:rsid w:val="33627F5C"/>
    <w:rsid w:val="35331B32"/>
    <w:rsid w:val="355F2F77"/>
    <w:rsid w:val="35AB3B5B"/>
    <w:rsid w:val="365D6127"/>
    <w:rsid w:val="3B493497"/>
    <w:rsid w:val="3E040F4F"/>
    <w:rsid w:val="3E255ED5"/>
    <w:rsid w:val="3E8952AB"/>
    <w:rsid w:val="3FA376F7"/>
    <w:rsid w:val="402F4D5C"/>
    <w:rsid w:val="40CA0701"/>
    <w:rsid w:val="45363968"/>
    <w:rsid w:val="46381A5C"/>
    <w:rsid w:val="46B12D46"/>
    <w:rsid w:val="46BB7BFA"/>
    <w:rsid w:val="4A10644C"/>
    <w:rsid w:val="4A190B1F"/>
    <w:rsid w:val="4A5E2BCE"/>
    <w:rsid w:val="4CA05A96"/>
    <w:rsid w:val="4D2853BF"/>
    <w:rsid w:val="4D8E24CB"/>
    <w:rsid w:val="4DE9121D"/>
    <w:rsid w:val="4E825093"/>
    <w:rsid w:val="50AB1303"/>
    <w:rsid w:val="510400F1"/>
    <w:rsid w:val="51705550"/>
    <w:rsid w:val="51CA3113"/>
    <w:rsid w:val="52D82877"/>
    <w:rsid w:val="533A7098"/>
    <w:rsid w:val="5361615C"/>
    <w:rsid w:val="54C45F7D"/>
    <w:rsid w:val="5519123C"/>
    <w:rsid w:val="553A45E0"/>
    <w:rsid w:val="57006F9F"/>
    <w:rsid w:val="574014B2"/>
    <w:rsid w:val="59C95F8C"/>
    <w:rsid w:val="5A3B7573"/>
    <w:rsid w:val="5CFC5608"/>
    <w:rsid w:val="5E064456"/>
    <w:rsid w:val="5EB247EC"/>
    <w:rsid w:val="5EB37407"/>
    <w:rsid w:val="60B516C7"/>
    <w:rsid w:val="616131D1"/>
    <w:rsid w:val="61FB637A"/>
    <w:rsid w:val="62392559"/>
    <w:rsid w:val="63646DC8"/>
    <w:rsid w:val="65906963"/>
    <w:rsid w:val="676A1537"/>
    <w:rsid w:val="67734628"/>
    <w:rsid w:val="688356D2"/>
    <w:rsid w:val="689217BA"/>
    <w:rsid w:val="693E6400"/>
    <w:rsid w:val="6AB2532A"/>
    <w:rsid w:val="6AD466B8"/>
    <w:rsid w:val="6B0D1397"/>
    <w:rsid w:val="6BBD6F57"/>
    <w:rsid w:val="6C61362D"/>
    <w:rsid w:val="6E552BF0"/>
    <w:rsid w:val="711A32FB"/>
    <w:rsid w:val="723E4AAF"/>
    <w:rsid w:val="72C309D4"/>
    <w:rsid w:val="73062743"/>
    <w:rsid w:val="74E74271"/>
    <w:rsid w:val="75793942"/>
    <w:rsid w:val="75797EB6"/>
    <w:rsid w:val="7A4B2A2F"/>
    <w:rsid w:val="7B43757B"/>
    <w:rsid w:val="7B7F18D8"/>
    <w:rsid w:val="7C4B6B2A"/>
    <w:rsid w:val="7ECB6D11"/>
    <w:rsid w:val="7EEB50E5"/>
    <w:rsid w:val="7EFA5662"/>
    <w:rsid w:val="7F6210E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宋体" w:cs="Times New Roman"/>
      <w:lang w:val="en-US" w:eastAsia="zh-CN" w:bidi="ar-SA"/>
    </w:rPr>
  </w:style>
  <w:style w:type="paragraph" w:styleId="2">
    <w:name w:val="heading 1"/>
    <w:basedOn w:val="1"/>
    <w:next w:val="1"/>
    <w:link w:val="24"/>
    <w:qFormat/>
    <w:locked/>
    <w:uiPriority w:val="0"/>
    <w:pPr>
      <w:keepNext/>
      <w:keepLines/>
      <w:spacing w:before="340" w:after="330" w:line="578" w:lineRule="atLeast"/>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semiHidden/>
    <w:qFormat/>
    <w:uiPriority w:val="99"/>
    <w:pPr>
      <w:jc w:val="left"/>
    </w:pPr>
  </w:style>
  <w:style w:type="paragraph" w:styleId="5">
    <w:name w:val="Balloon Text"/>
    <w:basedOn w:val="1"/>
    <w:link w:val="20"/>
    <w:semiHidden/>
    <w:qFormat/>
    <w:uiPriority w:val="99"/>
    <w:rPr>
      <w:sz w:val="18"/>
      <w:szCs w:val="18"/>
    </w:rPr>
  </w:style>
  <w:style w:type="paragraph" w:styleId="6">
    <w:name w:val="footer"/>
    <w:basedOn w:val="1"/>
    <w:link w:val="19"/>
    <w:qFormat/>
    <w:uiPriority w:val="99"/>
    <w:pPr>
      <w:tabs>
        <w:tab w:val="center" w:pos="4153"/>
        <w:tab w:val="right" w:pos="8306"/>
      </w:tabs>
      <w:snapToGrid w:val="0"/>
      <w:jc w:val="left"/>
    </w:pPr>
    <w:rPr>
      <w:sz w:val="18"/>
      <w:szCs w:val="18"/>
    </w:rPr>
  </w:style>
  <w:style w:type="paragraph" w:styleId="7">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9">
    <w:name w:val="Title"/>
    <w:basedOn w:val="1"/>
    <w:next w:val="1"/>
    <w:link w:val="26"/>
    <w:qFormat/>
    <w:locked/>
    <w:uiPriority w:val="10"/>
    <w:pPr>
      <w:spacing w:before="240" w:after="60"/>
      <w:jc w:val="center"/>
      <w:outlineLvl w:val="0"/>
    </w:pPr>
    <w:rPr>
      <w:rFonts w:ascii="Calibri Light" w:hAnsi="Calibri Light"/>
      <w:b/>
      <w:bCs/>
      <w:sz w:val="32"/>
      <w:szCs w:val="32"/>
    </w:rPr>
  </w:style>
  <w:style w:type="paragraph" w:styleId="10">
    <w:name w:val="annotation subject"/>
    <w:basedOn w:val="4"/>
    <w:next w:val="4"/>
    <w:link w:val="22"/>
    <w:semiHidden/>
    <w:qFormat/>
    <w:uiPriority w:val="99"/>
    <w:rPr>
      <w:b/>
      <w:bCs/>
    </w:rPr>
  </w:style>
  <w:style w:type="table" w:styleId="12">
    <w:name w:val="Table Grid"/>
    <w:basedOn w:val="1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99"/>
    <w:rPr>
      <w:rFonts w:cs="Times New Roman"/>
      <w:b/>
      <w:bCs/>
    </w:rPr>
  </w:style>
  <w:style w:type="character" w:styleId="15">
    <w:name w:val="Hyperlink"/>
    <w:basedOn w:val="13"/>
    <w:qFormat/>
    <w:uiPriority w:val="99"/>
    <w:rPr>
      <w:rFonts w:cs="Times New Roman"/>
      <w:color w:val="0000FF"/>
      <w:u w:val="single"/>
    </w:rPr>
  </w:style>
  <w:style w:type="character" w:styleId="16">
    <w:name w:val="annotation reference"/>
    <w:basedOn w:val="13"/>
    <w:semiHidden/>
    <w:qFormat/>
    <w:uiPriority w:val="99"/>
    <w:rPr>
      <w:rFonts w:cs="Times New Roman"/>
      <w:sz w:val="21"/>
      <w:szCs w:val="21"/>
    </w:rPr>
  </w:style>
  <w:style w:type="character" w:customStyle="1" w:styleId="17">
    <w:name w:val="标题 2 字符"/>
    <w:basedOn w:val="13"/>
    <w:link w:val="3"/>
    <w:qFormat/>
    <w:locked/>
    <w:uiPriority w:val="99"/>
    <w:rPr>
      <w:rFonts w:ascii="Cambria" w:hAnsi="Cambria" w:eastAsia="宋体" w:cs="Times New Roman"/>
      <w:b/>
      <w:bCs/>
      <w:sz w:val="32"/>
      <w:szCs w:val="32"/>
    </w:rPr>
  </w:style>
  <w:style w:type="character" w:customStyle="1" w:styleId="18">
    <w:name w:val="页眉 字符"/>
    <w:basedOn w:val="13"/>
    <w:link w:val="7"/>
    <w:qFormat/>
    <w:locked/>
    <w:uiPriority w:val="99"/>
    <w:rPr>
      <w:rFonts w:cs="Times New Roman"/>
      <w:sz w:val="18"/>
      <w:szCs w:val="18"/>
    </w:rPr>
  </w:style>
  <w:style w:type="character" w:customStyle="1" w:styleId="19">
    <w:name w:val="页脚 字符"/>
    <w:basedOn w:val="13"/>
    <w:link w:val="6"/>
    <w:qFormat/>
    <w:locked/>
    <w:uiPriority w:val="99"/>
    <w:rPr>
      <w:rFonts w:cs="Times New Roman"/>
      <w:sz w:val="18"/>
      <w:szCs w:val="18"/>
    </w:rPr>
  </w:style>
  <w:style w:type="character" w:customStyle="1" w:styleId="20">
    <w:name w:val="批注框文本 字符"/>
    <w:basedOn w:val="13"/>
    <w:link w:val="5"/>
    <w:semiHidden/>
    <w:qFormat/>
    <w:locked/>
    <w:uiPriority w:val="99"/>
    <w:rPr>
      <w:rFonts w:cs="Times New Roman"/>
      <w:sz w:val="18"/>
      <w:szCs w:val="18"/>
    </w:rPr>
  </w:style>
  <w:style w:type="character" w:customStyle="1" w:styleId="21">
    <w:name w:val="批注文字 字符"/>
    <w:basedOn w:val="13"/>
    <w:link w:val="4"/>
    <w:semiHidden/>
    <w:qFormat/>
    <w:locked/>
    <w:uiPriority w:val="99"/>
    <w:rPr>
      <w:rFonts w:ascii="Times New Roman" w:hAnsi="Times New Roman" w:cs="Times New Roman"/>
      <w:kern w:val="0"/>
      <w:sz w:val="20"/>
      <w:szCs w:val="20"/>
    </w:rPr>
  </w:style>
  <w:style w:type="character" w:customStyle="1" w:styleId="22">
    <w:name w:val="批注主题 字符"/>
    <w:basedOn w:val="21"/>
    <w:link w:val="10"/>
    <w:semiHidden/>
    <w:qFormat/>
    <w:locked/>
    <w:uiPriority w:val="99"/>
    <w:rPr>
      <w:rFonts w:ascii="Times New Roman" w:hAnsi="Times New Roman" w:cs="Times New Roman"/>
      <w:b/>
      <w:bCs/>
      <w:kern w:val="0"/>
      <w:sz w:val="20"/>
      <w:szCs w:val="20"/>
    </w:rPr>
  </w:style>
  <w:style w:type="paragraph" w:customStyle="1" w:styleId="23">
    <w:name w:val="修订1"/>
    <w:hidden/>
    <w:semiHidden/>
    <w:qFormat/>
    <w:uiPriority w:val="99"/>
    <w:rPr>
      <w:rFonts w:ascii="Times New Roman" w:hAnsi="Times New Roman" w:eastAsia="宋体" w:cs="Times New Roman"/>
      <w:lang w:val="en-US" w:eastAsia="zh-CN" w:bidi="ar-SA"/>
    </w:rPr>
  </w:style>
  <w:style w:type="character" w:customStyle="1" w:styleId="24">
    <w:name w:val="标题 1 字符"/>
    <w:basedOn w:val="13"/>
    <w:link w:val="2"/>
    <w:qFormat/>
    <w:uiPriority w:val="0"/>
    <w:rPr>
      <w:rFonts w:ascii="Times New Roman" w:hAnsi="Times New Roman"/>
      <w:b/>
      <w:bCs/>
      <w:kern w:val="44"/>
      <w:sz w:val="44"/>
      <w:szCs w:val="44"/>
    </w:rPr>
  </w:style>
  <w:style w:type="paragraph" w:styleId="25">
    <w:name w:val="List Paragraph"/>
    <w:basedOn w:val="1"/>
    <w:qFormat/>
    <w:uiPriority w:val="34"/>
    <w:pPr>
      <w:ind w:firstLine="420" w:firstLineChars="200"/>
    </w:pPr>
  </w:style>
  <w:style w:type="character" w:customStyle="1" w:styleId="26">
    <w:name w:val="标题 字符"/>
    <w:link w:val="9"/>
    <w:qFormat/>
    <w:uiPriority w:val="10"/>
    <w:rPr>
      <w:rFonts w:ascii="Calibri Light" w:hAnsi="Calibri Light"/>
      <w:b/>
      <w:bCs/>
      <w:sz w:val="32"/>
      <w:szCs w:val="32"/>
    </w:rPr>
  </w:style>
  <w:style w:type="paragraph" w:customStyle="1" w:styleId="27">
    <w:name w:val="修订2"/>
    <w:hidden/>
    <w:semiHidden/>
    <w:qFormat/>
    <w:uiPriority w:val="99"/>
    <w:rPr>
      <w:rFonts w:ascii="Times New Roman" w:hAnsi="Times New Roman" w:eastAsia="宋体" w:cs="Times New Roman"/>
      <w:lang w:val="en-US" w:eastAsia="zh-CN" w:bidi="ar-SA"/>
    </w:rPr>
  </w:style>
  <w:style w:type="paragraph" w:customStyle="1" w:styleId="28">
    <w:name w:val="修订3"/>
    <w:hidden/>
    <w:semiHidden/>
    <w:qFormat/>
    <w:uiPriority w:val="99"/>
    <w:rPr>
      <w:rFonts w:ascii="Times New Roman" w:hAnsi="Times New Roman" w:eastAsia="宋体" w:cs="Times New Roman"/>
      <w:lang w:val="en-US" w:eastAsia="zh-CN" w:bidi="ar-SA"/>
    </w:rPr>
  </w:style>
  <w:style w:type="character" w:customStyle="1" w:styleId="29">
    <w:name w:val="font11"/>
    <w:basedOn w:val="13"/>
    <w:qFormat/>
    <w:uiPriority w:val="0"/>
    <w:rPr>
      <w:rFonts w:hint="default" w:ascii="Times New Roman" w:hAnsi="Times New Roman" w:cs="Times New Roman"/>
      <w:color w:val="000000"/>
      <w:sz w:val="20"/>
      <w:szCs w:val="20"/>
      <w:u w:val="none"/>
    </w:rPr>
  </w:style>
  <w:style w:type="character" w:customStyle="1" w:styleId="30">
    <w:name w:val="font31"/>
    <w:basedOn w:val="13"/>
    <w:qFormat/>
    <w:uiPriority w:val="0"/>
    <w:rPr>
      <w:rFonts w:hint="eastAsia" w:ascii="宋体" w:hAnsi="宋体" w:eastAsia="宋体"/>
      <w:color w:val="000000"/>
      <w:sz w:val="20"/>
      <w:szCs w:val="20"/>
      <w:u w:val="none"/>
    </w:rPr>
  </w:style>
  <w:style w:type="character" w:customStyle="1" w:styleId="31">
    <w:name w:val="font21"/>
    <w:basedOn w:val="13"/>
    <w:qFormat/>
    <w:uiPriority w:val="0"/>
    <w:rPr>
      <w:rFonts w:hint="default" w:ascii="Times New Roman" w:hAnsi="Times New Roman" w:cs="Times New Roman"/>
      <w:color w:val="000000"/>
      <w:sz w:val="20"/>
      <w:szCs w:val="20"/>
      <w:u w:val="none"/>
    </w:rPr>
  </w:style>
  <w:style w:type="paragraph" w:customStyle="1" w:styleId="32">
    <w:name w:val="修订4"/>
    <w:hidden/>
    <w:unhideWhenUsed/>
    <w:qFormat/>
    <w:uiPriority w:val="99"/>
    <w:rPr>
      <w:rFonts w:ascii="Times New Roman" w:hAnsi="Times New Roman" w:eastAsia="宋体" w:cs="Times New Roman"/>
      <w:lang w:val="en-US" w:eastAsia="zh-CN" w:bidi="ar-SA"/>
    </w:rPr>
  </w:style>
  <w:style w:type="paragraph" w:customStyle="1" w:styleId="33">
    <w:name w:val="Revision"/>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A8422-EEDD-4911-A9FE-7267FBE28F68}">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773</Words>
  <Characters>4412</Characters>
  <Lines>36</Lines>
  <Paragraphs>10</Paragraphs>
  <TotalTime>1392</TotalTime>
  <ScaleCrop>false</ScaleCrop>
  <LinksUpToDate>false</LinksUpToDate>
  <CharactersWithSpaces>5175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2026-04-16T08:06:00Z</dcterms:created>
  <dc:creator>zhangfe</dc:creator>
  <cp:lastModifiedBy>zhangjing1</cp:lastModifiedBy>
  <cp:lastPrinted>2026-10-13T06:19:00Z</cp:lastPrinted>
  <dcterms:modified xsi:type="dcterms:W3CDTF">2026-10-20T08:22:24Z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D21FE235888A43B0BE6F4A3374FC3EA8</vt:lpwstr>
  </property>
  <property fmtid="{D5CDD505-2E9C-101B-9397-08002B2CF9AE}" pid="4" name="KSOTemplateDocerSaveRecord">
    <vt:lpwstr>eyJoZGlkIjoiYmJlMTM1OTQzNjc4MDU2M2Q4N2QwZWU0ZjYyZTMyZmIiLCJ1c2VySWQiOiI2NTE1MDQyNjQifQ==</vt:lpwstr>
  </property>
</Properties>
</file>