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bidi w:val="0"/>
        <w:spacing w:before="0" w:after="0" w:line="240" w:lineRule="auto"/>
        <w:jc w:val="center"/>
        <w:rPr>
          <w:rFonts w:hint="eastAsia" w:ascii="Times New Roman" w:hAnsi="Times New Roman" w:eastAsia="宋体" w:cs="宋体"/>
          <w:b w:val="0"/>
          <w:color w:val="000000"/>
          <w:kern w:val="0"/>
          <w:sz w:val="24"/>
          <w:szCs w:val="24"/>
          <w:lang w:val="en-US" w:eastAsia="zh-CN" w:bidi="ar"/>
        </w:rPr>
      </w:pPr>
      <w:bookmarkStart w:id="0" w:name="_GoBack"/>
      <w:bookmarkEnd w:id="0"/>
      <w:r>
        <w:rPr>
          <w:rFonts w:hint="eastAsia" w:ascii="Times New Roman" w:hAnsi="Times New Roman" w:eastAsia="宋体" w:cs="Times New Roman"/>
          <w:b/>
          <w:kern w:val="0"/>
          <w:sz w:val="30"/>
          <w:szCs w:val="30"/>
          <w:highlight w:val="none"/>
          <w:lang w:val="en-US" w:eastAsia="zh-CN" w:bidi="ar-SA"/>
        </w:rPr>
        <w:t>交银施罗德基金管理有限公司关于旗下部分基金非港股通交易日暂停申购、赎回等业务安排的公告</w:t>
      </w:r>
    </w:p>
    <w:p>
      <w:pPr>
        <w:keepNext w:val="0"/>
        <w:keepLines w:val="0"/>
        <w:widowControl/>
        <w:suppressLineNumbers w:val="0"/>
        <w:jc w:val="left"/>
        <w:rPr>
          <w:rFonts w:hint="eastAsia" w:ascii="Times New Roman" w:hAnsi="Times New Roman" w:eastAsia="宋体" w:cs="宋体"/>
          <w:color w:val="000000"/>
          <w:kern w:val="0"/>
          <w:sz w:val="24"/>
          <w:szCs w:val="24"/>
          <w:lang w:val="en-US" w:eastAsia="zh-CN" w:bidi="ar"/>
        </w:rPr>
      </w:pPr>
    </w:p>
    <w:p>
      <w:pPr>
        <w:keepNext w:val="0"/>
        <w:keepLines w:val="0"/>
        <w:widowControl/>
        <w:suppressLineNumbers w:val="0"/>
        <w:jc w:val="left"/>
        <w:rPr>
          <w:rFonts w:hint="eastAsia" w:ascii="Times New Roman" w:hAnsi="Times New Roman" w:eastAsia="宋体" w:cs="宋体"/>
          <w:color w:val="000000"/>
          <w:kern w:val="0"/>
          <w:sz w:val="24"/>
          <w:szCs w:val="24"/>
          <w:lang w:val="en-US" w:eastAsia="zh-CN" w:bidi="ar"/>
        </w:rPr>
      </w:pPr>
    </w:p>
    <w:p>
      <w:pPr>
        <w:widowControl/>
        <w:spacing w:before="100" w:beforeAutospacing="1" w:after="100" w:afterAutospacing="1" w:line="360" w:lineRule="auto"/>
        <w:ind w:firstLine="480"/>
        <w:contextualSpacing/>
        <w:jc w:val="left"/>
        <w:rPr>
          <w:rFonts w:hint="eastAsia" w:ascii="Times New Roman" w:hAnsi="Times New Roman" w:eastAsia="宋体" w:cs="宋体"/>
          <w:color w:val="000000"/>
          <w:kern w:val="0"/>
          <w:sz w:val="24"/>
          <w:szCs w:val="24"/>
          <w:lang w:val="en-US" w:eastAsia="zh-CN" w:bidi="ar"/>
        </w:rPr>
      </w:pPr>
      <w:r>
        <w:rPr>
          <w:rFonts w:hint="eastAsia" w:ascii="Times New Roman" w:hAnsi="Times New Roman"/>
          <w:kern w:val="0"/>
          <w:sz w:val="24"/>
          <w:szCs w:val="24"/>
          <w:highlight w:val="none"/>
          <w:lang w:val="en-US" w:eastAsia="zh-CN"/>
        </w:rPr>
        <w:t>因2026年10月19日为非港股通交易日，为了保障基金平稳运作、维护基金份额持有人利益，根据基金合同、招募说明书等相关法律文件的规定，交银施罗德基金管理有限公司（以下简称“本公司”）决定对旗下部分基金于2026年10月19日暂停申购、赎回、转换与定期定额投资业务（具体业务类型及开放状态以各基金实际情况为准），并自2026年10月20日起恢复办理上述业务，届时不再另行公告。</w:t>
      </w:r>
      <w:r>
        <w:rPr>
          <w:rFonts w:hint="eastAsia" w:ascii="Times New Roman" w:hAnsi="Times New Roman" w:eastAsia="宋体" w:cs="宋体"/>
          <w:color w:val="000000"/>
          <w:kern w:val="0"/>
          <w:sz w:val="24"/>
          <w:szCs w:val="24"/>
          <w:lang w:val="en-US" w:eastAsia="zh-CN" w:bidi="ar"/>
        </w:rPr>
        <w:t xml:space="preserve"> </w:t>
      </w:r>
    </w:p>
    <w:p>
      <w:pPr>
        <w:keepNext w:val="0"/>
        <w:keepLines w:val="0"/>
        <w:widowControl/>
        <w:suppressLineNumbers w:val="0"/>
        <w:jc w:val="left"/>
        <w:rPr>
          <w:rFonts w:hint="eastAsia" w:ascii="Times New Roman" w:hAnsi="Times New Roman" w:eastAsia="宋体" w:cs="宋体"/>
          <w:color w:val="000000"/>
          <w:kern w:val="0"/>
          <w:sz w:val="24"/>
          <w:szCs w:val="24"/>
          <w:lang w:val="en-US" w:eastAsia="zh-CN" w:bidi="ar"/>
        </w:rPr>
      </w:pPr>
    </w:p>
    <w:p>
      <w:pPr>
        <w:widowControl/>
        <w:spacing w:before="100" w:beforeAutospacing="1" w:after="100" w:afterAutospacing="1" w:line="360" w:lineRule="auto"/>
        <w:ind w:firstLine="482" w:firstLineChars="200"/>
        <w:contextualSpacing/>
        <w:outlineLvl w:val="0"/>
        <w:rPr>
          <w:rFonts w:hint="eastAsia" w:ascii="Times New Roman" w:hAnsi="Times New Roman" w:eastAsiaTheme="minorEastAsia"/>
          <w:b/>
          <w:bCs/>
          <w:kern w:val="0"/>
          <w:sz w:val="24"/>
          <w:szCs w:val="24"/>
          <w:highlight w:val="none"/>
          <w:lang w:val="en-US" w:eastAsia="zh-CN"/>
        </w:rPr>
      </w:pPr>
      <w:r>
        <w:rPr>
          <w:rFonts w:hint="eastAsia" w:ascii="Times New Roman" w:hAnsi="Times New Roman"/>
          <w:b/>
          <w:bCs/>
          <w:kern w:val="0"/>
          <w:sz w:val="24"/>
          <w:szCs w:val="24"/>
          <w:highlight w:val="none"/>
        </w:rPr>
        <w:t>适</w:t>
      </w:r>
      <w:r>
        <w:rPr>
          <w:rFonts w:ascii="Times New Roman" w:hAnsi="Times New Roman"/>
          <w:b/>
          <w:bCs/>
          <w:kern w:val="0"/>
          <w:sz w:val="24"/>
          <w:szCs w:val="24"/>
          <w:highlight w:val="none"/>
        </w:rPr>
        <w:t>用基金范围</w:t>
      </w:r>
      <w:r>
        <w:rPr>
          <w:rFonts w:hint="eastAsia" w:ascii="Times New Roman" w:hAnsi="Times New Roman"/>
          <w:b/>
          <w:bCs/>
          <w:kern w:val="0"/>
          <w:sz w:val="24"/>
          <w:szCs w:val="24"/>
          <w:highlight w:val="none"/>
          <w:lang w:eastAsia="zh-CN"/>
        </w:rPr>
        <w:t>：</w:t>
      </w:r>
    </w:p>
    <w:tbl>
      <w:tblPr>
        <w:tblStyle w:val="5"/>
        <w:tblW w:w="83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3484"/>
        <w:gridCol w:w="1736"/>
        <w:gridCol w:w="22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17" w:type="dxa"/>
            <w:noWrap w:val="0"/>
            <w:vAlign w:val="center"/>
          </w:tcPr>
          <w:p>
            <w:pPr>
              <w:widowControl/>
              <w:jc w:val="left"/>
              <w:rPr>
                <w:rFonts w:ascii="Times New Roman" w:hAnsi="Times New Roman"/>
                <w:color w:val="000000"/>
                <w:kern w:val="0"/>
                <w:sz w:val="24"/>
                <w:szCs w:val="24"/>
                <w:highlight w:val="none"/>
              </w:rPr>
            </w:pPr>
            <w:r>
              <w:rPr>
                <w:rFonts w:ascii="Times New Roman" w:hAnsi="Times New Roman"/>
                <w:color w:val="000000"/>
                <w:kern w:val="0"/>
                <w:sz w:val="24"/>
                <w:szCs w:val="24"/>
                <w:highlight w:val="none"/>
              </w:rPr>
              <w:t>序号</w:t>
            </w:r>
          </w:p>
        </w:tc>
        <w:tc>
          <w:tcPr>
            <w:tcW w:w="3484" w:type="dxa"/>
            <w:noWrap w:val="0"/>
            <w:vAlign w:val="center"/>
          </w:tcPr>
          <w:p>
            <w:pPr>
              <w:widowControl/>
              <w:jc w:val="center"/>
              <w:rPr>
                <w:rFonts w:ascii="Times New Roman" w:hAnsi="Times New Roman"/>
                <w:color w:val="000000"/>
                <w:kern w:val="0"/>
                <w:sz w:val="24"/>
                <w:szCs w:val="24"/>
                <w:highlight w:val="none"/>
              </w:rPr>
            </w:pPr>
            <w:r>
              <w:rPr>
                <w:rFonts w:ascii="Times New Roman" w:hAnsi="Times New Roman"/>
                <w:color w:val="000000"/>
                <w:kern w:val="0"/>
                <w:sz w:val="24"/>
                <w:szCs w:val="24"/>
                <w:highlight w:val="none"/>
              </w:rPr>
              <w:t>基金名称</w:t>
            </w:r>
          </w:p>
        </w:tc>
        <w:tc>
          <w:tcPr>
            <w:tcW w:w="1736" w:type="dxa"/>
            <w:noWrap w:val="0"/>
            <w:vAlign w:val="center"/>
          </w:tcPr>
          <w:p>
            <w:pPr>
              <w:widowControl/>
              <w:jc w:val="center"/>
              <w:rPr>
                <w:rFonts w:ascii="Times New Roman" w:hAnsi="Times New Roman"/>
                <w:color w:val="000000"/>
                <w:kern w:val="0"/>
                <w:sz w:val="24"/>
                <w:szCs w:val="24"/>
                <w:highlight w:val="none"/>
              </w:rPr>
            </w:pPr>
            <w:r>
              <w:rPr>
                <w:rFonts w:ascii="Times New Roman" w:hAnsi="Times New Roman"/>
                <w:color w:val="000000"/>
                <w:kern w:val="0"/>
                <w:sz w:val="24"/>
                <w:szCs w:val="24"/>
                <w:highlight w:val="none"/>
              </w:rPr>
              <w:t>简称</w:t>
            </w:r>
          </w:p>
        </w:tc>
        <w:tc>
          <w:tcPr>
            <w:tcW w:w="2266" w:type="dxa"/>
            <w:noWrap w:val="0"/>
            <w:vAlign w:val="center"/>
          </w:tcPr>
          <w:p>
            <w:pPr>
              <w:widowControl/>
              <w:jc w:val="center"/>
              <w:rPr>
                <w:rFonts w:ascii="Times New Roman" w:hAnsi="Times New Roman"/>
                <w:color w:val="000000"/>
                <w:kern w:val="0"/>
                <w:sz w:val="24"/>
                <w:szCs w:val="24"/>
                <w:highlight w:val="none"/>
              </w:rPr>
            </w:pPr>
            <w:r>
              <w:rPr>
                <w:rFonts w:ascii="Times New Roman" w:hAnsi="Times New Roman"/>
                <w:color w:val="000000"/>
                <w:kern w:val="0"/>
                <w:sz w:val="24"/>
                <w:szCs w:val="24"/>
                <w:highlight w:val="none"/>
              </w:rPr>
              <w:t>基金</w:t>
            </w:r>
            <w:r>
              <w:rPr>
                <w:rFonts w:hint="eastAsia" w:ascii="Times New Roman" w:hAnsi="Times New Roman"/>
                <w:color w:val="000000"/>
                <w:kern w:val="0"/>
                <w:sz w:val="24"/>
                <w:szCs w:val="24"/>
                <w:highlight w:val="none"/>
                <w:lang w:val="en-US" w:eastAsia="zh-CN"/>
              </w:rPr>
              <w:t>主</w:t>
            </w:r>
            <w:r>
              <w:rPr>
                <w:rFonts w:ascii="Times New Roman" w:hAnsi="Times New Roman"/>
                <w:color w:val="000000"/>
                <w:kern w:val="0"/>
                <w:sz w:val="24"/>
                <w:szCs w:val="24"/>
                <w:highlight w:val="none"/>
              </w:rPr>
              <w:t>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17" w:type="dxa"/>
            <w:noWrap w:val="0"/>
            <w:vAlign w:val="center"/>
          </w:tcPr>
          <w:p>
            <w:pPr>
              <w:widowControl/>
              <w:jc w:val="center"/>
              <w:rPr>
                <w:rFonts w:ascii="Times New Roman" w:hAnsi="Times New Roman"/>
                <w:color w:val="000000"/>
                <w:kern w:val="0"/>
                <w:sz w:val="24"/>
                <w:szCs w:val="24"/>
                <w:highlight w:val="none"/>
              </w:rPr>
            </w:pPr>
            <w:r>
              <w:rPr>
                <w:rFonts w:hint="eastAsia" w:ascii="Times New Roman" w:hAnsi="Times New Roman"/>
                <w:color w:val="000000"/>
                <w:kern w:val="0"/>
                <w:sz w:val="24"/>
                <w:szCs w:val="24"/>
                <w:highlight w:val="none"/>
              </w:rPr>
              <w:t>1</w:t>
            </w:r>
          </w:p>
        </w:tc>
        <w:tc>
          <w:tcPr>
            <w:tcW w:w="3484" w:type="dxa"/>
            <w:noWrap w:val="0"/>
            <w:vAlign w:val="center"/>
          </w:tcPr>
          <w:p>
            <w:pPr>
              <w:widowControl/>
              <w:jc w:val="left"/>
              <w:rPr>
                <w:rFonts w:ascii="Times New Roman" w:hAnsi="Times New Roman"/>
                <w:color w:val="000000"/>
                <w:kern w:val="0"/>
                <w:sz w:val="24"/>
                <w:szCs w:val="24"/>
                <w:highlight w:val="none"/>
              </w:rPr>
            </w:pPr>
            <w:r>
              <w:rPr>
                <w:rFonts w:hint="eastAsia" w:ascii="Times New Roman" w:hAnsi="Times New Roman"/>
                <w:color w:val="000000"/>
                <w:kern w:val="0"/>
                <w:sz w:val="24"/>
                <w:szCs w:val="24"/>
                <w:highlight w:val="none"/>
              </w:rPr>
              <w:t>交银施罗德沪港深价值精选灵活配置混合型证券投资基金</w:t>
            </w:r>
          </w:p>
        </w:tc>
        <w:tc>
          <w:tcPr>
            <w:tcW w:w="1736" w:type="dxa"/>
            <w:noWrap w:val="0"/>
            <w:vAlign w:val="center"/>
          </w:tcPr>
          <w:p>
            <w:pPr>
              <w:widowControl/>
              <w:jc w:val="center"/>
              <w:rPr>
                <w:rFonts w:hint="eastAsia" w:ascii="Times New Roman" w:hAnsi="Times New Roman"/>
                <w:color w:val="000000"/>
                <w:kern w:val="0"/>
                <w:sz w:val="24"/>
                <w:szCs w:val="24"/>
                <w:highlight w:val="none"/>
              </w:rPr>
            </w:pPr>
            <w:r>
              <w:rPr>
                <w:rFonts w:hint="eastAsia" w:ascii="Times New Roman" w:hAnsi="Times New Roman"/>
                <w:color w:val="000000"/>
                <w:kern w:val="0"/>
                <w:sz w:val="24"/>
                <w:szCs w:val="24"/>
                <w:highlight w:val="none"/>
              </w:rPr>
              <w:t>交银</w:t>
            </w:r>
            <w:r>
              <w:rPr>
                <w:rFonts w:ascii="Times New Roman" w:hAnsi="Times New Roman"/>
                <w:color w:val="000000"/>
                <w:kern w:val="0"/>
                <w:sz w:val="24"/>
                <w:szCs w:val="24"/>
                <w:highlight w:val="none"/>
              </w:rPr>
              <w:t>沪港深价值精选</w:t>
            </w:r>
          </w:p>
        </w:tc>
        <w:tc>
          <w:tcPr>
            <w:tcW w:w="2266" w:type="dxa"/>
            <w:noWrap w:val="0"/>
            <w:vAlign w:val="center"/>
          </w:tcPr>
          <w:p>
            <w:pPr>
              <w:widowControl/>
              <w:jc w:val="center"/>
              <w:rPr>
                <w:rFonts w:ascii="Times New Roman" w:hAnsi="Times New Roman"/>
                <w:color w:val="000000"/>
                <w:kern w:val="0"/>
                <w:sz w:val="24"/>
                <w:szCs w:val="24"/>
                <w:highlight w:val="none"/>
              </w:rPr>
            </w:pPr>
            <w:r>
              <w:rPr>
                <w:rFonts w:hint="eastAsia" w:ascii="Times New Roman" w:hAnsi="Times New Roman"/>
                <w:color w:val="000000"/>
                <w:kern w:val="0"/>
                <w:sz w:val="24"/>
                <w:szCs w:val="24"/>
                <w:highlight w:val="none"/>
              </w:rPr>
              <w:t>519779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17" w:type="dxa"/>
            <w:noWrap w:val="0"/>
            <w:vAlign w:val="center"/>
          </w:tcPr>
          <w:p>
            <w:pPr>
              <w:keepNext w:val="0"/>
              <w:keepLines w:val="0"/>
              <w:widowControl/>
              <w:suppressLineNumbers w:val="0"/>
              <w:jc w:val="center"/>
              <w:textAlignment w:val="center"/>
              <w:rPr>
                <w:rFonts w:ascii="Times New Roman" w:hAnsi="Times New Roman" w:eastAsia="等线" w:cs="等线"/>
                <w:i w:val="0"/>
                <w:iCs w:val="0"/>
                <w:color w:val="000000"/>
                <w:kern w:val="2"/>
                <w:sz w:val="22"/>
                <w:szCs w:val="22"/>
                <w:highlight w:val="none"/>
                <w:u w:val="none"/>
                <w:lang w:val="en-US" w:eastAsia="zh-CN" w:bidi="ar-SA"/>
              </w:rPr>
            </w:pPr>
            <w:r>
              <w:rPr>
                <w:rFonts w:hint="eastAsia" w:ascii="Times New Roman" w:hAnsi="Times New Roman" w:eastAsia="等线" w:cs="等线"/>
                <w:i w:val="0"/>
                <w:iCs w:val="0"/>
                <w:color w:val="000000"/>
                <w:kern w:val="0"/>
                <w:sz w:val="22"/>
                <w:szCs w:val="22"/>
                <w:highlight w:val="none"/>
                <w:u w:val="none"/>
                <w:lang w:val="en-US" w:eastAsia="zh-CN" w:bidi="ar"/>
              </w:rPr>
              <w:t>2</w:t>
            </w:r>
          </w:p>
        </w:tc>
        <w:tc>
          <w:tcPr>
            <w:tcW w:w="3484" w:type="dxa"/>
            <w:noWrap w:val="0"/>
            <w:vAlign w:val="center"/>
          </w:tcPr>
          <w:p>
            <w:pPr>
              <w:widowControl/>
              <w:jc w:val="left"/>
              <w:rPr>
                <w:rFonts w:ascii="Times New Roman" w:hAnsi="Times New Roman"/>
                <w:color w:val="000000"/>
                <w:kern w:val="0"/>
                <w:sz w:val="24"/>
                <w:szCs w:val="24"/>
                <w:highlight w:val="none"/>
              </w:rPr>
            </w:pPr>
            <w:r>
              <w:rPr>
                <w:rFonts w:ascii="Times New Roman" w:hAnsi="Times New Roman"/>
                <w:color w:val="000000"/>
                <w:kern w:val="0"/>
                <w:sz w:val="24"/>
                <w:szCs w:val="24"/>
                <w:highlight w:val="none"/>
              </w:rPr>
              <w:t>交银施罗德</w:t>
            </w:r>
            <w:r>
              <w:rPr>
                <w:rFonts w:ascii="Times New Roman" w:hAnsi="Times New Roman"/>
                <w:kern w:val="0"/>
                <w:sz w:val="24"/>
                <w:szCs w:val="24"/>
                <w:highlight w:val="none"/>
              </w:rPr>
              <w:t>创新成长混合型证券投资基金</w:t>
            </w:r>
          </w:p>
        </w:tc>
        <w:tc>
          <w:tcPr>
            <w:tcW w:w="1736" w:type="dxa"/>
            <w:noWrap w:val="0"/>
            <w:vAlign w:val="center"/>
          </w:tcPr>
          <w:p>
            <w:pPr>
              <w:widowControl/>
              <w:jc w:val="center"/>
              <w:rPr>
                <w:rFonts w:ascii="Times New Roman" w:hAnsi="Times New Roman"/>
                <w:color w:val="000000"/>
                <w:kern w:val="0"/>
                <w:sz w:val="24"/>
                <w:szCs w:val="24"/>
                <w:highlight w:val="none"/>
              </w:rPr>
            </w:pPr>
            <w:r>
              <w:rPr>
                <w:rFonts w:ascii="Times New Roman" w:hAnsi="Times New Roman"/>
                <w:color w:val="000000"/>
                <w:kern w:val="0"/>
                <w:sz w:val="24"/>
                <w:szCs w:val="24"/>
                <w:highlight w:val="none"/>
              </w:rPr>
              <w:t>交银</w:t>
            </w:r>
            <w:r>
              <w:rPr>
                <w:rFonts w:hint="eastAsia" w:ascii="Times New Roman" w:hAnsi="Times New Roman"/>
                <w:color w:val="000000"/>
                <w:kern w:val="0"/>
                <w:sz w:val="24"/>
                <w:szCs w:val="24"/>
                <w:highlight w:val="none"/>
              </w:rPr>
              <w:t>创新成长</w:t>
            </w:r>
          </w:p>
        </w:tc>
        <w:tc>
          <w:tcPr>
            <w:tcW w:w="2266" w:type="dxa"/>
            <w:noWrap w:val="0"/>
            <w:vAlign w:val="center"/>
          </w:tcPr>
          <w:p>
            <w:pPr>
              <w:widowControl/>
              <w:jc w:val="center"/>
              <w:rPr>
                <w:rFonts w:ascii="Times New Roman" w:hAnsi="Times New Roman"/>
                <w:color w:val="000000"/>
                <w:kern w:val="0"/>
                <w:sz w:val="24"/>
                <w:szCs w:val="24"/>
                <w:highlight w:val="none"/>
              </w:rPr>
            </w:pPr>
            <w:r>
              <w:rPr>
                <w:rFonts w:ascii="Times New Roman" w:hAnsi="Times New Roman"/>
                <w:kern w:val="0"/>
                <w:sz w:val="24"/>
                <w:szCs w:val="24"/>
                <w:highlight w:val="none"/>
              </w:rPr>
              <w:t>006223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17" w:type="dxa"/>
            <w:noWrap w:val="0"/>
            <w:vAlign w:val="center"/>
          </w:tcPr>
          <w:p>
            <w:pPr>
              <w:keepNext w:val="0"/>
              <w:keepLines w:val="0"/>
              <w:widowControl/>
              <w:suppressLineNumbers w:val="0"/>
              <w:jc w:val="center"/>
              <w:textAlignment w:val="center"/>
              <w:rPr>
                <w:rFonts w:hint="eastAsia" w:ascii="Times New Roman" w:hAnsi="Times New Roman" w:eastAsia="等线" w:cs="等线"/>
                <w:i w:val="0"/>
                <w:iCs w:val="0"/>
                <w:color w:val="000000"/>
                <w:kern w:val="2"/>
                <w:sz w:val="22"/>
                <w:szCs w:val="22"/>
                <w:highlight w:val="none"/>
                <w:u w:val="none"/>
                <w:lang w:val="en-US" w:eastAsia="zh-CN" w:bidi="ar-SA"/>
              </w:rPr>
            </w:pPr>
            <w:r>
              <w:rPr>
                <w:rFonts w:hint="eastAsia" w:ascii="Times New Roman" w:hAnsi="Times New Roman" w:eastAsia="等线" w:cs="等线"/>
                <w:i w:val="0"/>
                <w:iCs w:val="0"/>
                <w:color w:val="000000"/>
                <w:kern w:val="0"/>
                <w:sz w:val="22"/>
                <w:szCs w:val="22"/>
                <w:highlight w:val="none"/>
                <w:u w:val="none"/>
                <w:lang w:val="en-US" w:eastAsia="zh-CN" w:bidi="ar"/>
              </w:rPr>
              <w:t>3</w:t>
            </w:r>
          </w:p>
        </w:tc>
        <w:tc>
          <w:tcPr>
            <w:tcW w:w="3484" w:type="dxa"/>
            <w:noWrap w:val="0"/>
            <w:vAlign w:val="center"/>
          </w:tcPr>
          <w:p>
            <w:pPr>
              <w:widowControl/>
              <w:jc w:val="left"/>
              <w:rPr>
                <w:rFonts w:ascii="Times New Roman" w:hAnsi="Times New Roman"/>
                <w:color w:val="000000"/>
                <w:kern w:val="0"/>
                <w:sz w:val="24"/>
                <w:szCs w:val="24"/>
                <w:highlight w:val="none"/>
              </w:rPr>
            </w:pPr>
            <w:r>
              <w:rPr>
                <w:rFonts w:hint="eastAsia" w:ascii="Times New Roman" w:hAnsi="Times New Roman"/>
                <w:color w:val="000000"/>
                <w:kern w:val="0"/>
                <w:sz w:val="24"/>
                <w:szCs w:val="24"/>
                <w:highlight w:val="none"/>
              </w:rPr>
              <w:t>交银施罗德核心资产混合型证券投资基金</w:t>
            </w:r>
          </w:p>
        </w:tc>
        <w:tc>
          <w:tcPr>
            <w:tcW w:w="1736" w:type="dxa"/>
            <w:noWrap w:val="0"/>
            <w:vAlign w:val="center"/>
          </w:tcPr>
          <w:p>
            <w:pPr>
              <w:widowControl/>
              <w:jc w:val="center"/>
              <w:rPr>
                <w:rFonts w:ascii="Times New Roman" w:hAnsi="Times New Roman"/>
                <w:color w:val="000000"/>
                <w:kern w:val="0"/>
                <w:sz w:val="24"/>
                <w:szCs w:val="24"/>
                <w:highlight w:val="none"/>
              </w:rPr>
            </w:pPr>
            <w:r>
              <w:rPr>
                <w:rFonts w:ascii="Times New Roman" w:hAnsi="Times New Roman"/>
                <w:color w:val="000000"/>
                <w:kern w:val="0"/>
                <w:sz w:val="24"/>
                <w:szCs w:val="24"/>
                <w:highlight w:val="none"/>
              </w:rPr>
              <w:t>交银</w:t>
            </w:r>
            <w:r>
              <w:rPr>
                <w:rFonts w:hint="eastAsia" w:ascii="Times New Roman" w:hAnsi="Times New Roman"/>
                <w:color w:val="000000"/>
                <w:kern w:val="0"/>
                <w:sz w:val="24"/>
                <w:szCs w:val="24"/>
                <w:highlight w:val="none"/>
              </w:rPr>
              <w:t>核心资产</w:t>
            </w:r>
          </w:p>
        </w:tc>
        <w:tc>
          <w:tcPr>
            <w:tcW w:w="2266" w:type="dxa"/>
            <w:noWrap w:val="0"/>
            <w:vAlign w:val="center"/>
          </w:tcPr>
          <w:p>
            <w:pPr>
              <w:widowControl/>
              <w:jc w:val="center"/>
              <w:rPr>
                <w:rFonts w:ascii="Times New Roman" w:hAnsi="Times New Roman"/>
                <w:color w:val="000000"/>
                <w:kern w:val="0"/>
                <w:sz w:val="24"/>
                <w:szCs w:val="24"/>
                <w:highlight w:val="none"/>
              </w:rPr>
            </w:pPr>
            <w:r>
              <w:rPr>
                <w:rFonts w:ascii="Times New Roman" w:hAnsi="Times New Roman"/>
                <w:color w:val="000000"/>
                <w:kern w:val="0"/>
                <w:sz w:val="24"/>
                <w:szCs w:val="24"/>
                <w:highlight w:val="none"/>
              </w:rPr>
              <w:t>006202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17" w:type="dxa"/>
            <w:noWrap w:val="0"/>
            <w:vAlign w:val="center"/>
          </w:tcPr>
          <w:p>
            <w:pPr>
              <w:keepNext w:val="0"/>
              <w:keepLines w:val="0"/>
              <w:widowControl/>
              <w:suppressLineNumbers w:val="0"/>
              <w:jc w:val="center"/>
              <w:textAlignment w:val="center"/>
              <w:rPr>
                <w:rFonts w:hint="eastAsia" w:ascii="Times New Roman" w:hAnsi="Times New Roman" w:eastAsia="等线" w:cs="等线"/>
                <w:i w:val="0"/>
                <w:iCs w:val="0"/>
                <w:color w:val="000000"/>
                <w:kern w:val="2"/>
                <w:sz w:val="22"/>
                <w:szCs w:val="22"/>
                <w:highlight w:val="none"/>
                <w:u w:val="none"/>
                <w:lang w:val="en-US" w:eastAsia="zh-CN" w:bidi="ar-SA"/>
              </w:rPr>
            </w:pPr>
            <w:r>
              <w:rPr>
                <w:rFonts w:hint="eastAsia" w:ascii="Times New Roman" w:hAnsi="Times New Roman" w:eastAsia="等线" w:cs="等线"/>
                <w:i w:val="0"/>
                <w:iCs w:val="0"/>
                <w:color w:val="000000"/>
                <w:kern w:val="0"/>
                <w:sz w:val="22"/>
                <w:szCs w:val="22"/>
                <w:highlight w:val="none"/>
                <w:u w:val="none"/>
                <w:lang w:val="en-US" w:eastAsia="zh-CN" w:bidi="ar"/>
              </w:rPr>
              <w:t>4</w:t>
            </w:r>
          </w:p>
        </w:tc>
        <w:tc>
          <w:tcPr>
            <w:tcW w:w="3484" w:type="dxa"/>
            <w:noWrap w:val="0"/>
            <w:vAlign w:val="center"/>
          </w:tcPr>
          <w:p>
            <w:pPr>
              <w:widowControl/>
              <w:jc w:val="left"/>
              <w:rPr>
                <w:rFonts w:hint="eastAsia" w:ascii="Times New Roman" w:hAnsi="Times New Roman"/>
                <w:color w:val="000000"/>
                <w:kern w:val="0"/>
                <w:sz w:val="24"/>
                <w:szCs w:val="24"/>
                <w:highlight w:val="none"/>
                <w:lang w:val="en-US" w:eastAsia="zh-CN" w:bidi="ar-SA"/>
              </w:rPr>
            </w:pPr>
            <w:r>
              <w:rPr>
                <w:rFonts w:hint="eastAsia" w:ascii="Times New Roman" w:hAnsi="Times New Roman" w:eastAsia="宋体" w:cs="Times New Roman"/>
                <w:color w:val="000000"/>
                <w:kern w:val="0"/>
                <w:sz w:val="24"/>
                <w:szCs w:val="24"/>
                <w:highlight w:val="none"/>
              </w:rPr>
              <w:t>交银施罗德中证港股通央企红利指数型证券投资基金</w:t>
            </w:r>
          </w:p>
        </w:tc>
        <w:tc>
          <w:tcPr>
            <w:tcW w:w="1736" w:type="dxa"/>
            <w:noWrap w:val="0"/>
            <w:vAlign w:val="center"/>
          </w:tcPr>
          <w:p>
            <w:pPr>
              <w:widowControl/>
              <w:jc w:val="center"/>
              <w:rPr>
                <w:rFonts w:hint="default" w:ascii="Times New Roman" w:hAnsi="Times New Roman" w:eastAsia="宋体"/>
                <w:color w:val="000000"/>
                <w:kern w:val="0"/>
                <w:sz w:val="24"/>
                <w:szCs w:val="24"/>
                <w:highlight w:val="none"/>
                <w:lang w:val="en-US" w:eastAsia="zh-CN" w:bidi="ar-SA"/>
              </w:rPr>
            </w:pPr>
            <w:r>
              <w:rPr>
                <w:rFonts w:hint="eastAsia" w:ascii="Times New Roman" w:hAnsi="Times New Roman"/>
                <w:color w:val="000000"/>
                <w:kern w:val="0"/>
                <w:sz w:val="24"/>
                <w:szCs w:val="24"/>
                <w:highlight w:val="none"/>
                <w:lang w:val="en-US" w:eastAsia="zh-CN"/>
              </w:rPr>
              <w:t>交银港股通央企红利指数</w:t>
            </w:r>
          </w:p>
        </w:tc>
        <w:tc>
          <w:tcPr>
            <w:tcW w:w="2266" w:type="dxa"/>
            <w:noWrap w:val="0"/>
            <w:vAlign w:val="center"/>
          </w:tcPr>
          <w:p>
            <w:pPr>
              <w:widowControl/>
              <w:jc w:val="center"/>
              <w:rPr>
                <w:rFonts w:hint="default" w:ascii="Times New Roman" w:hAnsi="Times New Roman" w:eastAsia="宋体"/>
                <w:color w:val="000000"/>
                <w:kern w:val="0"/>
                <w:sz w:val="24"/>
                <w:szCs w:val="24"/>
                <w:highlight w:val="none"/>
                <w:lang w:val="en-US" w:eastAsia="zh-CN" w:bidi="ar-SA"/>
              </w:rPr>
            </w:pPr>
            <w:r>
              <w:rPr>
                <w:rFonts w:hint="eastAsia" w:ascii="Times New Roman" w:hAnsi="Times New Roman"/>
                <w:color w:val="000000"/>
                <w:kern w:val="0"/>
                <w:sz w:val="24"/>
                <w:szCs w:val="24"/>
                <w:highlight w:val="none"/>
                <w:lang w:val="en-US" w:eastAsia="zh-CN"/>
              </w:rPr>
              <w:t>025189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17" w:type="dxa"/>
            <w:noWrap w:val="0"/>
            <w:vAlign w:val="center"/>
          </w:tcPr>
          <w:p>
            <w:pPr>
              <w:keepNext w:val="0"/>
              <w:keepLines w:val="0"/>
              <w:widowControl/>
              <w:suppressLineNumbers w:val="0"/>
              <w:jc w:val="center"/>
              <w:textAlignment w:val="center"/>
              <w:rPr>
                <w:rFonts w:hint="eastAsia" w:ascii="Times New Roman" w:hAnsi="Times New Roman" w:eastAsia="等线" w:cs="等线"/>
                <w:i w:val="0"/>
                <w:iCs w:val="0"/>
                <w:color w:val="000000"/>
                <w:kern w:val="2"/>
                <w:sz w:val="22"/>
                <w:szCs w:val="22"/>
                <w:highlight w:val="none"/>
                <w:u w:val="none"/>
                <w:lang w:val="en-US" w:eastAsia="zh-CN" w:bidi="ar-SA"/>
              </w:rPr>
            </w:pPr>
            <w:r>
              <w:rPr>
                <w:rFonts w:hint="eastAsia" w:ascii="Times New Roman" w:hAnsi="Times New Roman" w:eastAsia="等线" w:cs="等线"/>
                <w:i w:val="0"/>
                <w:iCs w:val="0"/>
                <w:color w:val="000000"/>
                <w:kern w:val="0"/>
                <w:sz w:val="22"/>
                <w:szCs w:val="22"/>
                <w:highlight w:val="none"/>
                <w:u w:val="none"/>
                <w:lang w:val="en-US" w:eastAsia="zh-CN" w:bidi="ar"/>
              </w:rPr>
              <w:t>5</w:t>
            </w:r>
          </w:p>
        </w:tc>
        <w:tc>
          <w:tcPr>
            <w:tcW w:w="3484" w:type="dxa"/>
            <w:noWrap w:val="0"/>
            <w:vAlign w:val="center"/>
          </w:tcPr>
          <w:p>
            <w:pPr>
              <w:widowControl/>
              <w:jc w:val="left"/>
              <w:rPr>
                <w:rFonts w:hint="eastAsia" w:ascii="Times New Roman" w:hAnsi="Times New Roman" w:eastAsia="宋体" w:cs="宋体"/>
                <w:color w:val="000000"/>
                <w:kern w:val="0"/>
                <w:sz w:val="24"/>
                <w:szCs w:val="24"/>
                <w:highlight w:val="none"/>
                <w:lang w:val="en-US" w:eastAsia="zh-CN" w:bidi="ar-SA"/>
              </w:rPr>
            </w:pPr>
            <w:r>
              <w:rPr>
                <w:rFonts w:hint="eastAsia" w:ascii="Times New Roman" w:hAnsi="Times New Roman" w:eastAsia="宋体" w:cs="宋体"/>
                <w:i w:val="0"/>
                <w:iCs w:val="0"/>
                <w:caps w:val="0"/>
                <w:color w:val="000000"/>
                <w:spacing w:val="0"/>
                <w:kern w:val="0"/>
                <w:sz w:val="24"/>
                <w:szCs w:val="24"/>
                <w:highlight w:val="none"/>
                <w:shd w:val="clear" w:color="auto" w:fill="auto"/>
              </w:rPr>
              <w:t>交银施罗德港股通优质精选混合型证券投资基金</w:t>
            </w:r>
          </w:p>
        </w:tc>
        <w:tc>
          <w:tcPr>
            <w:tcW w:w="1736" w:type="dxa"/>
            <w:noWrap w:val="0"/>
            <w:vAlign w:val="center"/>
          </w:tcPr>
          <w:p>
            <w:pPr>
              <w:widowControl/>
              <w:jc w:val="center"/>
              <w:rPr>
                <w:rFonts w:hint="default" w:ascii="Times New Roman" w:hAnsi="Times New Roman"/>
                <w:color w:val="000000"/>
                <w:kern w:val="0"/>
                <w:sz w:val="24"/>
                <w:szCs w:val="24"/>
                <w:highlight w:val="none"/>
                <w:lang w:val="en-US" w:eastAsia="zh-CN" w:bidi="ar-SA"/>
              </w:rPr>
            </w:pPr>
            <w:r>
              <w:rPr>
                <w:rFonts w:hint="eastAsia" w:ascii="Times New Roman" w:hAnsi="Times New Roman"/>
                <w:color w:val="000000"/>
                <w:kern w:val="0"/>
                <w:sz w:val="24"/>
                <w:szCs w:val="24"/>
                <w:highlight w:val="none"/>
                <w:lang w:val="en-US" w:eastAsia="zh-CN"/>
              </w:rPr>
              <w:t>交银港股通优质精选</w:t>
            </w:r>
          </w:p>
        </w:tc>
        <w:tc>
          <w:tcPr>
            <w:tcW w:w="2266" w:type="dxa"/>
            <w:noWrap w:val="0"/>
            <w:vAlign w:val="center"/>
          </w:tcPr>
          <w:p>
            <w:pPr>
              <w:widowControl/>
              <w:jc w:val="center"/>
              <w:rPr>
                <w:rFonts w:hint="default" w:ascii="Times New Roman" w:hAnsi="Times New Roman"/>
                <w:color w:val="000000"/>
                <w:kern w:val="0"/>
                <w:sz w:val="24"/>
                <w:szCs w:val="24"/>
                <w:highlight w:val="none"/>
                <w:lang w:val="en-US" w:eastAsia="zh-CN" w:bidi="ar-SA"/>
              </w:rPr>
            </w:pPr>
            <w:r>
              <w:rPr>
                <w:rFonts w:hint="eastAsia" w:ascii="Times New Roman" w:hAnsi="Times New Roman"/>
                <w:color w:val="000000"/>
                <w:kern w:val="0"/>
                <w:sz w:val="24"/>
                <w:szCs w:val="24"/>
                <w:highlight w:val="none"/>
                <w:lang w:val="en-US" w:eastAsia="zh-CN"/>
              </w:rPr>
              <w:t>025298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17" w:type="dxa"/>
            <w:noWrap w:val="0"/>
            <w:vAlign w:val="center"/>
          </w:tcPr>
          <w:p>
            <w:pPr>
              <w:keepNext w:val="0"/>
              <w:keepLines w:val="0"/>
              <w:widowControl/>
              <w:suppressLineNumbers w:val="0"/>
              <w:jc w:val="center"/>
              <w:textAlignment w:val="center"/>
              <w:rPr>
                <w:rFonts w:hint="eastAsia" w:ascii="Times New Roman" w:hAnsi="Times New Roman" w:eastAsia="等线" w:cs="等线"/>
                <w:i w:val="0"/>
                <w:iCs w:val="0"/>
                <w:color w:val="000000"/>
                <w:kern w:val="2"/>
                <w:sz w:val="22"/>
                <w:szCs w:val="22"/>
                <w:highlight w:val="none"/>
                <w:u w:val="none"/>
                <w:lang w:val="en-US" w:eastAsia="zh-CN" w:bidi="ar-SA"/>
              </w:rPr>
            </w:pPr>
            <w:r>
              <w:rPr>
                <w:rFonts w:hint="eastAsia" w:ascii="Times New Roman" w:hAnsi="Times New Roman" w:eastAsia="等线" w:cs="等线"/>
                <w:i w:val="0"/>
                <w:iCs w:val="0"/>
                <w:color w:val="000000"/>
                <w:kern w:val="0"/>
                <w:sz w:val="22"/>
                <w:szCs w:val="22"/>
                <w:highlight w:val="none"/>
                <w:u w:val="none"/>
                <w:lang w:val="en-US" w:eastAsia="zh-CN" w:bidi="ar"/>
              </w:rPr>
              <w:t>6</w:t>
            </w:r>
          </w:p>
        </w:tc>
        <w:tc>
          <w:tcPr>
            <w:tcW w:w="3484" w:type="dxa"/>
            <w:noWrap w:val="0"/>
            <w:vAlign w:val="center"/>
          </w:tcPr>
          <w:p>
            <w:pPr>
              <w:widowControl/>
              <w:jc w:val="left"/>
              <w:rPr>
                <w:rFonts w:hint="eastAsia" w:ascii="Times New Roman" w:hAnsi="Times New Roman" w:eastAsia="宋体" w:cs="宋体"/>
                <w:color w:val="000000"/>
                <w:kern w:val="0"/>
                <w:sz w:val="24"/>
                <w:szCs w:val="24"/>
                <w:highlight w:val="none"/>
                <w:lang w:val="en-US" w:eastAsia="zh-CN" w:bidi="ar-SA"/>
              </w:rPr>
            </w:pPr>
            <w:r>
              <w:rPr>
                <w:rFonts w:hint="eastAsia" w:ascii="Times New Roman" w:hAnsi="Times New Roman" w:eastAsia="宋体" w:cs="宋体"/>
                <w:i w:val="0"/>
                <w:iCs w:val="0"/>
                <w:caps w:val="0"/>
                <w:color w:val="000000"/>
                <w:spacing w:val="0"/>
                <w:kern w:val="0"/>
                <w:sz w:val="24"/>
                <w:szCs w:val="24"/>
                <w:highlight w:val="none"/>
                <w:shd w:val="clear" w:color="auto" w:fill="auto"/>
              </w:rPr>
              <w:t>交银施罗德恒生港股通创新药精选指数型证券投资基金</w:t>
            </w:r>
          </w:p>
        </w:tc>
        <w:tc>
          <w:tcPr>
            <w:tcW w:w="1736" w:type="dxa"/>
            <w:noWrap w:val="0"/>
            <w:vAlign w:val="center"/>
          </w:tcPr>
          <w:p>
            <w:pPr>
              <w:widowControl/>
              <w:jc w:val="center"/>
              <w:rPr>
                <w:rFonts w:hint="default" w:ascii="Times New Roman" w:hAnsi="Times New Roman"/>
                <w:color w:val="000000"/>
                <w:kern w:val="0"/>
                <w:sz w:val="24"/>
                <w:szCs w:val="24"/>
                <w:highlight w:val="none"/>
                <w:lang w:val="en-US" w:eastAsia="zh-CN" w:bidi="ar-SA"/>
              </w:rPr>
            </w:pPr>
            <w:r>
              <w:rPr>
                <w:rFonts w:hint="eastAsia" w:ascii="Times New Roman" w:hAnsi="Times New Roman"/>
                <w:color w:val="000000"/>
                <w:kern w:val="0"/>
                <w:sz w:val="24"/>
                <w:szCs w:val="24"/>
                <w:highlight w:val="none"/>
                <w:lang w:val="en-US" w:eastAsia="zh-CN"/>
              </w:rPr>
              <w:t>交银港股通创新药精选指数</w:t>
            </w:r>
          </w:p>
        </w:tc>
        <w:tc>
          <w:tcPr>
            <w:tcW w:w="2266" w:type="dxa"/>
            <w:noWrap w:val="0"/>
            <w:vAlign w:val="center"/>
          </w:tcPr>
          <w:p>
            <w:pPr>
              <w:widowControl/>
              <w:jc w:val="center"/>
              <w:rPr>
                <w:rFonts w:hint="default" w:ascii="Times New Roman" w:hAnsi="Times New Roman"/>
                <w:color w:val="000000"/>
                <w:kern w:val="0"/>
                <w:sz w:val="24"/>
                <w:szCs w:val="24"/>
                <w:highlight w:val="none"/>
                <w:lang w:val="en-US" w:eastAsia="zh-CN" w:bidi="ar-SA"/>
              </w:rPr>
            </w:pPr>
            <w:r>
              <w:rPr>
                <w:rFonts w:hint="eastAsia" w:ascii="Times New Roman" w:hAnsi="Times New Roman"/>
                <w:color w:val="000000"/>
                <w:kern w:val="0"/>
                <w:sz w:val="24"/>
                <w:szCs w:val="24"/>
                <w:highlight w:val="none"/>
                <w:lang w:val="en-US" w:eastAsia="zh-CN"/>
              </w:rPr>
              <w:t>024926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17" w:type="dxa"/>
            <w:noWrap w:val="0"/>
            <w:vAlign w:val="center"/>
          </w:tcPr>
          <w:p>
            <w:pPr>
              <w:widowControl/>
              <w:jc w:val="center"/>
              <w:rPr>
                <w:rFonts w:hint="default" w:ascii="Times New Roman" w:hAnsi="Times New Roman"/>
                <w:color w:val="000000"/>
                <w:kern w:val="0"/>
                <w:sz w:val="24"/>
                <w:szCs w:val="24"/>
                <w:highlight w:val="none"/>
                <w:lang w:val="en-US" w:eastAsia="zh-CN"/>
              </w:rPr>
            </w:pPr>
            <w:r>
              <w:rPr>
                <w:rFonts w:hint="eastAsia" w:ascii="Times New Roman" w:hAnsi="Times New Roman"/>
                <w:color w:val="000000"/>
                <w:kern w:val="0"/>
                <w:sz w:val="24"/>
                <w:szCs w:val="24"/>
                <w:highlight w:val="none"/>
                <w:lang w:val="en-US" w:eastAsia="zh-CN"/>
              </w:rPr>
              <w:t>7</w:t>
            </w:r>
          </w:p>
        </w:tc>
        <w:tc>
          <w:tcPr>
            <w:tcW w:w="3484" w:type="dxa"/>
            <w:noWrap w:val="0"/>
            <w:vAlign w:val="center"/>
          </w:tcPr>
          <w:p>
            <w:pPr>
              <w:keepNext w:val="0"/>
              <w:keepLines w:val="0"/>
              <w:widowControl/>
              <w:suppressLineNumbers w:val="0"/>
              <w:jc w:val="left"/>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b w:val="0"/>
                <w:bCs w:val="0"/>
                <w:i w:val="0"/>
                <w:iCs w:val="0"/>
                <w:caps w:val="0"/>
                <w:color w:val="000000"/>
                <w:spacing w:val="0"/>
                <w:kern w:val="0"/>
                <w:sz w:val="24"/>
                <w:szCs w:val="24"/>
                <w:highlight w:val="none"/>
                <w:shd w:val="clear" w:color="auto" w:fill="auto"/>
                <w:lang w:bidi="ar"/>
              </w:rPr>
              <w:t>交银施罗德中证智选沪深港科技50交易型开放式指数证券投资基金</w:t>
            </w:r>
          </w:p>
        </w:tc>
        <w:tc>
          <w:tcPr>
            <w:tcW w:w="1736" w:type="dxa"/>
            <w:noWrap w:val="0"/>
            <w:vAlign w:val="center"/>
          </w:tcPr>
          <w:p>
            <w:pPr>
              <w:keepNext w:val="0"/>
              <w:keepLines w:val="0"/>
              <w:widowControl/>
              <w:suppressLineNumbers w:val="0"/>
              <w:jc w:val="center"/>
              <w:textAlignment w:val="center"/>
              <w:rPr>
                <w:rFonts w:hint="eastAsia" w:ascii="Times New Roman" w:hAnsi="Times New Roman" w:eastAsia="宋体"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olor w:val="000000"/>
                <w:kern w:val="0"/>
                <w:sz w:val="24"/>
                <w:szCs w:val="24"/>
                <w:highlight w:val="none"/>
                <w:u w:val="none"/>
                <w:lang w:val="en-US" w:eastAsia="zh-CN" w:bidi="ar"/>
              </w:rPr>
              <w:t>交银中证智选沪深港科技50ETF</w:t>
            </w:r>
          </w:p>
        </w:tc>
        <w:tc>
          <w:tcPr>
            <w:tcW w:w="2266" w:type="dxa"/>
            <w:noWrap w:val="0"/>
            <w:vAlign w:val="center"/>
          </w:tcPr>
          <w:p>
            <w:pPr>
              <w:keepNext w:val="0"/>
              <w:keepLines w:val="0"/>
              <w:widowControl/>
              <w:suppressLineNumbers w:val="0"/>
              <w:jc w:val="center"/>
              <w:textAlignment w:val="auto"/>
              <w:rPr>
                <w:rFonts w:hint="default" w:ascii="Times New Roman" w:hAnsi="Times New Roman" w:eastAsia="宋体" w:cs="Times New Roman"/>
                <w:i w:val="0"/>
                <w:iCs w:val="0"/>
                <w:color w:val="000000"/>
                <w:kern w:val="0"/>
                <w:sz w:val="24"/>
                <w:szCs w:val="24"/>
                <w:highlight w:val="none"/>
                <w:u w:val="none"/>
                <w:lang w:val="en-US" w:eastAsia="zh-CN" w:bidi="ar"/>
              </w:rPr>
            </w:pPr>
            <w:r>
              <w:rPr>
                <w:rFonts w:hint="eastAsia" w:ascii="Times New Roman" w:hAnsi="Times New Roman" w:eastAsia="宋体" w:cs="Times New Roman"/>
                <w:i w:val="0"/>
                <w:iCs w:val="0"/>
                <w:color w:val="000000"/>
                <w:kern w:val="0"/>
                <w:sz w:val="24"/>
                <w:szCs w:val="24"/>
                <w:highlight w:val="none"/>
                <w:u w:val="none"/>
                <w:lang w:val="en-US" w:eastAsia="zh-CN" w:bidi="ar"/>
              </w:rPr>
              <w:t>517950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17" w:type="dxa"/>
            <w:noWrap w:val="0"/>
            <w:vAlign w:val="center"/>
          </w:tcPr>
          <w:p>
            <w:pPr>
              <w:widowControl/>
              <w:jc w:val="center"/>
              <w:rPr>
                <w:rFonts w:hint="default" w:ascii="Times New Roman" w:hAnsi="Times New Roman"/>
                <w:color w:val="000000"/>
                <w:kern w:val="0"/>
                <w:sz w:val="24"/>
                <w:szCs w:val="24"/>
                <w:highlight w:val="none"/>
                <w:lang w:val="en-US" w:eastAsia="zh-CN"/>
              </w:rPr>
            </w:pPr>
            <w:r>
              <w:rPr>
                <w:rFonts w:hint="eastAsia" w:ascii="Times New Roman" w:hAnsi="Times New Roman"/>
                <w:color w:val="000000"/>
                <w:kern w:val="0"/>
                <w:sz w:val="24"/>
                <w:szCs w:val="24"/>
                <w:highlight w:val="none"/>
                <w:lang w:val="en-US" w:eastAsia="zh-CN"/>
              </w:rPr>
              <w:t>8</w:t>
            </w:r>
          </w:p>
        </w:tc>
        <w:tc>
          <w:tcPr>
            <w:tcW w:w="3484" w:type="dxa"/>
            <w:noWrap w:val="0"/>
            <w:vAlign w:val="center"/>
          </w:tcPr>
          <w:p>
            <w:pPr>
              <w:keepNext w:val="0"/>
              <w:keepLines w:val="0"/>
              <w:widowControl/>
              <w:suppressLineNumbers w:val="0"/>
              <w:jc w:val="left"/>
              <w:textAlignment w:val="center"/>
              <w:rPr>
                <w:rFonts w:hint="eastAsia" w:ascii="Times New Roman" w:hAnsi="Times New Roman" w:eastAsia="宋体" w:cs="宋体"/>
                <w:b w:val="0"/>
                <w:bCs w:val="0"/>
                <w:i w:val="0"/>
                <w:iCs w:val="0"/>
                <w:caps w:val="0"/>
                <w:color w:val="000000"/>
                <w:spacing w:val="0"/>
                <w:kern w:val="0"/>
                <w:sz w:val="24"/>
                <w:szCs w:val="24"/>
                <w:highlight w:val="none"/>
                <w:shd w:val="clear" w:color="auto" w:fill="auto"/>
                <w:lang w:bidi="ar"/>
              </w:rPr>
            </w:pPr>
            <w:r>
              <w:rPr>
                <w:rFonts w:hint="eastAsia" w:ascii="Times New Roman" w:hAnsi="Times New Roman" w:eastAsia="宋体" w:cs="宋体"/>
                <w:i w:val="0"/>
                <w:iCs w:val="0"/>
                <w:caps w:val="0"/>
                <w:color w:val="000000"/>
                <w:spacing w:val="0"/>
                <w:kern w:val="0"/>
                <w:sz w:val="24"/>
                <w:szCs w:val="24"/>
                <w:highlight w:val="none"/>
                <w:shd w:val="clear" w:color="auto" w:fill="auto"/>
                <w:lang w:bidi="ar"/>
              </w:rPr>
              <w:t>交银施罗德港股消费混合型证券投资基金（QDII）</w:t>
            </w:r>
          </w:p>
        </w:tc>
        <w:tc>
          <w:tcPr>
            <w:tcW w:w="1736" w:type="dxa"/>
            <w:noWrap w:val="0"/>
            <w:vAlign w:val="center"/>
          </w:tcPr>
          <w:p>
            <w:pPr>
              <w:keepNext w:val="0"/>
              <w:keepLines w:val="0"/>
              <w:widowControl/>
              <w:suppressLineNumbers w:val="0"/>
              <w:jc w:val="center"/>
              <w:textAlignment w:val="center"/>
              <w:rPr>
                <w:rFonts w:hint="eastAsia" w:ascii="Times New Roman" w:hAnsi="Times New Roman" w:eastAsia="微软雅黑" w:cs="宋体"/>
                <w:i w:val="0"/>
                <w:iCs w:val="0"/>
                <w:color w:val="000000"/>
                <w:kern w:val="0"/>
                <w:sz w:val="24"/>
                <w:szCs w:val="24"/>
                <w:highlight w:val="none"/>
                <w:u w:val="none"/>
                <w:lang w:val="en-US" w:eastAsia="zh-CN" w:bidi="ar"/>
              </w:rPr>
            </w:pPr>
            <w:r>
              <w:rPr>
                <w:rFonts w:hint="eastAsia" w:ascii="Times New Roman" w:hAnsi="Times New Roman" w:eastAsia="宋体" w:cs="宋体"/>
                <w:i w:val="0"/>
                <w:iCs w:val="0"/>
                <w:caps w:val="0"/>
                <w:color w:val="000000"/>
                <w:spacing w:val="0"/>
                <w:kern w:val="0"/>
                <w:sz w:val="24"/>
                <w:szCs w:val="24"/>
                <w:highlight w:val="none"/>
                <w:u w:val="none"/>
                <w:shd w:val="clear"/>
                <w:lang w:bidi="ar"/>
              </w:rPr>
              <w:t>交银港股消费混合（QDII</w:t>
            </w:r>
            <w:r>
              <w:rPr>
                <w:rFonts w:hint="eastAsia" w:ascii="Times New Roman" w:hAnsi="Times New Roman" w:eastAsia="宋体" w:cs="宋体"/>
                <w:i w:val="0"/>
                <w:iCs w:val="0"/>
                <w:caps w:val="0"/>
                <w:color w:val="000000"/>
                <w:spacing w:val="0"/>
                <w:kern w:val="0"/>
                <w:sz w:val="24"/>
                <w:szCs w:val="24"/>
                <w:highlight w:val="none"/>
                <w:u w:val="none"/>
                <w:shd w:val="clear"/>
                <w:lang w:eastAsia="zh-CN" w:bidi="ar"/>
              </w:rPr>
              <w:t>）</w:t>
            </w:r>
          </w:p>
        </w:tc>
        <w:tc>
          <w:tcPr>
            <w:tcW w:w="2266" w:type="dxa"/>
            <w:noWrap w:val="0"/>
            <w:vAlign w:val="center"/>
          </w:tcPr>
          <w:p>
            <w:pPr>
              <w:keepNext w:val="0"/>
              <w:keepLines w:val="0"/>
              <w:widowControl/>
              <w:suppressLineNumbers w:val="0"/>
              <w:jc w:val="center"/>
              <w:textAlignment w:val="auto"/>
              <w:rPr>
                <w:rFonts w:hint="default" w:ascii="Times New Roman" w:hAnsi="Times New Roman" w:eastAsia="宋体" w:cs="Times New Roman"/>
                <w:i w:val="0"/>
                <w:iCs w:val="0"/>
                <w:color w:val="000000"/>
                <w:kern w:val="0"/>
                <w:sz w:val="24"/>
                <w:szCs w:val="24"/>
                <w:highlight w:val="none"/>
                <w:u w:val="none"/>
                <w:lang w:val="en-US" w:eastAsia="zh-CN" w:bidi="ar"/>
              </w:rPr>
            </w:pPr>
            <w:r>
              <w:rPr>
                <w:rFonts w:hint="eastAsia" w:ascii="Times New Roman" w:hAnsi="Times New Roman" w:eastAsia="宋体" w:cs="Times New Roman"/>
                <w:i w:val="0"/>
                <w:iCs w:val="0"/>
                <w:color w:val="000000"/>
                <w:kern w:val="0"/>
                <w:sz w:val="24"/>
                <w:szCs w:val="24"/>
                <w:highlight w:val="none"/>
                <w:u w:val="none"/>
                <w:lang w:val="en-US" w:eastAsia="zh-CN" w:bidi="ar"/>
              </w:rPr>
              <w:t>027450</w:t>
            </w:r>
          </w:p>
        </w:tc>
      </w:tr>
    </w:tbl>
    <w:p>
      <w:pPr>
        <w:keepNext w:val="0"/>
        <w:keepLines w:val="0"/>
        <w:widowControl/>
        <w:suppressLineNumbers w:val="0"/>
        <w:jc w:val="left"/>
        <w:rPr>
          <w:rFonts w:hint="eastAsia" w:ascii="Times New Roman" w:hAnsi="Times New Roman" w:eastAsia="宋体" w:cs="宋体"/>
          <w:color w:val="000000"/>
          <w:kern w:val="0"/>
          <w:sz w:val="24"/>
          <w:szCs w:val="24"/>
          <w:lang w:val="en-US" w:eastAsia="zh-CN" w:bidi="ar"/>
        </w:rPr>
      </w:pPr>
    </w:p>
    <w:p>
      <w:pPr>
        <w:widowControl/>
        <w:spacing w:before="100" w:beforeAutospacing="1" w:after="100" w:afterAutospacing="1" w:line="360" w:lineRule="auto"/>
        <w:ind w:firstLine="480"/>
        <w:contextualSpacing/>
        <w:rPr>
          <w:rFonts w:hint="eastAsia" w:ascii="Times New Roman" w:hAnsi="Times New Roman" w:eastAsia="宋体" w:cs="宋体"/>
          <w:color w:val="000000"/>
          <w:kern w:val="0"/>
          <w:sz w:val="24"/>
          <w:szCs w:val="24"/>
          <w:lang w:val="en-US" w:eastAsia="zh-CN" w:bidi="ar"/>
        </w:rPr>
      </w:pPr>
      <w:r>
        <w:rPr>
          <w:rFonts w:hint="eastAsia" w:ascii="Times New Roman" w:hAnsi="Times New Roman"/>
          <w:kern w:val="0"/>
          <w:sz w:val="24"/>
          <w:szCs w:val="24"/>
          <w:highlight w:val="none"/>
          <w:lang w:val="en-US" w:eastAsia="zh-CN"/>
        </w:rPr>
        <w:t>注：上述基金分级份额（如有）同样适用本次暂停规则。</w:t>
      </w:r>
    </w:p>
    <w:p>
      <w:pPr>
        <w:widowControl/>
        <w:spacing w:before="100" w:beforeAutospacing="1" w:after="100" w:afterAutospacing="1" w:line="360" w:lineRule="auto"/>
        <w:ind w:firstLine="480"/>
        <w:contextualSpacing/>
        <w:rPr>
          <w:rFonts w:hint="eastAsia" w:ascii="Times New Roman" w:hAnsi="Times New Roman"/>
          <w:kern w:val="0"/>
          <w:sz w:val="24"/>
          <w:szCs w:val="24"/>
          <w:highlight w:val="none"/>
          <w:lang w:val="en-US" w:eastAsia="zh-CN"/>
        </w:rPr>
      </w:pPr>
    </w:p>
    <w:p>
      <w:pPr>
        <w:widowControl/>
        <w:spacing w:before="100" w:beforeAutospacing="1" w:after="100" w:afterAutospacing="1" w:line="360" w:lineRule="auto"/>
        <w:ind w:firstLine="480"/>
        <w:contextualSpacing/>
        <w:rPr>
          <w:rFonts w:ascii="Times New Roman" w:hAnsi="Times New Roman"/>
          <w:kern w:val="0"/>
          <w:sz w:val="24"/>
          <w:szCs w:val="24"/>
          <w:highlight w:val="none"/>
        </w:rPr>
      </w:pPr>
      <w:r>
        <w:rPr>
          <w:rFonts w:hint="eastAsia" w:ascii="Times New Roman" w:hAnsi="Times New Roman"/>
          <w:b/>
          <w:bCs/>
          <w:kern w:val="0"/>
          <w:sz w:val="24"/>
          <w:szCs w:val="24"/>
          <w:highlight w:val="none"/>
          <w:lang w:val="en-US" w:eastAsia="zh-CN"/>
        </w:rPr>
        <w:t>特别提示：</w:t>
      </w:r>
      <w:r>
        <w:rPr>
          <w:rFonts w:hint="eastAsia" w:ascii="Times New Roman" w:hAnsi="Times New Roman"/>
          <w:kern w:val="0"/>
          <w:sz w:val="24"/>
          <w:szCs w:val="24"/>
          <w:highlight w:val="none"/>
          <w:lang w:val="en-US" w:eastAsia="zh-CN"/>
        </w:rPr>
        <w:t xml:space="preserve"> </w:t>
      </w:r>
    </w:p>
    <w:p>
      <w:pPr>
        <w:widowControl/>
        <w:spacing w:before="100" w:beforeAutospacing="1" w:after="100" w:afterAutospacing="1" w:line="360" w:lineRule="auto"/>
        <w:ind w:firstLine="480" w:firstLineChars="200"/>
        <w:contextualSpacing/>
        <w:rPr>
          <w:rFonts w:hint="eastAsia" w:ascii="Times New Roman" w:hAnsi="Times New Roman"/>
          <w:kern w:val="0"/>
          <w:sz w:val="24"/>
          <w:szCs w:val="24"/>
          <w:highlight w:val="none"/>
          <w:lang w:val="en-US" w:eastAsia="zh-CN"/>
        </w:rPr>
      </w:pPr>
      <w:r>
        <w:rPr>
          <w:rFonts w:hint="eastAsia" w:ascii="Times New Roman" w:hAnsi="Times New Roman"/>
          <w:kern w:val="0"/>
          <w:sz w:val="24"/>
          <w:szCs w:val="24"/>
          <w:highlight w:val="none"/>
          <w:lang w:val="en-US" w:eastAsia="zh-CN"/>
        </w:rPr>
        <w:t xml:space="preserve">1．各基金开放日常申购、赎回、转换与定期定额投资业务情况，详见本公司发布的相关公告。 </w:t>
      </w:r>
    </w:p>
    <w:p>
      <w:pPr>
        <w:widowControl/>
        <w:spacing w:before="100" w:beforeAutospacing="1" w:after="100" w:afterAutospacing="1" w:line="360" w:lineRule="auto"/>
        <w:ind w:firstLine="480" w:firstLineChars="200"/>
        <w:contextualSpacing/>
        <w:rPr>
          <w:rFonts w:hint="eastAsia" w:ascii="Times New Roman" w:hAnsi="Times New Roman"/>
          <w:kern w:val="0"/>
          <w:sz w:val="24"/>
          <w:highlight w:val="none"/>
        </w:rPr>
      </w:pPr>
      <w:r>
        <w:rPr>
          <w:rFonts w:ascii="Times New Roman" w:hAnsi="Times New Roman"/>
          <w:kern w:val="0"/>
          <w:sz w:val="24"/>
          <w:szCs w:val="24"/>
          <w:highlight w:val="none"/>
          <w:lang w:val="en-US" w:eastAsia="zh-CN"/>
        </w:rPr>
        <w:t>2．</w:t>
      </w:r>
      <w:r>
        <w:rPr>
          <w:rFonts w:hint="eastAsia" w:ascii="Times New Roman" w:hAnsi="Times New Roman"/>
          <w:kern w:val="0"/>
          <w:sz w:val="24"/>
          <w:highlight w:val="none"/>
        </w:rPr>
        <w:t>本公告主要为非港股通交易日暂停及后续恢复相关业务的说明，上述基金</w:t>
      </w:r>
      <w:r>
        <w:rPr>
          <w:rFonts w:hint="eastAsia" w:ascii="Times New Roman" w:hAnsi="Times New Roman"/>
          <w:kern w:val="0"/>
          <w:sz w:val="24"/>
          <w:highlight w:val="none"/>
          <w:lang w:val="en-US" w:eastAsia="zh-CN"/>
        </w:rPr>
        <w:t>如</w:t>
      </w:r>
      <w:r>
        <w:rPr>
          <w:rFonts w:hint="eastAsia" w:ascii="Times New Roman" w:hAnsi="Times New Roman"/>
          <w:kern w:val="0"/>
          <w:sz w:val="24"/>
          <w:highlight w:val="none"/>
        </w:rPr>
        <w:t>因其他原因暂停相关业务</w:t>
      </w:r>
      <w:r>
        <w:rPr>
          <w:rFonts w:hint="eastAsia" w:ascii="Times New Roman" w:hAnsi="Times New Roman"/>
          <w:kern w:val="0"/>
          <w:sz w:val="24"/>
          <w:highlight w:val="none"/>
          <w:lang w:val="en-US" w:eastAsia="zh-CN"/>
        </w:rPr>
        <w:t>或有其他交易状态限制</w:t>
      </w:r>
      <w:r>
        <w:rPr>
          <w:rFonts w:hint="eastAsia" w:ascii="Times New Roman" w:hAnsi="Times New Roman"/>
          <w:kern w:val="0"/>
          <w:sz w:val="24"/>
          <w:highlight w:val="none"/>
        </w:rPr>
        <w:t>的，具体业务办理以相关公告为准。</w:t>
      </w:r>
    </w:p>
    <w:p>
      <w:pPr>
        <w:widowControl/>
        <w:spacing w:before="100" w:beforeAutospacing="1" w:after="100" w:afterAutospacing="1" w:line="360" w:lineRule="auto"/>
        <w:ind w:firstLine="0"/>
        <w:contextualSpacing/>
        <w:rPr>
          <w:rFonts w:ascii="Times New Roman" w:hAnsi="Times New Roman"/>
          <w:kern w:val="0"/>
          <w:sz w:val="24"/>
          <w:szCs w:val="24"/>
          <w:highlight w:val="none"/>
        </w:rPr>
      </w:pPr>
      <w:r>
        <w:rPr>
          <w:rFonts w:hint="eastAsia" w:ascii="Times New Roman" w:hAnsi="Times New Roman"/>
          <w:kern w:val="0"/>
          <w:sz w:val="24"/>
          <w:szCs w:val="24"/>
          <w:highlight w:val="none"/>
          <w:lang w:val="en-US" w:eastAsia="zh-CN"/>
        </w:rPr>
        <w:t xml:space="preserve">    3. </w:t>
      </w:r>
      <w:r>
        <w:rPr>
          <w:rFonts w:ascii="Times New Roman" w:hAnsi="Times New Roman"/>
          <w:kern w:val="0"/>
          <w:sz w:val="24"/>
          <w:szCs w:val="24"/>
          <w:highlight w:val="none"/>
        </w:rPr>
        <w:t>投资者可拨打客户服务热线: 400-700-5000（免长途话费），021-61055000，或登陆本公司网站www.fund001.com咨询相关情况。敬请投资者及早做好交易安排，避免因假期原因带来不便。</w:t>
      </w:r>
    </w:p>
    <w:p>
      <w:pPr>
        <w:widowControl/>
        <w:spacing w:before="100" w:beforeAutospacing="1" w:after="100" w:afterAutospacing="1" w:line="360" w:lineRule="auto"/>
        <w:ind w:firstLine="480"/>
        <w:contextualSpacing/>
        <w:rPr>
          <w:rFonts w:ascii="Times New Roman" w:hAnsi="Times New Roman"/>
          <w:kern w:val="0"/>
          <w:sz w:val="24"/>
          <w:szCs w:val="24"/>
          <w:highlight w:val="none"/>
        </w:rPr>
      </w:pPr>
    </w:p>
    <w:p>
      <w:pPr>
        <w:widowControl/>
        <w:spacing w:before="100" w:beforeAutospacing="1" w:after="100" w:afterAutospacing="1" w:line="360" w:lineRule="auto"/>
        <w:ind w:firstLine="480"/>
        <w:contextualSpacing/>
        <w:rPr>
          <w:rFonts w:ascii="Times New Roman" w:hAnsi="Times New Roman"/>
          <w:kern w:val="0"/>
          <w:sz w:val="24"/>
          <w:szCs w:val="24"/>
          <w:highlight w:val="none"/>
        </w:rPr>
      </w:pPr>
      <w:r>
        <w:rPr>
          <w:rFonts w:ascii="Times New Roman" w:hAnsi="Times New Roman"/>
          <w:kern w:val="0"/>
          <w:sz w:val="24"/>
          <w:szCs w:val="24"/>
          <w:highlight w:val="none"/>
        </w:rPr>
        <w:t>风险提示：基金管理人承诺以诚实信用、勤勉尽责的原则管理和运用基金财产，但不保证基金一定盈利，也不保证最低收益。基金的过往业绩并不代表其未来表现。投资有风险，敬请投资者认真阅读基金的相关法律文件，并选择适合自身风险承受能力的投资品种进行投资。</w:t>
      </w:r>
    </w:p>
    <w:p>
      <w:pPr>
        <w:rPr>
          <w:rFonts w:ascii="Times New Roman" w:hAnsi="Times New Roman"/>
          <w:kern w:val="0"/>
          <w:sz w:val="24"/>
          <w:szCs w:val="24"/>
          <w:highlight w:val="none"/>
        </w:rPr>
      </w:pPr>
    </w:p>
    <w:p>
      <w:pPr>
        <w:rPr>
          <w:rFonts w:ascii="Times New Roman" w:hAnsi="Times New Roman"/>
          <w:kern w:val="0"/>
          <w:sz w:val="24"/>
          <w:szCs w:val="24"/>
          <w:highlight w:val="none"/>
        </w:rPr>
      </w:pPr>
      <w:r>
        <w:rPr>
          <w:rFonts w:ascii="Times New Roman" w:hAnsi="Times New Roman"/>
          <w:kern w:val="0"/>
          <w:sz w:val="24"/>
          <w:szCs w:val="24"/>
          <w:highlight w:val="none"/>
        </w:rPr>
        <w:t>特此公告。</w:t>
      </w:r>
    </w:p>
    <w:p>
      <w:pPr>
        <w:rPr>
          <w:rFonts w:ascii="Times New Roman" w:hAnsi="Times New Roman"/>
          <w:kern w:val="0"/>
          <w:sz w:val="24"/>
          <w:szCs w:val="24"/>
          <w:highlight w:val="none"/>
        </w:rPr>
      </w:pPr>
    </w:p>
    <w:p>
      <w:pPr>
        <w:rPr>
          <w:rFonts w:ascii="Times New Roman" w:hAnsi="Times New Roman"/>
          <w:kern w:val="0"/>
          <w:sz w:val="24"/>
          <w:szCs w:val="24"/>
          <w:highlight w:val="none"/>
        </w:rPr>
      </w:pPr>
    </w:p>
    <w:p>
      <w:pPr>
        <w:rPr>
          <w:rFonts w:ascii="Times New Roman" w:hAnsi="Times New Roman"/>
          <w:kern w:val="0"/>
          <w:sz w:val="24"/>
          <w:szCs w:val="24"/>
          <w:highlight w:val="none"/>
        </w:rPr>
      </w:pPr>
    </w:p>
    <w:p>
      <w:pPr>
        <w:rPr>
          <w:rFonts w:ascii="Times New Roman" w:hAnsi="Times New Roman"/>
          <w:kern w:val="0"/>
          <w:sz w:val="24"/>
          <w:szCs w:val="24"/>
          <w:highlight w:val="none"/>
        </w:rPr>
      </w:pPr>
    </w:p>
    <w:p>
      <w:pPr>
        <w:rPr>
          <w:rFonts w:ascii="Times New Roman" w:hAnsi="Times New Roman"/>
          <w:kern w:val="0"/>
          <w:sz w:val="24"/>
          <w:szCs w:val="24"/>
          <w:highlight w:val="none"/>
        </w:rPr>
      </w:pPr>
    </w:p>
    <w:p>
      <w:pPr>
        <w:rPr>
          <w:rFonts w:ascii="Times New Roman" w:hAnsi="Times New Roman"/>
          <w:kern w:val="0"/>
          <w:sz w:val="24"/>
          <w:szCs w:val="24"/>
          <w:highlight w:val="none"/>
        </w:rPr>
      </w:pPr>
    </w:p>
    <w:p>
      <w:pPr>
        <w:rPr>
          <w:rFonts w:ascii="Times New Roman" w:hAnsi="Times New Roman"/>
          <w:kern w:val="0"/>
          <w:sz w:val="24"/>
          <w:szCs w:val="24"/>
          <w:highlight w:val="none"/>
        </w:rPr>
      </w:pPr>
    </w:p>
    <w:p>
      <w:pPr>
        <w:widowControl/>
        <w:spacing w:before="100" w:beforeAutospacing="1" w:after="100" w:afterAutospacing="1" w:line="360" w:lineRule="auto"/>
        <w:ind w:right="120"/>
        <w:contextualSpacing/>
        <w:jc w:val="right"/>
        <w:rPr>
          <w:rFonts w:ascii="Times New Roman" w:hAnsi="Times New Roman"/>
          <w:kern w:val="0"/>
          <w:sz w:val="24"/>
          <w:szCs w:val="24"/>
          <w:highlight w:val="none"/>
        </w:rPr>
      </w:pPr>
      <w:r>
        <w:rPr>
          <w:rFonts w:ascii="Times New Roman" w:hAnsi="Times New Roman"/>
          <w:kern w:val="0"/>
          <w:sz w:val="24"/>
          <w:szCs w:val="24"/>
          <w:highlight w:val="none"/>
        </w:rPr>
        <w:t>交银施罗德基金管理有限公司</w:t>
      </w:r>
    </w:p>
    <w:p>
      <w:pPr>
        <w:ind w:firstLine="5520" w:firstLineChars="2300"/>
        <w:rPr>
          <w:rFonts w:ascii="Times New Roman" w:hAnsi="Times New Roman"/>
        </w:rPr>
      </w:pPr>
      <w:r>
        <w:rPr>
          <w:rFonts w:hint="eastAsia" w:ascii="Times New Roman" w:hAnsi="Times New Roman"/>
          <w:kern w:val="0"/>
          <w:sz w:val="24"/>
          <w:szCs w:val="24"/>
          <w:highlight w:val="none"/>
        </w:rPr>
        <w:t>二</w:t>
      </w:r>
      <w:r>
        <w:rPr>
          <w:rFonts w:ascii="Times New Roman" w:hAnsi="Times New Roman"/>
          <w:kern w:val="0"/>
          <w:sz w:val="24"/>
          <w:szCs w:val="24"/>
          <w:highlight w:val="none"/>
        </w:rPr>
        <w:t>〇</w:t>
      </w:r>
      <w:r>
        <w:rPr>
          <w:rFonts w:hint="eastAsia" w:ascii="Times New Roman" w:hAnsi="Times New Roman"/>
          <w:kern w:val="0"/>
          <w:sz w:val="24"/>
          <w:szCs w:val="24"/>
          <w:highlight w:val="none"/>
        </w:rPr>
        <w:t>二</w:t>
      </w:r>
      <w:r>
        <w:rPr>
          <w:rFonts w:hint="eastAsia" w:ascii="Times New Roman" w:hAnsi="Times New Roman"/>
          <w:kern w:val="0"/>
          <w:sz w:val="24"/>
          <w:szCs w:val="24"/>
          <w:highlight w:val="none"/>
          <w:lang w:val="en-US" w:eastAsia="zh-CN"/>
        </w:rPr>
        <w:t>六</w:t>
      </w:r>
      <w:r>
        <w:rPr>
          <w:rFonts w:ascii="Times New Roman" w:hAnsi="Times New Roman"/>
          <w:kern w:val="0"/>
          <w:sz w:val="24"/>
          <w:szCs w:val="24"/>
          <w:highlight w:val="none"/>
        </w:rPr>
        <w:t>年</w:t>
      </w:r>
      <w:r>
        <w:rPr>
          <w:rFonts w:hint="eastAsia" w:ascii="Times New Roman" w:hAnsi="Times New Roman"/>
          <w:color w:val="000000"/>
          <w:kern w:val="0"/>
          <w:sz w:val="24"/>
          <w:szCs w:val="24"/>
          <w:highlight w:val="none"/>
          <w:lang w:val="en-US" w:eastAsia="zh-CN"/>
        </w:rPr>
        <w:t>十</w:t>
      </w:r>
      <w:r>
        <w:rPr>
          <w:rFonts w:ascii="Times New Roman" w:hAnsi="Times New Roman"/>
          <w:color w:val="000000"/>
          <w:kern w:val="0"/>
          <w:sz w:val="24"/>
          <w:szCs w:val="24"/>
          <w:highlight w:val="none"/>
        </w:rPr>
        <w:t>月</w:t>
      </w:r>
      <w:r>
        <w:rPr>
          <w:rFonts w:hint="eastAsia" w:ascii="Times New Roman" w:hAnsi="Times New Roman"/>
          <w:color w:val="000000"/>
          <w:kern w:val="0"/>
          <w:sz w:val="24"/>
          <w:szCs w:val="24"/>
          <w:highlight w:val="none"/>
          <w:lang w:val="en-US" w:eastAsia="zh-CN"/>
        </w:rPr>
        <w:t>十七</w:t>
      </w:r>
      <w:r>
        <w:rPr>
          <w:rFonts w:ascii="Times New Roman" w:hAnsi="Times New Roman"/>
          <w:color w:val="000000"/>
          <w:kern w:val="0"/>
          <w:sz w:val="24"/>
          <w:szCs w:val="24"/>
          <w:highlight w:val="none"/>
        </w:rPr>
        <w:t>日</w:t>
      </w:r>
    </w:p>
    <w:p>
      <w:pPr>
        <w:rPr>
          <w:rFonts w:ascii="Times New Roman" w:hAnsi="Times New Roman"/>
          <w:kern w:val="0"/>
          <w:sz w:val="24"/>
          <w:szCs w:val="24"/>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415A64"/>
    <w:rsid w:val="0E476DB8"/>
    <w:rsid w:val="13156E4B"/>
    <w:rsid w:val="18993482"/>
    <w:rsid w:val="1A564F20"/>
    <w:rsid w:val="1D6B06CF"/>
    <w:rsid w:val="1DC92E77"/>
    <w:rsid w:val="26415A64"/>
    <w:rsid w:val="283A5E1B"/>
    <w:rsid w:val="28D65EF0"/>
    <w:rsid w:val="2D8C52F6"/>
    <w:rsid w:val="44D3707B"/>
    <w:rsid w:val="464235F7"/>
    <w:rsid w:val="4CEA1816"/>
    <w:rsid w:val="5693396C"/>
    <w:rsid w:val="64B4230C"/>
    <w:rsid w:val="66082BF5"/>
    <w:rsid w:val="6DF55EAB"/>
    <w:rsid w:val="74491485"/>
    <w:rsid w:val="752C00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65</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2026-03-24T05:14:00Z</dcterms:created>
  <dc:creator>陈方强</dc:creator>
  <cp:lastModifiedBy>haotingting</cp:lastModifiedBy>
  <dcterms:modified xsi:type="dcterms:W3CDTF">2026-10-16T01:09:27Z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D493FABEC85748958731CC8FF851B1EE</vt:lpwstr>
  </property>
</Properties>
</file>