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D3A064">
      <w:pPr>
        <w:spacing w:line="360" w:lineRule="auto"/>
        <w:jc w:val="center"/>
        <w:rPr>
          <w:rFonts w:ascii="Times New Roman" w:hAnsi="Times New Roman" w:eastAsia="宋体" w:cs="Times New Roman"/>
          <w:b/>
          <w:bCs/>
          <w:color w:val="000000"/>
          <w:sz w:val="30"/>
          <w:szCs w:val="30"/>
        </w:rPr>
      </w:pPr>
      <w:bookmarkStart w:id="1" w:name="_GoBack"/>
      <w:bookmarkEnd w:id="1"/>
      <w:bookmarkStart w:id="0" w:name="_Toc249760023"/>
      <w:r>
        <w:rPr>
          <w:rFonts w:hint="eastAsia" w:ascii="Times New Roman" w:hAnsi="Times New Roman" w:eastAsia="宋体" w:cs="Times New Roman"/>
          <w:b/>
          <w:bCs/>
          <w:color w:val="000000"/>
          <w:sz w:val="30"/>
          <w:szCs w:val="30"/>
        </w:rPr>
        <w:t>交银施罗德基金管理有限公司关于交银施罗德双轮动债券型证券投资基金调整大额申购（转换转入、定期定额投资）业务限额的公告</w:t>
      </w:r>
    </w:p>
    <w:p w14:paraId="1FBCDB6C">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公告送出日期：202</w:t>
      </w:r>
      <w:r>
        <w:rPr>
          <w:rFonts w:hint="eastAsia" w:ascii="宋体" w:hAnsi="宋体" w:eastAsia="宋体" w:cs="Times New Roman"/>
          <w:b/>
          <w:sz w:val="24"/>
          <w:szCs w:val="24"/>
          <w:lang w:val="en-US" w:eastAsia="zh-CN"/>
        </w:rPr>
        <w:t>6</w:t>
      </w:r>
      <w:r>
        <w:rPr>
          <w:rFonts w:hint="eastAsia" w:ascii="宋体" w:hAnsi="宋体" w:eastAsia="宋体" w:cs="Times New Roman"/>
          <w:b/>
          <w:sz w:val="24"/>
          <w:szCs w:val="24"/>
        </w:rPr>
        <w:t>年</w:t>
      </w:r>
      <w:r>
        <w:rPr>
          <w:rFonts w:hint="eastAsia" w:ascii="宋体" w:hAnsi="宋体" w:eastAsia="宋体" w:cs="Times New Roman"/>
          <w:b/>
          <w:sz w:val="24"/>
          <w:szCs w:val="24"/>
          <w:lang w:val="en-US" w:eastAsia="zh-CN"/>
        </w:rPr>
        <w:t>10</w:t>
      </w:r>
      <w:r>
        <w:rPr>
          <w:rFonts w:hint="eastAsia" w:ascii="宋体" w:hAnsi="宋体" w:eastAsia="宋体" w:cs="Times New Roman"/>
          <w:b/>
          <w:sz w:val="24"/>
          <w:szCs w:val="24"/>
        </w:rPr>
        <w:t>月</w:t>
      </w:r>
      <w:r>
        <w:rPr>
          <w:rFonts w:hint="eastAsia" w:ascii="宋体" w:hAnsi="宋体" w:eastAsia="宋体" w:cs="Times New Roman"/>
          <w:b/>
          <w:sz w:val="24"/>
          <w:szCs w:val="24"/>
          <w:lang w:val="en-US" w:eastAsia="zh-CN"/>
        </w:rPr>
        <w:t>15</w:t>
      </w:r>
      <w:r>
        <w:rPr>
          <w:rFonts w:hint="eastAsia" w:ascii="宋体" w:hAnsi="宋体" w:eastAsia="宋体" w:cs="Times New Roman"/>
          <w:b/>
          <w:sz w:val="24"/>
          <w:szCs w:val="24"/>
        </w:rPr>
        <w:t>日</w:t>
      </w:r>
    </w:p>
    <w:p w14:paraId="2B3A6F77">
      <w:pPr>
        <w:spacing w:line="360" w:lineRule="auto"/>
        <w:jc w:val="center"/>
        <w:rPr>
          <w:rFonts w:ascii="Times New Roman" w:hAnsi="Times New Roman" w:eastAsia="宋体" w:cs="Times New Roman"/>
          <w:color w:val="000000"/>
          <w:sz w:val="24"/>
          <w:szCs w:val="24"/>
        </w:rPr>
      </w:pPr>
    </w:p>
    <w:bookmarkEnd w:id="0"/>
    <w:p w14:paraId="7BD2E8AA">
      <w:pPr>
        <w:spacing w:line="360" w:lineRule="auto"/>
        <w:outlineLvl w:val="2"/>
        <w:rPr>
          <w:rFonts w:ascii="宋体" w:hAnsi="宋体" w:eastAsia="宋体" w:cs="Times New Roman"/>
          <w:b/>
          <w:sz w:val="24"/>
          <w:szCs w:val="24"/>
        </w:rPr>
      </w:pPr>
      <w:r>
        <w:rPr>
          <w:rFonts w:hint="eastAsia" w:ascii="宋体" w:hAnsi="宋体" w:eastAsia="宋体" w:cs="Times New Roman"/>
          <w:b/>
          <w:sz w:val="24"/>
          <w:szCs w:val="24"/>
        </w:rPr>
        <w:t>1.公告基本信息</w:t>
      </w:r>
    </w:p>
    <w:tbl>
      <w:tblPr>
        <w:tblStyle w:val="7"/>
        <w:tblW w:w="93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42"/>
        <w:gridCol w:w="3150"/>
        <w:gridCol w:w="7"/>
        <w:gridCol w:w="3157"/>
      </w:tblGrid>
      <w:tr w14:paraId="49B50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042" w:type="dxa"/>
            <w:tcBorders>
              <w:top w:val="single" w:color="000000" w:sz="4" w:space="0"/>
              <w:left w:val="single" w:color="000000" w:sz="4" w:space="0"/>
              <w:bottom w:val="single" w:color="000000" w:sz="4" w:space="0"/>
              <w:right w:val="single" w:color="000000" w:sz="4" w:space="0"/>
            </w:tcBorders>
            <w:vAlign w:val="center"/>
          </w:tcPr>
          <w:p w14:paraId="6534CA0D">
            <w:pPr>
              <w:rPr>
                <w:rFonts w:ascii="Times New Roman" w:hAnsi="Times New Roman" w:eastAsia="宋体" w:cs="Times New Roman"/>
                <w:sz w:val="24"/>
                <w:szCs w:val="24"/>
              </w:rPr>
            </w:pPr>
            <w:r>
              <w:rPr>
                <w:rFonts w:hint="eastAsia" w:ascii="Times New Roman" w:hAnsi="Times New Roman" w:eastAsia="宋体" w:cs="Times New Roman"/>
                <w:sz w:val="24"/>
                <w:szCs w:val="24"/>
              </w:rPr>
              <w:t>基金名称</w:t>
            </w:r>
          </w:p>
        </w:tc>
        <w:tc>
          <w:tcPr>
            <w:tcW w:w="6314" w:type="dxa"/>
            <w:gridSpan w:val="3"/>
            <w:tcBorders>
              <w:top w:val="single" w:color="000000" w:sz="4" w:space="0"/>
              <w:left w:val="single" w:color="000000" w:sz="4" w:space="0"/>
              <w:bottom w:val="single" w:color="000000" w:sz="4" w:space="0"/>
              <w:right w:val="single" w:color="000000" w:sz="4" w:space="0"/>
            </w:tcBorders>
            <w:vAlign w:val="center"/>
          </w:tcPr>
          <w:p w14:paraId="35383E26">
            <w:pPr>
              <w:rPr>
                <w:rFonts w:ascii="Times New Roman" w:hAnsi="Times New Roman" w:eastAsia="宋体" w:cs="Times New Roman"/>
                <w:sz w:val="24"/>
                <w:szCs w:val="24"/>
              </w:rPr>
            </w:pPr>
            <w:r>
              <w:rPr>
                <w:rFonts w:hint="eastAsia" w:ascii="Times New Roman" w:hAnsi="Times New Roman" w:eastAsia="宋体" w:cs="Times New Roman"/>
                <w:sz w:val="24"/>
                <w:szCs w:val="24"/>
              </w:rPr>
              <w:t>交银施罗德双轮动债券型证券投资基金</w:t>
            </w:r>
          </w:p>
        </w:tc>
      </w:tr>
      <w:tr w14:paraId="2A9D3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042" w:type="dxa"/>
            <w:tcBorders>
              <w:top w:val="single" w:color="000000" w:sz="4" w:space="0"/>
              <w:left w:val="single" w:color="000000" w:sz="4" w:space="0"/>
              <w:bottom w:val="single" w:color="000000" w:sz="4" w:space="0"/>
              <w:right w:val="single" w:color="000000" w:sz="4" w:space="0"/>
            </w:tcBorders>
            <w:vAlign w:val="center"/>
          </w:tcPr>
          <w:p w14:paraId="3FF77532">
            <w:pPr>
              <w:rPr>
                <w:rFonts w:ascii="Times New Roman" w:hAnsi="Times New Roman" w:eastAsia="宋体" w:cs="Times New Roman"/>
                <w:sz w:val="24"/>
                <w:szCs w:val="24"/>
              </w:rPr>
            </w:pPr>
            <w:r>
              <w:rPr>
                <w:rFonts w:hint="eastAsia" w:ascii="Times New Roman" w:hAnsi="Times New Roman" w:eastAsia="宋体" w:cs="Times New Roman"/>
                <w:sz w:val="24"/>
                <w:szCs w:val="24"/>
              </w:rPr>
              <w:t>基金简称</w:t>
            </w:r>
          </w:p>
        </w:tc>
        <w:tc>
          <w:tcPr>
            <w:tcW w:w="6314" w:type="dxa"/>
            <w:gridSpan w:val="3"/>
            <w:tcBorders>
              <w:top w:val="single" w:color="000000" w:sz="4" w:space="0"/>
              <w:left w:val="single" w:color="000000" w:sz="4" w:space="0"/>
              <w:bottom w:val="single" w:color="000000" w:sz="4" w:space="0"/>
              <w:right w:val="single" w:color="000000" w:sz="4" w:space="0"/>
            </w:tcBorders>
          </w:tcPr>
          <w:p w14:paraId="1357CE97">
            <w:pPr>
              <w:rPr>
                <w:rFonts w:ascii="Times New Roman" w:hAnsi="Times New Roman" w:eastAsia="宋体" w:cs="Times New Roman"/>
                <w:sz w:val="24"/>
                <w:szCs w:val="24"/>
              </w:rPr>
            </w:pPr>
            <w:r>
              <w:rPr>
                <w:rFonts w:hint="eastAsia" w:ascii="Times New Roman" w:hAnsi="Times New Roman" w:eastAsia="宋体" w:cs="Times New Roman"/>
                <w:sz w:val="24"/>
                <w:szCs w:val="24"/>
              </w:rPr>
              <w:t>交银双轮动债券</w:t>
            </w:r>
          </w:p>
        </w:tc>
      </w:tr>
      <w:tr w14:paraId="62A6E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042" w:type="dxa"/>
            <w:tcBorders>
              <w:top w:val="single" w:color="000000" w:sz="4" w:space="0"/>
              <w:left w:val="single" w:color="000000" w:sz="4" w:space="0"/>
              <w:bottom w:val="single" w:color="000000" w:sz="4" w:space="0"/>
              <w:right w:val="single" w:color="000000" w:sz="4" w:space="0"/>
            </w:tcBorders>
            <w:vAlign w:val="center"/>
          </w:tcPr>
          <w:p w14:paraId="6D872CDB">
            <w:pPr>
              <w:rPr>
                <w:rFonts w:ascii="Times New Roman" w:hAnsi="Times New Roman" w:eastAsia="宋体" w:cs="Times New Roman"/>
                <w:sz w:val="24"/>
                <w:szCs w:val="24"/>
              </w:rPr>
            </w:pPr>
            <w:r>
              <w:rPr>
                <w:rFonts w:hint="eastAsia" w:ascii="Times New Roman" w:hAnsi="Times New Roman" w:eastAsia="宋体" w:cs="Times New Roman"/>
                <w:sz w:val="24"/>
                <w:szCs w:val="24"/>
              </w:rPr>
              <w:t>基金主代码</w:t>
            </w:r>
          </w:p>
        </w:tc>
        <w:tc>
          <w:tcPr>
            <w:tcW w:w="6314" w:type="dxa"/>
            <w:gridSpan w:val="3"/>
            <w:tcBorders>
              <w:top w:val="single" w:color="000000" w:sz="4" w:space="0"/>
              <w:left w:val="single" w:color="000000" w:sz="4" w:space="0"/>
              <w:bottom w:val="single" w:color="000000" w:sz="4" w:space="0"/>
              <w:right w:val="single" w:color="000000" w:sz="4" w:space="0"/>
            </w:tcBorders>
          </w:tcPr>
          <w:p w14:paraId="75D0B46F">
            <w:pPr>
              <w:rPr>
                <w:rFonts w:ascii="Times New Roman" w:hAnsi="Times New Roman" w:eastAsia="宋体" w:cs="Times New Roman"/>
                <w:sz w:val="24"/>
                <w:szCs w:val="24"/>
              </w:rPr>
            </w:pPr>
            <w:r>
              <w:rPr>
                <w:rFonts w:ascii="Times New Roman" w:hAnsi="Times New Roman" w:eastAsia="宋体" w:cs="Times New Roman"/>
                <w:sz w:val="24"/>
                <w:szCs w:val="24"/>
              </w:rPr>
              <w:t>519723</w:t>
            </w:r>
          </w:p>
        </w:tc>
      </w:tr>
      <w:tr w14:paraId="65AC1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042" w:type="dxa"/>
            <w:tcBorders>
              <w:top w:val="single" w:color="000000" w:sz="4" w:space="0"/>
              <w:left w:val="single" w:color="000000" w:sz="4" w:space="0"/>
              <w:bottom w:val="single" w:color="000000" w:sz="4" w:space="0"/>
              <w:right w:val="single" w:color="000000" w:sz="4" w:space="0"/>
            </w:tcBorders>
            <w:vAlign w:val="center"/>
          </w:tcPr>
          <w:p w14:paraId="393722E2">
            <w:pPr>
              <w:rPr>
                <w:rFonts w:ascii="Times New Roman" w:hAnsi="Times New Roman" w:eastAsia="宋体" w:cs="Times New Roman"/>
                <w:sz w:val="24"/>
                <w:szCs w:val="24"/>
              </w:rPr>
            </w:pPr>
            <w:r>
              <w:rPr>
                <w:rFonts w:hint="eastAsia" w:ascii="Times New Roman" w:hAnsi="Times New Roman" w:eastAsia="宋体" w:cs="Times New Roman"/>
                <w:sz w:val="24"/>
                <w:szCs w:val="24"/>
              </w:rPr>
              <w:t>基金管理人名称</w:t>
            </w:r>
          </w:p>
        </w:tc>
        <w:tc>
          <w:tcPr>
            <w:tcW w:w="6314" w:type="dxa"/>
            <w:gridSpan w:val="3"/>
            <w:tcBorders>
              <w:top w:val="single" w:color="000000" w:sz="4" w:space="0"/>
              <w:left w:val="single" w:color="000000" w:sz="4" w:space="0"/>
              <w:bottom w:val="single" w:color="000000" w:sz="4" w:space="0"/>
              <w:right w:val="single" w:color="000000" w:sz="4" w:space="0"/>
            </w:tcBorders>
            <w:vAlign w:val="center"/>
          </w:tcPr>
          <w:p w14:paraId="1341FDA3">
            <w:pPr>
              <w:rPr>
                <w:rFonts w:ascii="Times New Roman" w:hAnsi="Times New Roman" w:eastAsia="宋体" w:cs="Times New Roman"/>
                <w:sz w:val="24"/>
                <w:szCs w:val="24"/>
              </w:rPr>
            </w:pPr>
            <w:r>
              <w:rPr>
                <w:rFonts w:hint="eastAsia"/>
                <w:sz w:val="24"/>
              </w:rPr>
              <w:t>交银施罗德基金管理有限公司</w:t>
            </w:r>
          </w:p>
        </w:tc>
      </w:tr>
      <w:tr w14:paraId="38D8E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042" w:type="dxa"/>
            <w:tcBorders>
              <w:top w:val="single" w:color="000000" w:sz="4" w:space="0"/>
              <w:left w:val="single" w:color="000000" w:sz="4" w:space="0"/>
              <w:bottom w:val="single" w:color="000000" w:sz="4" w:space="0"/>
              <w:right w:val="single" w:color="000000" w:sz="4" w:space="0"/>
            </w:tcBorders>
            <w:vAlign w:val="center"/>
          </w:tcPr>
          <w:p w14:paraId="173877BB">
            <w:pPr>
              <w:rPr>
                <w:rFonts w:ascii="Times New Roman" w:hAnsi="Times New Roman" w:eastAsia="宋体" w:cs="Times New Roman"/>
                <w:sz w:val="24"/>
                <w:szCs w:val="24"/>
              </w:rPr>
            </w:pPr>
            <w:r>
              <w:rPr>
                <w:rFonts w:hint="eastAsia" w:ascii="Times New Roman" w:hAnsi="Times New Roman" w:eastAsia="宋体" w:cs="Times New Roman"/>
                <w:sz w:val="24"/>
                <w:szCs w:val="24"/>
              </w:rPr>
              <w:t>公告依据</w:t>
            </w:r>
          </w:p>
        </w:tc>
        <w:tc>
          <w:tcPr>
            <w:tcW w:w="6314" w:type="dxa"/>
            <w:gridSpan w:val="3"/>
            <w:tcBorders>
              <w:top w:val="single" w:color="000000" w:sz="4" w:space="0"/>
              <w:left w:val="single" w:color="000000" w:sz="4" w:space="0"/>
              <w:bottom w:val="single" w:color="000000" w:sz="4" w:space="0"/>
              <w:right w:val="single" w:color="000000" w:sz="4" w:space="0"/>
            </w:tcBorders>
            <w:vAlign w:val="center"/>
          </w:tcPr>
          <w:p w14:paraId="6C55F65B">
            <w:pPr>
              <w:rPr>
                <w:rFonts w:ascii="Times New Roman" w:hAnsi="Times New Roman" w:eastAsia="宋体" w:cs="Times New Roman"/>
                <w:sz w:val="24"/>
                <w:szCs w:val="24"/>
              </w:rPr>
            </w:pPr>
            <w:r>
              <w:rPr>
                <w:rFonts w:hint="eastAsia"/>
                <w:sz w:val="24"/>
              </w:rPr>
              <w:t>《交银施罗德双轮动债券型证券投资基金基金合同》、《交银施罗德双轮动债券型证券投资基金招募说明书》等</w:t>
            </w:r>
          </w:p>
        </w:tc>
      </w:tr>
      <w:tr w14:paraId="1A028E73">
        <w:tblPrEx>
          <w:tblBorders>
            <w:top w:val="none" w:color="auto" w:sz="0" w:space="0"/>
            <w:left w:val="single" w:color="000000" w:sz="4" w:space="0"/>
            <w:bottom w:val="none" w:color="auto" w:sz="0"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423" w:hRule="atLeast"/>
          <w:jc w:val="center"/>
        </w:trPr>
        <w:tc>
          <w:tcPr>
            <w:tcW w:w="3042" w:type="dxa"/>
            <w:vMerge w:val="restart"/>
            <w:tcBorders>
              <w:top w:val="nil"/>
              <w:left w:val="single" w:color="000000" w:sz="4" w:space="0"/>
              <w:right w:val="single" w:color="000000" w:sz="4" w:space="0"/>
            </w:tcBorders>
            <w:vAlign w:val="center"/>
          </w:tcPr>
          <w:p w14:paraId="7540B978">
            <w:pPr>
              <w:rPr>
                <w:rFonts w:ascii="Times New Roman" w:hAnsi="Times New Roman" w:eastAsia="宋体" w:cs="Times New Roman"/>
                <w:sz w:val="24"/>
                <w:szCs w:val="24"/>
              </w:rPr>
            </w:pPr>
            <w:r>
              <w:rPr>
                <w:rFonts w:hint="eastAsia" w:ascii="Times New Roman" w:hAnsi="Times New Roman" w:eastAsia="宋体" w:cs="Times New Roman"/>
                <w:sz w:val="24"/>
                <w:szCs w:val="24"/>
              </w:rPr>
              <w:t>调整相关业务限额的起始日、金额及原因说明</w:t>
            </w:r>
          </w:p>
          <w:p w14:paraId="4F182EEC">
            <w:pPr>
              <w:rPr>
                <w:rFonts w:ascii="Times New Roman" w:hAnsi="Times New Roman" w:eastAsia="宋体" w:cs="Times New Roman"/>
                <w:sz w:val="24"/>
                <w:szCs w:val="24"/>
              </w:rPr>
            </w:pPr>
            <w:r>
              <w:rPr>
                <w:rFonts w:ascii="Times New Roman" w:hAnsi="Times New Roman" w:eastAsia="宋体" w:cs="Times New Roman"/>
                <w:color w:val="000000"/>
                <w:sz w:val="24"/>
                <w:szCs w:val="24"/>
              </w:rPr>
              <w:tab/>
            </w:r>
          </w:p>
        </w:tc>
        <w:tc>
          <w:tcPr>
            <w:tcW w:w="3157" w:type="dxa"/>
            <w:gridSpan w:val="2"/>
            <w:tcBorders>
              <w:top w:val="single" w:color="000000" w:sz="4" w:space="0"/>
              <w:left w:val="single" w:color="000000" w:sz="4" w:space="0"/>
              <w:bottom w:val="single" w:color="000000" w:sz="4" w:space="0"/>
              <w:right w:val="single" w:color="000000" w:sz="4" w:space="0"/>
            </w:tcBorders>
            <w:vAlign w:val="center"/>
          </w:tcPr>
          <w:p w14:paraId="6DCCF729">
            <w:pPr>
              <w:rPr>
                <w:rFonts w:ascii="Times New Roman" w:hAnsi="Times New Roman" w:eastAsia="宋体" w:cs="Times New Roman"/>
                <w:sz w:val="24"/>
                <w:szCs w:val="24"/>
              </w:rPr>
            </w:pPr>
            <w:r>
              <w:rPr>
                <w:rFonts w:hint="eastAsia" w:ascii="Times New Roman" w:hAnsi="Times New Roman" w:eastAsia="宋体" w:cs="Times New Roman"/>
                <w:sz w:val="24"/>
                <w:szCs w:val="24"/>
              </w:rPr>
              <w:t>调整大额申购起始日</w:t>
            </w:r>
          </w:p>
        </w:tc>
        <w:tc>
          <w:tcPr>
            <w:tcW w:w="3157" w:type="dxa"/>
            <w:tcBorders>
              <w:top w:val="single" w:color="000000" w:sz="4" w:space="0"/>
              <w:left w:val="single" w:color="000000" w:sz="4" w:space="0"/>
              <w:bottom w:val="single" w:color="000000" w:sz="4" w:space="0"/>
              <w:right w:val="single" w:color="000000" w:sz="4" w:space="0"/>
            </w:tcBorders>
            <w:vAlign w:val="center"/>
          </w:tcPr>
          <w:p w14:paraId="6B32E185">
            <w:pPr>
              <w:rPr>
                <w:rFonts w:hint="eastAsia" w:ascii="Times New Roman" w:hAnsi="Times New Roman" w:eastAsia="宋体" w:cs="Times New Roman"/>
                <w:sz w:val="24"/>
                <w:szCs w:val="24"/>
                <w:lang w:eastAsia="zh-CN"/>
              </w:rPr>
            </w:pPr>
            <w:r>
              <w:rPr>
                <w:rFonts w:hint="eastAsia" w:ascii="Times New Roman" w:hAnsi="Times New Roman" w:eastAsia="宋体" w:cs="Times New Roman"/>
                <w:color w:val="000000"/>
                <w:kern w:val="0"/>
                <w:sz w:val="24"/>
                <w:szCs w:val="24"/>
                <w:lang w:eastAsia="zh-CN"/>
              </w:rPr>
              <w:t>2026年10月16日</w:t>
            </w:r>
          </w:p>
        </w:tc>
      </w:tr>
      <w:tr w14:paraId="12307E0F">
        <w:tblPrEx>
          <w:tblBorders>
            <w:top w:val="none" w:color="auto" w:sz="0" w:space="0"/>
            <w:left w:val="single" w:color="000000" w:sz="4" w:space="0"/>
            <w:bottom w:val="none" w:color="auto" w:sz="0"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423" w:hRule="atLeast"/>
          <w:jc w:val="center"/>
        </w:trPr>
        <w:tc>
          <w:tcPr>
            <w:tcW w:w="3042" w:type="dxa"/>
            <w:vMerge w:val="continue"/>
            <w:tcBorders>
              <w:left w:val="single" w:color="000000" w:sz="4" w:space="0"/>
              <w:right w:val="single" w:color="000000" w:sz="4" w:space="0"/>
            </w:tcBorders>
            <w:vAlign w:val="center"/>
          </w:tcPr>
          <w:p w14:paraId="6F1F913D">
            <w:pPr>
              <w:rPr>
                <w:rFonts w:ascii="Times New Roman" w:hAnsi="Times New Roman" w:eastAsia="宋体" w:cs="Times New Roman"/>
                <w:sz w:val="24"/>
                <w:szCs w:val="24"/>
              </w:rPr>
            </w:pPr>
          </w:p>
        </w:tc>
        <w:tc>
          <w:tcPr>
            <w:tcW w:w="3157" w:type="dxa"/>
            <w:gridSpan w:val="2"/>
            <w:tcBorders>
              <w:top w:val="single" w:color="000000" w:sz="4" w:space="0"/>
              <w:left w:val="single" w:color="000000" w:sz="4" w:space="0"/>
              <w:bottom w:val="single" w:color="000000" w:sz="4" w:space="0"/>
              <w:right w:val="single" w:color="000000" w:sz="4" w:space="0"/>
            </w:tcBorders>
            <w:vAlign w:val="center"/>
          </w:tcPr>
          <w:p w14:paraId="2913CB98">
            <w:pPr>
              <w:rPr>
                <w:rFonts w:ascii="Times New Roman" w:hAnsi="Times New Roman" w:eastAsia="宋体" w:cs="Times New Roman"/>
                <w:sz w:val="24"/>
                <w:szCs w:val="24"/>
              </w:rPr>
            </w:pPr>
            <w:r>
              <w:rPr>
                <w:rFonts w:hint="eastAsia" w:ascii="Times New Roman" w:hAnsi="Times New Roman" w:eastAsia="宋体" w:cs="Times New Roman"/>
                <w:sz w:val="24"/>
                <w:szCs w:val="24"/>
              </w:rPr>
              <w:t>调整大额转换转入起始日</w:t>
            </w:r>
          </w:p>
        </w:tc>
        <w:tc>
          <w:tcPr>
            <w:tcW w:w="3157" w:type="dxa"/>
            <w:tcBorders>
              <w:top w:val="single" w:color="000000" w:sz="4" w:space="0"/>
              <w:left w:val="single" w:color="000000" w:sz="4" w:space="0"/>
              <w:bottom w:val="single" w:color="000000" w:sz="4" w:space="0"/>
              <w:right w:val="single" w:color="000000" w:sz="4" w:space="0"/>
            </w:tcBorders>
            <w:vAlign w:val="center"/>
          </w:tcPr>
          <w:p w14:paraId="77765890">
            <w:pPr>
              <w:rPr>
                <w:rFonts w:hint="eastAsia" w:ascii="Times New Roman" w:hAnsi="Times New Roman" w:eastAsia="宋体" w:cs="Times New Roman"/>
                <w:sz w:val="24"/>
                <w:szCs w:val="24"/>
                <w:lang w:eastAsia="zh-CN"/>
              </w:rPr>
            </w:pPr>
            <w:r>
              <w:rPr>
                <w:rFonts w:hint="eastAsia" w:ascii="Times New Roman" w:hAnsi="Times New Roman" w:eastAsia="宋体" w:cs="Times New Roman"/>
                <w:color w:val="000000"/>
                <w:kern w:val="0"/>
                <w:sz w:val="24"/>
                <w:szCs w:val="24"/>
                <w:lang w:eastAsia="zh-CN"/>
              </w:rPr>
              <w:t>2026年10月16日</w:t>
            </w:r>
          </w:p>
        </w:tc>
      </w:tr>
      <w:tr w14:paraId="3C5664A7">
        <w:tblPrEx>
          <w:tblBorders>
            <w:top w:val="none" w:color="auto" w:sz="0" w:space="0"/>
            <w:left w:val="single" w:color="000000" w:sz="4" w:space="0"/>
            <w:bottom w:val="none" w:color="auto" w:sz="0"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423" w:hRule="atLeast"/>
          <w:jc w:val="center"/>
        </w:trPr>
        <w:tc>
          <w:tcPr>
            <w:tcW w:w="3042" w:type="dxa"/>
            <w:vMerge w:val="continue"/>
            <w:tcBorders>
              <w:left w:val="single" w:color="000000" w:sz="4" w:space="0"/>
              <w:right w:val="single" w:color="000000" w:sz="4" w:space="0"/>
            </w:tcBorders>
            <w:vAlign w:val="center"/>
          </w:tcPr>
          <w:p w14:paraId="6960AEBC">
            <w:pPr>
              <w:rPr>
                <w:rFonts w:ascii="Times New Roman" w:hAnsi="Times New Roman" w:eastAsia="宋体" w:cs="Times New Roman"/>
                <w:sz w:val="24"/>
                <w:szCs w:val="24"/>
              </w:rPr>
            </w:pPr>
          </w:p>
        </w:tc>
        <w:tc>
          <w:tcPr>
            <w:tcW w:w="3157" w:type="dxa"/>
            <w:gridSpan w:val="2"/>
            <w:tcBorders>
              <w:top w:val="single" w:color="000000" w:sz="4" w:space="0"/>
              <w:left w:val="single" w:color="000000" w:sz="4" w:space="0"/>
              <w:bottom w:val="single" w:color="000000" w:sz="4" w:space="0"/>
              <w:right w:val="single" w:color="000000" w:sz="4" w:space="0"/>
            </w:tcBorders>
            <w:vAlign w:val="center"/>
          </w:tcPr>
          <w:p w14:paraId="3D1C3F5C">
            <w:pPr>
              <w:rPr>
                <w:rFonts w:ascii="Times New Roman" w:hAnsi="Times New Roman" w:eastAsia="宋体" w:cs="Times New Roman"/>
                <w:sz w:val="24"/>
                <w:szCs w:val="24"/>
              </w:rPr>
            </w:pPr>
            <w:r>
              <w:rPr>
                <w:rFonts w:hint="eastAsia" w:ascii="Times New Roman" w:hAnsi="Times New Roman" w:eastAsia="宋体" w:cs="Times New Roman"/>
                <w:sz w:val="24"/>
                <w:szCs w:val="24"/>
              </w:rPr>
              <w:t>调整大额定期定额投资起始日</w:t>
            </w:r>
          </w:p>
        </w:tc>
        <w:tc>
          <w:tcPr>
            <w:tcW w:w="3157" w:type="dxa"/>
            <w:tcBorders>
              <w:top w:val="single" w:color="000000" w:sz="4" w:space="0"/>
              <w:left w:val="single" w:color="000000" w:sz="4" w:space="0"/>
              <w:bottom w:val="single" w:color="000000" w:sz="4" w:space="0"/>
              <w:right w:val="single" w:color="000000" w:sz="4" w:space="0"/>
            </w:tcBorders>
            <w:vAlign w:val="center"/>
          </w:tcPr>
          <w:p w14:paraId="7FB776D2">
            <w:pPr>
              <w:rPr>
                <w:rFonts w:hint="eastAsia" w:ascii="Times New Roman" w:hAnsi="Times New Roman" w:eastAsia="宋体" w:cs="Times New Roman"/>
                <w:sz w:val="24"/>
                <w:szCs w:val="24"/>
                <w:lang w:eastAsia="zh-CN"/>
              </w:rPr>
            </w:pPr>
            <w:r>
              <w:rPr>
                <w:rFonts w:hint="eastAsia" w:ascii="Times New Roman" w:hAnsi="Times New Roman" w:eastAsia="宋体" w:cs="Times New Roman"/>
                <w:color w:val="000000"/>
                <w:kern w:val="0"/>
                <w:sz w:val="24"/>
                <w:szCs w:val="24"/>
                <w:lang w:eastAsia="zh-CN"/>
              </w:rPr>
              <w:t>2026年10月16日</w:t>
            </w:r>
          </w:p>
        </w:tc>
      </w:tr>
      <w:tr w14:paraId="631C9E4E">
        <w:tblPrEx>
          <w:tblBorders>
            <w:top w:val="none" w:color="auto" w:sz="0" w:space="0"/>
            <w:left w:val="single" w:color="000000" w:sz="4" w:space="0"/>
            <w:bottom w:val="none" w:color="auto" w:sz="0"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423" w:hRule="atLeast"/>
          <w:jc w:val="center"/>
        </w:trPr>
        <w:tc>
          <w:tcPr>
            <w:tcW w:w="3042" w:type="dxa"/>
            <w:vMerge w:val="continue"/>
            <w:tcBorders>
              <w:left w:val="single" w:color="000000" w:sz="4" w:space="0"/>
              <w:right w:val="single" w:color="000000" w:sz="4" w:space="0"/>
            </w:tcBorders>
            <w:vAlign w:val="center"/>
          </w:tcPr>
          <w:p w14:paraId="59603900">
            <w:pPr>
              <w:rPr>
                <w:rFonts w:ascii="Times New Roman" w:hAnsi="Times New Roman" w:eastAsia="宋体" w:cs="Times New Roman"/>
                <w:sz w:val="24"/>
                <w:szCs w:val="24"/>
              </w:rPr>
            </w:pPr>
          </w:p>
        </w:tc>
        <w:tc>
          <w:tcPr>
            <w:tcW w:w="3157" w:type="dxa"/>
            <w:gridSpan w:val="2"/>
            <w:tcBorders>
              <w:top w:val="single" w:color="000000" w:sz="4" w:space="0"/>
              <w:left w:val="single" w:color="000000" w:sz="4" w:space="0"/>
              <w:bottom w:val="single" w:color="000000" w:sz="4" w:space="0"/>
              <w:right w:val="single" w:color="000000" w:sz="4" w:space="0"/>
            </w:tcBorders>
            <w:vAlign w:val="center"/>
          </w:tcPr>
          <w:p w14:paraId="5B77A923">
            <w:pPr>
              <w:rPr>
                <w:rFonts w:ascii="Times New Roman" w:hAnsi="Times New Roman" w:eastAsia="宋体" w:cs="Times New Roman"/>
                <w:sz w:val="24"/>
                <w:szCs w:val="24"/>
              </w:rPr>
            </w:pPr>
            <w:r>
              <w:rPr>
                <w:rFonts w:hint="eastAsia" w:ascii="Times New Roman" w:hAnsi="Times New Roman" w:eastAsia="宋体" w:cs="Times New Roman"/>
                <w:sz w:val="24"/>
                <w:szCs w:val="24"/>
              </w:rPr>
              <w:t>限制大额申购金额（单位：元）</w:t>
            </w:r>
          </w:p>
        </w:tc>
        <w:tc>
          <w:tcPr>
            <w:tcW w:w="3157" w:type="dxa"/>
            <w:tcBorders>
              <w:top w:val="single" w:color="000000" w:sz="4" w:space="0"/>
              <w:left w:val="single" w:color="000000" w:sz="4" w:space="0"/>
              <w:bottom w:val="single" w:color="000000" w:sz="4" w:space="0"/>
              <w:right w:val="single" w:color="000000" w:sz="4" w:space="0"/>
            </w:tcBorders>
            <w:vAlign w:val="center"/>
          </w:tcPr>
          <w:p w14:paraId="18A09263">
            <w:pPr>
              <w:rPr>
                <w:rFonts w:ascii="Times New Roman" w:hAnsi="Times New Roman" w:eastAsia="宋体" w:cs="Times New Roman"/>
                <w:szCs w:val="24"/>
              </w:rPr>
            </w:pPr>
            <w:r>
              <w:rPr>
                <w:rFonts w:ascii="Times New Roman" w:hAnsi="Times New Roman" w:cs="Times New Roman"/>
                <w:sz w:val="24"/>
              </w:rPr>
              <w:t>1,000,000</w:t>
            </w:r>
          </w:p>
        </w:tc>
      </w:tr>
      <w:tr w14:paraId="09B52189">
        <w:tblPrEx>
          <w:tblBorders>
            <w:top w:val="none" w:color="auto" w:sz="0" w:space="0"/>
            <w:left w:val="single" w:color="000000" w:sz="4" w:space="0"/>
            <w:bottom w:val="none" w:color="auto" w:sz="0"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423" w:hRule="atLeast"/>
          <w:jc w:val="center"/>
        </w:trPr>
        <w:tc>
          <w:tcPr>
            <w:tcW w:w="3042" w:type="dxa"/>
            <w:vMerge w:val="continue"/>
            <w:tcBorders>
              <w:left w:val="single" w:color="000000" w:sz="4" w:space="0"/>
              <w:right w:val="single" w:color="000000" w:sz="4" w:space="0"/>
            </w:tcBorders>
            <w:vAlign w:val="center"/>
          </w:tcPr>
          <w:p w14:paraId="5BF1F4F8">
            <w:pPr>
              <w:rPr>
                <w:rFonts w:ascii="Times New Roman" w:hAnsi="Times New Roman" w:eastAsia="宋体" w:cs="Times New Roman"/>
                <w:sz w:val="24"/>
                <w:szCs w:val="24"/>
              </w:rPr>
            </w:pPr>
          </w:p>
        </w:tc>
        <w:tc>
          <w:tcPr>
            <w:tcW w:w="3157" w:type="dxa"/>
            <w:gridSpan w:val="2"/>
            <w:tcBorders>
              <w:top w:val="single" w:color="000000" w:sz="4" w:space="0"/>
              <w:left w:val="single" w:color="000000" w:sz="4" w:space="0"/>
              <w:bottom w:val="single" w:color="000000" w:sz="4" w:space="0"/>
              <w:right w:val="single" w:color="000000" w:sz="4" w:space="0"/>
            </w:tcBorders>
            <w:vAlign w:val="center"/>
          </w:tcPr>
          <w:p w14:paraId="6C4FB7BE">
            <w:pPr>
              <w:rPr>
                <w:rFonts w:ascii="Times New Roman" w:hAnsi="Times New Roman" w:eastAsia="宋体" w:cs="Times New Roman"/>
                <w:sz w:val="24"/>
                <w:szCs w:val="24"/>
              </w:rPr>
            </w:pPr>
            <w:r>
              <w:rPr>
                <w:rFonts w:hint="eastAsia" w:ascii="Times New Roman" w:hAnsi="Times New Roman" w:eastAsia="宋体" w:cs="Times New Roman"/>
                <w:sz w:val="24"/>
                <w:szCs w:val="24"/>
              </w:rPr>
              <w:t>限制大额转换转入金额（单位：元）</w:t>
            </w:r>
          </w:p>
        </w:tc>
        <w:tc>
          <w:tcPr>
            <w:tcW w:w="3157" w:type="dxa"/>
            <w:tcBorders>
              <w:top w:val="single" w:color="000000" w:sz="4" w:space="0"/>
              <w:left w:val="single" w:color="000000" w:sz="4" w:space="0"/>
              <w:bottom w:val="single" w:color="000000" w:sz="4" w:space="0"/>
              <w:right w:val="single" w:color="000000" w:sz="4" w:space="0"/>
            </w:tcBorders>
            <w:vAlign w:val="center"/>
          </w:tcPr>
          <w:p w14:paraId="4948D235">
            <w:pPr>
              <w:rPr>
                <w:rFonts w:ascii="Times New Roman" w:hAnsi="Times New Roman" w:eastAsia="宋体" w:cs="Times New Roman"/>
                <w:szCs w:val="24"/>
              </w:rPr>
            </w:pPr>
            <w:r>
              <w:rPr>
                <w:rFonts w:ascii="Times New Roman" w:hAnsi="Times New Roman" w:cs="Times New Roman"/>
                <w:sz w:val="24"/>
              </w:rPr>
              <w:t>1,000,000</w:t>
            </w:r>
          </w:p>
        </w:tc>
      </w:tr>
      <w:tr w14:paraId="23F2D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42" w:type="dxa"/>
            <w:vMerge w:val="continue"/>
            <w:tcBorders>
              <w:left w:val="single" w:color="000000" w:sz="4" w:space="0"/>
              <w:right w:val="single" w:color="000000" w:sz="4" w:space="0"/>
            </w:tcBorders>
            <w:vAlign w:val="center"/>
          </w:tcPr>
          <w:p w14:paraId="04D435ED">
            <w:pPr>
              <w:rPr>
                <w:rFonts w:ascii="Times New Roman" w:hAnsi="Times New Roman" w:eastAsia="宋体" w:cs="Times New Roman"/>
                <w:color w:val="000000"/>
                <w:sz w:val="24"/>
                <w:szCs w:val="24"/>
              </w:rPr>
            </w:pPr>
          </w:p>
        </w:tc>
        <w:tc>
          <w:tcPr>
            <w:tcW w:w="3150" w:type="dxa"/>
            <w:tcBorders>
              <w:top w:val="single" w:color="auto" w:sz="4" w:space="0"/>
              <w:left w:val="single" w:color="000000" w:sz="4" w:space="0"/>
              <w:bottom w:val="single" w:color="auto" w:sz="4" w:space="0"/>
              <w:right w:val="single" w:color="auto" w:sz="4" w:space="0"/>
            </w:tcBorders>
            <w:vAlign w:val="center"/>
          </w:tcPr>
          <w:p w14:paraId="5C257E91">
            <w:pPr>
              <w:rPr>
                <w:rFonts w:ascii="宋体" w:hAnsi="宋体" w:eastAsia="宋体" w:cs="Times New Roman"/>
                <w:color w:val="000000"/>
                <w:kern w:val="0"/>
                <w:sz w:val="24"/>
                <w:szCs w:val="24"/>
              </w:rPr>
            </w:pPr>
            <w:r>
              <w:rPr>
                <w:rFonts w:hint="eastAsia" w:ascii="Times New Roman" w:hAnsi="Times New Roman" w:eastAsia="宋体" w:cs="Times New Roman"/>
                <w:sz w:val="24"/>
                <w:szCs w:val="24"/>
              </w:rPr>
              <w:t>限制大额定期定额投资金额（单位：元）</w:t>
            </w:r>
          </w:p>
        </w:tc>
        <w:tc>
          <w:tcPr>
            <w:tcW w:w="3164" w:type="dxa"/>
            <w:gridSpan w:val="2"/>
            <w:tcBorders>
              <w:top w:val="single" w:color="auto" w:sz="4" w:space="0"/>
              <w:left w:val="single" w:color="auto" w:sz="4" w:space="0"/>
              <w:bottom w:val="single" w:color="auto" w:sz="4" w:space="0"/>
              <w:right w:val="single" w:color="auto" w:sz="4" w:space="0"/>
            </w:tcBorders>
            <w:vAlign w:val="center"/>
          </w:tcPr>
          <w:p w14:paraId="257566BB">
            <w:pPr>
              <w:rPr>
                <w:rFonts w:ascii="Times New Roman" w:hAnsi="Times New Roman" w:eastAsia="宋体" w:cs="Times New Roman"/>
                <w:szCs w:val="24"/>
              </w:rPr>
            </w:pPr>
            <w:r>
              <w:rPr>
                <w:rFonts w:ascii="Times New Roman" w:hAnsi="Times New Roman" w:cs="Times New Roman"/>
                <w:sz w:val="24"/>
              </w:rPr>
              <w:t>1,000,000</w:t>
            </w:r>
          </w:p>
        </w:tc>
      </w:tr>
      <w:tr w14:paraId="5C4E4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42" w:type="dxa"/>
            <w:vMerge w:val="continue"/>
            <w:tcBorders>
              <w:left w:val="single" w:color="000000" w:sz="4" w:space="0"/>
              <w:bottom w:val="single" w:color="auto" w:sz="4" w:space="0"/>
              <w:right w:val="single" w:color="000000" w:sz="4" w:space="0"/>
            </w:tcBorders>
            <w:vAlign w:val="center"/>
          </w:tcPr>
          <w:p w14:paraId="361D7EB2">
            <w:pPr>
              <w:rPr>
                <w:rFonts w:ascii="宋体" w:hAnsi="宋体" w:eastAsia="宋体" w:cs="Times New Roman"/>
                <w:sz w:val="24"/>
                <w:szCs w:val="24"/>
              </w:rPr>
            </w:pPr>
          </w:p>
        </w:tc>
        <w:tc>
          <w:tcPr>
            <w:tcW w:w="3150" w:type="dxa"/>
            <w:tcBorders>
              <w:top w:val="single" w:color="auto" w:sz="4" w:space="0"/>
              <w:left w:val="single" w:color="000000" w:sz="4" w:space="0"/>
              <w:bottom w:val="single" w:color="auto" w:sz="4" w:space="0"/>
              <w:right w:val="single" w:color="auto" w:sz="4" w:space="0"/>
            </w:tcBorders>
            <w:vAlign w:val="center"/>
          </w:tcPr>
          <w:p w14:paraId="2492313B">
            <w:pPr>
              <w:rPr>
                <w:rFonts w:ascii="宋体" w:hAnsi="宋体" w:eastAsia="宋体" w:cs="Times New Roman"/>
                <w:color w:val="000000"/>
                <w:kern w:val="0"/>
                <w:sz w:val="24"/>
                <w:szCs w:val="24"/>
              </w:rPr>
            </w:pPr>
            <w:r>
              <w:rPr>
                <w:rFonts w:hint="eastAsia" w:ascii="宋体" w:hAnsi="宋体" w:eastAsia="宋体" w:cs="Times New Roman"/>
                <w:color w:val="000000"/>
                <w:kern w:val="0"/>
                <w:sz w:val="24"/>
                <w:szCs w:val="24"/>
              </w:rPr>
              <w:t>调整大额申购（转换转入、定期定额投资）业务限额的原因说明</w:t>
            </w:r>
          </w:p>
        </w:tc>
        <w:tc>
          <w:tcPr>
            <w:tcW w:w="3164" w:type="dxa"/>
            <w:gridSpan w:val="2"/>
            <w:tcBorders>
              <w:top w:val="single" w:color="auto" w:sz="4" w:space="0"/>
              <w:left w:val="single" w:color="auto" w:sz="4" w:space="0"/>
              <w:bottom w:val="single" w:color="auto" w:sz="4" w:space="0"/>
              <w:right w:val="single" w:color="auto" w:sz="4" w:space="0"/>
            </w:tcBorders>
            <w:vAlign w:val="center"/>
          </w:tcPr>
          <w:p w14:paraId="1777719D">
            <w:pPr>
              <w:rPr>
                <w:rFonts w:ascii="宋体" w:hAnsi="宋体" w:eastAsia="宋体" w:cs="Times New Roman"/>
                <w:sz w:val="24"/>
                <w:szCs w:val="24"/>
              </w:rPr>
            </w:pPr>
            <w:r>
              <w:rPr>
                <w:rFonts w:ascii="Times New Roman" w:hAnsi="宋体" w:eastAsia="宋体" w:cs="Times New Roman"/>
                <w:sz w:val="24"/>
                <w:szCs w:val="24"/>
              </w:rPr>
              <w:t>为保护基金份额持有人的利益</w:t>
            </w:r>
          </w:p>
        </w:tc>
      </w:tr>
      <w:tr w14:paraId="25C91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2" w:type="dxa"/>
            <w:tcBorders>
              <w:top w:val="single" w:color="auto" w:sz="4" w:space="0"/>
              <w:left w:val="single" w:color="auto" w:sz="4" w:space="0"/>
              <w:bottom w:val="single" w:color="auto" w:sz="4" w:space="0"/>
              <w:right w:val="single" w:color="auto" w:sz="4" w:space="0"/>
            </w:tcBorders>
            <w:vAlign w:val="center"/>
          </w:tcPr>
          <w:p w14:paraId="429E7850">
            <w:pPr>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下属分级基金的基金简称 </w:t>
            </w:r>
          </w:p>
        </w:tc>
        <w:tc>
          <w:tcPr>
            <w:tcW w:w="3157" w:type="dxa"/>
            <w:gridSpan w:val="2"/>
            <w:tcBorders>
              <w:top w:val="single" w:color="auto" w:sz="4" w:space="0"/>
              <w:left w:val="single" w:color="auto" w:sz="4" w:space="0"/>
              <w:bottom w:val="single" w:color="auto" w:sz="4" w:space="0"/>
              <w:right w:val="single" w:color="auto" w:sz="4" w:space="0"/>
            </w:tcBorders>
            <w:vAlign w:val="center"/>
          </w:tcPr>
          <w:p w14:paraId="547A70B3">
            <w:pPr>
              <w:rPr>
                <w:rFonts w:ascii="Times New Roman" w:hAnsi="Times New Roman" w:eastAsia="宋体" w:cs="Times New Roman"/>
                <w:sz w:val="24"/>
                <w:szCs w:val="24"/>
              </w:rPr>
            </w:pPr>
            <w:r>
              <w:rPr>
                <w:rFonts w:hint="eastAsia" w:ascii="Times New Roman" w:hAnsi="Times New Roman" w:eastAsia="宋体" w:cs="Times New Roman"/>
                <w:sz w:val="24"/>
                <w:szCs w:val="24"/>
              </w:rPr>
              <w:t>交银双轮动债券</w:t>
            </w:r>
            <w:r>
              <w:rPr>
                <w:rFonts w:ascii="Times New Roman" w:hAnsi="Times New Roman" w:eastAsia="宋体" w:cs="Times New Roman"/>
                <w:sz w:val="24"/>
                <w:szCs w:val="24"/>
              </w:rPr>
              <w:t>A/B</w:t>
            </w:r>
          </w:p>
        </w:tc>
        <w:tc>
          <w:tcPr>
            <w:tcW w:w="3157" w:type="dxa"/>
            <w:tcBorders>
              <w:top w:val="single" w:color="auto" w:sz="4" w:space="0"/>
              <w:left w:val="single" w:color="auto" w:sz="4" w:space="0"/>
              <w:bottom w:val="single" w:color="auto" w:sz="4" w:space="0"/>
              <w:right w:val="single" w:color="auto" w:sz="4" w:space="0"/>
            </w:tcBorders>
            <w:vAlign w:val="center"/>
          </w:tcPr>
          <w:p w14:paraId="7842627C">
            <w:pPr>
              <w:rPr>
                <w:rFonts w:ascii="Times New Roman" w:hAnsi="Times New Roman" w:eastAsia="宋体" w:cs="Times New Roman"/>
                <w:sz w:val="24"/>
                <w:szCs w:val="24"/>
              </w:rPr>
            </w:pPr>
            <w:r>
              <w:rPr>
                <w:rFonts w:hint="eastAsia" w:ascii="Times New Roman" w:hAnsi="Times New Roman" w:eastAsia="宋体" w:cs="Times New Roman"/>
                <w:sz w:val="24"/>
                <w:szCs w:val="24"/>
              </w:rPr>
              <w:t>交银双轮动债券</w:t>
            </w:r>
            <w:r>
              <w:rPr>
                <w:rFonts w:ascii="Times New Roman" w:hAnsi="Times New Roman" w:eastAsia="宋体" w:cs="Times New Roman"/>
                <w:sz w:val="24"/>
                <w:szCs w:val="24"/>
              </w:rPr>
              <w:t>C</w:t>
            </w:r>
          </w:p>
        </w:tc>
      </w:tr>
      <w:tr w14:paraId="2524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2" w:type="dxa"/>
            <w:tcBorders>
              <w:top w:val="single" w:color="auto" w:sz="4" w:space="0"/>
              <w:left w:val="single" w:color="auto" w:sz="4" w:space="0"/>
              <w:bottom w:val="single" w:color="auto" w:sz="4" w:space="0"/>
              <w:right w:val="single" w:color="auto" w:sz="4" w:space="0"/>
            </w:tcBorders>
            <w:vAlign w:val="center"/>
          </w:tcPr>
          <w:p w14:paraId="2EC2630E">
            <w:pPr>
              <w:rPr>
                <w:rFonts w:ascii="Times New Roman" w:hAnsi="Times New Roman" w:eastAsia="宋体" w:cs="Times New Roman"/>
                <w:sz w:val="24"/>
                <w:szCs w:val="24"/>
              </w:rPr>
            </w:pPr>
            <w:r>
              <w:rPr>
                <w:rFonts w:hint="eastAsia" w:ascii="Times New Roman" w:hAnsi="Times New Roman" w:eastAsia="宋体" w:cs="Times New Roman"/>
                <w:sz w:val="24"/>
                <w:szCs w:val="24"/>
              </w:rPr>
              <w:t>下属分级基金的交易代码</w:t>
            </w:r>
          </w:p>
        </w:tc>
        <w:tc>
          <w:tcPr>
            <w:tcW w:w="3157" w:type="dxa"/>
            <w:gridSpan w:val="2"/>
            <w:tcBorders>
              <w:top w:val="single" w:color="auto" w:sz="4" w:space="0"/>
              <w:left w:val="single" w:color="auto" w:sz="4" w:space="0"/>
              <w:bottom w:val="single" w:color="auto" w:sz="4" w:space="0"/>
              <w:right w:val="single" w:color="auto" w:sz="4" w:space="0"/>
            </w:tcBorders>
            <w:vAlign w:val="center"/>
          </w:tcPr>
          <w:p w14:paraId="725EDB03">
            <w:pPr>
              <w:rPr>
                <w:rFonts w:ascii="Times New Roman" w:hAnsi="Times New Roman" w:eastAsia="宋体" w:cs="Times New Roman"/>
                <w:sz w:val="24"/>
                <w:szCs w:val="24"/>
              </w:rPr>
            </w:pPr>
            <w:r>
              <w:rPr>
                <w:rFonts w:ascii="Times New Roman" w:hAnsi="Times New Roman" w:eastAsia="宋体" w:cs="Times New Roman"/>
                <w:sz w:val="24"/>
                <w:szCs w:val="24"/>
              </w:rPr>
              <w:t>519723</w:t>
            </w:r>
            <w:r>
              <w:rPr>
                <w:rFonts w:hint="eastAsia" w:ascii="Times New Roman" w:hAnsi="Times New Roman" w:eastAsia="宋体" w:cs="Times New Roman"/>
                <w:sz w:val="24"/>
                <w:szCs w:val="24"/>
              </w:rPr>
              <w:t>（前端）、</w:t>
            </w:r>
            <w:r>
              <w:rPr>
                <w:rFonts w:ascii="Times New Roman" w:hAnsi="Times New Roman" w:eastAsia="宋体" w:cs="Times New Roman"/>
                <w:sz w:val="24"/>
                <w:szCs w:val="24"/>
              </w:rPr>
              <w:t>519724</w:t>
            </w:r>
            <w:r>
              <w:rPr>
                <w:rFonts w:hint="eastAsia" w:ascii="Times New Roman" w:hAnsi="Times New Roman" w:eastAsia="宋体" w:cs="Times New Roman"/>
                <w:sz w:val="24"/>
                <w:szCs w:val="24"/>
              </w:rPr>
              <w:t>（后端）</w:t>
            </w:r>
          </w:p>
        </w:tc>
        <w:tc>
          <w:tcPr>
            <w:tcW w:w="3157" w:type="dxa"/>
            <w:tcBorders>
              <w:top w:val="single" w:color="auto" w:sz="4" w:space="0"/>
              <w:left w:val="single" w:color="auto" w:sz="4" w:space="0"/>
              <w:bottom w:val="single" w:color="auto" w:sz="4" w:space="0"/>
              <w:right w:val="single" w:color="auto" w:sz="4" w:space="0"/>
            </w:tcBorders>
            <w:vAlign w:val="center"/>
          </w:tcPr>
          <w:p w14:paraId="3C04F482">
            <w:pPr>
              <w:rPr>
                <w:rFonts w:ascii="Times New Roman" w:hAnsi="Times New Roman" w:eastAsia="宋体" w:cs="Times New Roman"/>
                <w:sz w:val="24"/>
                <w:szCs w:val="24"/>
              </w:rPr>
            </w:pPr>
            <w:r>
              <w:rPr>
                <w:rFonts w:ascii="Times New Roman" w:hAnsi="Times New Roman" w:eastAsia="宋体" w:cs="Times New Roman"/>
                <w:sz w:val="24"/>
                <w:szCs w:val="24"/>
              </w:rPr>
              <w:t>519725</w:t>
            </w:r>
          </w:p>
        </w:tc>
      </w:tr>
      <w:tr w14:paraId="32C8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2" w:type="dxa"/>
            <w:tcBorders>
              <w:top w:val="single" w:color="auto" w:sz="4" w:space="0"/>
              <w:left w:val="single" w:color="auto" w:sz="4" w:space="0"/>
              <w:bottom w:val="single" w:color="auto" w:sz="4" w:space="0"/>
              <w:right w:val="single" w:color="auto" w:sz="4" w:space="0"/>
            </w:tcBorders>
            <w:vAlign w:val="center"/>
          </w:tcPr>
          <w:p w14:paraId="12D07CC1">
            <w:pPr>
              <w:rPr>
                <w:rFonts w:ascii="Times New Roman" w:hAnsi="Times New Roman" w:eastAsia="宋体" w:cs="Times New Roman"/>
                <w:sz w:val="24"/>
                <w:szCs w:val="24"/>
              </w:rPr>
            </w:pPr>
            <w:r>
              <w:rPr>
                <w:rFonts w:hint="eastAsia" w:ascii="Times New Roman" w:hAnsi="Times New Roman" w:eastAsia="宋体" w:cs="Times New Roman"/>
                <w:sz w:val="24"/>
                <w:szCs w:val="24"/>
              </w:rPr>
              <w:t>该分级基金是否调整大额申购（转换转入、定期定额投资）业务限额</w:t>
            </w:r>
          </w:p>
        </w:tc>
        <w:tc>
          <w:tcPr>
            <w:tcW w:w="3157" w:type="dxa"/>
            <w:gridSpan w:val="2"/>
            <w:tcBorders>
              <w:top w:val="single" w:color="auto" w:sz="4" w:space="0"/>
              <w:left w:val="single" w:color="auto" w:sz="4" w:space="0"/>
              <w:bottom w:val="single" w:color="auto" w:sz="4" w:space="0"/>
              <w:right w:val="single" w:color="auto" w:sz="4" w:space="0"/>
            </w:tcBorders>
            <w:vAlign w:val="center"/>
          </w:tcPr>
          <w:p w14:paraId="634EA3A5">
            <w:pPr>
              <w:rPr>
                <w:rFonts w:ascii="Times New Roman" w:hAnsi="Times New Roman" w:eastAsia="宋体" w:cs="Times New Roman"/>
                <w:sz w:val="24"/>
                <w:szCs w:val="24"/>
              </w:rPr>
            </w:pPr>
            <w:r>
              <w:rPr>
                <w:rFonts w:hint="eastAsia" w:ascii="Times New Roman" w:hAnsi="Times New Roman" w:eastAsia="宋体" w:cs="Times New Roman"/>
                <w:sz w:val="24"/>
                <w:szCs w:val="24"/>
              </w:rPr>
              <w:t>是</w:t>
            </w:r>
          </w:p>
        </w:tc>
        <w:tc>
          <w:tcPr>
            <w:tcW w:w="3157" w:type="dxa"/>
            <w:tcBorders>
              <w:top w:val="single" w:color="auto" w:sz="4" w:space="0"/>
              <w:left w:val="single" w:color="auto" w:sz="4" w:space="0"/>
              <w:bottom w:val="single" w:color="auto" w:sz="4" w:space="0"/>
              <w:right w:val="single" w:color="auto" w:sz="4" w:space="0"/>
            </w:tcBorders>
            <w:vAlign w:val="center"/>
          </w:tcPr>
          <w:p w14:paraId="5AE8DF3C">
            <w:pPr>
              <w:rPr>
                <w:rFonts w:ascii="Times New Roman" w:hAnsi="Times New Roman" w:eastAsia="宋体" w:cs="Times New Roman"/>
                <w:sz w:val="24"/>
                <w:szCs w:val="24"/>
              </w:rPr>
            </w:pPr>
            <w:r>
              <w:rPr>
                <w:rFonts w:hint="eastAsia" w:ascii="Times New Roman" w:hAnsi="Times New Roman" w:eastAsia="宋体" w:cs="Times New Roman"/>
                <w:sz w:val="24"/>
                <w:szCs w:val="24"/>
              </w:rPr>
              <w:t>是</w:t>
            </w:r>
          </w:p>
        </w:tc>
      </w:tr>
    </w:tbl>
    <w:p w14:paraId="30FBFCE2">
      <w:pPr>
        <w:spacing w:line="360" w:lineRule="auto"/>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注：（</w:t>
      </w:r>
      <w:r>
        <w:rPr>
          <w:rFonts w:ascii="Times New Roman" w:hAnsi="Times New Roman" w:eastAsia="宋体" w:cs="Times New Roman"/>
          <w:color w:val="000000"/>
          <w:sz w:val="24"/>
          <w:szCs w:val="24"/>
        </w:rPr>
        <w:t>1</w:t>
      </w:r>
      <w:r>
        <w:rPr>
          <w:rFonts w:hint="eastAsia" w:ascii="Times New Roman" w:hAnsi="Times New Roman" w:eastAsia="宋体" w:cs="Times New Roman"/>
          <w:color w:val="000000"/>
          <w:sz w:val="24"/>
          <w:szCs w:val="24"/>
        </w:rPr>
        <w:t>）本基金A类基金份额采用前端收费模式，B类基金份额采用后端收费模式，前端交易代码即为A类基金份额交易代码，后端交易代码即为B类基金份额交易代码。</w:t>
      </w:r>
    </w:p>
    <w:p w14:paraId="025EF8DE">
      <w:pPr>
        <w:spacing w:line="360" w:lineRule="auto"/>
        <w:rPr>
          <w:rFonts w:ascii="Times New Roman" w:hAnsi="Times New Roman" w:cs="Times New Roman"/>
          <w:color w:val="000000"/>
          <w:sz w:val="24"/>
        </w:rPr>
      </w:pPr>
      <w:r>
        <w:rPr>
          <w:rFonts w:hint="eastAsia" w:ascii="Times New Roman" w:hAnsi="Times New Roman" w:eastAsia="宋体" w:cs="Times New Roman"/>
          <w:color w:val="000000"/>
          <w:sz w:val="24"/>
          <w:szCs w:val="24"/>
        </w:rPr>
        <w:t xml:space="preserve">   （</w:t>
      </w:r>
      <w:r>
        <w:rPr>
          <w:rFonts w:ascii="Times New Roman" w:hAnsi="Times New Roman" w:eastAsia="宋体" w:cs="Times New Roman"/>
          <w:color w:val="000000"/>
          <w:sz w:val="24"/>
          <w:szCs w:val="24"/>
        </w:rPr>
        <w:t>2</w:t>
      </w:r>
      <w:r>
        <w:rPr>
          <w:rFonts w:hint="eastAsia" w:ascii="Times New Roman" w:hAnsi="Times New Roman" w:eastAsia="宋体" w:cs="Times New Roman"/>
          <w:color w:val="000000"/>
          <w:sz w:val="24"/>
          <w:szCs w:val="24"/>
        </w:rPr>
        <w:t>）</w:t>
      </w:r>
      <w:r>
        <w:rPr>
          <w:rFonts w:hint="eastAsia" w:ascii="Times New Roman" w:hAnsi="Times New Roman" w:cs="Times New Roman"/>
          <w:color w:val="000000"/>
          <w:sz w:val="24"/>
        </w:rPr>
        <w:t>对于当日单个基金账户单笔或多笔累计申购、转换转入及定期定额投资的金额（本基金各类基金份额的申请金额予以合计）超过人民币100万元（不含）的申请，本基金管理人有权拒绝。</w:t>
      </w:r>
    </w:p>
    <w:p w14:paraId="107DFFB8">
      <w:pPr>
        <w:spacing w:line="360" w:lineRule="auto"/>
        <w:rPr>
          <w:rFonts w:ascii="Times New Roman" w:hAnsi="Times New Roman" w:eastAsia="宋体" w:cs="Times New Roman"/>
          <w:color w:val="000000"/>
          <w:sz w:val="24"/>
          <w:szCs w:val="24"/>
        </w:rPr>
      </w:pPr>
    </w:p>
    <w:p w14:paraId="4CC7E99F">
      <w:pPr>
        <w:spacing w:line="360" w:lineRule="auto"/>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2.其他需要提示的事项</w:t>
      </w:r>
    </w:p>
    <w:p w14:paraId="2C5A56F3">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（1）在本基金上述暂停大额申购（转换转入、定期定额投资）业务期间，本基金的</w:t>
      </w:r>
      <w:r>
        <w:rPr>
          <w:rFonts w:ascii="Times New Roman" w:hAnsi="Times New Roman" w:eastAsia="宋体" w:cs="Times New Roman"/>
          <w:color w:val="000000"/>
          <w:sz w:val="24"/>
          <w:szCs w:val="24"/>
        </w:rPr>
        <w:t>赎回</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转换转出</w:t>
      </w:r>
      <w:r>
        <w:rPr>
          <w:rFonts w:hint="eastAsia" w:ascii="Times New Roman" w:hAnsi="Times New Roman" w:eastAsia="宋体" w:cs="Times New Roman"/>
          <w:color w:val="000000"/>
          <w:sz w:val="24"/>
          <w:szCs w:val="24"/>
        </w:rPr>
        <w:t>）业务</w:t>
      </w:r>
      <w:r>
        <w:rPr>
          <w:rFonts w:ascii="Times New Roman" w:hAnsi="Times New Roman" w:eastAsia="宋体" w:cs="Times New Roman"/>
          <w:color w:val="000000"/>
          <w:sz w:val="24"/>
          <w:szCs w:val="24"/>
        </w:rPr>
        <w:t>正常</w:t>
      </w:r>
      <w:r>
        <w:rPr>
          <w:rFonts w:hint="eastAsia" w:ascii="Times New Roman" w:hAnsi="Times New Roman" w:eastAsia="宋体" w:cs="Times New Roman"/>
          <w:color w:val="000000"/>
          <w:sz w:val="24"/>
          <w:szCs w:val="24"/>
        </w:rPr>
        <w:t>进行。</w:t>
      </w:r>
    </w:p>
    <w:p w14:paraId="4FC000A4">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（2）自</w:t>
      </w:r>
      <w:r>
        <w:rPr>
          <w:rFonts w:hint="eastAsia" w:ascii="Times New Roman" w:hAnsi="Times New Roman" w:eastAsia="宋体" w:cs="Times New Roman"/>
          <w:color w:val="000000"/>
          <w:kern w:val="0"/>
          <w:sz w:val="24"/>
          <w:szCs w:val="24"/>
        </w:rPr>
        <w:t>20</w:t>
      </w:r>
      <w:r>
        <w:rPr>
          <w:rFonts w:ascii="Times New Roman" w:hAnsi="Times New Roman" w:eastAsia="宋体" w:cs="Times New Roman"/>
          <w:color w:val="000000"/>
          <w:kern w:val="0"/>
          <w:sz w:val="24"/>
          <w:szCs w:val="24"/>
        </w:rPr>
        <w:t>2</w:t>
      </w:r>
      <w:r>
        <w:rPr>
          <w:rFonts w:hint="eastAsia" w:ascii="Times New Roman" w:hAnsi="Times New Roman" w:eastAsia="宋体" w:cs="Times New Roman"/>
          <w:color w:val="000000"/>
          <w:kern w:val="0"/>
          <w:sz w:val="24"/>
          <w:szCs w:val="24"/>
          <w:lang w:val="en-US" w:eastAsia="zh-CN"/>
        </w:rPr>
        <w:t>6</w:t>
      </w:r>
      <w:r>
        <w:rPr>
          <w:rFonts w:hint="eastAsia" w:ascii="Times New Roman" w:hAnsi="Times New Roman" w:eastAsia="宋体" w:cs="Times New Roman"/>
          <w:color w:val="000000"/>
          <w:kern w:val="0"/>
          <w:sz w:val="24"/>
          <w:szCs w:val="24"/>
        </w:rPr>
        <w:t>年</w:t>
      </w:r>
      <w:r>
        <w:rPr>
          <w:rFonts w:hint="eastAsia" w:ascii="Times New Roman" w:hAnsi="Times New Roman" w:eastAsia="宋体" w:cs="Times New Roman"/>
          <w:color w:val="000000"/>
          <w:kern w:val="0"/>
          <w:sz w:val="24"/>
          <w:szCs w:val="24"/>
          <w:lang w:val="en-US" w:eastAsia="zh-CN"/>
        </w:rPr>
        <w:t>10</w:t>
      </w:r>
      <w:r>
        <w:rPr>
          <w:rFonts w:hint="eastAsia" w:ascii="Times New Roman" w:hAnsi="Times New Roman" w:eastAsia="宋体" w:cs="Times New Roman"/>
          <w:color w:val="000000"/>
          <w:kern w:val="0"/>
          <w:sz w:val="24"/>
          <w:szCs w:val="24"/>
        </w:rPr>
        <w:t>月</w:t>
      </w:r>
      <w:r>
        <w:rPr>
          <w:rFonts w:hint="eastAsia" w:ascii="Times New Roman" w:hAnsi="Times New Roman" w:eastAsia="宋体" w:cs="Times New Roman"/>
          <w:color w:val="000000"/>
          <w:kern w:val="0"/>
          <w:sz w:val="24"/>
          <w:szCs w:val="24"/>
          <w:lang w:val="en-US" w:eastAsia="zh-CN"/>
        </w:rPr>
        <w:t>21</w:t>
      </w:r>
      <w:r>
        <w:rPr>
          <w:rFonts w:hint="eastAsia" w:ascii="Times New Roman" w:hAnsi="Times New Roman" w:eastAsia="宋体" w:cs="Times New Roman"/>
          <w:color w:val="000000"/>
          <w:kern w:val="0"/>
          <w:sz w:val="24"/>
          <w:szCs w:val="24"/>
        </w:rPr>
        <w:t>日</w:t>
      </w:r>
      <w:r>
        <w:rPr>
          <w:rFonts w:hint="eastAsia" w:ascii="Times New Roman" w:hAnsi="Times New Roman" w:eastAsia="宋体" w:cs="Times New Roman"/>
          <w:color w:val="000000"/>
          <w:sz w:val="24"/>
          <w:szCs w:val="24"/>
        </w:rPr>
        <w:t>起，本基金直销机构将恢复办理大额申购（转换转入、定期定额投资）业务，同时非直销销售机构大额申购（转换转入、定期定额投资）业务限额将调整为</w:t>
      </w:r>
      <w:r>
        <w:rPr>
          <w:rFonts w:ascii="Times New Roman" w:hAnsi="Times New Roman" w:eastAsia="宋体" w:cs="Times New Roman"/>
          <w:color w:val="000000"/>
          <w:sz w:val="24"/>
          <w:szCs w:val="24"/>
        </w:rPr>
        <w:t>5</w:t>
      </w:r>
      <w:r>
        <w:rPr>
          <w:rFonts w:hint="eastAsia" w:ascii="Times New Roman" w:hAnsi="Times New Roman" w:eastAsia="宋体" w:cs="Times New Roman"/>
          <w:color w:val="000000"/>
          <w:sz w:val="24"/>
          <w:szCs w:val="24"/>
        </w:rPr>
        <w:t>00万元。关于取消上述暂停大额申购（转换转入、定期定额投资）业务限制的时间，本基金管理人将另行公告。</w:t>
      </w:r>
    </w:p>
    <w:p w14:paraId="76951771">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（3）投资者可以登录本公司网站（www.fund001.com）或拨打客户服务电话（400-700-5000，021-61055000）咨询基金相关信息。</w:t>
      </w:r>
    </w:p>
    <w:p w14:paraId="71FAF341">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 xml:space="preserve"> </w:t>
      </w:r>
    </w:p>
    <w:p w14:paraId="435304D1">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风险提示：基金管理人承诺以诚实信用、勤勉尽责的原则管理和运用基金财产，但不保证基金一定盈利，也不保证最低收益。基金的过往业绩并不代表其未来表现。投资有风险，敬请投资者认真阅读基金的相关法律文件，并选择适合自身风险承受能力的投资品种进行投资。</w:t>
      </w:r>
    </w:p>
    <w:p w14:paraId="62EC97AC">
      <w:pPr>
        <w:spacing w:line="360" w:lineRule="auto"/>
        <w:ind w:firstLine="480" w:firstLineChars="200"/>
        <w:rPr>
          <w:rFonts w:ascii="Times New Roman" w:hAnsi="Times New Roman" w:eastAsia="宋体" w:cs="Times New Roman"/>
          <w:color w:val="000000"/>
          <w:sz w:val="24"/>
          <w:szCs w:val="24"/>
        </w:rPr>
      </w:pPr>
    </w:p>
    <w:p w14:paraId="298381D8">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特此公告。</w:t>
      </w:r>
    </w:p>
    <w:p w14:paraId="35190593">
      <w:pPr>
        <w:spacing w:line="360" w:lineRule="auto"/>
        <w:rPr>
          <w:rFonts w:ascii="Times New Roman" w:hAnsi="Times New Roman" w:eastAsia="宋体" w:cs="Times New Roman"/>
          <w:color w:val="000000"/>
          <w:sz w:val="24"/>
          <w:szCs w:val="24"/>
        </w:rPr>
      </w:pPr>
    </w:p>
    <w:p w14:paraId="1BF7A488">
      <w:pPr>
        <w:rPr>
          <w:rFonts w:ascii="Times New Roman" w:hAnsi="Times New Roman" w:eastAsia="宋体" w:cs="Times New Roman"/>
          <w:sz w:val="24"/>
          <w:szCs w:val="24"/>
        </w:rPr>
      </w:pPr>
    </w:p>
    <w:p w14:paraId="066FBDDE">
      <w:pPr>
        <w:rPr>
          <w:rFonts w:ascii="Times New Roman" w:hAnsi="Times New Roman" w:eastAsia="宋体" w:cs="Times New Roman"/>
          <w:szCs w:val="24"/>
        </w:rPr>
      </w:pPr>
    </w:p>
    <w:p w14:paraId="07D39391">
      <w:pPr>
        <w:rPr>
          <w:rFonts w:ascii="Times New Roman" w:hAnsi="Times New Roman" w:eastAsia="宋体" w:cs="Times New Roman"/>
          <w:szCs w:val="24"/>
        </w:rPr>
      </w:pPr>
    </w:p>
    <w:p w14:paraId="5AD0D1B4">
      <w:pPr>
        <w:rPr>
          <w:rFonts w:ascii="Times New Roman" w:hAnsi="Times New Roman" w:eastAsia="宋体" w:cs="Times New Roman"/>
          <w:szCs w:val="24"/>
        </w:rPr>
      </w:pPr>
    </w:p>
    <w:p w14:paraId="1809D0CB">
      <w:pPr>
        <w:rPr>
          <w:rFonts w:ascii="Times New Roman" w:hAnsi="Times New Roman" w:eastAsia="宋体" w:cs="Times New Roman"/>
          <w:szCs w:val="24"/>
        </w:rPr>
      </w:pPr>
    </w:p>
    <w:p w14:paraId="4B9BAC86">
      <w:pPr>
        <w:rPr>
          <w:rFonts w:ascii="Times New Roman" w:hAnsi="Times New Roman" w:eastAsia="宋体" w:cs="Times New Roman"/>
          <w:szCs w:val="24"/>
        </w:rPr>
      </w:pPr>
    </w:p>
    <w:p w14:paraId="2E367409"/>
    <w:p w14:paraId="7A0E5190"/>
    <w:p w14:paraId="125BE86B"/>
    <w:p w14:paraId="6AF001F2"/>
    <w:sectPr>
      <w:footerReference r:id="rId3" w:type="default"/>
      <w:footerReference r:id="rId4" w:type="even"/>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0B87D">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2</w:t>
    </w:r>
    <w:r>
      <w:rPr>
        <w:rStyle w:val="9"/>
      </w:rPr>
      <w:fldChar w:fldCharType="end"/>
    </w:r>
  </w:p>
  <w:p w14:paraId="0FC24B3C">
    <w:pPr>
      <w:pStyle w:val="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BF42F">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14:paraId="7A03A1B6">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930"/>
    <w:rsid w:val="000000C7"/>
    <w:rsid w:val="00000A1B"/>
    <w:rsid w:val="00007DEA"/>
    <w:rsid w:val="00026876"/>
    <w:rsid w:val="00027A3F"/>
    <w:rsid w:val="0003545D"/>
    <w:rsid w:val="00045CF8"/>
    <w:rsid w:val="00056FED"/>
    <w:rsid w:val="00070D4F"/>
    <w:rsid w:val="000C3808"/>
    <w:rsid w:val="000C5BF6"/>
    <w:rsid w:val="000D2B88"/>
    <w:rsid w:val="00115280"/>
    <w:rsid w:val="00115455"/>
    <w:rsid w:val="00117784"/>
    <w:rsid w:val="0013086B"/>
    <w:rsid w:val="00134D3E"/>
    <w:rsid w:val="00142545"/>
    <w:rsid w:val="00143AB6"/>
    <w:rsid w:val="00143D19"/>
    <w:rsid w:val="001523C2"/>
    <w:rsid w:val="0015524B"/>
    <w:rsid w:val="0016017C"/>
    <w:rsid w:val="00166F0F"/>
    <w:rsid w:val="001722DD"/>
    <w:rsid w:val="001867E4"/>
    <w:rsid w:val="001A130E"/>
    <w:rsid w:val="001A18C2"/>
    <w:rsid w:val="001A3930"/>
    <w:rsid w:val="001B100A"/>
    <w:rsid w:val="001B76A6"/>
    <w:rsid w:val="001D6124"/>
    <w:rsid w:val="001F0902"/>
    <w:rsid w:val="00223C8F"/>
    <w:rsid w:val="00233719"/>
    <w:rsid w:val="0023543B"/>
    <w:rsid w:val="00235EBE"/>
    <w:rsid w:val="002449FA"/>
    <w:rsid w:val="002741B7"/>
    <w:rsid w:val="002845F0"/>
    <w:rsid w:val="002A3DC8"/>
    <w:rsid w:val="002D08E8"/>
    <w:rsid w:val="002F209E"/>
    <w:rsid w:val="0031730B"/>
    <w:rsid w:val="00336819"/>
    <w:rsid w:val="00336F5F"/>
    <w:rsid w:val="00342575"/>
    <w:rsid w:val="003470D4"/>
    <w:rsid w:val="00383BCA"/>
    <w:rsid w:val="003A75F0"/>
    <w:rsid w:val="003B537F"/>
    <w:rsid w:val="003C0005"/>
    <w:rsid w:val="003C0067"/>
    <w:rsid w:val="003C7AFB"/>
    <w:rsid w:val="003D3FC2"/>
    <w:rsid w:val="003D5040"/>
    <w:rsid w:val="00425F53"/>
    <w:rsid w:val="00441CF0"/>
    <w:rsid w:val="00451E66"/>
    <w:rsid w:val="004601E3"/>
    <w:rsid w:val="00462A1B"/>
    <w:rsid w:val="0046472C"/>
    <w:rsid w:val="00480238"/>
    <w:rsid w:val="00486625"/>
    <w:rsid w:val="004A4BA1"/>
    <w:rsid w:val="004E58B1"/>
    <w:rsid w:val="004E7710"/>
    <w:rsid w:val="00504F2F"/>
    <w:rsid w:val="005311FD"/>
    <w:rsid w:val="005415E2"/>
    <w:rsid w:val="005575BA"/>
    <w:rsid w:val="00577D5A"/>
    <w:rsid w:val="00592823"/>
    <w:rsid w:val="005E3124"/>
    <w:rsid w:val="005F3E81"/>
    <w:rsid w:val="006024D0"/>
    <w:rsid w:val="0060696D"/>
    <w:rsid w:val="0061180D"/>
    <w:rsid w:val="00614C63"/>
    <w:rsid w:val="006633BB"/>
    <w:rsid w:val="006706EF"/>
    <w:rsid w:val="0068034F"/>
    <w:rsid w:val="00683F22"/>
    <w:rsid w:val="006C212D"/>
    <w:rsid w:val="006E22D9"/>
    <w:rsid w:val="00703BD9"/>
    <w:rsid w:val="00704458"/>
    <w:rsid w:val="007169DC"/>
    <w:rsid w:val="00717827"/>
    <w:rsid w:val="00732FF0"/>
    <w:rsid w:val="00736C80"/>
    <w:rsid w:val="007460C1"/>
    <w:rsid w:val="00750A5B"/>
    <w:rsid w:val="00753E25"/>
    <w:rsid w:val="00763018"/>
    <w:rsid w:val="00774EAE"/>
    <w:rsid w:val="00790CC1"/>
    <w:rsid w:val="007A3DBE"/>
    <w:rsid w:val="007C03DF"/>
    <w:rsid w:val="007C2617"/>
    <w:rsid w:val="007D7FCE"/>
    <w:rsid w:val="007E73AA"/>
    <w:rsid w:val="0080512C"/>
    <w:rsid w:val="00834303"/>
    <w:rsid w:val="00836A67"/>
    <w:rsid w:val="00863941"/>
    <w:rsid w:val="00864018"/>
    <w:rsid w:val="00866506"/>
    <w:rsid w:val="00885F07"/>
    <w:rsid w:val="008964FF"/>
    <w:rsid w:val="008B7D51"/>
    <w:rsid w:val="008C01B1"/>
    <w:rsid w:val="00913073"/>
    <w:rsid w:val="00915D4B"/>
    <w:rsid w:val="0092685E"/>
    <w:rsid w:val="009448B2"/>
    <w:rsid w:val="00975434"/>
    <w:rsid w:val="0098097D"/>
    <w:rsid w:val="00986E3D"/>
    <w:rsid w:val="009A5D10"/>
    <w:rsid w:val="009A67CC"/>
    <w:rsid w:val="009D04F0"/>
    <w:rsid w:val="009D1779"/>
    <w:rsid w:val="009E1DDC"/>
    <w:rsid w:val="009E657C"/>
    <w:rsid w:val="009F2654"/>
    <w:rsid w:val="00A24666"/>
    <w:rsid w:val="00A5293C"/>
    <w:rsid w:val="00A5780F"/>
    <w:rsid w:val="00A938F0"/>
    <w:rsid w:val="00AA2F9E"/>
    <w:rsid w:val="00AC4B22"/>
    <w:rsid w:val="00AE668D"/>
    <w:rsid w:val="00AF14F0"/>
    <w:rsid w:val="00B07974"/>
    <w:rsid w:val="00B23E9C"/>
    <w:rsid w:val="00B321D0"/>
    <w:rsid w:val="00B97705"/>
    <w:rsid w:val="00BB1ADA"/>
    <w:rsid w:val="00BB219D"/>
    <w:rsid w:val="00BB2FA8"/>
    <w:rsid w:val="00BB6E1E"/>
    <w:rsid w:val="00BD30BF"/>
    <w:rsid w:val="00BD4735"/>
    <w:rsid w:val="00BD50CB"/>
    <w:rsid w:val="00C1776E"/>
    <w:rsid w:val="00C232D5"/>
    <w:rsid w:val="00C33322"/>
    <w:rsid w:val="00C41817"/>
    <w:rsid w:val="00C6339B"/>
    <w:rsid w:val="00C73E79"/>
    <w:rsid w:val="00C83498"/>
    <w:rsid w:val="00C87667"/>
    <w:rsid w:val="00C948E5"/>
    <w:rsid w:val="00CB2EBC"/>
    <w:rsid w:val="00CB6D7E"/>
    <w:rsid w:val="00CE0B82"/>
    <w:rsid w:val="00CF5B26"/>
    <w:rsid w:val="00D1172A"/>
    <w:rsid w:val="00D2007A"/>
    <w:rsid w:val="00D22C0C"/>
    <w:rsid w:val="00D33199"/>
    <w:rsid w:val="00D47D63"/>
    <w:rsid w:val="00D70E66"/>
    <w:rsid w:val="00D765DA"/>
    <w:rsid w:val="00D828AC"/>
    <w:rsid w:val="00D92070"/>
    <w:rsid w:val="00D932CB"/>
    <w:rsid w:val="00DA366F"/>
    <w:rsid w:val="00DC50DE"/>
    <w:rsid w:val="00DC5E5F"/>
    <w:rsid w:val="00DC5EA8"/>
    <w:rsid w:val="00DD3AAA"/>
    <w:rsid w:val="00DE16C7"/>
    <w:rsid w:val="00DF76AC"/>
    <w:rsid w:val="00E00A57"/>
    <w:rsid w:val="00E13E03"/>
    <w:rsid w:val="00E3237F"/>
    <w:rsid w:val="00E328F7"/>
    <w:rsid w:val="00E449C4"/>
    <w:rsid w:val="00E52903"/>
    <w:rsid w:val="00E673F9"/>
    <w:rsid w:val="00E73645"/>
    <w:rsid w:val="00E84895"/>
    <w:rsid w:val="00E91485"/>
    <w:rsid w:val="00ED22F8"/>
    <w:rsid w:val="00F14773"/>
    <w:rsid w:val="00F21000"/>
    <w:rsid w:val="00F50D66"/>
    <w:rsid w:val="00F66493"/>
    <w:rsid w:val="00F72082"/>
    <w:rsid w:val="00F80BDB"/>
    <w:rsid w:val="00FA1C89"/>
    <w:rsid w:val="00FA56E6"/>
    <w:rsid w:val="00FB09AC"/>
    <w:rsid w:val="00FD1960"/>
    <w:rsid w:val="00FE30BE"/>
    <w:rsid w:val="00FF28EA"/>
    <w:rsid w:val="4BDB07EE"/>
    <w:rsid w:val="624351D9"/>
    <w:rsid w:val="68BB6ADB"/>
    <w:rsid w:val="68C613DD"/>
    <w:rsid w:val="69DE6D4A"/>
    <w:rsid w:val="69ED0E15"/>
    <w:rsid w:val="6C9B05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3"/>
    <w:semiHidden/>
    <w:unhideWhenUsed/>
    <w:qFormat/>
    <w:uiPriority w:val="99"/>
    <w:rPr>
      <w:sz w:val="18"/>
      <w:szCs w:val="18"/>
    </w:rPr>
  </w:style>
  <w:style w:type="paragraph" w:styleId="4">
    <w:name w:val="footer"/>
    <w:basedOn w:val="1"/>
    <w:link w:val="12"/>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6">
    <w:name w:val="annotation subject"/>
    <w:basedOn w:val="2"/>
    <w:next w:val="2"/>
    <w:link w:val="15"/>
    <w:semiHidden/>
    <w:unhideWhenUsed/>
    <w:qFormat/>
    <w:uiPriority w:val="99"/>
    <w:rPr>
      <w:b/>
      <w:bCs/>
    </w:rPr>
  </w:style>
  <w:style w:type="character" w:styleId="9">
    <w:name w:val="page number"/>
    <w:basedOn w:val="8"/>
    <w:qFormat/>
    <w:uiPriority w:val="0"/>
  </w:style>
  <w:style w:type="character" w:styleId="10">
    <w:name w:val="annotation reference"/>
    <w:basedOn w:val="8"/>
    <w:semiHidden/>
    <w:unhideWhenUsed/>
    <w:qFormat/>
    <w:uiPriority w:val="99"/>
    <w:rPr>
      <w:sz w:val="21"/>
      <w:szCs w:val="21"/>
    </w:rPr>
  </w:style>
  <w:style w:type="character" w:customStyle="1" w:styleId="11">
    <w:name w:val="页眉 字符"/>
    <w:basedOn w:val="8"/>
    <w:link w:val="5"/>
    <w:qFormat/>
    <w:uiPriority w:val="0"/>
    <w:rPr>
      <w:rFonts w:ascii="Times New Roman" w:hAnsi="Times New Roman" w:eastAsia="宋体" w:cs="Times New Roman"/>
      <w:sz w:val="18"/>
      <w:szCs w:val="18"/>
    </w:rPr>
  </w:style>
  <w:style w:type="character" w:customStyle="1" w:styleId="12">
    <w:name w:val="页脚 字符"/>
    <w:basedOn w:val="8"/>
    <w:link w:val="4"/>
    <w:qFormat/>
    <w:uiPriority w:val="0"/>
    <w:rPr>
      <w:rFonts w:ascii="Times New Roman" w:hAnsi="Times New Roman" w:eastAsia="宋体" w:cs="Times New Roman"/>
      <w:sz w:val="18"/>
      <w:szCs w:val="18"/>
    </w:rPr>
  </w:style>
  <w:style w:type="character" w:customStyle="1" w:styleId="13">
    <w:name w:val="批注框文本 字符"/>
    <w:basedOn w:val="8"/>
    <w:link w:val="3"/>
    <w:semiHidden/>
    <w:qFormat/>
    <w:uiPriority w:val="99"/>
    <w:rPr>
      <w:sz w:val="18"/>
      <w:szCs w:val="18"/>
    </w:rPr>
  </w:style>
  <w:style w:type="character" w:customStyle="1" w:styleId="14">
    <w:name w:val="批注文字 字符"/>
    <w:basedOn w:val="8"/>
    <w:link w:val="2"/>
    <w:semiHidden/>
    <w:qFormat/>
    <w:uiPriority w:val="99"/>
  </w:style>
  <w:style w:type="character" w:customStyle="1" w:styleId="15">
    <w:name w:val="批注主题 字符"/>
    <w:basedOn w:val="14"/>
    <w:link w:val="6"/>
    <w:semiHidden/>
    <w:qFormat/>
    <w:uiPriority w:val="99"/>
    <w:rPr>
      <w:b/>
      <w:bCs/>
    </w:rPr>
  </w:style>
  <w:style w:type="paragraph" w:customStyle="1" w:styleId="16">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0495D-E350-4D69-A4DB-92D991A51C5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171</Words>
  <Characters>979</Characters>
  <Lines>8</Lines>
  <Paragraphs>2</Paragraphs>
  <TotalTime>31</TotalTime>
  <ScaleCrop>false</ScaleCrop>
  <LinksUpToDate>false</LinksUpToDate>
  <CharactersWithSpaces>1148</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2021-06-11T02:50:00Z</dcterms:created>
  <dc:creator>法务实习</dc:creator>
  <cp:lastModifiedBy>陈尚清</cp:lastModifiedBy>
  <dcterms:modified xsi:type="dcterms:W3CDTF">2026-10-13T06:42:38Z</dcterms:modified>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3A4D2A7AA86742759FC16A7041BEEC93_12</vt:lpwstr>
  </property>
</Properties>
</file>