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86C59">
      <w:pPr>
        <w:pStyle w:val="4"/>
        <w:spacing w:before="0" w:after="0" w:line="240" w:lineRule="auto"/>
        <w:jc w:val="center"/>
        <w:rPr>
          <w:rFonts w:ascii="Times New Roman" w:hAnsi="Times New Roman" w:eastAsia="宋体" w:cs="宋体"/>
          <w:b w:val="0"/>
          <w:color w:val="000000"/>
          <w:kern w:val="0"/>
          <w:sz w:val="24"/>
          <w:lang w:bidi="ar"/>
        </w:rPr>
      </w:pPr>
      <w:r>
        <w:rPr>
          <w:rFonts w:hint="eastAsia" w:ascii="Times New Roman" w:hAnsi="Times New Roman" w:eastAsia="宋体" w:cs="Times New Roman"/>
          <w:kern w:val="0"/>
          <w:sz w:val="30"/>
          <w:szCs w:val="30"/>
        </w:rPr>
        <w:t>交银施罗德基金管理有限公司</w:t>
      </w:r>
      <w:bookmarkStart w:id="0" w:name="_GoBack"/>
      <w:r>
        <w:rPr>
          <w:rFonts w:hint="eastAsia" w:ascii="Times New Roman" w:hAnsi="Times New Roman" w:eastAsia="宋体" w:cs="Times New Roman"/>
          <w:kern w:val="0"/>
          <w:sz w:val="30"/>
          <w:szCs w:val="30"/>
        </w:rPr>
        <w:t>关于旗下部分基金于境外主要投资市场节假日暂停</w:t>
      </w:r>
      <w:r>
        <w:rPr>
          <w:rFonts w:hint="eastAsia"/>
          <w:bCs/>
          <w:color w:val="000000"/>
          <w:sz w:val="30"/>
          <w:szCs w:val="30"/>
        </w:rPr>
        <w:t>及</w:t>
      </w:r>
      <w:r>
        <w:rPr>
          <w:bCs/>
          <w:color w:val="000000"/>
          <w:sz w:val="30"/>
          <w:szCs w:val="30"/>
        </w:rPr>
        <w:t>节后恢复</w:t>
      </w:r>
      <w:r>
        <w:rPr>
          <w:rFonts w:hint="eastAsia"/>
          <w:bCs/>
          <w:color w:val="000000"/>
          <w:sz w:val="30"/>
          <w:szCs w:val="30"/>
        </w:rPr>
        <w:t>基金</w:t>
      </w:r>
      <w:r>
        <w:rPr>
          <w:rFonts w:hint="eastAsia" w:ascii="Times New Roman" w:hAnsi="Times New Roman" w:eastAsia="宋体" w:cs="Times New Roman"/>
          <w:kern w:val="0"/>
          <w:sz w:val="30"/>
          <w:szCs w:val="30"/>
        </w:rPr>
        <w:t>申购、赎回、转换</w:t>
      </w:r>
      <w:r>
        <w:rPr>
          <w:rFonts w:hint="eastAsia"/>
          <w:bCs/>
          <w:color w:val="000000"/>
          <w:sz w:val="30"/>
          <w:szCs w:val="30"/>
        </w:rPr>
        <w:t>和定期定额投资业务</w:t>
      </w:r>
      <w:r>
        <w:rPr>
          <w:rFonts w:hint="eastAsia" w:ascii="Times New Roman" w:hAnsi="Times New Roman" w:eastAsia="宋体" w:cs="Times New Roman"/>
          <w:kern w:val="0"/>
          <w:sz w:val="30"/>
          <w:szCs w:val="30"/>
        </w:rPr>
        <w:t>的公告</w:t>
      </w:r>
      <w:bookmarkEnd w:id="0"/>
    </w:p>
    <w:p w14:paraId="0208DC84">
      <w:pPr>
        <w:widowControl/>
        <w:jc w:val="left"/>
        <w:rPr>
          <w:rFonts w:ascii="Times New Roman" w:hAnsi="Times New Roman" w:eastAsia="宋体" w:cs="宋体"/>
          <w:color w:val="000000"/>
          <w:kern w:val="0"/>
          <w:sz w:val="24"/>
          <w:lang w:bidi="ar"/>
        </w:rPr>
      </w:pPr>
    </w:p>
    <w:p w14:paraId="7003A3FB">
      <w:pPr>
        <w:widowControl/>
        <w:jc w:val="left"/>
        <w:rPr>
          <w:rFonts w:ascii="Times New Roman" w:hAnsi="Times New Roman" w:eastAsia="宋体" w:cs="宋体"/>
          <w:color w:val="000000"/>
          <w:kern w:val="0"/>
          <w:sz w:val="24"/>
          <w:lang w:bidi="ar"/>
        </w:rPr>
      </w:pPr>
    </w:p>
    <w:p w14:paraId="005A4D90">
      <w:pPr>
        <w:widowControl/>
        <w:spacing w:before="100" w:beforeAutospacing="1" w:after="100" w:afterAutospacing="1" w:line="360" w:lineRule="auto"/>
        <w:ind w:firstLine="480"/>
        <w:contextualSpacing/>
        <w:jc w:val="left"/>
        <w:rPr>
          <w:rFonts w:ascii="Times New Roman" w:hAnsi="Times New Roman" w:eastAsia="宋体" w:cs="宋体"/>
          <w:color w:val="000000"/>
          <w:kern w:val="0"/>
          <w:sz w:val="24"/>
          <w:lang w:bidi="ar"/>
        </w:rPr>
      </w:pPr>
      <w:r>
        <w:rPr>
          <w:rFonts w:hint="eastAsia" w:ascii="Times New Roman" w:hAnsi="Times New Roman"/>
          <w:kern w:val="0"/>
          <w:sz w:val="24"/>
        </w:rPr>
        <w:t>为了保障基金平稳运作、维护基金份额持有人利益，根据各基金的基金合同、招募说明书等相关法律文件的规定，交银施罗德基金管理有限公司（以下简称“本公司”）旗下部分基金因2026年</w:t>
      </w:r>
      <w:r>
        <w:rPr>
          <w:rFonts w:hint="eastAsia" w:ascii="Times New Roman" w:hAnsi="Times New Roman"/>
          <w:kern w:val="0"/>
          <w:sz w:val="24"/>
          <w:lang w:val="en-US" w:eastAsia="zh-CN"/>
        </w:rPr>
        <w:t>10</w:t>
      </w:r>
      <w:r>
        <w:rPr>
          <w:rFonts w:hint="eastAsia" w:ascii="Times New Roman" w:hAnsi="Times New Roman"/>
          <w:kern w:val="0"/>
          <w:sz w:val="24"/>
        </w:rPr>
        <w:t>月</w:t>
      </w:r>
      <w:r>
        <w:rPr>
          <w:rFonts w:hint="eastAsia" w:ascii="Times New Roman" w:hAnsi="Times New Roman"/>
          <w:kern w:val="0"/>
          <w:sz w:val="24"/>
          <w:lang w:val="en-US" w:eastAsia="zh-CN"/>
        </w:rPr>
        <w:t>19</w:t>
      </w:r>
      <w:r>
        <w:rPr>
          <w:rFonts w:hint="eastAsia" w:ascii="Times New Roman" w:hAnsi="Times New Roman"/>
          <w:kern w:val="0"/>
          <w:sz w:val="24"/>
        </w:rPr>
        <w:t>日为境外主要投资市场节假日将暂停申购、赎回、转换和定期定额投资业务（具体业务类型及开放状态以各基金实际情况为准），并于2026年</w:t>
      </w:r>
      <w:r>
        <w:rPr>
          <w:rFonts w:hint="eastAsia" w:ascii="Times New Roman" w:hAnsi="Times New Roman"/>
          <w:kern w:val="0"/>
          <w:sz w:val="24"/>
          <w:lang w:val="en-US" w:eastAsia="zh-CN"/>
        </w:rPr>
        <w:t>10</w:t>
      </w:r>
      <w:r>
        <w:rPr>
          <w:rFonts w:hint="eastAsia" w:ascii="Times New Roman" w:hAnsi="Times New Roman"/>
          <w:kern w:val="0"/>
          <w:sz w:val="24"/>
        </w:rPr>
        <w:t>月</w:t>
      </w:r>
      <w:r>
        <w:rPr>
          <w:rFonts w:hint="eastAsia" w:ascii="Times New Roman" w:hAnsi="Times New Roman"/>
          <w:kern w:val="0"/>
          <w:sz w:val="24"/>
          <w:lang w:val="en-US" w:eastAsia="zh-CN"/>
        </w:rPr>
        <w:t>20</w:t>
      </w:r>
      <w:r>
        <w:rPr>
          <w:rFonts w:hint="eastAsia" w:ascii="Times New Roman" w:hAnsi="Times New Roman"/>
          <w:kern w:val="0"/>
          <w:sz w:val="24"/>
        </w:rPr>
        <w:t>日起恢复办理上述业务，届时不再另行公告。</w:t>
      </w:r>
      <w:r>
        <w:rPr>
          <w:rFonts w:hint="eastAsia" w:ascii="Times New Roman" w:hAnsi="Times New Roman" w:eastAsia="宋体" w:cs="宋体"/>
          <w:color w:val="000000"/>
          <w:kern w:val="0"/>
          <w:sz w:val="24"/>
          <w:lang w:bidi="ar"/>
        </w:rPr>
        <w:t xml:space="preserve"> </w:t>
      </w:r>
    </w:p>
    <w:p w14:paraId="50F2F331">
      <w:pPr>
        <w:widowControl/>
        <w:spacing w:before="100" w:beforeAutospacing="1" w:after="100" w:afterAutospacing="1" w:line="360" w:lineRule="auto"/>
        <w:ind w:firstLine="482" w:firstLineChars="200"/>
        <w:contextualSpacing/>
        <w:jc w:val="left"/>
        <w:outlineLvl w:val="0"/>
        <w:rPr>
          <w:rFonts w:ascii="Times New Roman" w:hAnsi="Times New Roman" w:eastAsia="宋体" w:cs="宋体"/>
          <w:color w:val="000000"/>
          <w:kern w:val="0"/>
          <w:sz w:val="24"/>
          <w:lang w:bidi="ar"/>
        </w:rPr>
      </w:pPr>
      <w:r>
        <w:rPr>
          <w:rFonts w:hint="eastAsia" w:ascii="Times New Roman" w:hAnsi="Times New Roman"/>
          <w:b/>
          <w:bCs/>
          <w:kern w:val="0"/>
          <w:sz w:val="24"/>
        </w:rPr>
        <w:t>一、适</w:t>
      </w:r>
      <w:r>
        <w:rPr>
          <w:rFonts w:ascii="Times New Roman" w:hAnsi="Times New Roman"/>
          <w:b/>
          <w:bCs/>
          <w:kern w:val="0"/>
          <w:sz w:val="24"/>
        </w:rPr>
        <w:t>用基金范围</w:t>
      </w:r>
    </w:p>
    <w:tbl>
      <w:tblPr>
        <w:tblStyle w:val="7"/>
        <w:tblpPr w:leftFromText="180" w:rightFromText="180" w:vertAnchor="text" w:horzAnchor="page" w:tblpXSpec="center" w:tblpY="415"/>
        <w:tblOverlap w:val="never"/>
        <w:tblW w:w="8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387"/>
        <w:gridCol w:w="6532"/>
      </w:tblGrid>
      <w:tr w14:paraId="3DDA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33" w:type="dxa"/>
            <w:vAlign w:val="center"/>
          </w:tcPr>
          <w:p w14:paraId="661500D0">
            <w:pPr>
              <w:widowControl/>
              <w:jc w:val="left"/>
              <w:rPr>
                <w:rFonts w:ascii="Times New Roman" w:hAnsi="Times New Roman"/>
                <w:color w:val="000000"/>
                <w:kern w:val="0"/>
                <w:sz w:val="24"/>
              </w:rPr>
            </w:pPr>
            <w:r>
              <w:rPr>
                <w:rFonts w:hint="eastAsia" w:ascii="Times New Roman" w:hAnsi="Times New Roman"/>
                <w:color w:val="000000"/>
                <w:kern w:val="0"/>
                <w:sz w:val="24"/>
                <w:lang w:val="en-US" w:eastAsia="zh-CN"/>
              </w:rPr>
              <w:t>序号</w:t>
            </w:r>
          </w:p>
        </w:tc>
        <w:tc>
          <w:tcPr>
            <w:tcW w:w="1387" w:type="dxa"/>
            <w:vAlign w:val="center"/>
          </w:tcPr>
          <w:p w14:paraId="197787C8">
            <w:pPr>
              <w:widowControl/>
              <w:jc w:val="center"/>
              <w:rPr>
                <w:rFonts w:ascii="Times New Roman" w:hAnsi="Times New Roman"/>
                <w:color w:val="000000"/>
                <w:kern w:val="0"/>
                <w:sz w:val="24"/>
              </w:rPr>
            </w:pPr>
            <w:r>
              <w:rPr>
                <w:rFonts w:ascii="Times New Roman" w:hAnsi="Times New Roman"/>
                <w:color w:val="000000"/>
                <w:kern w:val="0"/>
                <w:sz w:val="24"/>
              </w:rPr>
              <w:t>基金代码</w:t>
            </w:r>
          </w:p>
        </w:tc>
        <w:tc>
          <w:tcPr>
            <w:tcW w:w="6532" w:type="dxa"/>
            <w:vAlign w:val="center"/>
          </w:tcPr>
          <w:p w14:paraId="3A0C8656">
            <w:pPr>
              <w:widowControl/>
              <w:jc w:val="center"/>
              <w:rPr>
                <w:rFonts w:ascii="Times New Roman" w:hAnsi="Times New Roman"/>
                <w:color w:val="000000"/>
                <w:kern w:val="0"/>
                <w:sz w:val="24"/>
              </w:rPr>
            </w:pPr>
            <w:r>
              <w:rPr>
                <w:rFonts w:ascii="Times New Roman" w:hAnsi="Times New Roman"/>
                <w:color w:val="000000"/>
                <w:kern w:val="0"/>
                <w:sz w:val="24"/>
              </w:rPr>
              <w:t>基金名称</w:t>
            </w:r>
          </w:p>
        </w:tc>
      </w:tr>
      <w:tr w14:paraId="7E5D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33" w:type="dxa"/>
            <w:vMerge w:val="restart"/>
            <w:vAlign w:val="center"/>
          </w:tcPr>
          <w:p w14:paraId="2F1D1D2A">
            <w:pPr>
              <w:widowControl/>
              <w:jc w:val="center"/>
              <w:rPr>
                <w:rFonts w:ascii="Times New Roman" w:hAnsi="Times New Roman"/>
                <w:color w:val="000000"/>
                <w:kern w:val="0"/>
                <w:sz w:val="24"/>
              </w:rPr>
            </w:pPr>
            <w:r>
              <w:rPr>
                <w:rFonts w:hint="eastAsia" w:ascii="Times New Roman" w:hAnsi="Times New Roman"/>
                <w:color w:val="000000"/>
                <w:kern w:val="0"/>
                <w:sz w:val="24"/>
                <w:lang w:val="en-US" w:eastAsia="zh-CN"/>
              </w:rPr>
              <w:t>1</w:t>
            </w:r>
          </w:p>
        </w:tc>
        <w:tc>
          <w:tcPr>
            <w:tcW w:w="1387" w:type="dxa"/>
            <w:vAlign w:val="center"/>
          </w:tcPr>
          <w:p w14:paraId="78233295">
            <w:pPr>
              <w:widowControl/>
              <w:jc w:val="left"/>
              <w:rPr>
                <w:rFonts w:ascii="Times New Roman" w:hAnsi="Times New Roman"/>
                <w:color w:val="000000"/>
                <w:kern w:val="0"/>
                <w:sz w:val="24"/>
              </w:rPr>
            </w:pPr>
            <w:r>
              <w:rPr>
                <w:rFonts w:hint="eastAsia" w:ascii="Times New Roman" w:hAnsi="Times New Roman"/>
                <w:color w:val="000000"/>
                <w:kern w:val="0"/>
                <w:sz w:val="24"/>
              </w:rPr>
              <w:t>164906</w:t>
            </w:r>
          </w:p>
        </w:tc>
        <w:tc>
          <w:tcPr>
            <w:tcW w:w="6532" w:type="dxa"/>
            <w:vAlign w:val="center"/>
          </w:tcPr>
          <w:p w14:paraId="7FEB5115">
            <w:pPr>
              <w:widowControl/>
              <w:jc w:val="left"/>
              <w:rPr>
                <w:rFonts w:ascii="Times New Roman" w:hAnsi="Times New Roman"/>
                <w:color w:val="000000"/>
                <w:kern w:val="0"/>
                <w:sz w:val="24"/>
              </w:rPr>
            </w:pPr>
            <w:r>
              <w:rPr>
                <w:rFonts w:hint="eastAsia" w:ascii="Times New Roman" w:hAnsi="Times New Roman"/>
                <w:color w:val="000000"/>
                <w:kern w:val="0"/>
                <w:sz w:val="24"/>
              </w:rPr>
              <w:t>交银施罗德中证海外中国互联网指数型证券投资基金(LOF)（A类份额）</w:t>
            </w:r>
          </w:p>
        </w:tc>
      </w:tr>
      <w:tr w14:paraId="25B7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33" w:type="dxa"/>
            <w:vMerge w:val="continue"/>
            <w:vAlign w:val="center"/>
          </w:tcPr>
          <w:p w14:paraId="71A83E50">
            <w:pPr>
              <w:widowControl/>
              <w:jc w:val="center"/>
              <w:rPr>
                <w:rFonts w:ascii="Times New Roman" w:hAnsi="Times New Roman"/>
                <w:color w:val="000000"/>
                <w:kern w:val="0"/>
                <w:sz w:val="24"/>
              </w:rPr>
            </w:pPr>
          </w:p>
        </w:tc>
        <w:tc>
          <w:tcPr>
            <w:tcW w:w="1387" w:type="dxa"/>
            <w:vAlign w:val="center"/>
          </w:tcPr>
          <w:p w14:paraId="5D7B13D2">
            <w:pPr>
              <w:widowControl/>
              <w:jc w:val="left"/>
              <w:rPr>
                <w:rFonts w:ascii="Times New Roman" w:hAnsi="Times New Roman"/>
                <w:color w:val="000000"/>
                <w:kern w:val="0"/>
                <w:sz w:val="24"/>
              </w:rPr>
            </w:pPr>
            <w:r>
              <w:rPr>
                <w:rFonts w:hint="eastAsia" w:ascii="Times New Roman" w:hAnsi="Times New Roman"/>
                <w:color w:val="000000"/>
                <w:kern w:val="0"/>
                <w:sz w:val="24"/>
              </w:rPr>
              <w:t>013945</w:t>
            </w:r>
          </w:p>
        </w:tc>
        <w:tc>
          <w:tcPr>
            <w:tcW w:w="6532" w:type="dxa"/>
            <w:vAlign w:val="center"/>
          </w:tcPr>
          <w:p w14:paraId="069AA22E">
            <w:pPr>
              <w:widowControl/>
              <w:jc w:val="left"/>
              <w:rPr>
                <w:rFonts w:ascii="Times New Roman" w:hAnsi="Times New Roman"/>
                <w:color w:val="000000"/>
                <w:kern w:val="0"/>
                <w:sz w:val="24"/>
              </w:rPr>
            </w:pPr>
            <w:r>
              <w:rPr>
                <w:rFonts w:hint="eastAsia" w:ascii="Times New Roman" w:hAnsi="Times New Roman"/>
                <w:color w:val="000000"/>
                <w:kern w:val="0"/>
                <w:sz w:val="24"/>
              </w:rPr>
              <w:t>交银施罗德中证海外中国互联网指数型证券投资基金(LOF)（C类份额）</w:t>
            </w:r>
          </w:p>
        </w:tc>
      </w:tr>
    </w:tbl>
    <w:p w14:paraId="1D898CB4">
      <w:pPr>
        <w:widowControl/>
        <w:spacing w:before="100" w:beforeAutospacing="1" w:after="100" w:afterAutospacing="1" w:line="360" w:lineRule="auto"/>
        <w:contextualSpacing/>
        <w:rPr>
          <w:rFonts w:hint="eastAsia" w:ascii="Times New Roman" w:hAnsi="Times New Roman"/>
          <w:kern w:val="0"/>
          <w:sz w:val="24"/>
        </w:rPr>
      </w:pPr>
    </w:p>
    <w:p w14:paraId="102088B9">
      <w:pPr>
        <w:widowControl/>
        <w:spacing w:before="100" w:beforeAutospacing="1" w:after="100" w:afterAutospacing="1" w:line="360" w:lineRule="auto"/>
        <w:ind w:firstLine="480"/>
        <w:contextualSpacing/>
        <w:rPr>
          <w:rFonts w:ascii="Times New Roman" w:hAnsi="Times New Roman"/>
          <w:kern w:val="0"/>
          <w:sz w:val="24"/>
        </w:rPr>
      </w:pPr>
      <w:r>
        <w:rPr>
          <w:rFonts w:hint="eastAsia" w:ascii="Times New Roman" w:hAnsi="Times New Roman"/>
          <w:b/>
          <w:bCs/>
          <w:kern w:val="0"/>
          <w:sz w:val="24"/>
        </w:rPr>
        <w:t>二、重要提示</w:t>
      </w:r>
    </w:p>
    <w:p w14:paraId="42D4933A">
      <w:pPr>
        <w:widowControl/>
        <w:spacing w:before="100" w:beforeAutospacing="1" w:after="100" w:afterAutospacing="1" w:line="360" w:lineRule="auto"/>
        <w:ind w:firstLine="480" w:firstLineChars="200"/>
        <w:contextualSpacing/>
        <w:rPr>
          <w:rFonts w:ascii="Times New Roman" w:hAnsi="Times New Roman"/>
          <w:kern w:val="0"/>
          <w:sz w:val="24"/>
        </w:rPr>
      </w:pPr>
      <w:r>
        <w:rPr>
          <w:rFonts w:hint="eastAsia" w:ascii="Times New Roman" w:hAnsi="Times New Roman"/>
          <w:kern w:val="0"/>
          <w:sz w:val="24"/>
        </w:rPr>
        <w:t xml:space="preserve">1．各基金开放日常申购、赎回、转换与定期定额投资业务情况，详见本公司发布的相关公告。  </w:t>
      </w:r>
    </w:p>
    <w:p w14:paraId="34A7F23A">
      <w:pPr>
        <w:widowControl/>
        <w:spacing w:before="100" w:beforeAutospacing="1" w:after="100" w:afterAutospacing="1" w:line="360" w:lineRule="auto"/>
        <w:ind w:firstLine="480" w:firstLineChars="200"/>
        <w:contextualSpacing/>
        <w:rPr>
          <w:rFonts w:ascii="Times New Roman" w:hAnsi="Times New Roman"/>
          <w:kern w:val="0"/>
          <w:sz w:val="24"/>
        </w:rPr>
      </w:pPr>
      <w:r>
        <w:rPr>
          <w:rFonts w:ascii="Times New Roman" w:hAnsi="Times New Roman"/>
          <w:kern w:val="0"/>
          <w:sz w:val="24"/>
        </w:rPr>
        <w:t>2．</w:t>
      </w:r>
      <w:r>
        <w:rPr>
          <w:rFonts w:hint="eastAsia" w:ascii="Times New Roman" w:hAnsi="Times New Roman"/>
          <w:kern w:val="0"/>
          <w:sz w:val="24"/>
        </w:rPr>
        <w:t>本公告主要为相关基金因境外主要投资市场节假日暂停及后续恢复相关业务的公告，各基金如因其他原因已暂停申购、赎回、转换、定期定额投资、大额申购、大额转换转入业务或有其他交易状态限制的，本次恢复后仍受相关交易状态限制，具体业务办理以相关公告为准。</w:t>
      </w:r>
    </w:p>
    <w:p w14:paraId="23D87F90">
      <w:pPr>
        <w:widowControl/>
        <w:spacing w:before="100" w:beforeAutospacing="1" w:after="100" w:afterAutospacing="1" w:line="360" w:lineRule="auto"/>
        <w:contextualSpacing/>
        <w:rPr>
          <w:rFonts w:ascii="Times New Roman" w:hAnsi="Times New Roman"/>
          <w:kern w:val="0"/>
          <w:sz w:val="24"/>
        </w:rPr>
      </w:pPr>
      <w:r>
        <w:rPr>
          <w:rFonts w:hint="eastAsia" w:ascii="Times New Roman" w:hAnsi="Times New Roman"/>
          <w:kern w:val="0"/>
          <w:sz w:val="24"/>
        </w:rPr>
        <w:t xml:space="preserve">    3. </w:t>
      </w:r>
      <w:r>
        <w:rPr>
          <w:rFonts w:ascii="Times New Roman" w:hAnsi="Times New Roman"/>
          <w:kern w:val="0"/>
          <w:sz w:val="24"/>
        </w:rPr>
        <w:t>投资者可拨打客户服务热线: 400-700-5000（免长途话费），021-61055000，或登陆本公司网站www.fund001.com咨询相关情况。敬请投资者及早做好交易安排，避免因假期原因带来不便。</w:t>
      </w:r>
    </w:p>
    <w:p w14:paraId="72AFABD4">
      <w:pPr>
        <w:widowControl/>
        <w:spacing w:before="100" w:beforeAutospacing="1" w:after="100" w:afterAutospacing="1" w:line="360" w:lineRule="auto"/>
        <w:ind w:firstLine="480"/>
        <w:contextualSpacing/>
        <w:rPr>
          <w:rFonts w:ascii="Times New Roman" w:hAnsi="Times New Roman"/>
          <w:kern w:val="0"/>
          <w:sz w:val="24"/>
        </w:rPr>
      </w:pPr>
    </w:p>
    <w:p w14:paraId="0D7EE61C">
      <w:pPr>
        <w:widowControl/>
        <w:spacing w:before="100" w:beforeAutospacing="1" w:after="100" w:afterAutospacing="1" w:line="360" w:lineRule="auto"/>
        <w:ind w:firstLine="480"/>
        <w:contextualSpacing/>
        <w:rPr>
          <w:rFonts w:ascii="Times New Roman" w:hAnsi="Times New Roman"/>
          <w:kern w:val="0"/>
          <w:sz w:val="24"/>
        </w:rPr>
      </w:pPr>
      <w:r>
        <w:rPr>
          <w:rFonts w:ascii="Times New Roman" w:hAnsi="Times New Roman"/>
          <w:kern w:val="0"/>
          <w:sz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14:paraId="6EF79D07">
      <w:pPr>
        <w:rPr>
          <w:rFonts w:ascii="Times New Roman" w:hAnsi="Times New Roman"/>
          <w:kern w:val="0"/>
          <w:sz w:val="24"/>
        </w:rPr>
      </w:pPr>
    </w:p>
    <w:p w14:paraId="3ECEBF7A">
      <w:pPr>
        <w:ind w:firstLine="480" w:firstLineChars="200"/>
        <w:rPr>
          <w:rFonts w:ascii="Times New Roman" w:hAnsi="Times New Roman"/>
          <w:kern w:val="0"/>
          <w:sz w:val="24"/>
        </w:rPr>
      </w:pPr>
      <w:r>
        <w:rPr>
          <w:rFonts w:ascii="Times New Roman" w:hAnsi="Times New Roman"/>
          <w:kern w:val="0"/>
          <w:sz w:val="24"/>
        </w:rPr>
        <w:t>特此公告。</w:t>
      </w:r>
    </w:p>
    <w:p w14:paraId="0B5F2109">
      <w:pPr>
        <w:rPr>
          <w:rFonts w:ascii="Times New Roman" w:hAnsi="Times New Roman"/>
          <w:kern w:val="0"/>
          <w:sz w:val="24"/>
        </w:rPr>
      </w:pPr>
    </w:p>
    <w:p w14:paraId="54AB28E7">
      <w:pPr>
        <w:rPr>
          <w:rFonts w:ascii="Times New Roman" w:hAnsi="Times New Roman"/>
          <w:kern w:val="0"/>
          <w:sz w:val="24"/>
        </w:rPr>
      </w:pPr>
    </w:p>
    <w:p w14:paraId="1807E258">
      <w:pPr>
        <w:rPr>
          <w:rFonts w:ascii="Times New Roman" w:hAnsi="Times New Roman"/>
          <w:kern w:val="0"/>
          <w:sz w:val="24"/>
        </w:rPr>
      </w:pPr>
    </w:p>
    <w:p w14:paraId="1EC61C3F">
      <w:pPr>
        <w:rPr>
          <w:rFonts w:ascii="Times New Roman" w:hAnsi="Times New Roman"/>
          <w:kern w:val="0"/>
          <w:sz w:val="24"/>
        </w:rPr>
      </w:pPr>
    </w:p>
    <w:p w14:paraId="6BF77F61">
      <w:pPr>
        <w:widowControl/>
        <w:spacing w:before="100" w:beforeAutospacing="1" w:after="100" w:afterAutospacing="1" w:line="360" w:lineRule="auto"/>
        <w:ind w:right="120"/>
        <w:contextualSpacing/>
        <w:jc w:val="right"/>
        <w:rPr>
          <w:rFonts w:ascii="Times New Roman" w:hAnsi="Times New Roman"/>
          <w:kern w:val="0"/>
          <w:sz w:val="24"/>
        </w:rPr>
      </w:pPr>
      <w:r>
        <w:rPr>
          <w:rFonts w:hint="eastAsia" w:ascii="Times New Roman" w:hAnsi="Times New Roman"/>
          <w:kern w:val="0"/>
          <w:sz w:val="24"/>
          <w:lang w:val="en-US" w:eastAsia="zh-CN"/>
        </w:rPr>
        <w:t xml:space="preserve"> </w:t>
      </w:r>
      <w:r>
        <w:rPr>
          <w:rFonts w:ascii="Times New Roman" w:hAnsi="Times New Roman"/>
          <w:kern w:val="0"/>
          <w:sz w:val="24"/>
        </w:rPr>
        <w:t>交银施罗德基金管理有限公司</w:t>
      </w:r>
    </w:p>
    <w:p w14:paraId="0B5510AF">
      <w:pPr>
        <w:ind w:right="105" w:rightChars="50"/>
        <w:jc w:val="right"/>
        <w:rPr>
          <w:rFonts w:ascii="Times New Roman" w:hAnsi="Times New Roman"/>
          <w:kern w:val="0"/>
          <w:sz w:val="24"/>
        </w:rPr>
      </w:pPr>
      <w:r>
        <w:rPr>
          <w:rFonts w:hint="eastAsia" w:ascii="Times New Roman" w:hAnsi="Times New Roman"/>
          <w:kern w:val="0"/>
          <w:sz w:val="24"/>
        </w:rPr>
        <w:t>二</w:t>
      </w:r>
      <w:r>
        <w:rPr>
          <w:rFonts w:ascii="Times New Roman" w:hAnsi="Times New Roman"/>
          <w:kern w:val="0"/>
          <w:sz w:val="24"/>
        </w:rPr>
        <w:t>〇</w:t>
      </w:r>
      <w:r>
        <w:rPr>
          <w:rFonts w:hint="eastAsia" w:ascii="Times New Roman" w:hAnsi="Times New Roman"/>
          <w:kern w:val="0"/>
          <w:sz w:val="24"/>
        </w:rPr>
        <w:t>二六</w:t>
      </w:r>
      <w:r>
        <w:rPr>
          <w:rFonts w:ascii="Times New Roman" w:hAnsi="Times New Roman"/>
          <w:kern w:val="0"/>
          <w:sz w:val="24"/>
        </w:rPr>
        <w:t>年</w:t>
      </w:r>
      <w:r>
        <w:rPr>
          <w:rFonts w:hint="eastAsia" w:ascii="Times New Roman" w:hAnsi="Times New Roman"/>
          <w:kern w:val="0"/>
          <w:sz w:val="24"/>
          <w:lang w:val="en-US" w:eastAsia="zh-CN"/>
        </w:rPr>
        <w:t>十</w:t>
      </w:r>
      <w:r>
        <w:rPr>
          <w:rFonts w:ascii="Times New Roman" w:hAnsi="Times New Roman"/>
          <w:color w:val="000000"/>
          <w:kern w:val="0"/>
          <w:sz w:val="24"/>
        </w:rPr>
        <w:t>月</w:t>
      </w:r>
      <w:r>
        <w:rPr>
          <w:rFonts w:hint="eastAsia" w:ascii="Times New Roman" w:hAnsi="Times New Roman"/>
          <w:color w:val="000000"/>
          <w:kern w:val="0"/>
          <w:sz w:val="24"/>
          <w:lang w:val="en-US" w:eastAsia="zh-CN"/>
        </w:rPr>
        <w:t>十四</w:t>
      </w:r>
      <w:r>
        <w:rPr>
          <w:rFonts w:ascii="Times New Roman" w:hAnsi="Times New Roman"/>
          <w:color w:val="000000"/>
          <w:kern w:val="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15A64"/>
    <w:rsid w:val="00020092"/>
    <w:rsid w:val="000A559A"/>
    <w:rsid w:val="0057459C"/>
    <w:rsid w:val="05770352"/>
    <w:rsid w:val="06214577"/>
    <w:rsid w:val="06821199"/>
    <w:rsid w:val="07BE3DCB"/>
    <w:rsid w:val="0A5E508E"/>
    <w:rsid w:val="0AA91873"/>
    <w:rsid w:val="0AC434F0"/>
    <w:rsid w:val="0FAF1A48"/>
    <w:rsid w:val="12995C93"/>
    <w:rsid w:val="142F7A80"/>
    <w:rsid w:val="154532F3"/>
    <w:rsid w:val="15A4645F"/>
    <w:rsid w:val="18993482"/>
    <w:rsid w:val="1BA472D2"/>
    <w:rsid w:val="1D6B06CF"/>
    <w:rsid w:val="1FC73068"/>
    <w:rsid w:val="213A0410"/>
    <w:rsid w:val="249C559F"/>
    <w:rsid w:val="25F81B6B"/>
    <w:rsid w:val="260E35AD"/>
    <w:rsid w:val="26415A64"/>
    <w:rsid w:val="283A5E1B"/>
    <w:rsid w:val="2D8C52F6"/>
    <w:rsid w:val="31A36F39"/>
    <w:rsid w:val="31FA731C"/>
    <w:rsid w:val="379C7BF0"/>
    <w:rsid w:val="38A917A5"/>
    <w:rsid w:val="398C67F7"/>
    <w:rsid w:val="39F529A3"/>
    <w:rsid w:val="3ACB002F"/>
    <w:rsid w:val="3E8C57E5"/>
    <w:rsid w:val="40EE65D6"/>
    <w:rsid w:val="41802E34"/>
    <w:rsid w:val="432A63CE"/>
    <w:rsid w:val="443234C1"/>
    <w:rsid w:val="44520CA4"/>
    <w:rsid w:val="44D3707B"/>
    <w:rsid w:val="4561743F"/>
    <w:rsid w:val="456F25F7"/>
    <w:rsid w:val="464235F7"/>
    <w:rsid w:val="47577C97"/>
    <w:rsid w:val="47B76DB7"/>
    <w:rsid w:val="48CE7A67"/>
    <w:rsid w:val="4A78656E"/>
    <w:rsid w:val="4B7A10BB"/>
    <w:rsid w:val="4B995062"/>
    <w:rsid w:val="4CEA1816"/>
    <w:rsid w:val="4EC9785F"/>
    <w:rsid w:val="4F547394"/>
    <w:rsid w:val="502B3600"/>
    <w:rsid w:val="54327630"/>
    <w:rsid w:val="55507AE7"/>
    <w:rsid w:val="5693396C"/>
    <w:rsid w:val="59D2663D"/>
    <w:rsid w:val="61F749C9"/>
    <w:rsid w:val="64B4230C"/>
    <w:rsid w:val="66082BF5"/>
    <w:rsid w:val="68CD5F0A"/>
    <w:rsid w:val="69ED1256"/>
    <w:rsid w:val="6B4C5ABF"/>
    <w:rsid w:val="6DF55EAB"/>
    <w:rsid w:val="70F10A19"/>
    <w:rsid w:val="74491485"/>
    <w:rsid w:val="752C0065"/>
    <w:rsid w:val="79EE3DBB"/>
    <w:rsid w:val="7ACA5E48"/>
    <w:rsid w:val="7E4B2A4F"/>
    <w:rsid w:val="7EB50D93"/>
    <w:rsid w:val="7ECC4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alloon Text"/>
    <w:basedOn w:val="1"/>
    <w:link w:val="10"/>
    <w:uiPriority w:val="0"/>
    <w:rPr>
      <w:sz w:val="18"/>
      <w:szCs w:val="18"/>
    </w:rPr>
  </w:style>
  <w:style w:type="character" w:styleId="9">
    <w:name w:val="annotation reference"/>
    <w:basedOn w:val="8"/>
    <w:uiPriority w:val="0"/>
    <w:rPr>
      <w:sz w:val="21"/>
      <w:szCs w:val="21"/>
    </w:rPr>
  </w:style>
  <w:style w:type="character" w:customStyle="1" w:styleId="10">
    <w:name w:val="批注框文本 字符"/>
    <w:basedOn w:val="8"/>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129</Words>
  <Characters>736</Characters>
  <Lines>6</Lines>
  <Paragraphs>1</Paragraphs>
  <TotalTime>12</TotalTime>
  <ScaleCrop>false</ScaleCrop>
  <LinksUpToDate>false</LinksUpToDate>
  <CharactersWithSpaces>864</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2026-03-24T05:14:00Z</dcterms:created>
  <dc:creator>陈方强</dc:creator>
  <cp:lastModifiedBy>wujiani</cp:lastModifiedBy>
  <dcterms:modified xsi:type="dcterms:W3CDTF">2026-10-14T01:36:16Z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E6E00FB1FD7849B7A32D8F59135C1552_13</vt:lpwstr>
  </property>
</Properties>
</file>