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41544">
      <w:pPr>
        <w:rPr>
          <w:sz w:val="32"/>
        </w:rPr>
      </w:pPr>
    </w:p>
    <w:p w14:paraId="4994431F">
      <w:pPr>
        <w:rPr>
          <w:sz w:val="32"/>
        </w:rPr>
      </w:pPr>
    </w:p>
    <w:p w14:paraId="5D49B785">
      <w:pPr>
        <w:rPr>
          <w:sz w:val="32"/>
        </w:rPr>
      </w:pPr>
    </w:p>
    <w:p w14:paraId="25661D5A">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bookmarkStart w:id="28" w:name="_GoBack"/>
      <w:bookmarkEnd w:id="28"/>
    </w:p>
    <w:p w14:paraId="7393038F">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1D9835BF">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72D9C167">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交银施罗德招享一年持有期混合型基金中基金（FOF）</w:t>
      </w:r>
    </w:p>
    <w:p w14:paraId="54D62197">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14:paraId="1049E582">
      <w:pPr>
        <w:snapToGrid w:val="0"/>
        <w:spacing w:line="360" w:lineRule="auto"/>
        <w:jc w:val="center"/>
        <w:rPr>
          <w:rFonts w:ascii="宋体" w:hAnsi="宋体"/>
          <w:b/>
          <w:sz w:val="30"/>
          <w:szCs w:val="30"/>
        </w:rPr>
      </w:pPr>
    </w:p>
    <w:p w14:paraId="04A30E36">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0429BC49">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005FEE81">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57E4DFF">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F46E63F">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5341EA63">
      <w:pPr>
        <w:autoSpaceDE w:val="0"/>
        <w:autoSpaceDN w:val="0"/>
        <w:adjustRightInd w:val="0"/>
        <w:snapToGrid w:val="0"/>
        <w:spacing w:line="360" w:lineRule="auto"/>
        <w:ind w:firstLine="1410"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35E456D5">
      <w:pPr>
        <w:autoSpaceDE w:val="0"/>
        <w:autoSpaceDN w:val="0"/>
        <w:adjustRightInd w:val="0"/>
        <w:snapToGrid w:val="0"/>
        <w:spacing w:line="360" w:lineRule="auto"/>
        <w:ind w:firstLine="1410" w:firstLineChars="500"/>
        <w:rPr>
          <w:rFonts w:ascii="宋体" w:hAnsi="宋体"/>
          <w:b/>
          <w:w w:val="99"/>
          <w:kern w:val="0"/>
          <w:sz w:val="28"/>
          <w:szCs w:val="32"/>
        </w:rPr>
      </w:pPr>
      <w:r>
        <w:rPr>
          <w:rFonts w:ascii="宋体" w:hAnsi="宋体"/>
          <w:b/>
          <w:spacing w:val="2"/>
          <w:w w:val="99"/>
          <w:kern w:val="0"/>
          <w:sz w:val="28"/>
          <w:szCs w:val="32"/>
        </w:rPr>
        <w:t>基金托管人：招商银行股份有限公司</w:t>
      </w:r>
    </w:p>
    <w:p w14:paraId="32E1116C">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199DB707">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w:t>
      </w:r>
      <w:r>
        <w:rPr>
          <w:rFonts w:hint="eastAsia" w:ascii="Times New Roman" w:hAnsi="Times New Roman"/>
          <w:b/>
          <w:spacing w:val="2"/>
          <w:w w:val="99"/>
          <w:kern w:val="0"/>
          <w:sz w:val="28"/>
          <w:szCs w:val="32"/>
          <w:lang w:val="en-US" w:eastAsia="zh-CN"/>
        </w:rPr>
        <w:t>九</w:t>
      </w:r>
      <w:r>
        <w:rPr>
          <w:rFonts w:ascii="Times New Roman" w:hAnsi="Times New Roman"/>
          <w:b/>
          <w:spacing w:val="2"/>
          <w:w w:val="99"/>
          <w:kern w:val="0"/>
          <w:sz w:val="28"/>
          <w:szCs w:val="32"/>
        </w:rPr>
        <w:t>月</w:t>
      </w:r>
    </w:p>
    <w:p w14:paraId="54074489">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14:paraId="7B119864">
      <w:pPr>
        <w:pStyle w:val="2"/>
        <w:snapToGrid w:val="0"/>
        <w:spacing w:before="240" w:beforeLines="0" w:after="240"/>
        <w:rPr>
          <w:rFonts w:ascii="宋体" w:hAnsi="宋体"/>
          <w:kern w:val="0"/>
        </w:rPr>
      </w:pPr>
      <w:bookmarkStart w:id="0" w:name="_Toc324920538"/>
      <w:bookmarkStart w:id="1" w:name="_Toc231197031"/>
      <w:bookmarkStart w:id="2" w:name="_Toc496884613"/>
      <w:r>
        <w:rPr>
          <w:rFonts w:ascii="Times New Roman" w:hAnsi="Times New Roman"/>
          <w:kern w:val="0"/>
        </w:rPr>
        <w:t>重要提示</w:t>
      </w:r>
      <w:bookmarkEnd w:id="0"/>
      <w:bookmarkEnd w:id="1"/>
      <w:bookmarkEnd w:id="2"/>
    </w:p>
    <w:p w14:paraId="463BA323">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招享一年持有期混合型基金中基金（FOF）（以下简称“本基金”）经2021年2月1日中国证券监督管理委员会（以下简称“中国证监会”）证监许可【2021】334号文准予募集注册。本基金基金合同于2021年8月24日正式生效。</w:t>
      </w:r>
    </w:p>
    <w:p w14:paraId="4FAF08B3">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14:paraId="2BC08358">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14:paraId="58520F85">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50个工作日出现基金份额持有人数量不满200人或基金资产净值低于5000万元情形时基金管理人提前终止基金合同的风险；投资本基金的其他风险等等。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14:paraId="203538F5">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1D5D281D">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14:paraId="7C560CD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14:paraId="12FC1252">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14:paraId="703821F1">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14:paraId="0943FEA4">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14:paraId="496F6C67">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14:paraId="39C6F409">
      <w:pPr>
        <w:autoSpaceDE w:val="0"/>
        <w:autoSpaceDN w:val="0"/>
        <w:adjustRightInd w:val="0"/>
        <w:snapToGrid w:val="0"/>
        <w:spacing w:line="360" w:lineRule="auto"/>
        <w:ind w:left="105" w:leftChars="50" w:firstLine="480" w:firstLineChars="200"/>
        <w:rPr>
          <w:rFonts w:ascii="Times New Roman" w:hAnsi="Times New Roman"/>
          <w:kern w:val="0"/>
          <w:sz w:val="24"/>
        </w:rPr>
      </w:pPr>
      <w:r>
        <w:rPr>
          <w:rFonts w:hint="eastAsia" w:ascii="Times New Roman" w:hAnsi="Times New Roman"/>
          <w:kern w:val="0"/>
          <w:sz w:val="24"/>
        </w:rPr>
        <w:t>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14:paraId="33060512">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Times New Roman" w:hAnsi="Times New Roman"/>
          <w:kern w:val="0"/>
          <w:sz w:val="24"/>
        </w:rPr>
        <w:t>本次更新招募说明书主要对本基金增设Y类基金份额等相关信息进行更新，前述内容更新截止日为202</w:t>
      </w:r>
      <w:r>
        <w:rPr>
          <w:rFonts w:hint="eastAsia" w:ascii="Times New Roman" w:hAnsi="Times New Roman"/>
          <w:kern w:val="0"/>
          <w:sz w:val="24"/>
          <w:lang w:val="en-US" w:eastAsia="zh-CN"/>
        </w:rPr>
        <w:t>6</w:t>
      </w:r>
      <w:r>
        <w:rPr>
          <w:rFonts w:hint="eastAsia" w:ascii="Times New Roman" w:hAnsi="Times New Roman"/>
          <w:kern w:val="0"/>
          <w:sz w:val="24"/>
        </w:rPr>
        <w:t>年</w:t>
      </w:r>
      <w:r>
        <w:rPr>
          <w:rFonts w:hint="eastAsia" w:ascii="Times New Roman" w:hAnsi="Times New Roman"/>
          <w:kern w:val="0"/>
          <w:sz w:val="24"/>
          <w:lang w:val="en-US" w:eastAsia="zh-CN"/>
        </w:rPr>
        <w:t>09</w:t>
      </w:r>
      <w:r>
        <w:rPr>
          <w:rFonts w:hint="eastAsia" w:ascii="Times New Roman" w:hAnsi="Times New Roman"/>
          <w:kern w:val="0"/>
          <w:sz w:val="24"/>
        </w:rPr>
        <w:t>月</w:t>
      </w:r>
      <w:r>
        <w:rPr>
          <w:rFonts w:hint="eastAsia" w:ascii="Times New Roman" w:hAnsi="Times New Roman"/>
          <w:kern w:val="0"/>
          <w:sz w:val="24"/>
          <w:lang w:val="en-US" w:eastAsia="zh-CN"/>
        </w:rPr>
        <w:t>28</w:t>
      </w:r>
      <w:r>
        <w:rPr>
          <w:rFonts w:hint="eastAsia" w:ascii="Times New Roman" w:hAnsi="Times New Roman"/>
          <w:kern w:val="0"/>
          <w:sz w:val="24"/>
        </w:rPr>
        <w:t>日，除非另有说明，</w:t>
      </w:r>
      <w:r>
        <w:rPr>
          <w:rFonts w:ascii="Times New Roman" w:hAnsi="Times New Roman"/>
          <w:kern w:val="0"/>
          <w:sz w:val="24"/>
        </w:rPr>
        <w:t>本招募说明书</w:t>
      </w:r>
      <w:r>
        <w:rPr>
          <w:rFonts w:hint="eastAsia" w:ascii="Times New Roman" w:hAnsi="Times New Roman"/>
          <w:kern w:val="0"/>
          <w:sz w:val="24"/>
          <w:lang w:val="en-US" w:eastAsia="zh-CN"/>
        </w:rPr>
        <w:t>其他</w:t>
      </w:r>
      <w:r>
        <w:rPr>
          <w:rFonts w:ascii="Times New Roman" w:hAnsi="Times New Roman"/>
          <w:kern w:val="0"/>
          <w:sz w:val="24"/>
        </w:rPr>
        <w:t>所载内容截止日为2026年05月14日，有关财务数据和净值表现截止日为2026年03月31日。本招募说明书所载的财务数据未经审计。</w:t>
      </w:r>
    </w:p>
    <w:p w14:paraId="2636CA37">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14:paraId="52090156">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1699B092">
      <w:pPr>
        <w:pStyle w:val="10"/>
        <w:tabs>
          <w:tab w:val="right" w:leader="dot" w:pos="8550"/>
        </w:tabs>
        <w:spacing w:line="360" w:lineRule="auto"/>
        <w:rPr>
          <w:rFonts w:ascii="宋体" w:hAnsi="宋体" w:cstheme="minorBidi"/>
          <w:sz w:val="24"/>
        </w:rPr>
      </w:pPr>
      <w:r>
        <w:fldChar w:fldCharType="begin"/>
      </w:r>
      <w:r>
        <w:instrText xml:space="preserve"> HYPERLINK \l "_Toc231197031"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_Toc231197031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5E868B37">
      <w:pPr>
        <w:pStyle w:val="10"/>
        <w:tabs>
          <w:tab w:val="right" w:leader="dot" w:pos="8550"/>
        </w:tabs>
        <w:spacing w:line="360" w:lineRule="auto"/>
        <w:rPr>
          <w:rFonts w:ascii="宋体" w:hAnsi="宋体" w:cstheme="minorBidi"/>
          <w:sz w:val="24"/>
        </w:rPr>
      </w:pPr>
      <w:r>
        <w:fldChar w:fldCharType="begin"/>
      </w:r>
      <w:r>
        <w:instrText xml:space="preserve"> HYPERLINK \l "_Toc231197032"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_Toc231197032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14:paraId="58373724">
      <w:pPr>
        <w:pStyle w:val="10"/>
        <w:tabs>
          <w:tab w:val="right" w:leader="dot" w:pos="8550"/>
        </w:tabs>
        <w:spacing w:line="360" w:lineRule="auto"/>
        <w:rPr>
          <w:rFonts w:ascii="宋体" w:hAnsi="宋体" w:cstheme="minorBidi"/>
          <w:sz w:val="24"/>
        </w:rPr>
      </w:pPr>
      <w:r>
        <w:fldChar w:fldCharType="begin"/>
      </w:r>
      <w:r>
        <w:instrText xml:space="preserve"> HYPERLINK \l "_Toc231197033"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_Toc231197033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14:paraId="000A59C2">
      <w:pPr>
        <w:pStyle w:val="10"/>
        <w:tabs>
          <w:tab w:val="right" w:leader="dot" w:pos="8550"/>
        </w:tabs>
        <w:spacing w:line="360" w:lineRule="auto"/>
        <w:rPr>
          <w:rFonts w:ascii="宋体" w:hAnsi="宋体" w:cstheme="minorBidi"/>
          <w:sz w:val="24"/>
        </w:rPr>
      </w:pPr>
      <w:r>
        <w:fldChar w:fldCharType="begin"/>
      </w:r>
      <w:r>
        <w:instrText xml:space="preserve"> HYPERLINK \l "_Toc231197034"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_Toc231197034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14:paraId="1B653313">
      <w:pPr>
        <w:pStyle w:val="10"/>
        <w:tabs>
          <w:tab w:val="right" w:leader="dot" w:pos="8550"/>
        </w:tabs>
        <w:spacing w:line="360" w:lineRule="auto"/>
        <w:rPr>
          <w:rFonts w:ascii="宋体" w:hAnsi="宋体" w:cstheme="minorBidi"/>
          <w:sz w:val="24"/>
        </w:rPr>
      </w:pPr>
      <w:r>
        <w:fldChar w:fldCharType="begin"/>
      </w:r>
      <w:r>
        <w:instrText xml:space="preserve"> HYPERLINK \l "_Toc231197035"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_Toc231197035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14:paraId="4B3E06F1">
      <w:pPr>
        <w:pStyle w:val="10"/>
        <w:tabs>
          <w:tab w:val="right" w:leader="dot" w:pos="8550"/>
        </w:tabs>
        <w:spacing w:line="360" w:lineRule="auto"/>
        <w:rPr>
          <w:rFonts w:ascii="宋体" w:hAnsi="宋体" w:cstheme="minorBidi"/>
          <w:sz w:val="24"/>
        </w:rPr>
      </w:pPr>
      <w:r>
        <w:fldChar w:fldCharType="begin"/>
      </w:r>
      <w:r>
        <w:instrText xml:space="preserve"> HYPERLINK \l "_Toc231197036"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_Toc231197036 \h </w:instrText>
      </w:r>
      <w:r>
        <w:rPr>
          <w:rFonts w:ascii="宋体" w:hAnsi="宋体"/>
          <w:sz w:val="24"/>
        </w:rPr>
        <w:fldChar w:fldCharType="separate"/>
      </w:r>
      <w:r>
        <w:rPr>
          <w:rFonts w:ascii="宋体" w:hAnsi="宋体"/>
          <w:sz w:val="24"/>
        </w:rPr>
        <w:t>25</w:t>
      </w:r>
      <w:r>
        <w:rPr>
          <w:rFonts w:ascii="宋体" w:hAnsi="宋体"/>
          <w:sz w:val="24"/>
        </w:rPr>
        <w:fldChar w:fldCharType="end"/>
      </w:r>
      <w:r>
        <w:rPr>
          <w:rFonts w:ascii="宋体" w:hAnsi="宋体"/>
          <w:sz w:val="24"/>
        </w:rPr>
        <w:fldChar w:fldCharType="end"/>
      </w:r>
    </w:p>
    <w:p w14:paraId="7B67D17C">
      <w:pPr>
        <w:pStyle w:val="10"/>
        <w:tabs>
          <w:tab w:val="right" w:leader="dot" w:pos="8550"/>
        </w:tabs>
        <w:spacing w:line="360" w:lineRule="auto"/>
        <w:rPr>
          <w:rFonts w:ascii="宋体" w:hAnsi="宋体" w:cstheme="minorBidi"/>
          <w:sz w:val="24"/>
        </w:rPr>
      </w:pPr>
      <w:r>
        <w:fldChar w:fldCharType="begin"/>
      </w:r>
      <w:r>
        <w:instrText xml:space="preserve"> HYPERLINK \l "_Toc231197037"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_Toc231197037 \h </w:instrText>
      </w:r>
      <w:r>
        <w:rPr>
          <w:rFonts w:ascii="宋体" w:hAnsi="宋体"/>
          <w:sz w:val="24"/>
        </w:rPr>
        <w:fldChar w:fldCharType="separate"/>
      </w:r>
      <w:r>
        <w:rPr>
          <w:rFonts w:ascii="宋体" w:hAnsi="宋体"/>
          <w:sz w:val="24"/>
        </w:rPr>
        <w:t>49</w:t>
      </w:r>
      <w:r>
        <w:rPr>
          <w:rFonts w:ascii="宋体" w:hAnsi="宋体"/>
          <w:sz w:val="24"/>
        </w:rPr>
        <w:fldChar w:fldCharType="end"/>
      </w:r>
      <w:r>
        <w:rPr>
          <w:rFonts w:ascii="宋体" w:hAnsi="宋体"/>
          <w:sz w:val="24"/>
        </w:rPr>
        <w:fldChar w:fldCharType="end"/>
      </w:r>
    </w:p>
    <w:p w14:paraId="10812351">
      <w:pPr>
        <w:pStyle w:val="10"/>
        <w:tabs>
          <w:tab w:val="right" w:leader="dot" w:pos="8550"/>
        </w:tabs>
        <w:spacing w:line="360" w:lineRule="auto"/>
        <w:rPr>
          <w:rFonts w:ascii="宋体" w:hAnsi="宋体" w:cstheme="minorBidi"/>
          <w:sz w:val="24"/>
        </w:rPr>
      </w:pPr>
      <w:r>
        <w:fldChar w:fldCharType="begin"/>
      </w:r>
      <w:r>
        <w:instrText xml:space="preserve"> HYPERLINK \l "_Toc231197038"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_Toc231197038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14:paraId="03E05C3C">
      <w:pPr>
        <w:pStyle w:val="10"/>
        <w:tabs>
          <w:tab w:val="right" w:leader="dot" w:pos="8550"/>
        </w:tabs>
        <w:spacing w:line="360" w:lineRule="auto"/>
        <w:rPr>
          <w:rFonts w:ascii="宋体" w:hAnsi="宋体" w:cstheme="minorBidi"/>
          <w:sz w:val="24"/>
        </w:rPr>
      </w:pPr>
      <w:r>
        <w:fldChar w:fldCharType="begin"/>
      </w:r>
      <w:r>
        <w:instrText xml:space="preserve"> HYPERLINK \l "_Toc231197039"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_Toc231197039 \h </w:instrText>
      </w:r>
      <w:r>
        <w:rPr>
          <w:rFonts w:ascii="宋体" w:hAnsi="宋体"/>
          <w:sz w:val="24"/>
        </w:rPr>
        <w:fldChar w:fldCharType="separate"/>
      </w:r>
      <w:r>
        <w:rPr>
          <w:rFonts w:ascii="宋体" w:hAnsi="宋体"/>
          <w:sz w:val="24"/>
        </w:rPr>
        <w:t>51</w:t>
      </w:r>
      <w:r>
        <w:rPr>
          <w:rFonts w:ascii="宋体" w:hAnsi="宋体"/>
          <w:sz w:val="24"/>
        </w:rPr>
        <w:fldChar w:fldCharType="end"/>
      </w:r>
      <w:r>
        <w:rPr>
          <w:rFonts w:ascii="宋体" w:hAnsi="宋体"/>
          <w:sz w:val="24"/>
        </w:rPr>
        <w:fldChar w:fldCharType="end"/>
      </w:r>
    </w:p>
    <w:p w14:paraId="31C29EBD">
      <w:pPr>
        <w:pStyle w:val="10"/>
        <w:tabs>
          <w:tab w:val="right" w:leader="dot" w:pos="8550"/>
        </w:tabs>
        <w:spacing w:line="360" w:lineRule="auto"/>
        <w:rPr>
          <w:rFonts w:ascii="宋体" w:hAnsi="宋体" w:cstheme="minorBidi"/>
          <w:sz w:val="24"/>
        </w:rPr>
      </w:pPr>
      <w:r>
        <w:fldChar w:fldCharType="begin"/>
      </w:r>
      <w:r>
        <w:instrText xml:space="preserve"> HYPERLINK \l "_Toc231197040" </w:instrText>
      </w:r>
      <w:r>
        <w:fldChar w:fldCharType="separate"/>
      </w:r>
      <w:r>
        <w:rPr>
          <w:rStyle w:val="18"/>
          <w:rFonts w:hint="eastAsia" w:ascii="宋体" w:hAnsi="宋体"/>
          <w:sz w:val="24"/>
        </w:rPr>
        <w:t>九、基金的投资</w:t>
      </w:r>
      <w:r>
        <w:rPr>
          <w:rFonts w:ascii="宋体" w:hAnsi="宋体"/>
          <w:sz w:val="24"/>
        </w:rPr>
        <w:tab/>
      </w:r>
      <w:r>
        <w:rPr>
          <w:rFonts w:ascii="宋体" w:hAnsi="宋体"/>
          <w:sz w:val="24"/>
        </w:rPr>
        <w:fldChar w:fldCharType="begin"/>
      </w:r>
      <w:r>
        <w:rPr>
          <w:rFonts w:ascii="宋体" w:hAnsi="宋体"/>
          <w:sz w:val="24"/>
        </w:rPr>
        <w:instrText xml:space="preserve"> PAGEREF _Toc231197040 \h </w:instrText>
      </w:r>
      <w:r>
        <w:rPr>
          <w:rFonts w:ascii="宋体" w:hAnsi="宋体"/>
          <w:sz w:val="24"/>
        </w:rPr>
        <w:fldChar w:fldCharType="separate"/>
      </w:r>
      <w:r>
        <w:rPr>
          <w:rFonts w:ascii="宋体" w:hAnsi="宋体"/>
          <w:sz w:val="24"/>
        </w:rPr>
        <w:t>64</w:t>
      </w:r>
      <w:r>
        <w:rPr>
          <w:rFonts w:ascii="宋体" w:hAnsi="宋体"/>
          <w:sz w:val="24"/>
        </w:rPr>
        <w:fldChar w:fldCharType="end"/>
      </w:r>
      <w:r>
        <w:rPr>
          <w:rFonts w:ascii="宋体" w:hAnsi="宋体"/>
          <w:sz w:val="24"/>
        </w:rPr>
        <w:fldChar w:fldCharType="end"/>
      </w:r>
    </w:p>
    <w:p w14:paraId="36DBD280">
      <w:pPr>
        <w:pStyle w:val="10"/>
        <w:tabs>
          <w:tab w:val="right" w:leader="dot" w:pos="8550"/>
        </w:tabs>
        <w:spacing w:line="360" w:lineRule="auto"/>
        <w:rPr>
          <w:rFonts w:ascii="宋体" w:hAnsi="宋体" w:cstheme="minorBidi"/>
          <w:sz w:val="24"/>
        </w:rPr>
      </w:pPr>
      <w:r>
        <w:fldChar w:fldCharType="begin"/>
      </w:r>
      <w:r>
        <w:instrText xml:space="preserve"> HYPERLINK \l "_Toc231197041" </w:instrText>
      </w:r>
      <w:r>
        <w:fldChar w:fldCharType="separate"/>
      </w:r>
      <w:r>
        <w:rPr>
          <w:rStyle w:val="18"/>
          <w:rFonts w:hint="eastAsia" w:ascii="宋体" w:hAnsi="宋体"/>
          <w:sz w:val="24"/>
        </w:rPr>
        <w:t>十、基金的业绩</w:t>
      </w:r>
      <w:r>
        <w:rPr>
          <w:rFonts w:ascii="宋体" w:hAnsi="宋体"/>
          <w:sz w:val="24"/>
        </w:rPr>
        <w:tab/>
      </w:r>
      <w:r>
        <w:rPr>
          <w:rFonts w:ascii="宋体" w:hAnsi="宋体"/>
          <w:sz w:val="24"/>
        </w:rPr>
        <w:fldChar w:fldCharType="begin"/>
      </w:r>
      <w:r>
        <w:rPr>
          <w:rFonts w:ascii="宋体" w:hAnsi="宋体"/>
          <w:sz w:val="24"/>
        </w:rPr>
        <w:instrText xml:space="preserve"> PAGEREF _Toc231197041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14:paraId="17BED51C">
      <w:pPr>
        <w:pStyle w:val="10"/>
        <w:tabs>
          <w:tab w:val="right" w:leader="dot" w:pos="8550"/>
        </w:tabs>
        <w:spacing w:line="360" w:lineRule="auto"/>
        <w:rPr>
          <w:rFonts w:ascii="宋体" w:hAnsi="宋体" w:cstheme="minorBidi"/>
          <w:sz w:val="24"/>
        </w:rPr>
      </w:pPr>
      <w:r>
        <w:fldChar w:fldCharType="begin"/>
      </w:r>
      <w:r>
        <w:instrText xml:space="preserve"> HYPERLINK \l "_Toc231197042" </w:instrText>
      </w:r>
      <w:r>
        <w:fldChar w:fldCharType="separate"/>
      </w:r>
      <w:r>
        <w:rPr>
          <w:rStyle w:val="18"/>
          <w:rFonts w:hint="eastAsia" w:ascii="宋体" w:hAnsi="宋体"/>
          <w:sz w:val="24"/>
        </w:rPr>
        <w:t>十一、基金的财产</w:t>
      </w:r>
      <w:r>
        <w:rPr>
          <w:rFonts w:ascii="宋体" w:hAnsi="宋体"/>
          <w:sz w:val="24"/>
        </w:rPr>
        <w:tab/>
      </w:r>
      <w:r>
        <w:rPr>
          <w:rFonts w:ascii="宋体" w:hAnsi="宋体"/>
          <w:sz w:val="24"/>
        </w:rPr>
        <w:fldChar w:fldCharType="begin"/>
      </w:r>
      <w:r>
        <w:rPr>
          <w:rFonts w:ascii="宋体" w:hAnsi="宋体"/>
          <w:sz w:val="24"/>
        </w:rPr>
        <w:instrText xml:space="preserve"> PAGEREF _Toc231197042 \h </w:instrText>
      </w:r>
      <w:r>
        <w:rPr>
          <w:rFonts w:ascii="宋体" w:hAnsi="宋体"/>
          <w:sz w:val="24"/>
        </w:rPr>
        <w:fldChar w:fldCharType="separate"/>
      </w:r>
      <w:r>
        <w:rPr>
          <w:rFonts w:ascii="宋体" w:hAnsi="宋体"/>
          <w:sz w:val="24"/>
        </w:rPr>
        <w:t>78</w:t>
      </w:r>
      <w:r>
        <w:rPr>
          <w:rFonts w:ascii="宋体" w:hAnsi="宋体"/>
          <w:sz w:val="24"/>
        </w:rPr>
        <w:fldChar w:fldCharType="end"/>
      </w:r>
      <w:r>
        <w:rPr>
          <w:rFonts w:ascii="宋体" w:hAnsi="宋体"/>
          <w:sz w:val="24"/>
        </w:rPr>
        <w:fldChar w:fldCharType="end"/>
      </w:r>
    </w:p>
    <w:p w14:paraId="4D4500EC">
      <w:pPr>
        <w:pStyle w:val="10"/>
        <w:tabs>
          <w:tab w:val="right" w:leader="dot" w:pos="8550"/>
        </w:tabs>
        <w:spacing w:line="360" w:lineRule="auto"/>
        <w:rPr>
          <w:rFonts w:ascii="宋体" w:hAnsi="宋体" w:cstheme="minorBidi"/>
          <w:sz w:val="24"/>
        </w:rPr>
      </w:pPr>
      <w:r>
        <w:fldChar w:fldCharType="begin"/>
      </w:r>
      <w:r>
        <w:instrText xml:space="preserve"> HYPERLINK \l "_Toc231197043" </w:instrText>
      </w:r>
      <w:r>
        <w:fldChar w:fldCharType="separate"/>
      </w:r>
      <w:r>
        <w:rPr>
          <w:rStyle w:val="18"/>
          <w:rFonts w:hint="eastAsia" w:ascii="宋体" w:hAnsi="宋体"/>
          <w:sz w:val="24"/>
        </w:rPr>
        <w:t>十二、基金资产的估值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_Toc231197043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14:paraId="1ACEA451">
      <w:pPr>
        <w:pStyle w:val="10"/>
        <w:tabs>
          <w:tab w:val="right" w:leader="dot" w:pos="8550"/>
        </w:tabs>
        <w:spacing w:line="360" w:lineRule="auto"/>
        <w:rPr>
          <w:rFonts w:ascii="宋体" w:hAnsi="宋体" w:cstheme="minorBidi"/>
          <w:sz w:val="24"/>
        </w:rPr>
      </w:pPr>
      <w:r>
        <w:fldChar w:fldCharType="begin"/>
      </w:r>
      <w:r>
        <w:instrText xml:space="preserve"> HYPERLINK \l "_Toc231197044" </w:instrText>
      </w:r>
      <w:r>
        <w:fldChar w:fldCharType="separate"/>
      </w:r>
      <w:r>
        <w:rPr>
          <w:rStyle w:val="18"/>
          <w:rFonts w:hint="eastAsia" w:ascii="宋体" w:hAnsi="宋体"/>
          <w:sz w:val="24"/>
        </w:rPr>
        <w:t>十三、基金收益与分配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_Toc231197044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14:paraId="23AE4DF5">
      <w:pPr>
        <w:pStyle w:val="10"/>
        <w:tabs>
          <w:tab w:val="right" w:leader="dot" w:pos="8550"/>
        </w:tabs>
        <w:spacing w:line="360" w:lineRule="auto"/>
        <w:rPr>
          <w:rFonts w:ascii="宋体" w:hAnsi="宋体" w:cstheme="minorBidi"/>
          <w:sz w:val="24"/>
        </w:rPr>
      </w:pPr>
      <w:r>
        <w:fldChar w:fldCharType="begin"/>
      </w:r>
      <w:r>
        <w:instrText xml:space="preserve"> HYPERLINK \l "_Toc231197045" </w:instrText>
      </w:r>
      <w:r>
        <w:fldChar w:fldCharType="separate"/>
      </w:r>
      <w:r>
        <w:rPr>
          <w:rStyle w:val="18"/>
          <w:rFonts w:hint="eastAsia" w:ascii="宋体" w:hAnsi="宋体"/>
          <w:sz w:val="24"/>
        </w:rPr>
        <w:t>十四、基金的费用与税收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_Toc231197045 \h </w:instrText>
      </w:r>
      <w:r>
        <w:rPr>
          <w:rFonts w:ascii="宋体" w:hAnsi="宋体"/>
          <w:sz w:val="24"/>
        </w:rPr>
        <w:fldChar w:fldCharType="separate"/>
      </w:r>
      <w:r>
        <w:rPr>
          <w:rFonts w:ascii="宋体" w:hAnsi="宋体"/>
          <w:sz w:val="24"/>
        </w:rPr>
        <w:t>89</w:t>
      </w:r>
      <w:r>
        <w:rPr>
          <w:rFonts w:ascii="宋体" w:hAnsi="宋体"/>
          <w:sz w:val="24"/>
        </w:rPr>
        <w:fldChar w:fldCharType="end"/>
      </w:r>
      <w:r>
        <w:rPr>
          <w:rFonts w:ascii="宋体" w:hAnsi="宋体"/>
          <w:sz w:val="24"/>
        </w:rPr>
        <w:fldChar w:fldCharType="end"/>
      </w:r>
    </w:p>
    <w:p w14:paraId="4C695CDA">
      <w:pPr>
        <w:pStyle w:val="10"/>
        <w:tabs>
          <w:tab w:val="right" w:leader="dot" w:pos="8550"/>
        </w:tabs>
        <w:spacing w:line="360" w:lineRule="auto"/>
        <w:rPr>
          <w:rFonts w:ascii="宋体" w:hAnsi="宋体" w:cstheme="minorBidi"/>
          <w:sz w:val="24"/>
        </w:rPr>
      </w:pPr>
      <w:r>
        <w:fldChar w:fldCharType="begin"/>
      </w:r>
      <w:r>
        <w:instrText xml:space="preserve"> HYPERLINK \l "_Toc231197046" </w:instrText>
      </w:r>
      <w:r>
        <w:fldChar w:fldCharType="separate"/>
      </w:r>
      <w:r>
        <w:rPr>
          <w:rStyle w:val="18"/>
          <w:rFonts w:hint="eastAsia" w:ascii="宋体" w:hAnsi="宋体"/>
          <w:sz w:val="24"/>
        </w:rPr>
        <w:t>十五、基金的会计与审计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_Toc231197046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14:paraId="3BF1013F">
      <w:pPr>
        <w:pStyle w:val="10"/>
        <w:tabs>
          <w:tab w:val="right" w:leader="dot" w:pos="8550"/>
        </w:tabs>
        <w:spacing w:line="360" w:lineRule="auto"/>
        <w:rPr>
          <w:rFonts w:ascii="宋体" w:hAnsi="宋体" w:cstheme="minorBidi"/>
          <w:sz w:val="24"/>
        </w:rPr>
      </w:pPr>
      <w:r>
        <w:fldChar w:fldCharType="begin"/>
      </w:r>
      <w:r>
        <w:instrText xml:space="preserve"> HYPERLINK \l "_Toc231197047" </w:instrText>
      </w:r>
      <w:r>
        <w:fldChar w:fldCharType="separate"/>
      </w:r>
      <w:r>
        <w:rPr>
          <w:rStyle w:val="18"/>
          <w:rFonts w:hint="eastAsia" w:ascii="宋体" w:hAnsi="宋体"/>
          <w:sz w:val="24"/>
        </w:rPr>
        <w:t>十六、基金的信息披露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_Toc231197047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14:paraId="0F5156DD">
      <w:pPr>
        <w:pStyle w:val="10"/>
        <w:tabs>
          <w:tab w:val="right" w:leader="dot" w:pos="8550"/>
        </w:tabs>
        <w:spacing w:line="360" w:lineRule="auto"/>
        <w:rPr>
          <w:rFonts w:ascii="宋体" w:hAnsi="宋体" w:cstheme="minorBidi"/>
          <w:sz w:val="24"/>
        </w:rPr>
      </w:pPr>
      <w:r>
        <w:fldChar w:fldCharType="begin"/>
      </w:r>
      <w:r>
        <w:instrText xml:space="preserve"> HYPERLINK \l "_Toc231197048" </w:instrText>
      </w:r>
      <w:r>
        <w:fldChar w:fldCharType="separate"/>
      </w:r>
      <w:r>
        <w:rPr>
          <w:rStyle w:val="18"/>
          <w:rFonts w:hint="eastAsia" w:ascii="宋体" w:hAnsi="宋体"/>
          <w:sz w:val="24"/>
        </w:rPr>
        <w:t>十七、侧袋机制</w:t>
      </w:r>
      <w:r>
        <w:rPr>
          <w:rFonts w:ascii="宋体" w:hAnsi="宋体"/>
          <w:sz w:val="24"/>
        </w:rPr>
        <w:tab/>
      </w:r>
      <w:r>
        <w:rPr>
          <w:rFonts w:ascii="宋体" w:hAnsi="宋体"/>
          <w:sz w:val="24"/>
        </w:rPr>
        <w:fldChar w:fldCharType="begin"/>
      </w:r>
      <w:r>
        <w:rPr>
          <w:rFonts w:ascii="宋体" w:hAnsi="宋体"/>
          <w:sz w:val="24"/>
        </w:rPr>
        <w:instrText xml:space="preserve"> PAGEREF _Toc231197048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14:paraId="3CCE53BB">
      <w:pPr>
        <w:pStyle w:val="10"/>
        <w:tabs>
          <w:tab w:val="right" w:leader="dot" w:pos="8550"/>
        </w:tabs>
        <w:spacing w:line="360" w:lineRule="auto"/>
        <w:rPr>
          <w:rFonts w:ascii="宋体" w:hAnsi="宋体" w:cstheme="minorBidi"/>
          <w:sz w:val="24"/>
        </w:rPr>
      </w:pPr>
      <w:r>
        <w:fldChar w:fldCharType="begin"/>
      </w:r>
      <w:r>
        <w:instrText xml:space="preserve"> HYPERLINK \l "_Toc231197049"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_Toc231197049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14:paraId="29BB3376">
      <w:pPr>
        <w:pStyle w:val="10"/>
        <w:tabs>
          <w:tab w:val="right" w:leader="dot" w:pos="8550"/>
        </w:tabs>
        <w:spacing w:line="360" w:lineRule="auto"/>
        <w:rPr>
          <w:rFonts w:ascii="宋体" w:hAnsi="宋体" w:cstheme="minorBidi"/>
          <w:sz w:val="24"/>
        </w:rPr>
      </w:pPr>
      <w:r>
        <w:fldChar w:fldCharType="begin"/>
      </w:r>
      <w:r>
        <w:instrText xml:space="preserve"> HYPERLINK \l "_Toc231197050"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_Toc231197050 \h </w:instrText>
      </w:r>
      <w:r>
        <w:rPr>
          <w:rFonts w:ascii="宋体" w:hAnsi="宋体"/>
          <w:sz w:val="24"/>
        </w:rPr>
        <w:fldChar w:fldCharType="separate"/>
      </w:r>
      <w:r>
        <w:rPr>
          <w:rFonts w:ascii="宋体" w:hAnsi="宋体"/>
          <w:sz w:val="24"/>
        </w:rPr>
        <w:t>112</w:t>
      </w:r>
      <w:r>
        <w:rPr>
          <w:rFonts w:ascii="宋体" w:hAnsi="宋体"/>
          <w:sz w:val="24"/>
        </w:rPr>
        <w:fldChar w:fldCharType="end"/>
      </w:r>
      <w:r>
        <w:rPr>
          <w:rFonts w:ascii="宋体" w:hAnsi="宋体"/>
          <w:sz w:val="24"/>
        </w:rPr>
        <w:fldChar w:fldCharType="end"/>
      </w:r>
    </w:p>
    <w:p w14:paraId="34087D96">
      <w:pPr>
        <w:pStyle w:val="10"/>
        <w:tabs>
          <w:tab w:val="right" w:leader="dot" w:pos="8550"/>
        </w:tabs>
        <w:spacing w:line="360" w:lineRule="auto"/>
        <w:rPr>
          <w:rFonts w:ascii="宋体" w:hAnsi="宋体" w:cstheme="minorBidi"/>
          <w:sz w:val="24"/>
        </w:rPr>
      </w:pPr>
      <w:r>
        <w:fldChar w:fldCharType="begin"/>
      </w:r>
      <w:r>
        <w:instrText xml:space="preserve"> HYPERLINK \l "_Toc231197051"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_Toc231197051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14:paraId="279BF3E6">
      <w:pPr>
        <w:pStyle w:val="10"/>
        <w:tabs>
          <w:tab w:val="right" w:leader="dot" w:pos="8550"/>
        </w:tabs>
        <w:spacing w:line="360" w:lineRule="auto"/>
        <w:rPr>
          <w:rFonts w:ascii="宋体" w:hAnsi="宋体" w:cstheme="minorBidi"/>
          <w:sz w:val="24"/>
        </w:rPr>
      </w:pPr>
      <w:r>
        <w:fldChar w:fldCharType="begin"/>
      </w:r>
      <w:r>
        <w:instrText xml:space="preserve"> HYPERLINK \l "_Toc231197052"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_Toc231197052 \h </w:instrText>
      </w:r>
      <w:r>
        <w:rPr>
          <w:rFonts w:ascii="宋体" w:hAnsi="宋体"/>
          <w:sz w:val="24"/>
        </w:rPr>
        <w:fldChar w:fldCharType="separate"/>
      </w:r>
      <w:r>
        <w:rPr>
          <w:rFonts w:ascii="宋体" w:hAnsi="宋体"/>
          <w:sz w:val="24"/>
        </w:rPr>
        <w:t>131</w:t>
      </w:r>
      <w:r>
        <w:rPr>
          <w:rFonts w:ascii="宋体" w:hAnsi="宋体"/>
          <w:sz w:val="24"/>
        </w:rPr>
        <w:fldChar w:fldCharType="end"/>
      </w:r>
      <w:r>
        <w:rPr>
          <w:rFonts w:ascii="宋体" w:hAnsi="宋体"/>
          <w:sz w:val="24"/>
        </w:rPr>
        <w:fldChar w:fldCharType="end"/>
      </w:r>
    </w:p>
    <w:p w14:paraId="774678FF">
      <w:pPr>
        <w:pStyle w:val="10"/>
        <w:tabs>
          <w:tab w:val="right" w:leader="dot" w:pos="8550"/>
        </w:tabs>
        <w:spacing w:line="360" w:lineRule="auto"/>
        <w:rPr>
          <w:rFonts w:ascii="宋体" w:hAnsi="宋体" w:cstheme="minorBidi"/>
          <w:sz w:val="24"/>
        </w:rPr>
      </w:pPr>
      <w:r>
        <w:fldChar w:fldCharType="begin"/>
      </w:r>
      <w:r>
        <w:instrText xml:space="preserve"> HYPERLINK \l "_Toc231197053"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_Toc231197053 \h </w:instrText>
      </w:r>
      <w:r>
        <w:rPr>
          <w:rFonts w:ascii="宋体" w:hAnsi="宋体"/>
          <w:sz w:val="24"/>
        </w:rPr>
        <w:fldChar w:fldCharType="separate"/>
      </w:r>
      <w:r>
        <w:rPr>
          <w:rFonts w:ascii="宋体" w:hAnsi="宋体"/>
          <w:sz w:val="24"/>
        </w:rPr>
        <w:t>149</w:t>
      </w:r>
      <w:r>
        <w:rPr>
          <w:rFonts w:ascii="宋体" w:hAnsi="宋体"/>
          <w:sz w:val="24"/>
        </w:rPr>
        <w:fldChar w:fldCharType="end"/>
      </w:r>
      <w:r>
        <w:rPr>
          <w:rFonts w:ascii="宋体" w:hAnsi="宋体"/>
          <w:sz w:val="24"/>
        </w:rPr>
        <w:fldChar w:fldCharType="end"/>
      </w:r>
    </w:p>
    <w:p w14:paraId="18C83BE9">
      <w:pPr>
        <w:pStyle w:val="10"/>
        <w:tabs>
          <w:tab w:val="right" w:leader="dot" w:pos="8550"/>
        </w:tabs>
        <w:spacing w:line="360" w:lineRule="auto"/>
        <w:rPr>
          <w:rFonts w:ascii="宋体" w:hAnsi="宋体" w:cstheme="minorBidi"/>
          <w:sz w:val="24"/>
        </w:rPr>
      </w:pPr>
      <w:r>
        <w:fldChar w:fldCharType="begin"/>
      </w:r>
      <w:r>
        <w:instrText xml:space="preserve"> HYPERLINK \l "_Toc231197054"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_Toc231197054 \h </w:instrText>
      </w:r>
      <w:r>
        <w:rPr>
          <w:rFonts w:ascii="宋体" w:hAnsi="宋体"/>
          <w:sz w:val="24"/>
        </w:rPr>
        <w:fldChar w:fldCharType="separate"/>
      </w:r>
      <w:r>
        <w:rPr>
          <w:rFonts w:ascii="宋体" w:hAnsi="宋体"/>
          <w:sz w:val="24"/>
        </w:rPr>
        <w:t>151</w:t>
      </w:r>
      <w:r>
        <w:rPr>
          <w:rFonts w:ascii="宋体" w:hAnsi="宋体"/>
          <w:sz w:val="24"/>
        </w:rPr>
        <w:fldChar w:fldCharType="end"/>
      </w:r>
      <w:r>
        <w:rPr>
          <w:rFonts w:ascii="宋体" w:hAnsi="宋体"/>
          <w:sz w:val="24"/>
        </w:rPr>
        <w:fldChar w:fldCharType="end"/>
      </w:r>
    </w:p>
    <w:p w14:paraId="550B6299">
      <w:pPr>
        <w:pStyle w:val="10"/>
        <w:tabs>
          <w:tab w:val="right" w:leader="dot" w:pos="8550"/>
        </w:tabs>
        <w:spacing w:line="360" w:lineRule="auto"/>
        <w:rPr>
          <w:rFonts w:ascii="宋体" w:hAnsi="宋体" w:cstheme="minorBidi"/>
          <w:sz w:val="24"/>
        </w:rPr>
      </w:pPr>
      <w:r>
        <w:fldChar w:fldCharType="begin"/>
      </w:r>
      <w:r>
        <w:instrText xml:space="preserve"> HYPERLINK \l "_Toc231197055"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_Toc231197055 \h </w:instrText>
      </w:r>
      <w:r>
        <w:rPr>
          <w:rFonts w:ascii="宋体" w:hAnsi="宋体"/>
          <w:sz w:val="24"/>
        </w:rPr>
        <w:fldChar w:fldCharType="separate"/>
      </w:r>
      <w:r>
        <w:rPr>
          <w:rFonts w:ascii="宋体" w:hAnsi="宋体"/>
          <w:sz w:val="24"/>
        </w:rPr>
        <w:t>153</w:t>
      </w:r>
      <w:r>
        <w:rPr>
          <w:rFonts w:ascii="宋体" w:hAnsi="宋体"/>
          <w:sz w:val="24"/>
        </w:rPr>
        <w:fldChar w:fldCharType="end"/>
      </w:r>
      <w:r>
        <w:rPr>
          <w:rFonts w:ascii="宋体" w:hAnsi="宋体"/>
          <w:sz w:val="24"/>
        </w:rPr>
        <w:fldChar w:fldCharType="end"/>
      </w:r>
    </w:p>
    <w:p w14:paraId="34A0A0E8">
      <w:pPr>
        <w:pStyle w:val="10"/>
        <w:tabs>
          <w:tab w:val="right" w:leader="dot" w:pos="8550"/>
        </w:tabs>
        <w:rPr>
          <w:rFonts w:ascii="宋体" w:hAnsi="宋体"/>
          <w:color w:val="000000"/>
          <w:sz w:val="24"/>
        </w:rPr>
      </w:pPr>
      <w:r>
        <w:fldChar w:fldCharType="begin"/>
      </w:r>
      <w:r>
        <w:instrText xml:space="preserve"> HYPERLINK \l "_Toc231197056"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_Toc231197056 \h </w:instrText>
      </w:r>
      <w:r>
        <w:rPr>
          <w:rFonts w:ascii="宋体" w:hAnsi="宋体"/>
          <w:sz w:val="24"/>
        </w:rPr>
        <w:fldChar w:fldCharType="separate"/>
      </w:r>
      <w:r>
        <w:rPr>
          <w:rFonts w:ascii="宋体" w:hAnsi="宋体"/>
          <w:sz w:val="24"/>
        </w:rPr>
        <w:t>154</w:t>
      </w:r>
      <w:r>
        <w:rPr>
          <w:rFonts w:ascii="宋体" w:hAnsi="宋体"/>
          <w:sz w:val="24"/>
        </w:rPr>
        <w:fldChar w:fldCharType="end"/>
      </w:r>
      <w:r>
        <w:rPr>
          <w:rFonts w:ascii="宋体" w:hAnsi="宋体"/>
          <w:sz w:val="24"/>
        </w:rPr>
        <w:fldChar w:fldCharType="end"/>
      </w:r>
      <w:r>
        <w:rPr>
          <w:rFonts w:ascii="宋体" w:hAnsi="宋体"/>
          <w:color w:val="000000"/>
          <w:position w:val="-4"/>
          <w:sz w:val="24"/>
          <w:szCs w:val="30"/>
        </w:rPr>
        <w:fldChar w:fldCharType="end"/>
      </w:r>
    </w:p>
    <w:p w14:paraId="5531323C">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14:paraId="0C5E2F7D">
      <w:pPr>
        <w:pStyle w:val="2"/>
        <w:snapToGrid w:val="0"/>
        <w:spacing w:before="240" w:beforeLines="0" w:after="240"/>
        <w:rPr>
          <w:rFonts w:ascii="宋体" w:hAnsi="宋体"/>
          <w:szCs w:val="30"/>
        </w:rPr>
      </w:pPr>
      <w:bookmarkStart w:id="3" w:name="_Toc231197032"/>
      <w:r>
        <w:rPr>
          <w:rFonts w:ascii="Times New Roman" w:hAnsi="Times New Roman"/>
          <w:sz w:val="30"/>
        </w:rPr>
        <w:t>一、绪言</w:t>
      </w:r>
      <w:bookmarkEnd w:id="3"/>
    </w:p>
    <w:p w14:paraId="406991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招享一年持有期混合型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招享一年持有期混合型基金中基金（FOF）基金合同》（以下简称“基金合同”）编写。</w:t>
      </w:r>
    </w:p>
    <w:p w14:paraId="7D6C50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6D1830C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498859A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D6C101A">
      <w:pPr>
        <w:pStyle w:val="2"/>
        <w:snapToGrid w:val="0"/>
        <w:spacing w:before="240" w:beforeLines="0" w:after="240"/>
        <w:rPr>
          <w:rFonts w:ascii="宋体" w:hAnsi="宋体"/>
          <w:szCs w:val="30"/>
        </w:rPr>
      </w:pPr>
      <w:bookmarkStart w:id="4" w:name="_Toc231197033"/>
      <w:r>
        <w:rPr>
          <w:rFonts w:ascii="Times New Roman" w:hAnsi="Times New Roman"/>
          <w:sz w:val="30"/>
        </w:rPr>
        <w:t>二、释义</w:t>
      </w:r>
      <w:bookmarkEnd w:id="4"/>
    </w:p>
    <w:p w14:paraId="4ABF85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14:paraId="33E77D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1、基金或本基金：指交银施罗德招享一年持有期混合型基金中基金（FOF）</w:t>
      </w:r>
    </w:p>
    <w:p w14:paraId="4C5820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14:paraId="73E09E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3、基金托管人：指招商银行股份有限公司</w:t>
      </w:r>
    </w:p>
    <w:p w14:paraId="6E8AC0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4、基金合同：指《交银施罗德招享一年持有期混合型基金中基金（FOF）基金合同》及对基金合同的任何有效修订和补充</w:t>
      </w:r>
    </w:p>
    <w:p w14:paraId="28A88C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5、托管协议：指基金管理人与基金托管人就本基金签订之《交银施罗德招享一年持有期混合型基金中基金（FOF）托管协议》及对该托管协议的任何有效修订和补充</w:t>
      </w:r>
    </w:p>
    <w:p w14:paraId="1FA18C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6、招募说明书或本招募说明书：指《交银施罗德招享一年持有期混合型基金中基金（FOF）招募说明书》及其更新</w:t>
      </w:r>
    </w:p>
    <w:p w14:paraId="55AB9D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7、基金产品资料概要：指《交银施罗德招享一年持有期混合型基金中基金（FOF）基金产品资料概要》及其更新</w:t>
      </w:r>
    </w:p>
    <w:p w14:paraId="45AF5A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8、基金份额发售公告：指《交银施罗德招享一年持有期混合型基金中基金（FOF）基金份额发售公告》</w:t>
      </w:r>
    </w:p>
    <w:p w14:paraId="683AB9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14:paraId="6296E6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14:paraId="202DA9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14:paraId="3BADEC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14:paraId="5D50CE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14:paraId="4CF8A3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14:paraId="5CAC5F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14:paraId="6A83E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16、银行业监督管理机构：指中国人民银行和/或国家金融监督管理总局</w:t>
      </w:r>
    </w:p>
    <w:p w14:paraId="2F42D5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14:paraId="1FEF34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14:paraId="3B8B69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14:paraId="771847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及相关法律法规规定使用来自境外的资金进行境内证券期货投资的境外机构投资者，包括合格境外机构投资者和人民币合格境外机构投资者</w:t>
      </w:r>
    </w:p>
    <w:p w14:paraId="40A4A5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14:paraId="69739B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14:paraId="5431F1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14:paraId="79C7D9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14:paraId="53A58B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146DBC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14:paraId="232B7E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14:paraId="28C667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14:paraId="67FB09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14:paraId="43A481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14:paraId="6A505C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14:paraId="301B36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14:paraId="6567B0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14:paraId="6228F3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14:paraId="00DE29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14:paraId="69E90C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w:t>
      </w:r>
    </w:p>
    <w:p w14:paraId="50264D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14:paraId="7DDD6B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38、开放日：指为投资人办理基金份额申购、赎回或其他业务的工作日</w:t>
      </w:r>
    </w:p>
    <w:p w14:paraId="57672C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39、开放时间：指开放日基金接受申购、赎回或其他交易的时间段</w:t>
      </w:r>
    </w:p>
    <w:p w14:paraId="2D15FA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40、《业务规则》：指中国证券登记结算有限责任公司相关业务规则及其不时做出的修订</w:t>
      </w:r>
    </w:p>
    <w:p w14:paraId="098DED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41、认购：指在基金募集期内，投资人根据基金合同和招募说明书的规定申请购买基金份额的行为</w:t>
      </w:r>
    </w:p>
    <w:p w14:paraId="447F83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42、申购：指基金合同生效后，投资人根据基金合同和招募说明书的规定申请购买基金份额的行为</w:t>
      </w:r>
    </w:p>
    <w:p w14:paraId="4A19A1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14:paraId="39B12E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14:paraId="73BAA4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45、转托管：指基金份额持有人在本基金的不同销售机构之间实施的变更所持基金份额销售机构的操作</w:t>
      </w:r>
    </w:p>
    <w:p w14:paraId="73F540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14:paraId="179580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14:paraId="78E8CF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48、元：指人民币元</w:t>
      </w:r>
    </w:p>
    <w:p w14:paraId="39DAE6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14:paraId="1BE03F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14:paraId="0EA542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51、基金资产净值：指基金资产总值减去基金负债后的价值</w:t>
      </w:r>
    </w:p>
    <w:p w14:paraId="7856FB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52、基金份额净值：指计算日基金资产净值除以计算日基金份额总数</w:t>
      </w:r>
    </w:p>
    <w:p w14:paraId="01EDE3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53、基金资产估值：指计算评估基金资产和负债的价值，以确定基金资产净值和基金份额净值的过程</w:t>
      </w:r>
    </w:p>
    <w:p w14:paraId="3FF9EB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14:paraId="2590FA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55、销售服务费：指从基金财产中计提的，用于本基金市场推广、销售以及基金份额持有人服务的费用</w:t>
      </w:r>
    </w:p>
    <w:p w14:paraId="71FD38E6">
      <w:pPr>
        <w:autoSpaceDE w:val="0"/>
        <w:autoSpaceDN w:val="0"/>
        <w:adjustRightInd w:val="0"/>
        <w:snapToGrid w:val="0"/>
        <w:spacing w:line="360" w:lineRule="auto"/>
        <w:ind w:firstLine="480" w:firstLineChars="200"/>
        <w:jc w:val="left"/>
        <w:rPr>
          <w:rFonts w:hint="eastAsia" w:ascii="宋体" w:hAnsi="宋体"/>
          <w:sz w:val="24"/>
        </w:rPr>
      </w:pPr>
      <w:r>
        <w:rPr>
          <w:rFonts w:ascii="宋体" w:hAnsi="宋体"/>
          <w:sz w:val="24"/>
        </w:rPr>
        <w:t>56、</w:t>
      </w:r>
      <w:r>
        <w:rPr>
          <w:rFonts w:hint="eastAsia" w:ascii="宋体" w:hAnsi="宋体"/>
          <w:sz w:val="24"/>
        </w:rPr>
        <w:t>基金份额类别：指本基金将基金份额分为不同的类别。非针对个人养老金投资基金业务设立的基金份额，分为A类基金份额和C类基金份额；针对个人养老金投资基金业务设立的基金份额，为Y类基金份额</w:t>
      </w:r>
    </w:p>
    <w:p w14:paraId="6AAF63C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57、</w:t>
      </w:r>
      <w:r>
        <w:rPr>
          <w:rFonts w:ascii="宋体" w:hAnsi="宋体"/>
          <w:sz w:val="24"/>
        </w:rPr>
        <w:t>A类基金份额：指在投资人认购/申购时收取认购/申购费用且不从本类别基金资产中计提销售服务费的基金份额</w:t>
      </w:r>
    </w:p>
    <w:p w14:paraId="382968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w:t>
      </w:r>
      <w:r>
        <w:rPr>
          <w:rFonts w:hint="eastAsia" w:ascii="宋体" w:hAnsi="宋体"/>
          <w:sz w:val="24"/>
          <w:lang w:val="en-US" w:eastAsia="zh-CN"/>
        </w:rPr>
        <w:t>8</w:t>
      </w:r>
      <w:r>
        <w:rPr>
          <w:rFonts w:ascii="宋体" w:hAnsi="宋体"/>
          <w:sz w:val="24"/>
        </w:rPr>
        <w:t>、C类基金份额：指在投资人认购/申购时不收取认购/申购费用，并从本类别基金资产中计提销售服务费的基金份额</w:t>
      </w:r>
    </w:p>
    <w:p w14:paraId="17777D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w:t>
      </w:r>
      <w:r>
        <w:rPr>
          <w:rFonts w:hint="eastAsia" w:ascii="宋体" w:hAnsi="宋体"/>
          <w:sz w:val="24"/>
          <w:lang w:val="en-US" w:eastAsia="zh-CN"/>
        </w:rPr>
        <w:t>9</w:t>
      </w:r>
      <w:r>
        <w:rPr>
          <w:rFonts w:ascii="宋体" w:hAnsi="宋体"/>
          <w:sz w:val="24"/>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6BCA734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60</w:t>
      </w:r>
      <w:r>
        <w:rPr>
          <w:rFonts w:ascii="宋体" w:hAnsi="宋体"/>
          <w:sz w:val="24"/>
        </w:rPr>
        <w:t>、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560649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w:t>
      </w:r>
      <w:r>
        <w:rPr>
          <w:rFonts w:hint="eastAsia" w:ascii="宋体" w:hAnsi="宋体"/>
          <w:sz w:val="24"/>
          <w:lang w:val="en-US" w:eastAsia="zh-CN"/>
        </w:rPr>
        <w:t>1</w:t>
      </w:r>
      <w:r>
        <w:rPr>
          <w:rFonts w:ascii="宋体" w:hAnsi="宋体"/>
          <w:sz w:val="24"/>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69103B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w:t>
      </w:r>
      <w:r>
        <w:rPr>
          <w:rFonts w:hint="eastAsia" w:ascii="宋体" w:hAnsi="宋体"/>
          <w:sz w:val="24"/>
          <w:lang w:val="en-US" w:eastAsia="zh-CN"/>
        </w:rPr>
        <w:t>2</w:t>
      </w:r>
      <w:r>
        <w:rPr>
          <w:rFonts w:ascii="宋体" w:hAnsi="宋体"/>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010B26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w:t>
      </w:r>
      <w:r>
        <w:rPr>
          <w:rFonts w:hint="eastAsia" w:ascii="宋体" w:hAnsi="宋体"/>
          <w:sz w:val="24"/>
          <w:lang w:val="en-US" w:eastAsia="zh-CN"/>
        </w:rPr>
        <w:t>3</w:t>
      </w:r>
      <w:r>
        <w:rPr>
          <w:rFonts w:ascii="宋体" w:hAnsi="宋体"/>
          <w:sz w:val="24"/>
        </w:rPr>
        <w:t>、不可抗力：指基金合同当事人不能预见、不能避免且不能克服的客观事件</w:t>
      </w:r>
    </w:p>
    <w:p w14:paraId="6DCC9E2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077E8FB">
      <w:pPr>
        <w:pStyle w:val="2"/>
        <w:snapToGrid w:val="0"/>
        <w:spacing w:before="240" w:beforeLines="0" w:after="240"/>
        <w:rPr>
          <w:rFonts w:ascii="宋体" w:hAnsi="宋体"/>
          <w:szCs w:val="30"/>
        </w:rPr>
      </w:pPr>
      <w:bookmarkStart w:id="5" w:name="_Toc231197034"/>
      <w:r>
        <w:rPr>
          <w:rFonts w:ascii="Times New Roman" w:hAnsi="Times New Roman"/>
          <w:sz w:val="30"/>
        </w:rPr>
        <w:t>三、基金管理人</w:t>
      </w:r>
      <w:bookmarkEnd w:id="5"/>
    </w:p>
    <w:p w14:paraId="44761315">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（一）基金管理人概况</w:t>
      </w:r>
    </w:p>
    <w:p w14:paraId="24473E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7CD3A1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32C00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3F18CC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7A3581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w:t>
      </w:r>
      <w:r>
        <w:rPr>
          <w:rFonts w:hint="eastAsia" w:ascii="宋体" w:hAnsi="宋体"/>
          <w:sz w:val="24"/>
        </w:rPr>
        <w:t>袁庆伟（代任）</w:t>
      </w:r>
    </w:p>
    <w:p w14:paraId="0DBC6C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49A969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320285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40299E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14:paraId="5D32CD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14:paraId="03718D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14:paraId="48A867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5" w:type="pct"/>
        <w:tblInd w:w="0" w:type="dxa"/>
        <w:tblLayout w:type="autofit"/>
        <w:tblCellMar>
          <w:top w:w="0" w:type="dxa"/>
          <w:left w:w="0" w:type="dxa"/>
          <w:bottom w:w="0" w:type="dxa"/>
          <w:right w:w="0" w:type="dxa"/>
        </w:tblCellMar>
      </w:tblPr>
      <w:tblGrid>
        <w:gridCol w:w="4246"/>
        <w:gridCol w:w="4433"/>
      </w:tblGrid>
      <w:tr w14:paraId="62571446">
        <w:tblPrEx>
          <w:tblCellMar>
            <w:top w:w="0" w:type="dxa"/>
            <w:left w:w="0" w:type="dxa"/>
            <w:bottom w:w="0" w:type="dxa"/>
            <w:right w:w="0" w:type="dxa"/>
          </w:tblCellMar>
        </w:tblPrEx>
        <w:trPr>
          <w:cantSplit/>
          <w:trHeight w:val="375" w:hRule="atLeast"/>
        </w:trPr>
        <w:tc>
          <w:tcPr>
            <w:tcW w:w="2446" w:type="pct"/>
            <w:tcBorders>
              <w:top w:val="single" w:color="auto" w:sz="4" w:space="0"/>
              <w:left w:val="single" w:color="auto" w:sz="4" w:space="0"/>
              <w:bottom w:val="single" w:color="auto" w:sz="4" w:space="0"/>
              <w:right w:val="single" w:color="auto" w:sz="4" w:space="0"/>
            </w:tcBorders>
            <w:vAlign w:val="center"/>
          </w:tcPr>
          <w:p w14:paraId="2D4A538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2553" w:type="pct"/>
            <w:tcBorders>
              <w:top w:val="single" w:color="auto" w:sz="4" w:space="0"/>
              <w:left w:val="single" w:color="auto" w:sz="4" w:space="0"/>
              <w:bottom w:val="single" w:color="auto" w:sz="4" w:space="0"/>
              <w:right w:val="single" w:color="auto" w:sz="4" w:space="0"/>
            </w:tcBorders>
            <w:vAlign w:val="center"/>
          </w:tcPr>
          <w:p w14:paraId="26D90C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14:paraId="72ABA10F">
        <w:tblPrEx>
          <w:tblCellMar>
            <w:top w:w="0" w:type="dxa"/>
            <w:left w:w="0" w:type="dxa"/>
            <w:bottom w:w="0" w:type="dxa"/>
            <w:right w:w="0" w:type="dxa"/>
          </w:tblCellMar>
        </w:tblPrEx>
        <w:trPr>
          <w:cantSplit/>
          <w:trHeight w:val="375" w:hRule="atLeast"/>
        </w:trPr>
        <w:tc>
          <w:tcPr>
            <w:tcW w:w="2446" w:type="pct"/>
            <w:tcBorders>
              <w:top w:val="single" w:color="auto" w:sz="4" w:space="0"/>
              <w:left w:val="single" w:color="auto" w:sz="4" w:space="0"/>
              <w:bottom w:val="single" w:color="auto" w:sz="4" w:space="0"/>
              <w:right w:val="single" w:color="auto" w:sz="4" w:space="0"/>
            </w:tcBorders>
            <w:vAlign w:val="center"/>
          </w:tcPr>
          <w:p w14:paraId="732CF46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2553" w:type="pct"/>
            <w:tcBorders>
              <w:top w:val="single" w:color="auto" w:sz="4" w:space="0"/>
              <w:left w:val="single" w:color="auto" w:sz="4" w:space="0"/>
              <w:bottom w:val="single" w:color="auto" w:sz="4" w:space="0"/>
              <w:right w:val="single" w:color="auto" w:sz="4" w:space="0"/>
            </w:tcBorders>
            <w:vAlign w:val="center"/>
          </w:tcPr>
          <w:p w14:paraId="33B6E71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14:paraId="3F5B5F6E">
        <w:tblPrEx>
          <w:tblCellMar>
            <w:top w:w="0" w:type="dxa"/>
            <w:left w:w="0" w:type="dxa"/>
            <w:bottom w:w="0" w:type="dxa"/>
            <w:right w:w="0" w:type="dxa"/>
          </w:tblCellMar>
        </w:tblPrEx>
        <w:trPr>
          <w:cantSplit/>
          <w:trHeight w:val="375" w:hRule="atLeast"/>
        </w:trPr>
        <w:tc>
          <w:tcPr>
            <w:tcW w:w="2446" w:type="pct"/>
            <w:tcBorders>
              <w:top w:val="single" w:color="auto" w:sz="4" w:space="0"/>
              <w:left w:val="single" w:color="auto" w:sz="4" w:space="0"/>
              <w:bottom w:val="single" w:color="auto" w:sz="4" w:space="0"/>
              <w:right w:val="single" w:color="auto" w:sz="4" w:space="0"/>
            </w:tcBorders>
            <w:vAlign w:val="center"/>
          </w:tcPr>
          <w:p w14:paraId="18DB434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2553" w:type="pct"/>
            <w:tcBorders>
              <w:top w:val="single" w:color="auto" w:sz="4" w:space="0"/>
              <w:left w:val="single" w:color="auto" w:sz="4" w:space="0"/>
              <w:bottom w:val="single" w:color="auto" w:sz="4" w:space="0"/>
              <w:right w:val="single" w:color="auto" w:sz="4" w:space="0"/>
            </w:tcBorders>
            <w:vAlign w:val="center"/>
          </w:tcPr>
          <w:p w14:paraId="1903932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14:paraId="6D7E0C9F">
        <w:tblPrEx>
          <w:tblCellMar>
            <w:top w:w="0" w:type="dxa"/>
            <w:left w:w="0" w:type="dxa"/>
            <w:bottom w:w="0" w:type="dxa"/>
            <w:right w:w="0" w:type="dxa"/>
          </w:tblCellMar>
        </w:tblPrEx>
        <w:trPr>
          <w:cantSplit/>
          <w:trHeight w:val="375" w:hRule="atLeast"/>
        </w:trPr>
        <w:tc>
          <w:tcPr>
            <w:tcW w:w="2446" w:type="pct"/>
            <w:tcBorders>
              <w:top w:val="single" w:color="auto" w:sz="4" w:space="0"/>
              <w:left w:val="single" w:color="auto" w:sz="4" w:space="0"/>
              <w:bottom w:val="single" w:color="auto" w:sz="4" w:space="0"/>
              <w:right w:val="single" w:color="auto" w:sz="4" w:space="0"/>
            </w:tcBorders>
            <w:vAlign w:val="center"/>
          </w:tcPr>
          <w:p w14:paraId="624B100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2553" w:type="pct"/>
            <w:tcBorders>
              <w:top w:val="single" w:color="auto" w:sz="4" w:space="0"/>
              <w:left w:val="single" w:color="auto" w:sz="4" w:space="0"/>
              <w:bottom w:val="single" w:color="auto" w:sz="4" w:space="0"/>
              <w:right w:val="single" w:color="auto" w:sz="4" w:space="0"/>
            </w:tcBorders>
            <w:vAlign w:val="center"/>
          </w:tcPr>
          <w:p w14:paraId="729BA26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251EA9F1">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（二）主要成员情况</w:t>
      </w:r>
    </w:p>
    <w:p w14:paraId="4DC39B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14:paraId="54C06E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14:paraId="203FC6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0EA7BF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254BDF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450DB3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14:paraId="224198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14:paraId="7BF743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14:paraId="051C97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14:paraId="2E299C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14:paraId="63499F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14:paraId="3AE1B0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148227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14:paraId="2F1721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6617B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14:paraId="34E981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迪先生:基金经理。上海财经大学金融工程与投资管理博士、上海海事大学硕士。11年证券投资行业从业经验。2015年加入交银施罗德基金管理有限公司，曾任量化投资部研究员，多元资产管理部投资经理。现任交银施罗德招享一年持有期混合型基金中基金（FOF）(2024年10月31日至今)、交银施罗德慧选睿信一年持有期混合型基金中基金（FOF）(2025年05月08日至今)、交银施罗德安享稳健养老目标一年持有期混合型基金中基金（FOF）(2025年07月12日至今)、交银施罗德臻享多资产三个月持有期混合型基金中基金（FOF）(2025年11月13日至今)、交银施罗德穗享多资产六个月持有期混合型基金中基金（FOF）(2026年01月20日至今)、交银施罗德沃享稳健三个月持有期混合型基金中基金（FOF）(2026年04月28日至今)</w:t>
      </w:r>
      <w:r>
        <w:rPr>
          <w:rFonts w:hint="eastAsia" w:ascii="宋体" w:hAnsi="宋体"/>
          <w:sz w:val="24"/>
          <w:lang w:eastAsia="zh-CN"/>
        </w:rPr>
        <w:t>、交银施罗德盈享多资产六个月持有期混合型基金中基金(FOF)</w:t>
      </w:r>
      <w:r>
        <w:rPr>
          <w:rFonts w:ascii="宋体" w:hAnsi="宋体"/>
          <w:sz w:val="24"/>
        </w:rPr>
        <w:t>(2026年0</w:t>
      </w:r>
      <w:r>
        <w:rPr>
          <w:rFonts w:hint="eastAsia" w:ascii="宋体" w:hAnsi="宋体"/>
          <w:sz w:val="24"/>
          <w:lang w:val="en-US" w:eastAsia="zh-CN"/>
        </w:rPr>
        <w:t>6</w:t>
      </w:r>
      <w:r>
        <w:rPr>
          <w:rFonts w:ascii="宋体" w:hAnsi="宋体"/>
          <w:sz w:val="24"/>
        </w:rPr>
        <w:t>月</w:t>
      </w:r>
      <w:r>
        <w:rPr>
          <w:rFonts w:hint="eastAsia" w:ascii="宋体" w:hAnsi="宋体"/>
          <w:sz w:val="24"/>
          <w:lang w:val="en-US" w:eastAsia="zh-CN"/>
        </w:rPr>
        <w:t>16</w:t>
      </w:r>
      <w:r>
        <w:rPr>
          <w:rFonts w:ascii="宋体" w:hAnsi="宋体"/>
          <w:sz w:val="24"/>
        </w:rPr>
        <w:t>日至今)的基金经理。</w:t>
      </w:r>
    </w:p>
    <w:p w14:paraId="6F3F2F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14:paraId="2D6BFD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刘兵先生(2021年08月24日至2025年05月08日)。</w:t>
      </w:r>
    </w:p>
    <w:p w14:paraId="397EA9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14:paraId="28A18B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14:paraId="5A02E9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14:paraId="35CD63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14:paraId="387D12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14:paraId="4E4A5B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14:paraId="4C17EE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14:paraId="4B1889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14:paraId="3A300C4D">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（三）基金管理人的职责</w:t>
      </w:r>
    </w:p>
    <w:p w14:paraId="725281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6F9A5E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6FCCD3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14:paraId="67A8C7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14:paraId="2C77A3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14:paraId="7AA876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14:paraId="4D9E65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14:paraId="465B05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14:paraId="1632D2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14:paraId="01DB0B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14:paraId="15B9F0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14:paraId="096016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14:paraId="2F8995C0">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（四）基金管理人的承诺</w:t>
      </w:r>
    </w:p>
    <w:p w14:paraId="0FE4A8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14:paraId="21BBE1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1A931D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14:paraId="4ABEB9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14:paraId="2C569D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14:paraId="0F43D0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14:paraId="717CFA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14:paraId="257A2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14:paraId="052470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08DCF6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7E3B0C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14:paraId="05666ECB">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（五）基金经理承诺</w:t>
      </w:r>
    </w:p>
    <w:p w14:paraId="023866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14:paraId="31EC00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14:paraId="3D5953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14:paraId="52AE2E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14:paraId="5D91CA47">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（六）基金管理人的内部控制制度</w:t>
      </w:r>
    </w:p>
    <w:p w14:paraId="014E1E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14:paraId="73C0B5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14:paraId="7FD51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w:t>
      </w:r>
      <w:r>
        <w:rPr>
          <w:rFonts w:hint="eastAsia" w:ascii="宋体" w:hAnsi="宋体"/>
          <w:sz w:val="24"/>
          <w:lang w:eastAsia="zh-CN"/>
        </w:rPr>
        <w:t>，</w:t>
      </w:r>
      <w:r>
        <w:rPr>
          <w:rFonts w:ascii="宋体" w:hAnsi="宋体"/>
          <w:sz w:val="24"/>
        </w:rPr>
        <w:t>并涵盖到决策、执行、监督、反馈等各个环节。</w:t>
      </w:r>
    </w:p>
    <w:p w14:paraId="1C855A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14:paraId="16937A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14:paraId="62CEA9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14:paraId="6DAD6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14:paraId="7668A1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14:paraId="2CE3B1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14:paraId="4F3861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14:paraId="7A7385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14:paraId="6F1625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14:paraId="4CFD58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1D0649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14:paraId="705AA4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14:paraId="517CCC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14:paraId="1C7B4E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0BC01E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14:paraId="3B4D1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5E957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14:paraId="4473A5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14:paraId="21919D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14:paraId="132A26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14:paraId="0A2947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14:paraId="70D26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47290B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14:paraId="1391FF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0249B5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14:paraId="135BF7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14:paraId="1A667B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14:paraId="037D48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14:paraId="161E6D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14:paraId="58D118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14:paraId="7A8528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14:paraId="0F9533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14:paraId="5D22A2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14:paraId="78DAAF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14:paraId="6D132A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5892B5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14:paraId="1CEC81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14:paraId="7FE20F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14:paraId="1FC21D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14:paraId="64D1CB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14:paraId="485364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14:paraId="5EBB782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2F76795">
      <w:pPr>
        <w:pStyle w:val="2"/>
        <w:snapToGrid w:val="0"/>
        <w:spacing w:before="240" w:beforeLines="0" w:after="240"/>
        <w:rPr>
          <w:rFonts w:ascii="宋体" w:hAnsi="宋体"/>
          <w:szCs w:val="30"/>
        </w:rPr>
      </w:pPr>
      <w:bookmarkStart w:id="6" w:name="_Toc231197035"/>
      <w:r>
        <w:rPr>
          <w:rFonts w:ascii="Times New Roman" w:hAnsi="Times New Roman"/>
          <w:sz w:val="30"/>
        </w:rPr>
        <w:t>四、基金托管人</w:t>
      </w:r>
      <w:bookmarkEnd w:id="6"/>
    </w:p>
    <w:p w14:paraId="00CF2AE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（一）基金托管人概况</w:t>
      </w:r>
    </w:p>
    <w:p w14:paraId="1D25AC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14:paraId="4FCB4E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名称：招商银行股份有限公司（以下简称“招商银行”）</w:t>
      </w:r>
    </w:p>
    <w:p w14:paraId="320662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设立日期：1987年3月31日</w:t>
      </w:r>
    </w:p>
    <w:p w14:paraId="56394F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注册地址：深圳市深南大道7088号招商银行大厦</w:t>
      </w:r>
    </w:p>
    <w:p w14:paraId="45925B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14:paraId="38E8FB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注册资本：252.20亿元</w:t>
      </w:r>
    </w:p>
    <w:p w14:paraId="7A0BA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14:paraId="6712F1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行长：王良</w:t>
      </w:r>
    </w:p>
    <w:p w14:paraId="48D2B2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资产托管业务批准文号：证监基金字[2002]83号</w:t>
      </w:r>
    </w:p>
    <w:p w14:paraId="085B78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电话：4006195555</w:t>
      </w:r>
    </w:p>
    <w:p w14:paraId="6BC54C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传真：0755-83195201</w:t>
      </w:r>
    </w:p>
    <w:p w14:paraId="648FCC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资产托管部信息披露负责人：张姗</w:t>
      </w:r>
    </w:p>
    <w:p w14:paraId="3FF01D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2、发展概况</w:t>
      </w:r>
    </w:p>
    <w:p w14:paraId="579B9E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12月31日，本集团总资产130,705.23亿元人民币，高级法下资本充足率18.24%，权重法下资本充足率15.00%。</w:t>
      </w:r>
    </w:p>
    <w:p w14:paraId="69A9DF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260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14:paraId="79801A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14:paraId="332499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持续稳健发展，社会影响力不断提升,近年来获得业内各类奖项荣誉。2016年5月“托管通”荣获《银行家》2016中国金融创新“十佳金融产品创新奖”；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w:t>
      </w:r>
    </w:p>
    <w:p w14:paraId="041BFCC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（二）主要人员情况</w:t>
      </w:r>
    </w:p>
    <w:p w14:paraId="6A51B5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14:paraId="3E510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14:paraId="007D51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14:paraId="0A8703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14:paraId="77566CE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（三）基金托管业务经营情况</w:t>
      </w:r>
    </w:p>
    <w:p w14:paraId="302A8E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截至2025年12月31日，招商银行股份有限公司累计托管1759只证券投资基金。</w:t>
      </w:r>
    </w:p>
    <w:p w14:paraId="295D5CB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（四）托管人的内部控制制度</w:t>
      </w:r>
    </w:p>
    <w:p w14:paraId="215973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14:paraId="286C12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14:paraId="375211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14:paraId="60D7E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招商银行资产托管业务建立三级内部控制及风险防范体系：</w:t>
      </w:r>
    </w:p>
    <w:p w14:paraId="0973DF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14:paraId="23C17F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14:paraId="033C50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14:paraId="3B9140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3、内部控制原则</w:t>
      </w:r>
    </w:p>
    <w:p w14:paraId="61070B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（1）全面性原则。内部控制覆盖各项业务过程和操作环节、覆盖所有团队和岗位，并由全部人员参与。</w:t>
      </w:r>
    </w:p>
    <w:p w14:paraId="48583F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14:paraId="61045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14:paraId="1BAED4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14:paraId="741F64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14:paraId="173118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14:paraId="24E0F9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（7）重要性原则。内部控制在实现全面控制的基础上，关注重要托管业务重要事项和高风险环节。</w:t>
      </w:r>
    </w:p>
    <w:p w14:paraId="06166F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14:paraId="6E25A4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w:t>
      </w:r>
    </w:p>
    <w:p w14:paraId="113E1A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14:paraId="32E9BE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14:paraId="6AF9D0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14:paraId="74BD3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14:paraId="23AD76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14:paraId="2973B7F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（五）基金托管人对基金管理人运作基金进行监督的方法和程序</w:t>
      </w:r>
    </w:p>
    <w:p w14:paraId="1B255A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14:paraId="0D6E32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14:paraId="69C80D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14:paraId="22FD2C6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E928FC5">
      <w:pPr>
        <w:pStyle w:val="2"/>
        <w:snapToGrid w:val="0"/>
        <w:spacing w:before="240" w:beforeLines="0" w:after="240"/>
        <w:rPr>
          <w:rFonts w:ascii="宋体" w:hAnsi="宋体"/>
          <w:szCs w:val="30"/>
        </w:rPr>
      </w:pPr>
      <w:bookmarkStart w:id="7" w:name="_Toc231197036"/>
      <w:r>
        <w:rPr>
          <w:rFonts w:ascii="Times New Roman" w:hAnsi="Times New Roman"/>
          <w:sz w:val="30"/>
        </w:rPr>
        <w:t>五、相关服务机构</w:t>
      </w:r>
      <w:bookmarkEnd w:id="7"/>
    </w:p>
    <w:p w14:paraId="2B1F6B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14:paraId="319CA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4798C3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本基金直销机构为基金管理人直销柜台以及基金管理人的网上直销交易平台（网站及手机APP，下同）。</w:t>
      </w:r>
    </w:p>
    <w:p w14:paraId="68BEC8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14:paraId="508E3C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7CC20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6DA0379A">
      <w:pPr>
        <w:autoSpaceDE w:val="0"/>
        <w:autoSpaceDN w:val="0"/>
        <w:adjustRightInd w:val="0"/>
        <w:snapToGrid w:val="0"/>
        <w:spacing w:line="360" w:lineRule="auto"/>
        <w:ind w:firstLine="480" w:firstLineChars="200"/>
        <w:jc w:val="left"/>
        <w:rPr>
          <w:rFonts w:hint="eastAsia" w:ascii="宋体" w:hAnsi="宋体" w:eastAsia="宋体"/>
          <w:szCs w:val="24"/>
          <w:lang w:eastAsia="zh-CN"/>
        </w:rPr>
      </w:pPr>
      <w:r>
        <w:rPr>
          <w:rFonts w:ascii="宋体" w:hAnsi="宋体"/>
          <w:sz w:val="24"/>
        </w:rPr>
        <w:t>法定代表人：</w:t>
      </w:r>
      <w:r>
        <w:rPr>
          <w:rFonts w:hint="eastAsia" w:ascii="宋体" w:hAnsi="宋体"/>
          <w:sz w:val="24"/>
          <w:lang w:eastAsia="zh-CN"/>
        </w:rPr>
        <w:t>袁庆伟（代任）</w:t>
      </w:r>
    </w:p>
    <w:p w14:paraId="5A6FC8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3A6E7C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11925A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3C4651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103FD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700087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33975C19">
      <w:pPr>
        <w:autoSpaceDE w:val="0"/>
        <w:autoSpaceDN w:val="0"/>
        <w:adjustRightInd w:val="0"/>
        <w:snapToGrid w:val="0"/>
        <w:spacing w:line="360" w:lineRule="auto"/>
        <w:ind w:firstLine="480" w:firstLineChars="200"/>
        <w:jc w:val="left"/>
        <w:rPr>
          <w:rFonts w:hint="eastAsia" w:ascii="宋体" w:hAnsi="宋体" w:eastAsia="宋体"/>
          <w:szCs w:val="24"/>
          <w:lang w:eastAsia="zh-CN"/>
        </w:rPr>
      </w:pPr>
      <w:r>
        <w:rPr>
          <w:rFonts w:ascii="宋体" w:hAnsi="宋体"/>
          <w:sz w:val="24"/>
        </w:rPr>
        <w:t>个人投资者可以通过基金管理人网上直销交易平台办理开户、本基金的申购、赎回、定期定额投资等业务，具体交易细则请参阅基金管理人网站</w:t>
      </w:r>
      <w:r>
        <w:rPr>
          <w:rFonts w:hint="eastAsia" w:ascii="宋体" w:hAnsi="宋体"/>
          <w:sz w:val="24"/>
          <w:lang w:eastAsia="zh-CN"/>
        </w:rPr>
        <w:t>。</w:t>
      </w:r>
    </w:p>
    <w:p w14:paraId="48C2BB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14:paraId="5914B4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14:paraId="2FE8572D">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本基金A类基金份额</w:t>
      </w:r>
      <w:r>
        <w:rPr>
          <w:rFonts w:hint="eastAsia" w:ascii="宋体" w:hAnsi="宋体"/>
          <w:sz w:val="24"/>
          <w:lang w:val="en-US" w:eastAsia="zh-CN"/>
        </w:rPr>
        <w:t>和C类基金份额</w:t>
      </w:r>
      <w:r>
        <w:rPr>
          <w:rFonts w:hint="eastAsia" w:ascii="宋体" w:hAnsi="宋体"/>
          <w:sz w:val="24"/>
        </w:rPr>
        <w:t>除直销机构外的其他销售机构：</w:t>
      </w:r>
    </w:p>
    <w:p w14:paraId="0AA131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14:paraId="221A22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14:paraId="4F7510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14:paraId="05BBCC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14:paraId="32D9B9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14:paraId="505E69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14:paraId="4E596D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14:paraId="5D028E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14:paraId="286E26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14:paraId="3EE9DE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14:paraId="54AC34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14:paraId="50A48B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14:paraId="1FEC44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14:paraId="07273F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14:paraId="22E5FC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14:paraId="0222E2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14:paraId="723566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14:paraId="63C3DA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14:paraId="43D3C6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（3）名称：厦门银行股份有限公司</w:t>
      </w:r>
    </w:p>
    <w:p w14:paraId="06230D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14:paraId="1787D8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400-858-8888</w:t>
      </w:r>
    </w:p>
    <w:p w14:paraId="4C81C7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www.xmbankonline.com</w:t>
      </w:r>
    </w:p>
    <w:p w14:paraId="4A75A7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（4）名称：江苏银行股份有限公司</w:t>
      </w:r>
    </w:p>
    <w:p w14:paraId="42A727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14:paraId="18934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14:paraId="3BBA56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14:paraId="4411E5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14:paraId="43AC25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14:paraId="14B2A2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14:paraId="0FC295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14:paraId="3176B4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14:paraId="472C44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（5）名称：东莞农村商业银行股份有限公司</w:t>
      </w:r>
    </w:p>
    <w:p w14:paraId="638B89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14:paraId="1DF956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14:paraId="71A8D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14:paraId="2BFFC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14:paraId="3518C7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14:paraId="423319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14:paraId="1E34D7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14:paraId="1F849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14:paraId="20F23C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（6）名称：招商银行股份有限公司</w:t>
      </w:r>
    </w:p>
    <w:p w14:paraId="127C67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14:paraId="41A24A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14:paraId="45187A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14:paraId="6A2886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14:paraId="6E3DC7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14:paraId="2A50B4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14:paraId="64976B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14:paraId="546942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14:paraId="63CF9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（7）名称：宁波银行股份有限公司</w:t>
      </w:r>
    </w:p>
    <w:p w14:paraId="1016D7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14:paraId="7E67C6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14:paraId="2C35F6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14:paraId="548149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14:paraId="4EDB84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14:paraId="5F7F12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14:paraId="6B7743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14:paraId="44A42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（8）名称：中信银行股份有限公司</w:t>
      </w:r>
    </w:p>
    <w:p w14:paraId="580007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14:paraId="1A369F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14:paraId="09AD73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14:paraId="3D608C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14:paraId="4D30C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14:paraId="2A3442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14:paraId="1CD5B2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14:paraId="69C3E1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14:paraId="40EFC8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（9）名称：中国银河证券股份有限公司</w:t>
      </w:r>
    </w:p>
    <w:p w14:paraId="1E9ED4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14:paraId="68D86B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14:paraId="4F5710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14:paraId="6E05D6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14:paraId="5C9800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14:paraId="4A3BDE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14:paraId="1D0023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14:paraId="49EBCA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（10）名称：中信证券股份有限公司</w:t>
      </w:r>
    </w:p>
    <w:p w14:paraId="31BF72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14:paraId="704EF5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14:paraId="09530A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14:paraId="5BB877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14:paraId="2A15DC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14:paraId="5E188E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14:paraId="5AF37E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（11）名称：山西证券股份有限公司</w:t>
      </w:r>
    </w:p>
    <w:p w14:paraId="317622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14:paraId="385FF6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14:paraId="2B324B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14:paraId="296B11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14:paraId="140990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14:paraId="5AF353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14:paraId="71CB6C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14:paraId="2632CA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（12）名称：国投证券股份有限公司</w:t>
      </w:r>
    </w:p>
    <w:p w14:paraId="135CFB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14:paraId="644AFE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14:paraId="13898F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14:paraId="0F2290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14:paraId="1DDD43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14:paraId="2429DD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14:paraId="421FD0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14:paraId="629914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（13）名称：中航证券有限公司</w:t>
      </w:r>
    </w:p>
    <w:p w14:paraId="7696A4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住所：南昌市红谷滩新区红谷中大道1619号国际金融大厦41楼</w:t>
      </w:r>
    </w:p>
    <w:p w14:paraId="06A3AC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办公地址：南昌市红谷滩新区红谷中大道1619号国际金融大厦41楼</w:t>
      </w:r>
    </w:p>
    <w:p w14:paraId="41BFCA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法定代表人：杜航</w:t>
      </w:r>
    </w:p>
    <w:p w14:paraId="3CDAAB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电话：（0791）86768681</w:t>
      </w:r>
    </w:p>
    <w:p w14:paraId="6D0763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传真：（0791）86770178</w:t>
      </w:r>
    </w:p>
    <w:p w14:paraId="351301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联系人：戴蕾</w:t>
      </w:r>
    </w:p>
    <w:p w14:paraId="0C6A7C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客户服务电话：400-8895-335</w:t>
      </w:r>
    </w:p>
    <w:p w14:paraId="725E4D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网址：www.avicsec.com</w:t>
      </w:r>
    </w:p>
    <w:p w14:paraId="0C0937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（14）名称：中信建投证券股份有限公司</w:t>
      </w:r>
    </w:p>
    <w:p w14:paraId="6BEB89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14:paraId="530E97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14:paraId="0D5DE8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14:paraId="5EABE7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14:paraId="499F33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14:paraId="0F0923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14:paraId="321524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14:paraId="551965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（15）名称：东方财富证券股份有限公司</w:t>
      </w:r>
    </w:p>
    <w:p w14:paraId="1B55C0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14:paraId="7A2ECC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14:paraId="1CD9CF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14:paraId="41527E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14:paraId="196942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14:paraId="72CA05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14:paraId="66D9F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14:paraId="730868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14:paraId="215326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（16）名称：国信证券股份有限公司</w:t>
      </w:r>
    </w:p>
    <w:p w14:paraId="50D642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14:paraId="469B0C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14:paraId="16CC16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14:paraId="4B95C2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14:paraId="40F796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14:paraId="3DBE28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14:paraId="3C13E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14:paraId="4AFBA3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14:paraId="21BB7C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（17）名称：华泰证券股份有限公司</w:t>
      </w:r>
    </w:p>
    <w:p w14:paraId="647201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14:paraId="6534BB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14:paraId="0A3424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14:paraId="3516D9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14:paraId="38232F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14:paraId="07F3CD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14:paraId="6C0D1B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14:paraId="43E554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14:paraId="2B8EAF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（18）名称：湘财证券股份有限公司</w:t>
      </w:r>
    </w:p>
    <w:p w14:paraId="413B48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14:paraId="03DCE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14:paraId="64B033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14:paraId="20E88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14:paraId="780C43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14:paraId="68DB4C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14:paraId="4D1C2A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14:paraId="6387D4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14:paraId="021CF5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（19）名称：兴业证券股份有限公司</w:t>
      </w:r>
    </w:p>
    <w:p w14:paraId="79BDF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14:paraId="0B6F0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14:paraId="71077B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14:paraId="0FB111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14:paraId="2F1A36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14:paraId="0C6158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14:paraId="48A424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14:paraId="76420C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（20）名称：海通证券股份有限公司</w:t>
      </w:r>
    </w:p>
    <w:p w14:paraId="0ACA6D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14:paraId="1E3E4F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14:paraId="09C64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14:paraId="01FF5B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14:paraId="71211A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14:paraId="77729D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14:paraId="72750D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14:paraId="4621FE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14:paraId="22A3D1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（21）名称：华龙证券股份有限公司</w:t>
      </w:r>
    </w:p>
    <w:p w14:paraId="5A0E15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14:paraId="522C94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14:paraId="405D11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14:paraId="1949B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14:paraId="69202F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14:paraId="3C0B3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14:paraId="183B9B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14:paraId="49FA8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14:paraId="7185C7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（22）名称：长城国瑞证券有限公司</w:t>
      </w:r>
    </w:p>
    <w:p w14:paraId="261578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14:paraId="65312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14:paraId="05EB24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14:paraId="003918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14:paraId="633691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14:paraId="301CE9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14:paraId="0CE76A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14:paraId="41D004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14:paraId="01B5C7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（23）名称：大同证券有限责任公司</w:t>
      </w:r>
    </w:p>
    <w:p w14:paraId="3E8343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14:paraId="3DE953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14:paraId="5019B4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14:paraId="72D3BF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14:paraId="3B7517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14:paraId="60F3C3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14:paraId="597671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14:paraId="289EFD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14:paraId="36A6C9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（24）名称：申万宏源证券有限公司</w:t>
      </w:r>
    </w:p>
    <w:p w14:paraId="4D6A5C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14:paraId="7C434E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14:paraId="59D1D4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14:paraId="5B33AA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14:paraId="403745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14:paraId="1D6D88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14:paraId="6C2367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14:paraId="78A7A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（25）名称：中信证券（山东）有限责任公司</w:t>
      </w:r>
    </w:p>
    <w:p w14:paraId="13E69A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14:paraId="7E85F9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14:paraId="326BE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14:paraId="72364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14:paraId="118BE0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14:paraId="545A4E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14:paraId="399C66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14:paraId="0CC8CB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14:paraId="144FA7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（26）名称：申万宏源西部证券有限公司</w:t>
      </w:r>
    </w:p>
    <w:p w14:paraId="4957F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14:paraId="3F9CE9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14:paraId="638037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14:paraId="24E85E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14:paraId="6355C5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14:paraId="245535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14:paraId="383C56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14:paraId="03164B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14:paraId="4124E9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（27）名称：江海证券有限公司</w:t>
      </w:r>
    </w:p>
    <w:p w14:paraId="45DF08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14:paraId="76873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14:paraId="49C3A2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14:paraId="2257D5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14:paraId="082AAF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14:paraId="6AAA71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14:paraId="32A1AD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14:paraId="671626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（28）名称：华鑫证券有限责任公司</w:t>
      </w:r>
    </w:p>
    <w:p w14:paraId="38749B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14:paraId="3CE84B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14:paraId="527F23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14:paraId="76437E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（29）名称：长城证券有限责任公司</w:t>
      </w:r>
    </w:p>
    <w:p w14:paraId="2BB925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14:paraId="5407EF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14:paraId="710033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14:paraId="15BD35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14:paraId="608AB1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14:paraId="579651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14:paraId="1E162F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14:paraId="0D8917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（30）名称：国金证券股份有限公司</w:t>
      </w:r>
    </w:p>
    <w:p w14:paraId="15CB09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14:paraId="055D7D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14:paraId="646BC3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14:paraId="018B83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14:paraId="6B402C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14:paraId="68CC1B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14:paraId="57A9E0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14:paraId="022F0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14:paraId="7069FF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（31）名称：国新证券股份有限公司</w:t>
      </w:r>
    </w:p>
    <w:p w14:paraId="7101C6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14:paraId="44D6E5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14:paraId="7A6C9A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14:paraId="20EA99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14:paraId="603F73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14:paraId="265EB4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14:paraId="00EEA3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14:paraId="570034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14:paraId="372519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（32）名称：华西证券股份有限公司</w:t>
      </w:r>
    </w:p>
    <w:p w14:paraId="45B2BE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14:paraId="5CF1C6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14:paraId="530F6C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14:paraId="73F5E0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14:paraId="5B175A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14:paraId="29511A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14:paraId="54A899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14:paraId="77607A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14:paraId="7036D9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（33）名称：中信证券华南股份有限公司</w:t>
      </w:r>
    </w:p>
    <w:p w14:paraId="0D1D1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14:paraId="000126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14:paraId="48D2BD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14:paraId="3577EC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14:paraId="554C3A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14:paraId="21E211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14:paraId="1594A5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14:paraId="28623E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14:paraId="692436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（34）名称：南京证券股份有限公司</w:t>
      </w:r>
    </w:p>
    <w:p w14:paraId="22B979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14:paraId="3E34BB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14:paraId="547D2F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14:paraId="5D7C5A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14:paraId="452CC3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14:paraId="1FC1EF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14:paraId="168532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14:paraId="0A347F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14:paraId="1EE10B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（35）名称：国泰海通证券股份有限公司</w:t>
      </w:r>
    </w:p>
    <w:p w14:paraId="663FCA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14:paraId="75807C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14:paraId="329F64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14:paraId="15E7EB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14:paraId="6E8922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14:paraId="50677F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14:paraId="5EF667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14:paraId="25EE2C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14:paraId="7D3300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（36）名称：深圳市新兰德证券投资咨询有限公司</w:t>
      </w:r>
    </w:p>
    <w:p w14:paraId="4C1298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14:paraId="1A4BBE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14:paraId="5C4968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14:paraId="400A2F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14:paraId="30A510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14:paraId="729027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14:paraId="7D6D66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14:paraId="46934B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14:paraId="4F06F5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（37）名称：大连网金基金销售有限公司</w:t>
      </w:r>
    </w:p>
    <w:p w14:paraId="5A3D08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14:paraId="22F262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14:paraId="444687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14:paraId="6F4D59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14:paraId="334B4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14:paraId="01DBB3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14:paraId="0FD60C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14:paraId="283712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14:paraId="2F244A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（38）名称：阳光人寿保险股份有限公司</w:t>
      </w:r>
    </w:p>
    <w:p w14:paraId="10B3D1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14:paraId="7FD5EC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14:paraId="701152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14:paraId="3DD739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14:paraId="011E41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14:paraId="092CFC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14:paraId="50FB11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14:paraId="2D0B94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14:paraId="0A2874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（39）名称：京东肯特瑞基金销售有限公司</w:t>
      </w:r>
    </w:p>
    <w:p w14:paraId="267183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14:paraId="2B7D0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14:paraId="2BA89C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14:paraId="53E76F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14:paraId="2EFB78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14:paraId="2D43F7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458F24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14:paraId="683C6A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14:paraId="046E07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（40）名称：和耕传承基金销售有限公司</w:t>
      </w:r>
    </w:p>
    <w:p w14:paraId="6DE075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14:paraId="222339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14:paraId="3AB676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14:paraId="0C5D4C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14:paraId="0F6709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14:paraId="61DBEF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14:paraId="4D81DA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14:paraId="579480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14:paraId="529020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（41）名称：腾安基金销售（深圳）有限公司</w:t>
      </w:r>
    </w:p>
    <w:p w14:paraId="227AD7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14:paraId="3351C4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14:paraId="4FC404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14:paraId="1BBFBA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14:paraId="0E21F0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14:paraId="7C26D7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14:paraId="4FB3B0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14:paraId="17FCBD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（42）名称：珠海盈米基金销售有限公司</w:t>
      </w:r>
    </w:p>
    <w:p w14:paraId="197997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14:paraId="14B2BC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14:paraId="3AA0AF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14:paraId="026D43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14:paraId="15CC90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14:paraId="2C393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14:paraId="31609C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14:paraId="32D28B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14:paraId="559272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（43）名称：北京度小满基金销售有限公司</w:t>
      </w:r>
    </w:p>
    <w:p w14:paraId="0A8359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14:paraId="224DD8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14:paraId="32FFCE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14:paraId="4D14A1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14:paraId="13C4DA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14:paraId="7FB9A8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14:paraId="16A26D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14:paraId="18734B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14:paraId="07A6DA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（44）名称：南京苏宁基金销售有限公司</w:t>
      </w:r>
    </w:p>
    <w:p w14:paraId="27C11D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14:paraId="436922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14:paraId="74ED1A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14:paraId="75983A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14:paraId="21B2C3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14:paraId="7AC514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14:paraId="3FA5FE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14:paraId="7C30AF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14:paraId="163C0B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（45）名称：嘉实财富管理有限公司</w:t>
      </w:r>
    </w:p>
    <w:p w14:paraId="1F5134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14:paraId="086492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14:paraId="575189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14:paraId="67A0C6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14:paraId="7FD9F1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14:paraId="4A22B4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14:paraId="56C66D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14:paraId="79F9E6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（46）名称：北京汇成基金销售有限公司</w:t>
      </w:r>
    </w:p>
    <w:p w14:paraId="1860D0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14:paraId="6572E8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14:paraId="0C6026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14:paraId="0C530C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14:paraId="462C99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14:paraId="32FAD6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4305F4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14:paraId="0213BA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14:paraId="4112D8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（47）名称：上海利得基金销售有限公司</w:t>
      </w:r>
    </w:p>
    <w:p w14:paraId="368927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14:paraId="23C197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14:paraId="1C31B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14:paraId="1F83A1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14:paraId="5F02D3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14:paraId="321BAF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14:paraId="7DC8C8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14:paraId="3B53FC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14:paraId="333097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（48）名称：上海陆金所基金销售有限公司</w:t>
      </w:r>
    </w:p>
    <w:p w14:paraId="653444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14:paraId="3FF1F9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14:paraId="1CDD4A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14:paraId="2787A5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14:paraId="71DA3B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14:paraId="5FB7BB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14:paraId="366E92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14:paraId="2EB11C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14:paraId="662D3D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（49）名称：上海挖财基金销售有限公司</w:t>
      </w:r>
    </w:p>
    <w:p w14:paraId="7F2467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14:paraId="07726B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14:paraId="1199CE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14:paraId="5EF140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14:paraId="4C0C64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14:paraId="6AFE4F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14:paraId="120850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14:paraId="78ACB6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14:paraId="27B2C5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14:paraId="6E71B6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（50）名称：万家财富基金销售（天津）有限公司</w:t>
      </w:r>
    </w:p>
    <w:p w14:paraId="704006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14:paraId="06CC5C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14:paraId="42DF2C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14:paraId="7B9BCF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14:paraId="7A3D2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14:paraId="4F854A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14:paraId="5E966F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14:paraId="6156A2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14:paraId="4FE485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（51）名称：上海万得基金销售有限公司</w:t>
      </w:r>
    </w:p>
    <w:p w14:paraId="78095E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14:paraId="395257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14:paraId="421681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14:paraId="0D8C6D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14:paraId="7E6870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14:paraId="136941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14:paraId="063F8C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14:paraId="2F523D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14:paraId="6D3D09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（52）名称：深圳市金斧子基金销售有限公司</w:t>
      </w:r>
    </w:p>
    <w:p w14:paraId="76ECEF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14:paraId="504A65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14:paraId="54F687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14:paraId="1CD58F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14:paraId="6E98B9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14:paraId="2354D8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14:paraId="5509AA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14:paraId="7DA0D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14:paraId="3F105E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（53）名称：北京雪球基金销售有限公司</w:t>
      </w:r>
    </w:p>
    <w:p w14:paraId="60110B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14:paraId="04F974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14:paraId="6B09EB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14:paraId="1D12A7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14:paraId="3F3B3E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14:paraId="49C342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14:paraId="610836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14:paraId="1389CD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14:paraId="06E416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（54）名称：北京新浪仓石基金销售有限公司</w:t>
      </w:r>
    </w:p>
    <w:p w14:paraId="3C82E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14:paraId="39DA6D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14:paraId="0581AD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14:paraId="289226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14:paraId="6FCAC4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14:paraId="7E7F2F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14:paraId="7226B0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14:paraId="7069F7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（55）名称：中证金牛（北京）基金销售有限公司</w:t>
      </w:r>
    </w:p>
    <w:p w14:paraId="22934C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14:paraId="7F0B7B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14:paraId="20C4A1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14:paraId="3F3A98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14:paraId="556C57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14:paraId="28ABDD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14:paraId="6C31CE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14:paraId="417C09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14:paraId="0E20AE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（56）名称：上海证达通基金销售有限公司</w:t>
      </w:r>
    </w:p>
    <w:p w14:paraId="332E69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14:paraId="08DEA1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14:paraId="73E47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14:paraId="289D6F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14:paraId="4625D3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14:paraId="7478CB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14:paraId="0EF09E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14:paraId="213E61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14:paraId="1E7D83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（57）名称：奕丰基金销售有限公司</w:t>
      </w:r>
    </w:p>
    <w:p w14:paraId="3BB860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14:paraId="383A38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14:paraId="317384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14:paraId="40548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14:paraId="299521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14:paraId="5C2D84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14:paraId="4227FC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14:paraId="4495D3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14:paraId="3FA68C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（58）名称：上海天天基金销售有限公司</w:t>
      </w:r>
    </w:p>
    <w:p w14:paraId="7331AE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14:paraId="7548BE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14:paraId="794B80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14:paraId="623E02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14:paraId="4817AD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14:paraId="7A8234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14:paraId="0FB7F5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14:paraId="4BC705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14:paraId="095F77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（59）名称：诺亚正行基金销售有限公司</w:t>
      </w:r>
    </w:p>
    <w:p w14:paraId="60F3A4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14:paraId="5AB118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14:paraId="2388F1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14:paraId="79C469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14:paraId="7C4759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14:paraId="76A4D8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14:paraId="16DD06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14:paraId="3D00ED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14:paraId="389B8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（60）名称：上海好买基金销售有限公司</w:t>
      </w:r>
    </w:p>
    <w:p w14:paraId="1AC970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14:paraId="19EE67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14:paraId="5D4B32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14:paraId="352E9C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14:paraId="313ACE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14:paraId="7AE2DA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14:paraId="32F92E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14:paraId="246A2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（61）名称：上海长量基金销售有限公司</w:t>
      </w:r>
    </w:p>
    <w:p w14:paraId="4AFEF6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14:paraId="4874B8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14:paraId="072679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14:paraId="2350DC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14:paraId="6DD690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14:paraId="23FE1B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14:paraId="150104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14:paraId="3C6648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14:paraId="2D0808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（62）名称：深圳众禄基金销售股份有限公司</w:t>
      </w:r>
    </w:p>
    <w:p w14:paraId="675BD7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14:paraId="775D0B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14:paraId="73DD56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3872EF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14:paraId="0CC937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14:paraId="45C222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14:paraId="0ADEAF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14:paraId="2E486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14:paraId="431EED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（63）名称：蚂蚁（杭州）基金销售有限公司</w:t>
      </w:r>
    </w:p>
    <w:p w14:paraId="642902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14:paraId="4E8511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14:paraId="6A308D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14:paraId="7DE6F5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14:paraId="0F7016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14:paraId="79DF79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14:paraId="365B8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14:paraId="21FBBB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14:paraId="02CA4C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（64）名称：中信期货有限公司</w:t>
      </w:r>
    </w:p>
    <w:p w14:paraId="0E4CDD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14:paraId="27E4F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14:paraId="338A79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14:paraId="5AE23B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14:paraId="36D1D1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14:paraId="7429BF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14:paraId="78819B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14:paraId="4B30D6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14:paraId="193ABC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（65）名称：上海基煜基金销售有限公司</w:t>
      </w:r>
    </w:p>
    <w:p w14:paraId="0145C3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14:paraId="7057B0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14:paraId="2BCDF7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14:paraId="5006FF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14:paraId="733E28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14:paraId="778137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14:paraId="2161E9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14:paraId="4C1234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14:paraId="416D3A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（66）名称：浙江同花顺基金销售有限公司</w:t>
      </w:r>
    </w:p>
    <w:p w14:paraId="0B4720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14:paraId="60346D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14:paraId="7B08E2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14:paraId="3260BB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14:paraId="6EFA6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14:paraId="284D70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14:paraId="6D34B0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14:paraId="71B28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14:paraId="726CD0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（67）名称：宜信普泽（北京）基金销售有限公司</w:t>
      </w:r>
    </w:p>
    <w:p w14:paraId="391719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14:paraId="1628C8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14:paraId="19A029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14:paraId="10B11F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14:paraId="766350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771F34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14:paraId="73859C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14:paraId="58DBC3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14:paraId="10A7AD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（68）名称：上海联泰基金销售有限公司</w:t>
      </w:r>
    </w:p>
    <w:p w14:paraId="3CE456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14:paraId="16999D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14:paraId="094EF1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14:paraId="5F3902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14:paraId="25E423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14:paraId="21AD8E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14:paraId="62009C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14:paraId="6B85E4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14:paraId="1EEE31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（69）名称：泛华普益基金销售有限公司</w:t>
      </w:r>
    </w:p>
    <w:p w14:paraId="7E8517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14:paraId="35CB4C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14:paraId="7AC68B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14:paraId="5A9DEB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14:paraId="268B4A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20C74D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14:paraId="70CBF9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14:paraId="5F7A35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14:paraId="11B04A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（70）名称：北京展恒基金销售股份有限公司</w:t>
      </w:r>
    </w:p>
    <w:p w14:paraId="01D7F3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14:paraId="325839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14:paraId="17F994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14:paraId="7B28A2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14:paraId="5BA68B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14:paraId="439BC9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14:paraId="3E090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14:paraId="341A32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14:paraId="26C3B1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（71）名称：北京创金启富基金销售有限公司</w:t>
      </w:r>
    </w:p>
    <w:p w14:paraId="4EF890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14:paraId="06021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14:paraId="0BCB23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14:paraId="6EB33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14:paraId="619B5B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14:paraId="63033D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14:paraId="4E82C3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14:paraId="173905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14:paraId="77D9BE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（72）名称：济安财富（北京）基金销售有限公司</w:t>
      </w:r>
    </w:p>
    <w:p w14:paraId="6AF82A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14:paraId="7731AF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14:paraId="3F7A7F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14:paraId="585665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14:paraId="6096C6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14:paraId="3BBD75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14:paraId="218DC2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14:paraId="26DE2A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14:paraId="5D2C99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（73）名称：博时财富基金销售有限公司</w:t>
      </w:r>
    </w:p>
    <w:p w14:paraId="0757DB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14:paraId="6FC2B7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14:paraId="6B9D07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14:paraId="69B1B9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14:paraId="0CB485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14:paraId="6DAD36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14:paraId="612B06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14:paraId="5D6D14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14:paraId="33CC7D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（74）名称：上海中欧财富基金销售有限公司</w:t>
      </w:r>
    </w:p>
    <w:p w14:paraId="26748E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14:paraId="768C12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14:paraId="76F0F3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14:paraId="43E91E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14:paraId="40B871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14:paraId="2B16A2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14:paraId="52816D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14:paraId="4763CC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14:paraId="0DB5CC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（75）名称：深圳前海微众银行股份有限公司</w:t>
      </w:r>
    </w:p>
    <w:p w14:paraId="7BC06F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14:paraId="2E1F0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14:paraId="0F895D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14:paraId="75C531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14:paraId="2A77FB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14:paraId="67DE22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14:paraId="4D7201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14:paraId="7D898A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14:paraId="478BEC5A">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本基金Y类基金份额的销售机构详见基金管理人网站公示或相关公告。</w:t>
      </w:r>
    </w:p>
    <w:p w14:paraId="21EA29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14:paraId="3D8B08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14:paraId="61FA97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14:paraId="2AF1CC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14:paraId="7D8EE9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14:paraId="25A877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14:paraId="1B2FC1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14:paraId="73B2BC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14:paraId="2B9126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14:paraId="1E1480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14:paraId="634D0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14:paraId="412F1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14:paraId="208EEB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14:paraId="142688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14:paraId="49F0B7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14:paraId="572915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14:paraId="710EB4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14:paraId="00BBEB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14:paraId="26E147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14:paraId="004974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14:paraId="6C4EC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14:paraId="6C7CE3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14:paraId="596D86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14:paraId="036099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14:paraId="40E37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14:paraId="2520B0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14:paraId="6A9EF2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14:paraId="63FA320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0F523D6">
      <w:pPr>
        <w:pStyle w:val="2"/>
        <w:snapToGrid w:val="0"/>
        <w:spacing w:before="240" w:beforeLines="0" w:after="240"/>
        <w:rPr>
          <w:rFonts w:ascii="宋体" w:hAnsi="宋体"/>
          <w:szCs w:val="30"/>
        </w:rPr>
      </w:pPr>
      <w:bookmarkStart w:id="8" w:name="_Toc231197037"/>
      <w:r>
        <w:rPr>
          <w:rFonts w:ascii="Times New Roman" w:hAnsi="Times New Roman"/>
          <w:sz w:val="30"/>
        </w:rPr>
        <w:t>六、基金的募集</w:t>
      </w:r>
      <w:bookmarkEnd w:id="8"/>
    </w:p>
    <w:p w14:paraId="322EB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本基金由基金管理人依照《基金法》、《运作办法》、《销售办法》、基金合同及其他有关规定，并经中国证监会2021年2月1日证监许可【2021】334号文准予募集注册。</w:t>
      </w:r>
    </w:p>
    <w:p w14:paraId="17E500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14:paraId="123B6A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14:paraId="0C1323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本基金于2021年7月28日至2021年8月19日进行发售，本基金设立募集期共募集8,989,864,235.49份基金份额，有效认购户数为49,258户。</w:t>
      </w:r>
    </w:p>
    <w:p w14:paraId="0826E19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62203FD">
      <w:pPr>
        <w:pStyle w:val="2"/>
        <w:snapToGrid w:val="0"/>
        <w:spacing w:before="240" w:beforeLines="0" w:after="240"/>
        <w:rPr>
          <w:rFonts w:ascii="宋体" w:hAnsi="宋体"/>
          <w:szCs w:val="30"/>
        </w:rPr>
      </w:pPr>
      <w:bookmarkStart w:id="9" w:name="_Toc231197038"/>
      <w:r>
        <w:rPr>
          <w:rFonts w:ascii="Times New Roman" w:hAnsi="Times New Roman"/>
          <w:sz w:val="30"/>
        </w:rPr>
        <w:t>七、基金合同的生效</w:t>
      </w:r>
      <w:bookmarkEnd w:id="9"/>
    </w:p>
    <w:p w14:paraId="082B80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根据有关规定，本基金满足基金合同生效条件，基金合同已于2021年8月24日正式生效。自基金合同生效之日起，本基金管理人正式开始管理本基金。</w:t>
      </w:r>
    </w:p>
    <w:p w14:paraId="1B3910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14:paraId="41861A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14:paraId="678AE99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565EAD8">
      <w:pPr>
        <w:pStyle w:val="2"/>
        <w:snapToGrid w:val="0"/>
        <w:spacing w:before="240" w:beforeLines="0" w:after="240"/>
        <w:rPr>
          <w:rFonts w:ascii="宋体" w:hAnsi="宋体"/>
          <w:szCs w:val="30"/>
        </w:rPr>
      </w:pPr>
      <w:bookmarkStart w:id="10" w:name="_Toc231197039"/>
      <w:r>
        <w:rPr>
          <w:rFonts w:ascii="Times New Roman" w:hAnsi="Times New Roman"/>
          <w:sz w:val="30"/>
        </w:rPr>
        <w:t>八、基金份额的申购与赎回</w:t>
      </w:r>
      <w:bookmarkEnd w:id="10"/>
    </w:p>
    <w:p w14:paraId="1AF0F31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（一）申购和赎回的场所</w:t>
      </w:r>
    </w:p>
    <w:p w14:paraId="6EDBEA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14:paraId="0F165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14:paraId="0701B9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14:paraId="50D66B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4474F7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B7A6E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1DF881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0D1FAC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0CDCD0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4833E7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0D4246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6E9B11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14:paraId="7C5E2F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14:paraId="6915D8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14:paraId="0732CF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14:paraId="7D4056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14:paraId="0E16A7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14:paraId="0B9389ED">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（二）申购和赎回的开放日及时间</w:t>
      </w:r>
    </w:p>
    <w:p w14:paraId="5C8C91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14:paraId="71375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w:t>
      </w:r>
    </w:p>
    <w:p w14:paraId="0B2C7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14:paraId="6A5479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14:paraId="07B39B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rPr>
        <w:t>A类基金份额</w:t>
      </w:r>
      <w:r>
        <w:rPr>
          <w:rFonts w:hint="eastAsia" w:ascii="宋体" w:hAnsi="宋体"/>
          <w:sz w:val="24"/>
          <w:lang w:val="en-US" w:eastAsia="zh-CN"/>
        </w:rPr>
        <w:t>和C类基金份额</w:t>
      </w:r>
      <w:r>
        <w:rPr>
          <w:rFonts w:ascii="宋体" w:hAnsi="宋体"/>
          <w:sz w:val="24"/>
        </w:rPr>
        <w:t>已于2021年10月11日起开放申购业务。</w:t>
      </w:r>
    </w:p>
    <w:p w14:paraId="76E27E53">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本基金</w:t>
      </w:r>
      <w:r>
        <w:rPr>
          <w:rFonts w:hint="eastAsia" w:ascii="宋体" w:hAnsi="宋体"/>
          <w:sz w:val="24"/>
        </w:rPr>
        <w:t>A类基金份额</w:t>
      </w:r>
      <w:r>
        <w:rPr>
          <w:rFonts w:hint="eastAsia" w:ascii="宋体" w:hAnsi="宋体"/>
          <w:sz w:val="24"/>
          <w:lang w:val="en-US" w:eastAsia="zh-CN"/>
        </w:rPr>
        <w:t>和C类基金份额</w:t>
      </w:r>
      <w:r>
        <w:rPr>
          <w:rFonts w:ascii="宋体" w:hAnsi="宋体"/>
          <w:sz w:val="24"/>
        </w:rPr>
        <w:t>已于2022年8月24日起开放赎回业务。</w:t>
      </w:r>
    </w:p>
    <w:p w14:paraId="55E4A702">
      <w:pPr>
        <w:spacing w:line="360" w:lineRule="auto"/>
        <w:ind w:firstLine="480" w:firstLineChars="200"/>
        <w:rPr>
          <w:rFonts w:hint="eastAsia" w:ascii="宋体" w:hAnsi="宋体"/>
          <w:sz w:val="24"/>
        </w:rPr>
      </w:pPr>
      <w:r>
        <w:rPr>
          <w:rFonts w:hint="eastAsia" w:ascii="宋体" w:hAnsi="宋体"/>
          <w:sz w:val="24"/>
        </w:rPr>
        <w:t>本基金Y类基金份额开放申购、赎回业务的时间另行公告。</w:t>
      </w:r>
    </w:p>
    <w:p w14:paraId="2C67EBC4">
      <w:pPr>
        <w:autoSpaceDE/>
        <w:autoSpaceDN/>
        <w:adjustRightInd/>
        <w:snapToGrid/>
        <w:spacing w:line="360" w:lineRule="auto"/>
        <w:ind w:firstLine="480" w:firstLineChars="200"/>
        <w:jc w:val="left"/>
        <w:rPr>
          <w:rFonts w:ascii="宋体" w:hAnsi="宋体"/>
          <w:sz w:val="24"/>
        </w:rPr>
      </w:pPr>
      <w:r>
        <w:rPr>
          <w:rFonts w:hint="eastAsia"/>
          <w:bCs/>
          <w:sz w:val="24"/>
        </w:rPr>
        <w:t>基金管理人自</w:t>
      </w:r>
      <w:r>
        <w:rPr>
          <w:rFonts w:hint="eastAsia" w:ascii="宋体" w:hAnsi="宋体"/>
          <w:sz w:val="24"/>
        </w:rPr>
        <w:t>A类基金份额</w:t>
      </w:r>
      <w:r>
        <w:rPr>
          <w:rFonts w:hint="eastAsia" w:ascii="宋体" w:hAnsi="宋体"/>
          <w:sz w:val="24"/>
          <w:lang w:val="en-US" w:eastAsia="zh-CN"/>
        </w:rPr>
        <w:t>和C类基金份额</w:t>
      </w:r>
      <w:r>
        <w:rPr>
          <w:rFonts w:hint="eastAsia"/>
          <w:bCs/>
          <w:sz w:val="24"/>
        </w:rPr>
        <w:t>基金合同生效之日起一年后的年度对日（含该日）开始办理赎回，具体业务办理时间在赎回开始公告中规定。</w:t>
      </w:r>
      <w:r>
        <w:rPr>
          <w:rFonts w:hint="eastAsia" w:ascii="宋体" w:hAnsi="宋体"/>
          <w:sz w:val="24"/>
          <w:lang w:val="en-US" w:eastAsia="zh-CN"/>
        </w:rPr>
        <w:t>本基金</w:t>
      </w:r>
      <w:r>
        <w:rPr>
          <w:rFonts w:hint="eastAsia" w:ascii="宋体" w:hAnsi="宋体"/>
          <w:sz w:val="24"/>
        </w:rPr>
        <w:t>自Y类基金份额开放申购业务之日起至</w:t>
      </w:r>
      <w:r>
        <w:rPr>
          <w:rFonts w:hint="eastAsia" w:ascii="宋体" w:hAnsi="宋体"/>
          <w:sz w:val="24"/>
          <w:lang w:val="en-US" w:eastAsia="zh-CN"/>
        </w:rPr>
        <w:t>一</w:t>
      </w:r>
      <w:r>
        <w:rPr>
          <w:rFonts w:hint="eastAsia" w:ascii="宋体" w:hAnsi="宋体"/>
          <w:sz w:val="24"/>
        </w:rPr>
        <w:t>年后的年度对日（含该日）开始办理Y类基金份额的赎回，具体业务办理时间在赎回开始公告中规定。</w:t>
      </w:r>
    </w:p>
    <w:p w14:paraId="1DA214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14:paraId="706AC0B0">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（三）申购与赎回的原则</w:t>
      </w:r>
    </w:p>
    <w:p w14:paraId="49AB1C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14:paraId="548CE7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14:paraId="67765B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14:paraId="7FE940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14:paraId="360449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14:paraId="47C388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14:paraId="4BEA83B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（四）申购和赎回的数额限定</w:t>
      </w:r>
    </w:p>
    <w:p w14:paraId="329B0A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14:paraId="557A36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14:paraId="45AA40B2">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基金管理人可对Y类基金份额实施不同的申购金额限制或豁免申购限制，敬请投资者留意本基金管理人的有关公告。</w:t>
      </w:r>
    </w:p>
    <w:p w14:paraId="04F32D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14:paraId="114D27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14:paraId="2BABD2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14:paraId="1D0C00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14:paraId="062DF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14:paraId="117402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14:paraId="0D4C9EAF">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（五）申购和赎回的程序</w:t>
      </w:r>
    </w:p>
    <w:p w14:paraId="606DED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14:paraId="2378B3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14:paraId="24024B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14:paraId="390959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14:paraId="5B2A09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14:paraId="52313C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14:paraId="36D5B8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14:paraId="7D3D6C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14:paraId="79086D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14:paraId="274D32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14:paraId="1ACABF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14:paraId="0AB7A2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（2）投资人T日赎回基金成功后，正常情况下，登记机构在T＋2日为投资人扣除权益并办理相应的登记手续。</w:t>
      </w:r>
    </w:p>
    <w:p w14:paraId="13AE94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14:paraId="05D0B1A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（六）基金的申购费和赎回费</w:t>
      </w:r>
    </w:p>
    <w:p w14:paraId="0AA1D6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14:paraId="785768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w:t>
      </w:r>
      <w:r>
        <w:rPr>
          <w:rFonts w:hint="eastAsia" w:ascii="宋体" w:hAnsi="宋体"/>
          <w:sz w:val="24"/>
          <w:lang w:eastAsia="zh-CN"/>
        </w:rPr>
        <w:t>、</w:t>
      </w:r>
      <w:r>
        <w:rPr>
          <w:rFonts w:ascii="宋体" w:hAnsi="宋体"/>
          <w:sz w:val="24"/>
        </w:rPr>
        <w:t>C类基金份额</w:t>
      </w:r>
      <w:r>
        <w:rPr>
          <w:rFonts w:hint="eastAsia" w:ascii="宋体" w:hAnsi="宋体"/>
          <w:sz w:val="24"/>
          <w:lang w:val="en-US" w:eastAsia="zh-CN"/>
        </w:rPr>
        <w:t>和Y类基金份额</w:t>
      </w:r>
      <w:r>
        <w:rPr>
          <w:rFonts w:ascii="宋体" w:hAnsi="宋体"/>
          <w:sz w:val="24"/>
        </w:rPr>
        <w:t>。投资人申购A类基金份额</w:t>
      </w:r>
      <w:r>
        <w:rPr>
          <w:rFonts w:hint="eastAsia" w:ascii="宋体" w:hAnsi="宋体"/>
          <w:sz w:val="24"/>
          <w:lang w:val="en-US" w:eastAsia="zh-CN"/>
        </w:rPr>
        <w:t>和Y类基金份额</w:t>
      </w:r>
      <w:r>
        <w:rPr>
          <w:rFonts w:ascii="宋体" w:hAnsi="宋体"/>
          <w:sz w:val="24"/>
        </w:rPr>
        <w:t>在申购时支付申购费用</w:t>
      </w:r>
      <w:r>
        <w:rPr>
          <w:rFonts w:hint="eastAsia"/>
          <w:bCs/>
          <w:sz w:val="24"/>
        </w:rPr>
        <w:t>（其中，对于投资人通过直销机构申购</w:t>
      </w:r>
      <w:r>
        <w:rPr>
          <w:rFonts w:hint="eastAsia" w:ascii="宋体" w:hAnsi="宋体"/>
          <w:sz w:val="24"/>
          <w:lang w:val="en-US" w:eastAsia="zh-CN"/>
        </w:rPr>
        <w:t>Y类</w:t>
      </w:r>
      <w:r>
        <w:rPr>
          <w:rFonts w:hint="eastAsia"/>
          <w:bCs/>
          <w:sz w:val="24"/>
        </w:rPr>
        <w:t>基金份额时不支付申购费用）</w:t>
      </w:r>
      <w:r>
        <w:rPr>
          <w:rFonts w:ascii="宋体" w:hAnsi="宋体"/>
          <w:sz w:val="24"/>
        </w:rPr>
        <w:t>；申购C类基金份额不支付申购费用，并从该类别基金资产中计提销售服务费。</w:t>
      </w:r>
    </w:p>
    <w:p w14:paraId="4B3AD8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w:t>
      </w:r>
      <w:r>
        <w:rPr>
          <w:rFonts w:hint="eastAsia" w:ascii="宋体" w:hAnsi="宋体"/>
          <w:sz w:val="24"/>
          <w:lang w:val="en-US" w:eastAsia="zh-CN"/>
        </w:rPr>
        <w:t>和Y类基金份额</w:t>
      </w:r>
      <w:r>
        <w:rPr>
          <w:rFonts w:ascii="宋体" w:hAnsi="宋体"/>
          <w:sz w:val="24"/>
        </w:rPr>
        <w:t>的申购费用由</w:t>
      </w:r>
      <w:r>
        <w:rPr>
          <w:rFonts w:hint="eastAsia" w:ascii="宋体" w:hAnsi="宋体"/>
          <w:sz w:val="24"/>
          <w:lang w:val="en-US" w:eastAsia="zh-CN"/>
        </w:rPr>
        <w:t>该</w:t>
      </w:r>
      <w:r>
        <w:rPr>
          <w:rFonts w:ascii="宋体" w:hAnsi="宋体"/>
          <w:sz w:val="24"/>
        </w:rPr>
        <w:t>类基金份额申购人承担</w:t>
      </w:r>
      <w:r>
        <w:rPr>
          <w:rFonts w:hint="eastAsia" w:ascii="宋体" w:hAnsi="宋体"/>
          <w:sz w:val="24"/>
        </w:rPr>
        <w:t>（其中，对于投资人通过直销机构申购Y类基金份额时不支付申购费用）</w:t>
      </w:r>
      <w:r>
        <w:rPr>
          <w:rFonts w:ascii="宋体" w:hAnsi="宋体"/>
          <w:sz w:val="24"/>
        </w:rPr>
        <w:t>，不列入基金财产，主要用于本基金的市场推广、销售、登记结算等各项费用。</w:t>
      </w:r>
    </w:p>
    <w:p w14:paraId="6653D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14:paraId="49AE87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w:t>
      </w:r>
      <w:r>
        <w:rPr>
          <w:rFonts w:hint="eastAsia" w:ascii="宋体" w:hAnsi="宋体"/>
          <w:sz w:val="24"/>
          <w:lang w:val="en-US" w:eastAsia="zh-CN"/>
        </w:rPr>
        <w:t>和</w:t>
      </w:r>
      <w:r>
        <w:rPr>
          <w:rFonts w:hint="eastAsia" w:hAnsi="宋体"/>
          <w:sz w:val="24"/>
          <w:szCs w:val="24"/>
        </w:rPr>
        <w:t>通过其他销售机构</w:t>
      </w:r>
      <w:r>
        <w:rPr>
          <w:rFonts w:hint="eastAsia" w:hAnsi="宋体"/>
          <w:sz w:val="24"/>
          <w:szCs w:val="24"/>
          <w:lang w:val="en-US" w:eastAsia="zh-CN"/>
        </w:rPr>
        <w:t>申购</w:t>
      </w:r>
      <w:r>
        <w:rPr>
          <w:rFonts w:hint="eastAsia" w:ascii="宋体" w:hAnsi="宋体"/>
          <w:sz w:val="24"/>
          <w:lang w:val="en-US" w:eastAsia="zh-CN"/>
        </w:rPr>
        <w:t>Y类基金份额</w:t>
      </w:r>
      <w:r>
        <w:rPr>
          <w:rFonts w:ascii="宋体" w:hAnsi="宋体"/>
          <w:sz w:val="24"/>
        </w:rPr>
        <w:t>的申购费率如下：</w:t>
      </w:r>
    </w:p>
    <w:tbl>
      <w:tblPr>
        <w:tblStyle w:val="14"/>
        <w:tblW w:w="5005" w:type="pct"/>
        <w:tblInd w:w="0" w:type="dxa"/>
        <w:tblLayout w:type="autofit"/>
        <w:tblCellMar>
          <w:top w:w="0" w:type="dxa"/>
          <w:left w:w="0" w:type="dxa"/>
          <w:bottom w:w="0" w:type="dxa"/>
          <w:right w:w="0" w:type="dxa"/>
        </w:tblCellMar>
      </w:tblPr>
      <w:tblGrid>
        <w:gridCol w:w="3616"/>
        <w:gridCol w:w="5063"/>
      </w:tblGrid>
      <w:tr w14:paraId="2567D139">
        <w:tblPrEx>
          <w:tblCellMar>
            <w:top w:w="0" w:type="dxa"/>
            <w:left w:w="0" w:type="dxa"/>
            <w:bottom w:w="0" w:type="dxa"/>
            <w:right w:w="0" w:type="dxa"/>
          </w:tblCellMar>
        </w:tblPrEx>
        <w:trPr>
          <w:cantSplit/>
          <w:trHeight w:val="375" w:hRule="atLeast"/>
        </w:trPr>
        <w:tc>
          <w:tcPr>
            <w:tcW w:w="2083" w:type="pct"/>
            <w:tcBorders>
              <w:top w:val="single" w:color="auto" w:sz="4" w:space="0"/>
              <w:left w:val="single" w:color="auto" w:sz="4" w:space="0"/>
              <w:bottom w:val="single" w:color="auto" w:sz="4" w:space="0"/>
              <w:right w:val="single" w:color="auto" w:sz="4" w:space="0"/>
            </w:tcBorders>
            <w:vAlign w:val="center"/>
          </w:tcPr>
          <w:p w14:paraId="5E4142F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2916" w:type="pct"/>
            <w:tcBorders>
              <w:top w:val="single" w:color="auto" w:sz="4" w:space="0"/>
              <w:left w:val="single" w:color="auto" w:sz="4" w:space="0"/>
              <w:bottom w:val="single" w:color="auto" w:sz="4" w:space="0"/>
              <w:right w:val="single" w:color="auto" w:sz="4" w:space="0"/>
            </w:tcBorders>
            <w:vAlign w:val="center"/>
          </w:tcPr>
          <w:p w14:paraId="06C33776">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w:t>
            </w:r>
            <w:r>
              <w:rPr>
                <w:rFonts w:hint="eastAsia" w:ascii="Times New Roman" w:hAnsi="Times New Roman"/>
                <w:color w:val="000000"/>
                <w:kern w:val="0"/>
                <w:sz w:val="25"/>
                <w:szCs w:val="24"/>
              </w:rPr>
              <w:t>/</w:t>
            </w:r>
            <w:r>
              <w:rPr>
                <w:rFonts w:ascii="Times New Roman" w:hAnsi="Times New Roman"/>
                <w:color w:val="000000"/>
                <w:kern w:val="0"/>
                <w:sz w:val="25"/>
                <w:szCs w:val="24"/>
              </w:rPr>
              <w:t>Y</w:t>
            </w:r>
            <w:r>
              <w:rPr>
                <w:rFonts w:hint="eastAsia" w:ascii="Times New Roman" w:hAnsi="Times New Roman"/>
                <w:color w:val="000000"/>
                <w:kern w:val="0"/>
                <w:sz w:val="25"/>
                <w:szCs w:val="24"/>
              </w:rPr>
              <w:t>类</w:t>
            </w:r>
            <w:r>
              <w:rPr>
                <w:rFonts w:ascii="Times New Roman" w:hAnsi="Times New Roman"/>
                <w:color w:val="000000"/>
                <w:kern w:val="0"/>
                <w:sz w:val="25"/>
                <w:szCs w:val="24"/>
              </w:rPr>
              <w:t>基金份额申购费率</w:t>
            </w:r>
          </w:p>
        </w:tc>
      </w:tr>
      <w:tr w14:paraId="7A9A3F86">
        <w:tblPrEx>
          <w:tblCellMar>
            <w:top w:w="0" w:type="dxa"/>
            <w:left w:w="0" w:type="dxa"/>
            <w:bottom w:w="0" w:type="dxa"/>
            <w:right w:w="0" w:type="dxa"/>
          </w:tblCellMar>
        </w:tblPrEx>
        <w:trPr>
          <w:cantSplit/>
          <w:trHeight w:val="375" w:hRule="atLeast"/>
        </w:trPr>
        <w:tc>
          <w:tcPr>
            <w:tcW w:w="2083" w:type="pct"/>
            <w:tcBorders>
              <w:top w:val="single" w:color="auto" w:sz="4" w:space="0"/>
              <w:left w:val="single" w:color="auto" w:sz="4" w:space="0"/>
              <w:bottom w:val="single" w:color="auto" w:sz="4" w:space="0"/>
              <w:right w:val="single" w:color="auto" w:sz="4" w:space="0"/>
            </w:tcBorders>
            <w:vAlign w:val="center"/>
          </w:tcPr>
          <w:p w14:paraId="217B9104">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500万元以下</w:t>
            </w:r>
          </w:p>
        </w:tc>
        <w:tc>
          <w:tcPr>
            <w:tcW w:w="2916" w:type="pct"/>
            <w:tcBorders>
              <w:top w:val="single" w:color="auto" w:sz="4" w:space="0"/>
              <w:left w:val="single" w:color="auto" w:sz="4" w:space="0"/>
              <w:bottom w:val="single" w:color="auto" w:sz="4" w:space="0"/>
              <w:right w:val="single" w:color="auto" w:sz="4" w:space="0"/>
            </w:tcBorders>
            <w:vAlign w:val="center"/>
          </w:tcPr>
          <w:p w14:paraId="76E9A9FB">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14:paraId="1995942A">
        <w:tblPrEx>
          <w:tblCellMar>
            <w:top w:w="0" w:type="dxa"/>
            <w:left w:w="0" w:type="dxa"/>
            <w:bottom w:w="0" w:type="dxa"/>
            <w:right w:w="0" w:type="dxa"/>
          </w:tblCellMar>
        </w:tblPrEx>
        <w:trPr>
          <w:cantSplit/>
          <w:trHeight w:val="375" w:hRule="atLeast"/>
        </w:trPr>
        <w:tc>
          <w:tcPr>
            <w:tcW w:w="2083" w:type="pct"/>
            <w:tcBorders>
              <w:top w:val="single" w:color="auto" w:sz="4" w:space="0"/>
              <w:left w:val="single" w:color="auto" w:sz="4" w:space="0"/>
              <w:bottom w:val="single" w:color="auto" w:sz="4" w:space="0"/>
              <w:right w:val="single" w:color="auto" w:sz="4" w:space="0"/>
            </w:tcBorders>
            <w:vAlign w:val="center"/>
          </w:tcPr>
          <w:p w14:paraId="4FB486A0">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2916" w:type="pct"/>
            <w:tcBorders>
              <w:top w:val="single" w:color="auto" w:sz="4" w:space="0"/>
              <w:left w:val="single" w:color="auto" w:sz="4" w:space="0"/>
              <w:bottom w:val="single" w:color="auto" w:sz="4" w:space="0"/>
              <w:right w:val="single" w:color="auto" w:sz="4" w:space="0"/>
            </w:tcBorders>
            <w:vAlign w:val="center"/>
          </w:tcPr>
          <w:p w14:paraId="36D901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29A08A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因红利自动再投资而产生的</w:t>
      </w:r>
      <w:r>
        <w:rPr>
          <w:rFonts w:hint="eastAsia" w:ascii="宋体" w:hAnsi="宋体"/>
          <w:sz w:val="24"/>
          <w:lang w:val="en-US" w:eastAsia="zh-CN"/>
        </w:rPr>
        <w:t>该</w:t>
      </w:r>
      <w:r>
        <w:rPr>
          <w:rFonts w:ascii="宋体" w:hAnsi="宋体"/>
          <w:sz w:val="24"/>
        </w:rPr>
        <w:t>类基金份额，不收取相应的申购费用。</w:t>
      </w:r>
    </w:p>
    <w:p w14:paraId="48DD73D2">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基金管理人可对Y类基金份额实施费率优惠或豁免申购费用，</w:t>
      </w:r>
      <w:r>
        <w:rPr>
          <w:rFonts w:ascii="宋体" w:hAnsi="宋体"/>
          <w:sz w:val="24"/>
        </w:rPr>
        <w:t>敬请投资者留意本基金管理人的有关公告</w:t>
      </w:r>
      <w:r>
        <w:rPr>
          <w:rFonts w:hint="eastAsia" w:ascii="宋体" w:hAnsi="宋体"/>
          <w:sz w:val="24"/>
        </w:rPr>
        <w:t>。</w:t>
      </w:r>
    </w:p>
    <w:p w14:paraId="3A1F4E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本基金对通过基金管理人直销柜台申购本基金A类基金份额的</w:t>
      </w:r>
      <w:r>
        <w:rPr>
          <w:rFonts w:hint="eastAsia" w:ascii="宋体" w:hAnsi="宋体"/>
          <w:sz w:val="24"/>
        </w:rPr>
        <w:t>非个人</w:t>
      </w:r>
      <w:r>
        <w:rPr>
          <w:rFonts w:ascii="宋体" w:hAnsi="宋体"/>
          <w:sz w:val="24"/>
        </w:rPr>
        <w:t>养老金客户实施特定申购费率。</w:t>
      </w:r>
    </w:p>
    <w:p w14:paraId="7BB21DC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非个人</w:t>
      </w:r>
      <w:r>
        <w:rPr>
          <w:rFonts w:ascii="宋体" w:hAnsi="宋体"/>
          <w:sz w:val="24"/>
        </w:rPr>
        <w:t>养老金客户指基本养老基金与依法成立的养老计划筹集的资金及其投资运营收益形成的补充养老基金等，具体包括：</w:t>
      </w:r>
    </w:p>
    <w:p w14:paraId="395239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14:paraId="36BE17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14:paraId="23F1D2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14:paraId="6E1EED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14:paraId="11D5EB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14:paraId="284D79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w:t>
      </w:r>
      <w:r>
        <w:rPr>
          <w:rFonts w:hint="eastAsia" w:ascii="宋体" w:hAnsi="宋体"/>
          <w:sz w:val="24"/>
        </w:rPr>
        <w:t>非个人</w:t>
      </w:r>
      <w:r>
        <w:rPr>
          <w:rFonts w:ascii="宋体" w:hAnsi="宋体"/>
          <w:sz w:val="24"/>
        </w:rPr>
        <w:t>养老金客户范围。</w:t>
      </w:r>
    </w:p>
    <w:p w14:paraId="0850A5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w:t>
      </w:r>
      <w:r>
        <w:rPr>
          <w:rFonts w:hint="eastAsia" w:ascii="宋体" w:hAnsi="宋体"/>
          <w:sz w:val="24"/>
        </w:rPr>
        <w:t>非个人</w:t>
      </w:r>
      <w:r>
        <w:rPr>
          <w:rFonts w:ascii="宋体" w:hAnsi="宋体"/>
          <w:sz w:val="24"/>
        </w:rPr>
        <w:t>养老金客户特定申购费率如下表：</w:t>
      </w:r>
    </w:p>
    <w:tbl>
      <w:tblPr>
        <w:tblStyle w:val="14"/>
        <w:tblW w:w="5005" w:type="pct"/>
        <w:tblInd w:w="0" w:type="dxa"/>
        <w:tblLayout w:type="autofit"/>
        <w:tblCellMar>
          <w:top w:w="0" w:type="dxa"/>
          <w:left w:w="0" w:type="dxa"/>
          <w:bottom w:w="0" w:type="dxa"/>
          <w:right w:w="0" w:type="dxa"/>
        </w:tblCellMar>
      </w:tblPr>
      <w:tblGrid>
        <w:gridCol w:w="3795"/>
        <w:gridCol w:w="4884"/>
      </w:tblGrid>
      <w:tr w14:paraId="3F1421FC">
        <w:tblPrEx>
          <w:tblCellMar>
            <w:top w:w="0" w:type="dxa"/>
            <w:left w:w="0" w:type="dxa"/>
            <w:bottom w:w="0" w:type="dxa"/>
            <w:right w:w="0" w:type="dxa"/>
          </w:tblCellMar>
        </w:tblPrEx>
        <w:trPr>
          <w:cantSplit/>
          <w:trHeight w:val="375" w:hRule="atLeast"/>
        </w:trPr>
        <w:tc>
          <w:tcPr>
            <w:tcW w:w="2186" w:type="pct"/>
            <w:tcBorders>
              <w:top w:val="single" w:color="auto" w:sz="4" w:space="0"/>
              <w:left w:val="single" w:color="auto" w:sz="4" w:space="0"/>
              <w:bottom w:val="single" w:color="auto" w:sz="4" w:space="0"/>
              <w:right w:val="single" w:color="auto" w:sz="4" w:space="0"/>
            </w:tcBorders>
            <w:vAlign w:val="center"/>
          </w:tcPr>
          <w:p w14:paraId="438F9A1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2813" w:type="pct"/>
            <w:tcBorders>
              <w:top w:val="single" w:color="auto" w:sz="4" w:space="0"/>
              <w:left w:val="single" w:color="auto" w:sz="4" w:space="0"/>
              <w:bottom w:val="single" w:color="auto" w:sz="4" w:space="0"/>
              <w:right w:val="single" w:color="auto" w:sz="4" w:space="0"/>
            </w:tcBorders>
            <w:vAlign w:val="center"/>
          </w:tcPr>
          <w:p w14:paraId="06B92B7A">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14:paraId="3950EDE8">
        <w:tblPrEx>
          <w:tblCellMar>
            <w:top w:w="0" w:type="dxa"/>
            <w:left w:w="0" w:type="dxa"/>
            <w:bottom w:w="0" w:type="dxa"/>
            <w:right w:w="0" w:type="dxa"/>
          </w:tblCellMar>
        </w:tblPrEx>
        <w:trPr>
          <w:cantSplit/>
          <w:trHeight w:val="375" w:hRule="atLeast"/>
        </w:trPr>
        <w:tc>
          <w:tcPr>
            <w:tcW w:w="2186" w:type="pct"/>
            <w:tcBorders>
              <w:top w:val="single" w:color="auto" w:sz="4" w:space="0"/>
              <w:left w:val="single" w:color="auto" w:sz="4" w:space="0"/>
              <w:bottom w:val="single" w:color="auto" w:sz="4" w:space="0"/>
              <w:right w:val="single" w:color="auto" w:sz="4" w:space="0"/>
            </w:tcBorders>
            <w:vAlign w:val="center"/>
          </w:tcPr>
          <w:p w14:paraId="1D33283D">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500万元以下</w:t>
            </w:r>
          </w:p>
        </w:tc>
        <w:tc>
          <w:tcPr>
            <w:tcW w:w="2813" w:type="pct"/>
            <w:tcBorders>
              <w:top w:val="single" w:color="auto" w:sz="4" w:space="0"/>
              <w:left w:val="single" w:color="auto" w:sz="4" w:space="0"/>
              <w:bottom w:val="single" w:color="auto" w:sz="4" w:space="0"/>
              <w:right w:val="single" w:color="auto" w:sz="4" w:space="0"/>
            </w:tcBorders>
            <w:vAlign w:val="center"/>
          </w:tcPr>
          <w:p w14:paraId="0DB2224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14:paraId="5D9F3150">
        <w:tblPrEx>
          <w:tblCellMar>
            <w:top w:w="0" w:type="dxa"/>
            <w:left w:w="0" w:type="dxa"/>
            <w:bottom w:w="0" w:type="dxa"/>
            <w:right w:w="0" w:type="dxa"/>
          </w:tblCellMar>
        </w:tblPrEx>
        <w:trPr>
          <w:cantSplit/>
          <w:trHeight w:val="375" w:hRule="atLeast"/>
        </w:trPr>
        <w:tc>
          <w:tcPr>
            <w:tcW w:w="2186" w:type="pct"/>
            <w:tcBorders>
              <w:top w:val="single" w:color="auto" w:sz="4" w:space="0"/>
              <w:left w:val="single" w:color="auto" w:sz="4" w:space="0"/>
              <w:bottom w:val="single" w:color="auto" w:sz="4" w:space="0"/>
              <w:right w:val="single" w:color="auto" w:sz="4" w:space="0"/>
            </w:tcBorders>
            <w:vAlign w:val="center"/>
          </w:tcPr>
          <w:p w14:paraId="7BC1123C">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2813" w:type="pct"/>
            <w:tcBorders>
              <w:top w:val="single" w:color="auto" w:sz="4" w:space="0"/>
              <w:left w:val="single" w:color="auto" w:sz="4" w:space="0"/>
              <w:bottom w:val="single" w:color="auto" w:sz="4" w:space="0"/>
              <w:right w:val="single" w:color="auto" w:sz="4" w:space="0"/>
            </w:tcBorders>
            <w:vAlign w:val="center"/>
          </w:tcPr>
          <w:p w14:paraId="5B34F57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10A98F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15EF3D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14:paraId="4E5B49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基金份额持有人持有的每份基金份额最短持有期限为一年，本基金不收取赎回费用。</w:t>
      </w:r>
    </w:p>
    <w:p w14:paraId="4861BE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14:paraId="45BCF6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14:paraId="129909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14:paraId="2091337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（七）申购和赎回的数额和价格</w:t>
      </w:r>
    </w:p>
    <w:p w14:paraId="28DD4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14:paraId="1BEB1A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w:t>
      </w:r>
      <w:r>
        <w:rPr>
          <w:rFonts w:hint="eastAsia" w:ascii="宋体" w:hAnsi="宋体"/>
          <w:sz w:val="24"/>
          <w:lang w:val="en-US" w:eastAsia="zh-CN"/>
        </w:rPr>
        <w:t>各类</w:t>
      </w:r>
      <w:r>
        <w:rPr>
          <w:rFonts w:ascii="宋体" w:hAnsi="宋体"/>
          <w:sz w:val="24"/>
        </w:rPr>
        <w:t>基金份额的有效份额为净申购金额除以当日该类基金份额的基金份额净值，有效份额单位为份，申购份额计算结果按四舍五入方法，保留到小数点后2位，由此产生的收益或损失由基金财产承担。</w:t>
      </w:r>
    </w:p>
    <w:p w14:paraId="3BF6B0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w:t>
      </w:r>
      <w:r>
        <w:rPr>
          <w:rFonts w:hint="eastAsia" w:ascii="宋体" w:hAnsi="宋体"/>
          <w:sz w:val="24"/>
          <w:lang w:val="en-US" w:eastAsia="zh-CN"/>
        </w:rPr>
        <w:t>各类</w:t>
      </w:r>
      <w:r>
        <w:rPr>
          <w:rFonts w:ascii="宋体" w:hAnsi="宋体"/>
          <w:sz w:val="24"/>
        </w:rPr>
        <w:t>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14:paraId="7CAD72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14:paraId="43D4F5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w:t>
      </w:r>
      <w:r>
        <w:rPr>
          <w:rFonts w:hint="eastAsia" w:ascii="宋体" w:hAnsi="宋体"/>
          <w:sz w:val="24"/>
        </w:rPr>
        <w:t>和Y类</w:t>
      </w:r>
      <w:r>
        <w:rPr>
          <w:rFonts w:ascii="宋体" w:hAnsi="宋体"/>
          <w:sz w:val="24"/>
        </w:rPr>
        <w:t>基金份额的申购</w:t>
      </w:r>
    </w:p>
    <w:p w14:paraId="2CB971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792C19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5BA905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w:t>
      </w:r>
      <w:r>
        <w:rPr>
          <w:rFonts w:hint="eastAsia"/>
          <w:sz w:val="24"/>
        </w:rPr>
        <w:t>①</w:t>
      </w:r>
      <w:r>
        <w:rPr>
          <w:rFonts w:ascii="宋体" w:hAnsi="宋体"/>
          <w:sz w:val="24"/>
        </w:rPr>
        <w:t>对于适用固定金额申购费用的申购，净申购金额＝申购总金额－固定申购费用金额</w:t>
      </w:r>
      <w:r>
        <w:rPr>
          <w:rFonts w:hint="eastAsia" w:ascii="宋体" w:hAnsi="宋体"/>
          <w:kern w:val="2"/>
          <w:sz w:val="24"/>
          <w:szCs w:val="22"/>
        </w:rPr>
        <w:t>；</w:t>
      </w:r>
      <w:r>
        <w:rPr>
          <w:rFonts w:hint="eastAsia" w:ascii="宋体" w:hAnsi="宋体" w:cs="Times New Roman"/>
          <w:kern w:val="2"/>
          <w:sz w:val="24"/>
          <w:szCs w:val="22"/>
        </w:rPr>
        <w:t>②对于通过直销机构申购</w:t>
      </w:r>
      <w:r>
        <w:rPr>
          <w:rFonts w:hint="eastAsia" w:ascii="宋体" w:hAnsi="宋体"/>
          <w:color w:val="auto"/>
          <w:kern w:val="2"/>
          <w:sz w:val="24"/>
          <w:lang w:val="en-US" w:eastAsia="zh-CN"/>
        </w:rPr>
        <w:t>Y</w:t>
      </w:r>
      <w:r>
        <w:rPr>
          <w:rFonts w:hint="eastAsia" w:ascii="宋体" w:hAnsi="宋体"/>
          <w:color w:val="auto"/>
          <w:kern w:val="2"/>
          <w:sz w:val="24"/>
        </w:rPr>
        <w:t>类</w:t>
      </w:r>
      <w:r>
        <w:rPr>
          <w:rFonts w:hint="eastAsia" w:ascii="宋体" w:hAnsi="宋体" w:cs="Times New Roman"/>
          <w:kern w:val="2"/>
          <w:sz w:val="24"/>
          <w:szCs w:val="22"/>
        </w:rPr>
        <w:t>基金份额的，申购费率均为0</w:t>
      </w:r>
      <w:r>
        <w:rPr>
          <w:rFonts w:ascii="宋体" w:hAnsi="宋体"/>
          <w:sz w:val="24"/>
        </w:rPr>
        <w:t>）</w:t>
      </w:r>
    </w:p>
    <w:p w14:paraId="7C429E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33A4C5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14:paraId="69C030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w:t>
      </w:r>
      <w:r>
        <w:rPr>
          <w:rFonts w:hint="eastAsia" w:ascii="宋体" w:hAnsi="宋体"/>
          <w:sz w:val="24"/>
        </w:rPr>
        <w:t>或Y类</w:t>
      </w:r>
      <w:r>
        <w:rPr>
          <w:rFonts w:ascii="宋体" w:hAnsi="宋体"/>
          <w:sz w:val="24"/>
        </w:rPr>
        <w:t>基金份额净值</w:t>
      </w:r>
    </w:p>
    <w:p w14:paraId="02114B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例四：某投资者投资100,000元申购本基金A类</w:t>
      </w:r>
      <w:r>
        <w:rPr>
          <w:rFonts w:hint="eastAsia" w:ascii="宋体" w:hAnsi="宋体"/>
          <w:sz w:val="24"/>
          <w:lang w:val="en-US" w:eastAsia="zh-CN"/>
        </w:rPr>
        <w:t>基金份额</w:t>
      </w:r>
      <w:r>
        <w:rPr>
          <w:rFonts w:hint="eastAsia" w:ascii="宋体" w:hAnsi="宋体"/>
          <w:sz w:val="24"/>
        </w:rPr>
        <w:t>或</w:t>
      </w:r>
      <w:r>
        <w:rPr>
          <w:rFonts w:hint="eastAsia" w:hAnsi="宋体"/>
          <w:kern w:val="0"/>
          <w:sz w:val="24"/>
          <w:szCs w:val="24"/>
        </w:rPr>
        <w:t>通过其他销售机构</w:t>
      </w:r>
      <w:r>
        <w:rPr>
          <w:rFonts w:hint="eastAsia" w:hAnsi="宋体"/>
          <w:kern w:val="0"/>
          <w:sz w:val="24"/>
          <w:szCs w:val="24"/>
          <w:lang w:val="en-US" w:eastAsia="zh-CN"/>
        </w:rPr>
        <w:t>申购</w:t>
      </w:r>
      <w:r>
        <w:rPr>
          <w:rFonts w:hint="eastAsia" w:ascii="宋体" w:hAnsi="宋体"/>
          <w:sz w:val="24"/>
        </w:rPr>
        <w:t>Y类</w:t>
      </w:r>
      <w:r>
        <w:rPr>
          <w:rFonts w:ascii="宋体" w:hAnsi="宋体"/>
          <w:sz w:val="24"/>
        </w:rPr>
        <w:t>基金份额，假设申购当日</w:t>
      </w:r>
      <w:r>
        <w:rPr>
          <w:rFonts w:hint="eastAsia" w:ascii="宋体" w:hAnsi="宋体"/>
          <w:sz w:val="24"/>
          <w:lang w:val="en-US" w:eastAsia="zh-CN"/>
        </w:rPr>
        <w:t>该</w:t>
      </w:r>
      <w:r>
        <w:rPr>
          <w:rFonts w:ascii="宋体" w:hAnsi="宋体"/>
          <w:sz w:val="24"/>
        </w:rPr>
        <w:t>类基金份额净值为1.0400元，申购费率为0.4%，则其可得到的申购份额为：</w:t>
      </w:r>
    </w:p>
    <w:p w14:paraId="69567B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6E4679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净申购金额=100,000/（1+0.4%）=99,601.59元</w:t>
      </w:r>
    </w:p>
    <w:p w14:paraId="37C182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申购费用=100,000-99,601.59=398.41元</w:t>
      </w:r>
    </w:p>
    <w:p w14:paraId="59FC15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申购份额=（100,000-398.41）/1.0400=95,770.76份</w:t>
      </w:r>
    </w:p>
    <w:p w14:paraId="71D39A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即：某投资者投资100,000元申购本基金A类</w:t>
      </w:r>
      <w:r>
        <w:rPr>
          <w:rFonts w:hint="eastAsia" w:ascii="宋体" w:hAnsi="宋体"/>
          <w:sz w:val="24"/>
          <w:lang w:val="en-US" w:eastAsia="zh-CN"/>
        </w:rPr>
        <w:t>基金份额</w:t>
      </w:r>
      <w:r>
        <w:rPr>
          <w:rFonts w:hint="eastAsia" w:ascii="宋体" w:hAnsi="宋体"/>
          <w:sz w:val="24"/>
        </w:rPr>
        <w:t>或</w:t>
      </w:r>
      <w:r>
        <w:rPr>
          <w:rFonts w:hint="eastAsia" w:hAnsi="宋体"/>
          <w:kern w:val="0"/>
          <w:sz w:val="24"/>
          <w:szCs w:val="24"/>
        </w:rPr>
        <w:t>通过其他销售机构</w:t>
      </w:r>
      <w:r>
        <w:rPr>
          <w:rFonts w:hint="eastAsia" w:hAnsi="宋体"/>
          <w:kern w:val="0"/>
          <w:sz w:val="24"/>
          <w:szCs w:val="24"/>
          <w:lang w:val="en-US" w:eastAsia="zh-CN"/>
        </w:rPr>
        <w:t>申购</w:t>
      </w:r>
      <w:r>
        <w:rPr>
          <w:rFonts w:hint="eastAsia" w:ascii="宋体" w:hAnsi="宋体"/>
          <w:sz w:val="24"/>
        </w:rPr>
        <w:t>Y类</w:t>
      </w:r>
      <w:r>
        <w:rPr>
          <w:rFonts w:ascii="宋体" w:hAnsi="宋体"/>
          <w:sz w:val="24"/>
        </w:rPr>
        <w:t>基金份额，假设申购当日</w:t>
      </w:r>
      <w:r>
        <w:rPr>
          <w:rFonts w:hint="eastAsia" w:ascii="宋体" w:hAnsi="宋体"/>
          <w:sz w:val="24"/>
          <w:lang w:val="en-US" w:eastAsia="zh-CN"/>
        </w:rPr>
        <w:t>该</w:t>
      </w:r>
      <w:r>
        <w:rPr>
          <w:rFonts w:ascii="宋体" w:hAnsi="宋体"/>
          <w:sz w:val="24"/>
        </w:rPr>
        <w:t>类基金份额净值为1.0400元，则其可得到95,770.76份A类</w:t>
      </w:r>
      <w:r>
        <w:rPr>
          <w:rFonts w:hint="eastAsia" w:ascii="宋体" w:hAnsi="宋体"/>
          <w:sz w:val="24"/>
        </w:rPr>
        <w:t>或Y类</w:t>
      </w:r>
      <w:r>
        <w:rPr>
          <w:rFonts w:ascii="宋体" w:hAnsi="宋体"/>
          <w:sz w:val="24"/>
        </w:rPr>
        <w:t>基金份额。</w:t>
      </w:r>
    </w:p>
    <w:p w14:paraId="277377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w:t>
      </w:r>
      <w:r>
        <w:rPr>
          <w:rFonts w:hint="eastAsia" w:ascii="宋体" w:hAnsi="宋体"/>
          <w:sz w:val="24"/>
          <w:lang w:val="en-US" w:eastAsia="zh-CN"/>
        </w:rPr>
        <w:t>非个人</w:t>
      </w:r>
      <w:r>
        <w:rPr>
          <w:rFonts w:ascii="宋体" w:hAnsi="宋体"/>
          <w:sz w:val="24"/>
        </w:rPr>
        <w:t>养老金客户投资100,000元通过基金管理人的直销柜台申购本基金的A类基金份额，假设申购当日A类基金份额净值为1.0400元，申购费率为0.16%，则其可得到的申购份额为：</w:t>
      </w:r>
    </w:p>
    <w:p w14:paraId="2F90B3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105E51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净申购金额=100,000/（1+0.16%）=99,840.26元</w:t>
      </w:r>
    </w:p>
    <w:p w14:paraId="18329B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申购费用=100,000-99,840.26=159.74元</w:t>
      </w:r>
    </w:p>
    <w:p w14:paraId="28B29F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申购份额=（100,000-159.74）/1.0400=96,000.25份</w:t>
      </w:r>
    </w:p>
    <w:p w14:paraId="4E74FB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w:t>
      </w:r>
      <w:r>
        <w:rPr>
          <w:rFonts w:hint="eastAsia" w:ascii="宋体" w:hAnsi="宋体"/>
          <w:sz w:val="24"/>
          <w:lang w:val="en-US" w:eastAsia="zh-CN"/>
        </w:rPr>
        <w:t>非个人</w:t>
      </w:r>
      <w:r>
        <w:rPr>
          <w:rFonts w:ascii="宋体" w:hAnsi="宋体"/>
          <w:sz w:val="24"/>
        </w:rPr>
        <w:t>养老金客户投资100,000元通过基金管理人的直销柜台申购本基金的A类基金份额，假设申购当日A类基金份额净值为1.0400元，则其可得到96,000.25份A类基金份额。</w:t>
      </w:r>
    </w:p>
    <w:p w14:paraId="6C6F21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14:paraId="58294D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14:paraId="6FA5A6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2D87A4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14:paraId="6E948B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14:paraId="11E58F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14:paraId="4A5E2C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14:paraId="258D69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14:paraId="1E2CA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基金份额持有人持有的每份基金份额最短持有期限为一年，本基金不收取赎回费用。</w:t>
      </w:r>
    </w:p>
    <w:p w14:paraId="5AC4A7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赎回金额的计算方法如下：</w:t>
      </w:r>
    </w:p>
    <w:p w14:paraId="02F441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w:t>
      </w:r>
    </w:p>
    <w:p w14:paraId="72BDEF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例七：某投资者赎回持有的10,000份基金份额，假设赎回当日基金份额净值是1.0160元，则其可得到的赎回金额为：</w:t>
      </w:r>
    </w:p>
    <w:p w14:paraId="010661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赎回金额=10,000×1.0160＝10,160.00元</w:t>
      </w:r>
    </w:p>
    <w:p w14:paraId="03B727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即：投资者赎回本基金10,000份基金份额，假设赎回当日基金份额净值是1.0160元，则其可得到的赎回金额为10,160.00元。</w:t>
      </w:r>
    </w:p>
    <w:p w14:paraId="2DD540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14:paraId="308BA9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14:paraId="24D6F7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14:paraId="67BB3F2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val="en-US" w:eastAsia="zh-CN"/>
        </w:rPr>
        <w:t>Y</w:t>
      </w:r>
      <w:r>
        <w:rPr>
          <w:rFonts w:ascii="宋体" w:hAnsi="宋体"/>
          <w:sz w:val="24"/>
        </w:rPr>
        <w:t>类基金份额净值＝</w:t>
      </w:r>
      <w:r>
        <w:rPr>
          <w:rFonts w:hint="eastAsia" w:ascii="宋体" w:hAnsi="宋体"/>
          <w:sz w:val="24"/>
          <w:lang w:val="en-US" w:eastAsia="zh-CN"/>
        </w:rPr>
        <w:t>Y</w:t>
      </w:r>
      <w:r>
        <w:rPr>
          <w:rFonts w:ascii="宋体" w:hAnsi="宋体"/>
          <w:sz w:val="24"/>
        </w:rPr>
        <w:t>类基金份额的基金资产净值总额/发行在外的</w:t>
      </w:r>
      <w:r>
        <w:rPr>
          <w:rFonts w:hint="eastAsia" w:ascii="宋体" w:hAnsi="宋体"/>
          <w:sz w:val="24"/>
          <w:lang w:val="en-US" w:eastAsia="zh-CN"/>
        </w:rPr>
        <w:t>Y</w:t>
      </w:r>
      <w:r>
        <w:rPr>
          <w:rFonts w:ascii="宋体" w:hAnsi="宋体"/>
          <w:sz w:val="24"/>
        </w:rPr>
        <w:t>类基金份额总数</w:t>
      </w:r>
    </w:p>
    <w:p w14:paraId="58B427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w:t>
      </w:r>
      <w:r>
        <w:rPr>
          <w:rFonts w:hint="eastAsia" w:ascii="宋体" w:hAnsi="宋体"/>
          <w:sz w:val="24"/>
          <w:lang w:val="en-US" w:eastAsia="zh-CN"/>
        </w:rPr>
        <w:t>各类</w:t>
      </w:r>
      <w:r>
        <w:rPr>
          <w:rFonts w:ascii="宋体" w:hAnsi="宋体"/>
          <w:sz w:val="24"/>
        </w:rPr>
        <w:t>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14:paraId="4AAFC503">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（八）拒绝或暂停申购的情形</w:t>
      </w:r>
    </w:p>
    <w:p w14:paraId="0D5A7A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14:paraId="3602A0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7DC1B9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14:paraId="2136D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14:paraId="2FBE9D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4、由于本基金持有的相当比例的基金暂停估值，导致基金管理人无法计算当日本基金资产净值。</w:t>
      </w:r>
    </w:p>
    <w:p w14:paraId="46381D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14:paraId="0052C4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6、接受某笔或某些申购申请可能会影响或损害现有基金份额持有人利益时。</w:t>
      </w:r>
    </w:p>
    <w:p w14:paraId="4FE60C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7、基金资产规模过大，使基金管理人无法找到合适的投资品种，或其他可能对基金业绩产生负面影响，或发生其他损害现有基金份额持有人利益的情形。</w:t>
      </w:r>
    </w:p>
    <w:p w14:paraId="2CB004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8、当前一估值日基金资产净值50%以上的资产出现无可参考的活跃市场价格且采用估值技术仍导致公允价值存在重大不确定性时，经与基金托管人协商确认后，基金管理人应当暂停接受基金申购申请。</w:t>
      </w:r>
    </w:p>
    <w:p w14:paraId="53E537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9、基金管理人接受某笔或者某些申购申请有可能导致单一投资者持有基金份额的比例超过50%，或者变相规避50%集中度的。出现上述情形时，基金管理人有权将上述申购申请全部或部分确认失败。</w:t>
      </w:r>
    </w:p>
    <w:p w14:paraId="05917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10、法律法规规定、中国证监会认定或基金合同约定的其他情形。</w:t>
      </w:r>
    </w:p>
    <w:p w14:paraId="6C8926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除第6、9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14:paraId="296A1B8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（九）暂停赎回或延缓支付赎回款项的情形</w:t>
      </w:r>
    </w:p>
    <w:p w14:paraId="78509D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14:paraId="4502E1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14:paraId="113FBA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14:paraId="3DDF38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14:paraId="609C76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4、由于本基金持有的相当比例的基金暂停估值，导致基金管理人无法计算当日本基金资产净值。</w:t>
      </w:r>
    </w:p>
    <w:p w14:paraId="3FA2A1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14:paraId="1415A2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6、连续两个或两个以上开放日发生巨额赎回。</w:t>
      </w:r>
    </w:p>
    <w:p w14:paraId="1AD03B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14:paraId="0FA4E0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4930D9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14:paraId="5AF892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14:paraId="147D8F3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（十）巨额赎回的情形及处理方式</w:t>
      </w:r>
    </w:p>
    <w:p w14:paraId="043D5A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14:paraId="554AA4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3AABD6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14:paraId="6F4696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176E11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53B525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ascii="宋体" w:hAnsi="宋体"/>
          <w:sz w:val="24"/>
          <w:lang w:val="en-US" w:eastAsia="zh-CN"/>
        </w:rPr>
        <w:t>该类</w:t>
      </w:r>
      <w:r>
        <w:rPr>
          <w:rFonts w:ascii="宋体" w:hAnsi="宋体"/>
          <w:sz w:val="24"/>
        </w:rPr>
        <w:t>基金份额净值为基础计算赎回金额，以此类推，直到全部赎回为止。如投资人在提交赎回申请时未作明确选择，投资人未能赎回部分作自动延期赎回处理。</w:t>
      </w:r>
    </w:p>
    <w:p w14:paraId="115302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31F334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14:paraId="5F00A8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w:t>
      </w:r>
      <w:r>
        <w:rPr>
          <w:rFonts w:hint="eastAsia" w:ascii="宋体" w:hAnsi="宋体"/>
          <w:sz w:val="24"/>
          <w:lang w:val="en-US" w:eastAsia="zh-CN"/>
        </w:rPr>
        <w:t>前述</w:t>
      </w:r>
      <w:r>
        <w:rPr>
          <w:rFonts w:ascii="宋体" w:hAnsi="宋体"/>
          <w:sz w:val="24"/>
        </w:rPr>
        <w:t>“（1）全额赎回”或“（2）部分延期赎回”的约定方式与其他基金份额持有人的赎回申请一并办理。但是，如基金份额持有人在当日选择取消赎回，则其当日未获受理的部分赎回申请将被撤销。</w:t>
      </w:r>
    </w:p>
    <w:p w14:paraId="28F8BC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2A87BC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14:paraId="0ADABA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14:paraId="16D5D45C">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（十一）暂停申购或赎回的公告和重新开放申购或赎回的公告</w:t>
      </w:r>
    </w:p>
    <w:p w14:paraId="2F05B9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14:paraId="0C4EE9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w:t>
      </w:r>
      <w:r>
        <w:rPr>
          <w:rFonts w:hint="eastAsia" w:ascii="宋体" w:hAnsi="宋体"/>
          <w:sz w:val="24"/>
          <w:lang w:val="en-US" w:eastAsia="zh-CN"/>
        </w:rPr>
        <w:t>基金份额</w:t>
      </w:r>
      <w:r>
        <w:rPr>
          <w:rFonts w:ascii="宋体" w:hAnsi="宋体"/>
          <w:sz w:val="24"/>
        </w:rPr>
        <w:t>净值。</w:t>
      </w:r>
    </w:p>
    <w:p w14:paraId="7A73A6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3838E6F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（十二）基金转换</w:t>
      </w:r>
    </w:p>
    <w:p w14:paraId="6D1CB2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14:paraId="18AA69AB">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（十三）基金的非交易过户</w:t>
      </w:r>
    </w:p>
    <w:p w14:paraId="1BC963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25A605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27EADC50">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法律法规对Y类基金份额的继承等事项另有规定的，按法律法规的规定执行。</w:t>
      </w:r>
    </w:p>
    <w:p w14:paraId="2611FDD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（十四）基金的转托管</w:t>
      </w:r>
    </w:p>
    <w:p w14:paraId="6B4EBE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14:paraId="13BBD81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（十五）定期定额投资计划</w:t>
      </w:r>
    </w:p>
    <w:p w14:paraId="2B2007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14:paraId="50D1A6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本基金2021年9月30日刊登公告自2021年10月11日起开通</w:t>
      </w:r>
      <w:r>
        <w:rPr>
          <w:rFonts w:hint="eastAsia" w:ascii="宋体" w:hAnsi="宋体"/>
          <w:sz w:val="24"/>
          <w:lang w:val="en-US" w:eastAsia="zh-CN"/>
        </w:rPr>
        <w:t>A类基金份额和C类基金份额</w:t>
      </w:r>
      <w:r>
        <w:rPr>
          <w:rFonts w:ascii="宋体" w:hAnsi="宋体"/>
          <w:sz w:val="24"/>
        </w:rPr>
        <w:t>定期定额投资计划业务，具体开通销售机构名单和业务规则参见相关公告。</w:t>
      </w:r>
    </w:p>
    <w:p w14:paraId="63CD0A9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（十六）基金份额的冻结和解冻</w:t>
      </w:r>
    </w:p>
    <w:p w14:paraId="0737A8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14:paraId="1D7FDA0C">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（十七）基金份额的转让</w:t>
      </w:r>
    </w:p>
    <w:p w14:paraId="6409BB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0058EF2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（十八）实施侧袋机制期间本基金的申购与赎回</w:t>
      </w:r>
    </w:p>
    <w:p w14:paraId="6ABA0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14:paraId="17D253F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（十九）其他业务</w:t>
      </w:r>
    </w:p>
    <w:p w14:paraId="003D38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14:paraId="1FCCDCD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86D97BE">
      <w:pPr>
        <w:pStyle w:val="2"/>
        <w:snapToGrid w:val="0"/>
        <w:spacing w:before="240" w:beforeLines="0" w:after="240"/>
        <w:rPr>
          <w:rFonts w:ascii="宋体" w:hAnsi="宋体"/>
          <w:szCs w:val="30"/>
        </w:rPr>
      </w:pPr>
      <w:bookmarkStart w:id="11" w:name="_Toc231197040"/>
      <w:r>
        <w:rPr>
          <w:rFonts w:ascii="Times New Roman" w:hAnsi="Times New Roman"/>
          <w:sz w:val="30"/>
        </w:rPr>
        <w:t>九、基金的投资</w:t>
      </w:r>
      <w:bookmarkEnd w:id="11"/>
    </w:p>
    <w:p w14:paraId="4AD3BE7F">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（一）投资目标</w:t>
      </w:r>
    </w:p>
    <w:p w14:paraId="7B2087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本基金主要投资于经中国证监会依法核准或注册的公开募集证券投资基金的基金份额，在保持基金资产良好的流动性的前提下，力争实现基金资产的长期增值。</w:t>
      </w:r>
    </w:p>
    <w:p w14:paraId="482BC2D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（二）投资范围</w:t>
      </w:r>
    </w:p>
    <w:p w14:paraId="394876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国内依法发行上市的股票（含中小板、创业板及其他经中国证监会核准或注册上市的股票、存托凭证）、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w:t>
      </w:r>
    </w:p>
    <w:p w14:paraId="4EEF1B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4F2DFD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型基金（包括股票指数基金）的比例占基金资产的0%-30%；本基金持有的现金或者投资于到期日在一年以内的政府债券的比例合计不低于基金资产净值的5%，其中现金不包括结算备付金、存出保证金、应收申购款等。</w:t>
      </w:r>
    </w:p>
    <w:p w14:paraId="6D0899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7DF9E11C">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（三）投资策略</w:t>
      </w:r>
    </w:p>
    <w:p w14:paraId="69211D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14:paraId="4992CE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14:paraId="618110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2、基金投资策略</w:t>
      </w:r>
    </w:p>
    <w:p w14:paraId="2343E1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14:paraId="16AF63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14:paraId="4D3E30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■收益指标：包括绝对收益、相对收益等指标；</w:t>
      </w:r>
    </w:p>
    <w:p w14:paraId="017C65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■风险指标：包括波动率、最大回撤等指标；</w:t>
      </w:r>
    </w:p>
    <w:p w14:paraId="4D10ED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■风险调整后收益指标：包括夏普比率、信息比率等指标。</w:t>
      </w:r>
    </w:p>
    <w:p w14:paraId="0BD757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14:paraId="40E03E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14:paraId="349804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14:paraId="5A561E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14:paraId="7D1F4C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案头分析和深入的实地调研，以定性与定量相结合的方法对公司价值进行综合评估。通过对重点上市公司进行内在价值的评估和成长性跟踪研究，在明确的价值评估基础上精选优秀质地的投资标的。</w:t>
      </w:r>
    </w:p>
    <w:p w14:paraId="1B8BA3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14:paraId="16F0B9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4、债券投资策略</w:t>
      </w:r>
    </w:p>
    <w:p w14:paraId="714EAB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14:paraId="41B3F4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14:paraId="099FA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5、资产支持证券投资策略</w:t>
      </w:r>
    </w:p>
    <w:p w14:paraId="43332A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14:paraId="7BE7003E">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（四）投资限制</w:t>
      </w:r>
    </w:p>
    <w:p w14:paraId="1DDE8C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14:paraId="01CFB9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14:paraId="31FD2C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型基金（包括股票指数基金）的比例占基金资产的0%-30%；投资于货币市场基金的比例不得超过基金资产的15%；</w:t>
      </w:r>
    </w:p>
    <w:p w14:paraId="3148EF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14:paraId="78BBE4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（3）本基金持有单只基金的市值，不得高于本基金资产净值的20%，且不得持有其他基金中基金；</w:t>
      </w:r>
    </w:p>
    <w:p w14:paraId="46B382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14:paraId="7FC455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（5）本基金不得持有具有复杂、衍生品性质的基金份额，包括分级基金和中国证监会认定的其他基金份额；</w:t>
      </w:r>
    </w:p>
    <w:p w14:paraId="13423F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14:paraId="1E7CDA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14:paraId="1F634F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（8）本基金持有一家公司发行的证券（不含本基金所投资的基金份额），其市值不超过基金资产净值的10%；</w:t>
      </w:r>
    </w:p>
    <w:p w14:paraId="23689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（9）本基金管理人管理的全部基金持有一家公司发行的证券（不含本基金所投资的基金份额），不超过该证券的10%，完全按照有关指数的构成比例进行证券投资的基金品种可以不受此条款规定的比例限制；</w:t>
      </w:r>
    </w:p>
    <w:p w14:paraId="188A9C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44AE83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14:paraId="2424E9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14:paraId="6DACF0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（13）本基金投资于同一原始权益人的各类资产支持证券的比例，不得超过基金资产净值的10%；</w:t>
      </w:r>
    </w:p>
    <w:p w14:paraId="06C4C2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（14）本基金持有的全部资产支持证券，其市值不得超过基金资产净值的20%；</w:t>
      </w:r>
    </w:p>
    <w:p w14:paraId="353DD0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（15）本基金持有的同一（指同一信用级别）资产支持证券的比例，不得超过该资产支持证券规模的10%；</w:t>
      </w:r>
    </w:p>
    <w:p w14:paraId="6D4D28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14:paraId="58E9C9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14:paraId="4721B5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14:paraId="2E0385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14:paraId="54EAF4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（20）本基金资产总值不超过基金资产净值的140%；</w:t>
      </w:r>
    </w:p>
    <w:p w14:paraId="5CE020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（21）本基金投资存托凭证的比例限制依照境内上市交易的股票执行；</w:t>
      </w:r>
    </w:p>
    <w:p w14:paraId="19CC48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（22）法律法规及中国证监会规定的和《基金合同》约定的其他投资限制。</w:t>
      </w:r>
    </w:p>
    <w:p w14:paraId="2472CC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14:paraId="57944E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750588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14:paraId="467C1A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14:paraId="73065B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3、禁止行为</w:t>
      </w:r>
    </w:p>
    <w:p w14:paraId="5960B9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14:paraId="20A6C4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479A7B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14:paraId="24E787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506ACC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（4）向其基金管理人、基金托管人出资；</w:t>
      </w:r>
    </w:p>
    <w:p w14:paraId="3F6631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（5）从事内幕交易、操纵证券交易价格及其他不正当的证券交易活动；</w:t>
      </w:r>
    </w:p>
    <w:p w14:paraId="155434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（6）法律、行政法规和中国证监会规定禁止的其他活动。</w:t>
      </w:r>
    </w:p>
    <w:p w14:paraId="708A66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8063F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14:paraId="1518A864">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（五）业绩比较基准</w:t>
      </w:r>
    </w:p>
    <w:p w14:paraId="09F9CC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85%×中债综合全价指数收益率+15%×沪深300指数收益率</w:t>
      </w:r>
    </w:p>
    <w:p w14:paraId="444AE7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14:paraId="022C4B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14:paraId="43E2F5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14:paraId="1C29EF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14:paraId="6D7E1661">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（六）风险收益特征</w:t>
      </w:r>
    </w:p>
    <w:p w14:paraId="445C93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混合型基金中基金，由于本基金主要投资于经中国证监会依法核准或注册的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14:paraId="5336361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14:paraId="1594E4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14:paraId="25FA44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14:paraId="25EDD8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14:paraId="75BCD1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14:paraId="6F2ADED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（八）侧袋机制的实施和投资运作安排</w:t>
      </w:r>
    </w:p>
    <w:p w14:paraId="7CD6CE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2A837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14:paraId="4F3042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14:paraId="13CBB433">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（九）基金的投资组合报告</w:t>
      </w:r>
    </w:p>
    <w:p w14:paraId="764616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14:paraId="16B9C9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本基金托管人招商银行股份有限公司根据本基金合同规定，于2026年04月20日复核了本报告中的财务指标、净值表现和投资组合报告等内容，保证复核内容不存在虚假记载、误导性陈述或者重大遗漏。</w:t>
      </w:r>
    </w:p>
    <w:p w14:paraId="76EA60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本投资组合报告期为2026年01月01日至03月31日。所载财务数据未经审计师审计。</w:t>
      </w:r>
    </w:p>
    <w:p w14:paraId="49D32A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3F0671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3771F08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7F6BB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A4C57C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5D989B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14:paraId="1B582EF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5346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69B183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14:paraId="1AF7982D">
            <w:pPr>
              <w:widowControl/>
              <w:snapToGrid w:val="0"/>
              <w:jc w:val="right"/>
              <w:rPr>
                <w:rFonts w:ascii="宋体" w:hAnsi="宋体"/>
                <w:color w:val="000000"/>
                <w:kern w:val="0"/>
                <w:sz w:val="25"/>
                <w:szCs w:val="24"/>
              </w:rPr>
            </w:pPr>
            <w:r>
              <w:rPr>
                <w:rFonts w:ascii="Times New Roman" w:hAnsi="Times New Roman"/>
                <w:color w:val="000000"/>
                <w:kern w:val="0"/>
                <w:sz w:val="25"/>
                <w:szCs w:val="24"/>
              </w:rPr>
              <w:t>3,948,463.12</w:t>
            </w:r>
          </w:p>
        </w:tc>
        <w:tc>
          <w:tcPr>
            <w:tcW w:w="400" w:type="pct"/>
            <w:tcBorders>
              <w:top w:val="single" w:color="auto" w:sz="4" w:space="0"/>
              <w:left w:val="single" w:color="auto" w:sz="4" w:space="0"/>
              <w:bottom w:val="single" w:color="auto" w:sz="4" w:space="0"/>
              <w:right w:val="single" w:color="auto" w:sz="4" w:space="0"/>
            </w:tcBorders>
            <w:vAlign w:val="center"/>
          </w:tcPr>
          <w:p w14:paraId="00ED0767">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14:paraId="1C02492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2A48DFD">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783F749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14:paraId="3A157D8A">
            <w:pPr>
              <w:widowControl/>
              <w:snapToGrid w:val="0"/>
              <w:jc w:val="right"/>
              <w:rPr>
                <w:rFonts w:ascii="宋体" w:hAnsi="宋体"/>
                <w:color w:val="000000"/>
                <w:kern w:val="0"/>
                <w:sz w:val="25"/>
                <w:szCs w:val="24"/>
              </w:rPr>
            </w:pPr>
            <w:r>
              <w:rPr>
                <w:rFonts w:ascii="Times New Roman" w:hAnsi="Times New Roman"/>
                <w:color w:val="000000"/>
                <w:kern w:val="0"/>
                <w:sz w:val="25"/>
                <w:szCs w:val="24"/>
              </w:rPr>
              <w:t>3,948,463.12</w:t>
            </w:r>
          </w:p>
        </w:tc>
        <w:tc>
          <w:tcPr>
            <w:tcW w:w="400" w:type="pct"/>
            <w:tcBorders>
              <w:top w:val="single" w:color="auto" w:sz="4" w:space="0"/>
              <w:left w:val="single" w:color="auto" w:sz="4" w:space="0"/>
              <w:bottom w:val="single" w:color="auto" w:sz="4" w:space="0"/>
              <w:right w:val="single" w:color="auto" w:sz="4" w:space="0"/>
            </w:tcBorders>
            <w:vAlign w:val="center"/>
          </w:tcPr>
          <w:p w14:paraId="6D0BE655">
            <w:pPr>
              <w:widowControl/>
              <w:snapToGrid w:val="0"/>
              <w:jc w:val="right"/>
              <w:rPr>
                <w:rFonts w:ascii="宋体" w:hAnsi="宋体"/>
                <w:color w:val="000000"/>
                <w:kern w:val="0"/>
                <w:sz w:val="25"/>
                <w:szCs w:val="24"/>
              </w:rPr>
            </w:pPr>
            <w:r>
              <w:rPr>
                <w:rFonts w:ascii="Times New Roman" w:hAnsi="Times New Roman"/>
                <w:color w:val="000000"/>
                <w:kern w:val="0"/>
                <w:sz w:val="25"/>
                <w:szCs w:val="24"/>
              </w:rPr>
              <w:t>0.63</w:t>
            </w:r>
          </w:p>
        </w:tc>
      </w:tr>
      <w:tr w14:paraId="1043880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827F6B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4936F60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14:paraId="502407B0">
            <w:pPr>
              <w:widowControl/>
              <w:snapToGrid w:val="0"/>
              <w:jc w:val="right"/>
              <w:rPr>
                <w:rFonts w:ascii="宋体" w:hAnsi="宋体"/>
                <w:color w:val="000000"/>
                <w:kern w:val="0"/>
                <w:sz w:val="25"/>
                <w:szCs w:val="24"/>
              </w:rPr>
            </w:pPr>
            <w:r>
              <w:rPr>
                <w:rFonts w:ascii="Times New Roman" w:hAnsi="Times New Roman"/>
                <w:color w:val="000000"/>
                <w:kern w:val="0"/>
                <w:sz w:val="25"/>
                <w:szCs w:val="24"/>
              </w:rPr>
              <w:t>573,981,091.82</w:t>
            </w:r>
          </w:p>
        </w:tc>
        <w:tc>
          <w:tcPr>
            <w:tcW w:w="400" w:type="pct"/>
            <w:tcBorders>
              <w:top w:val="single" w:color="auto" w:sz="4" w:space="0"/>
              <w:left w:val="single" w:color="auto" w:sz="4" w:space="0"/>
              <w:bottom w:val="single" w:color="auto" w:sz="4" w:space="0"/>
              <w:right w:val="single" w:color="auto" w:sz="4" w:space="0"/>
            </w:tcBorders>
            <w:vAlign w:val="center"/>
          </w:tcPr>
          <w:p w14:paraId="1D8762FC">
            <w:pPr>
              <w:widowControl/>
              <w:snapToGrid w:val="0"/>
              <w:jc w:val="right"/>
              <w:rPr>
                <w:rFonts w:ascii="宋体" w:hAnsi="宋体"/>
                <w:color w:val="000000"/>
                <w:kern w:val="0"/>
                <w:sz w:val="25"/>
                <w:szCs w:val="24"/>
              </w:rPr>
            </w:pPr>
            <w:r>
              <w:rPr>
                <w:rFonts w:ascii="Times New Roman" w:hAnsi="Times New Roman"/>
                <w:color w:val="000000"/>
                <w:kern w:val="0"/>
                <w:sz w:val="25"/>
                <w:szCs w:val="24"/>
              </w:rPr>
              <w:t>91.34</w:t>
            </w:r>
          </w:p>
        </w:tc>
      </w:tr>
      <w:tr w14:paraId="345EE1C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E3F8B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41019A63">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14:paraId="30B49F70">
            <w:pPr>
              <w:widowControl/>
              <w:snapToGrid w:val="0"/>
              <w:jc w:val="right"/>
              <w:rPr>
                <w:rFonts w:ascii="宋体" w:hAnsi="宋体"/>
                <w:color w:val="000000"/>
                <w:kern w:val="0"/>
                <w:sz w:val="25"/>
                <w:szCs w:val="24"/>
              </w:rPr>
            </w:pPr>
            <w:r>
              <w:rPr>
                <w:rFonts w:ascii="Times New Roman" w:hAnsi="Times New Roman"/>
                <w:color w:val="000000"/>
                <w:kern w:val="0"/>
                <w:sz w:val="25"/>
                <w:szCs w:val="24"/>
              </w:rPr>
              <w:t>36,871,747.07</w:t>
            </w:r>
          </w:p>
        </w:tc>
        <w:tc>
          <w:tcPr>
            <w:tcW w:w="400" w:type="pct"/>
            <w:tcBorders>
              <w:top w:val="single" w:color="auto" w:sz="4" w:space="0"/>
              <w:left w:val="single" w:color="auto" w:sz="4" w:space="0"/>
              <w:bottom w:val="single" w:color="auto" w:sz="4" w:space="0"/>
              <w:right w:val="single" w:color="auto" w:sz="4" w:space="0"/>
            </w:tcBorders>
            <w:vAlign w:val="center"/>
          </w:tcPr>
          <w:p w14:paraId="507AA19A">
            <w:pPr>
              <w:widowControl/>
              <w:snapToGrid w:val="0"/>
              <w:jc w:val="right"/>
              <w:rPr>
                <w:rFonts w:ascii="宋体" w:hAnsi="宋体"/>
                <w:color w:val="000000"/>
                <w:kern w:val="0"/>
                <w:sz w:val="25"/>
                <w:szCs w:val="24"/>
              </w:rPr>
            </w:pPr>
            <w:r>
              <w:rPr>
                <w:rFonts w:ascii="Times New Roman" w:hAnsi="Times New Roman"/>
                <w:color w:val="000000"/>
                <w:kern w:val="0"/>
                <w:sz w:val="25"/>
                <w:szCs w:val="24"/>
              </w:rPr>
              <w:t>5.87</w:t>
            </w:r>
          </w:p>
        </w:tc>
      </w:tr>
      <w:tr w14:paraId="0ED5381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1DF8D78">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34C344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14:paraId="3F810E95">
            <w:pPr>
              <w:widowControl/>
              <w:snapToGrid w:val="0"/>
              <w:jc w:val="right"/>
              <w:rPr>
                <w:rFonts w:ascii="宋体" w:hAnsi="宋体"/>
                <w:color w:val="000000"/>
                <w:kern w:val="0"/>
                <w:sz w:val="25"/>
                <w:szCs w:val="24"/>
              </w:rPr>
            </w:pPr>
            <w:r>
              <w:rPr>
                <w:rFonts w:ascii="Times New Roman" w:hAnsi="Times New Roman"/>
                <w:color w:val="000000"/>
                <w:kern w:val="0"/>
                <w:sz w:val="25"/>
                <w:szCs w:val="24"/>
              </w:rPr>
              <w:t>36,871,747.07</w:t>
            </w:r>
          </w:p>
        </w:tc>
        <w:tc>
          <w:tcPr>
            <w:tcW w:w="400" w:type="pct"/>
            <w:tcBorders>
              <w:top w:val="single" w:color="auto" w:sz="4" w:space="0"/>
              <w:left w:val="single" w:color="auto" w:sz="4" w:space="0"/>
              <w:bottom w:val="single" w:color="auto" w:sz="4" w:space="0"/>
              <w:right w:val="single" w:color="auto" w:sz="4" w:space="0"/>
            </w:tcBorders>
            <w:vAlign w:val="center"/>
          </w:tcPr>
          <w:p w14:paraId="3CE03D6F">
            <w:pPr>
              <w:widowControl/>
              <w:snapToGrid w:val="0"/>
              <w:jc w:val="right"/>
              <w:rPr>
                <w:rFonts w:ascii="宋体" w:hAnsi="宋体"/>
                <w:color w:val="000000"/>
                <w:kern w:val="0"/>
                <w:sz w:val="25"/>
                <w:szCs w:val="24"/>
              </w:rPr>
            </w:pPr>
            <w:r>
              <w:rPr>
                <w:rFonts w:ascii="Times New Roman" w:hAnsi="Times New Roman"/>
                <w:color w:val="000000"/>
                <w:kern w:val="0"/>
                <w:sz w:val="25"/>
                <w:szCs w:val="24"/>
              </w:rPr>
              <w:t>5.87</w:t>
            </w:r>
          </w:p>
        </w:tc>
      </w:tr>
      <w:tr w14:paraId="1431E59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924B02">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5E38B53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14:paraId="0D22882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F50E8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CB48E4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26743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223FFCB7">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14:paraId="3185B69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0D449C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3FAF106">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AD0FDC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037E55C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14:paraId="44522E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C92F84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483F9E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5C55FB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7489B14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156EDB4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6D5E65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76F120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3B011A3">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311C71F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474F2FD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930547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4E6715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E8BB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16B6482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14:paraId="0A46D5E9">
            <w:pPr>
              <w:widowControl/>
              <w:snapToGrid w:val="0"/>
              <w:jc w:val="right"/>
              <w:rPr>
                <w:rFonts w:ascii="宋体" w:hAnsi="宋体"/>
                <w:color w:val="000000"/>
                <w:kern w:val="0"/>
                <w:sz w:val="25"/>
                <w:szCs w:val="24"/>
              </w:rPr>
            </w:pPr>
            <w:r>
              <w:rPr>
                <w:rFonts w:ascii="Times New Roman" w:hAnsi="Times New Roman"/>
                <w:color w:val="000000"/>
                <w:kern w:val="0"/>
                <w:sz w:val="25"/>
                <w:szCs w:val="24"/>
              </w:rPr>
              <w:t>6,217,169.03</w:t>
            </w:r>
          </w:p>
        </w:tc>
        <w:tc>
          <w:tcPr>
            <w:tcW w:w="400" w:type="pct"/>
            <w:tcBorders>
              <w:top w:val="single" w:color="auto" w:sz="4" w:space="0"/>
              <w:left w:val="single" w:color="auto" w:sz="4" w:space="0"/>
              <w:bottom w:val="single" w:color="auto" w:sz="4" w:space="0"/>
              <w:right w:val="single" w:color="auto" w:sz="4" w:space="0"/>
            </w:tcBorders>
            <w:vAlign w:val="center"/>
          </w:tcPr>
          <w:p w14:paraId="5DC15E3B">
            <w:pPr>
              <w:widowControl/>
              <w:snapToGrid w:val="0"/>
              <w:jc w:val="right"/>
              <w:rPr>
                <w:rFonts w:ascii="宋体" w:hAnsi="宋体"/>
                <w:color w:val="000000"/>
                <w:kern w:val="0"/>
                <w:sz w:val="25"/>
                <w:szCs w:val="24"/>
              </w:rPr>
            </w:pPr>
            <w:r>
              <w:rPr>
                <w:rFonts w:ascii="Times New Roman" w:hAnsi="Times New Roman"/>
                <w:color w:val="000000"/>
                <w:kern w:val="0"/>
                <w:sz w:val="25"/>
                <w:szCs w:val="24"/>
              </w:rPr>
              <w:t>0.99</w:t>
            </w:r>
          </w:p>
        </w:tc>
      </w:tr>
      <w:tr w14:paraId="4532968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FF06D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11A52E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14:paraId="79DFF380">
            <w:pPr>
              <w:widowControl/>
              <w:snapToGrid w:val="0"/>
              <w:jc w:val="right"/>
              <w:rPr>
                <w:rFonts w:ascii="宋体" w:hAnsi="宋体"/>
                <w:color w:val="000000"/>
                <w:kern w:val="0"/>
                <w:sz w:val="25"/>
                <w:szCs w:val="24"/>
              </w:rPr>
            </w:pPr>
            <w:r>
              <w:rPr>
                <w:rFonts w:ascii="Times New Roman" w:hAnsi="Times New Roman"/>
                <w:color w:val="000000"/>
                <w:kern w:val="0"/>
                <w:sz w:val="25"/>
                <w:szCs w:val="24"/>
              </w:rPr>
              <w:t>7,392,568.43</w:t>
            </w:r>
          </w:p>
        </w:tc>
        <w:tc>
          <w:tcPr>
            <w:tcW w:w="400" w:type="pct"/>
            <w:tcBorders>
              <w:top w:val="single" w:color="auto" w:sz="4" w:space="0"/>
              <w:left w:val="single" w:color="auto" w:sz="4" w:space="0"/>
              <w:bottom w:val="single" w:color="auto" w:sz="4" w:space="0"/>
              <w:right w:val="single" w:color="auto" w:sz="4" w:space="0"/>
            </w:tcBorders>
            <w:vAlign w:val="center"/>
          </w:tcPr>
          <w:p w14:paraId="480A86C3">
            <w:pPr>
              <w:widowControl/>
              <w:snapToGrid w:val="0"/>
              <w:jc w:val="right"/>
              <w:rPr>
                <w:rFonts w:ascii="宋体" w:hAnsi="宋体"/>
                <w:color w:val="000000"/>
                <w:kern w:val="0"/>
                <w:sz w:val="25"/>
                <w:szCs w:val="24"/>
              </w:rPr>
            </w:pPr>
            <w:r>
              <w:rPr>
                <w:rFonts w:ascii="Times New Roman" w:hAnsi="Times New Roman"/>
                <w:color w:val="000000"/>
                <w:kern w:val="0"/>
                <w:sz w:val="25"/>
                <w:szCs w:val="24"/>
              </w:rPr>
              <w:t>1.18</w:t>
            </w:r>
          </w:p>
        </w:tc>
      </w:tr>
      <w:tr w14:paraId="46B6D28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0DA8C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1C93164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13ECCB33">
            <w:pPr>
              <w:widowControl/>
              <w:snapToGrid w:val="0"/>
              <w:jc w:val="right"/>
              <w:rPr>
                <w:rFonts w:ascii="宋体" w:hAnsi="宋体"/>
                <w:color w:val="000000"/>
                <w:kern w:val="0"/>
                <w:sz w:val="25"/>
                <w:szCs w:val="24"/>
              </w:rPr>
            </w:pPr>
            <w:r>
              <w:rPr>
                <w:rFonts w:ascii="Times New Roman" w:hAnsi="Times New Roman"/>
                <w:color w:val="000000"/>
                <w:kern w:val="0"/>
                <w:sz w:val="25"/>
                <w:szCs w:val="24"/>
              </w:rPr>
              <w:t>628,411,039.47</w:t>
            </w:r>
          </w:p>
        </w:tc>
        <w:tc>
          <w:tcPr>
            <w:tcW w:w="400" w:type="pct"/>
            <w:tcBorders>
              <w:top w:val="single" w:color="auto" w:sz="4" w:space="0"/>
              <w:left w:val="single" w:color="auto" w:sz="4" w:space="0"/>
              <w:bottom w:val="single" w:color="auto" w:sz="4" w:space="0"/>
              <w:right w:val="single" w:color="auto" w:sz="4" w:space="0"/>
            </w:tcBorders>
            <w:vAlign w:val="center"/>
          </w:tcPr>
          <w:p w14:paraId="20D4079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56956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14:paraId="0DB091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6128853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0960E73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F384255">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A2F4FB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51BAF3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341A28A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939AEF7">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14:paraId="37B59C20">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14:paraId="795DF89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46ED2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93B697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AE4CC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14:paraId="7CCABB0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14:paraId="48BA98F7">
            <w:pPr>
              <w:widowControl/>
              <w:snapToGrid w:val="0"/>
              <w:jc w:val="right"/>
              <w:rPr>
                <w:rFonts w:ascii="宋体" w:hAnsi="宋体"/>
                <w:color w:val="000000"/>
                <w:kern w:val="0"/>
                <w:sz w:val="25"/>
                <w:szCs w:val="24"/>
              </w:rPr>
            </w:pPr>
            <w:r>
              <w:rPr>
                <w:rFonts w:ascii="Times New Roman" w:hAnsi="Times New Roman"/>
                <w:color w:val="000000"/>
                <w:kern w:val="0"/>
                <w:sz w:val="25"/>
                <w:szCs w:val="24"/>
              </w:rPr>
              <w:t>1,308,888.00</w:t>
            </w:r>
          </w:p>
        </w:tc>
        <w:tc>
          <w:tcPr>
            <w:tcW w:w="400" w:type="pct"/>
            <w:tcBorders>
              <w:top w:val="single" w:color="auto" w:sz="4" w:space="0"/>
              <w:left w:val="single" w:color="auto" w:sz="4" w:space="0"/>
              <w:bottom w:val="single" w:color="auto" w:sz="4" w:space="0"/>
              <w:right w:val="single" w:color="auto" w:sz="4" w:space="0"/>
            </w:tcBorders>
            <w:vAlign w:val="center"/>
          </w:tcPr>
          <w:p w14:paraId="131DDF10">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14:paraId="788012B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D330C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14:paraId="012E6930">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14:paraId="7FC645A7">
            <w:pPr>
              <w:widowControl/>
              <w:snapToGrid w:val="0"/>
              <w:jc w:val="right"/>
              <w:rPr>
                <w:rFonts w:ascii="宋体" w:hAnsi="宋体"/>
                <w:color w:val="000000"/>
                <w:kern w:val="0"/>
                <w:sz w:val="25"/>
                <w:szCs w:val="24"/>
              </w:rPr>
            </w:pPr>
            <w:r>
              <w:rPr>
                <w:rFonts w:ascii="Times New Roman" w:hAnsi="Times New Roman"/>
                <w:color w:val="000000"/>
                <w:kern w:val="0"/>
                <w:sz w:val="25"/>
                <w:szCs w:val="24"/>
              </w:rPr>
              <w:t>985,733.12</w:t>
            </w:r>
          </w:p>
        </w:tc>
        <w:tc>
          <w:tcPr>
            <w:tcW w:w="400" w:type="pct"/>
            <w:tcBorders>
              <w:top w:val="single" w:color="auto" w:sz="4" w:space="0"/>
              <w:left w:val="single" w:color="auto" w:sz="4" w:space="0"/>
              <w:bottom w:val="single" w:color="auto" w:sz="4" w:space="0"/>
              <w:right w:val="single" w:color="auto" w:sz="4" w:space="0"/>
            </w:tcBorders>
            <w:vAlign w:val="center"/>
          </w:tcPr>
          <w:p w14:paraId="39763842">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14:paraId="55CAA2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830825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14:paraId="13307CA3">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14:paraId="2BAC72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73AC1E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2BCB88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ECA30F5">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14:paraId="1B38CA6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14:paraId="796FB7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B32D4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0CA335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557825D">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14:paraId="21297C5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14:paraId="77D19DB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587493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359E0A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1AA063">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14:paraId="0C662B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14:paraId="12F9E2B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5BCDFF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984AB6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F0B8D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14:paraId="1E7E8451">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14:paraId="462BAA9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035FE4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0820D6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CFEE3B4">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14:paraId="14A8204D">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14:paraId="670D4A0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A5D2BE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CE2B32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A1239E">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14:paraId="1C7C40E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14:paraId="49B41112">
            <w:pPr>
              <w:widowControl/>
              <w:snapToGrid w:val="0"/>
              <w:jc w:val="right"/>
              <w:rPr>
                <w:rFonts w:ascii="宋体" w:hAnsi="宋体"/>
                <w:color w:val="000000"/>
                <w:kern w:val="0"/>
                <w:sz w:val="25"/>
                <w:szCs w:val="24"/>
              </w:rPr>
            </w:pPr>
            <w:r>
              <w:rPr>
                <w:rFonts w:ascii="Times New Roman" w:hAnsi="Times New Roman"/>
                <w:color w:val="000000"/>
                <w:kern w:val="0"/>
                <w:sz w:val="25"/>
                <w:szCs w:val="24"/>
              </w:rPr>
              <w:t>537,122.00</w:t>
            </w:r>
          </w:p>
        </w:tc>
        <w:tc>
          <w:tcPr>
            <w:tcW w:w="400" w:type="pct"/>
            <w:tcBorders>
              <w:top w:val="single" w:color="auto" w:sz="4" w:space="0"/>
              <w:left w:val="single" w:color="auto" w:sz="4" w:space="0"/>
              <w:bottom w:val="single" w:color="auto" w:sz="4" w:space="0"/>
              <w:right w:val="single" w:color="auto" w:sz="4" w:space="0"/>
            </w:tcBorders>
            <w:vAlign w:val="center"/>
          </w:tcPr>
          <w:p w14:paraId="02521B30">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460E25A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4DE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14:paraId="4BBC1CE7">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14:paraId="1ACCF40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6EA3B1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2604DE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2F97818">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14:paraId="259F2BAB">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14:paraId="569138E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8DCFA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4122C5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D77BF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14:paraId="21F48017">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14:paraId="6DD0BB0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998D30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D1310B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EB05E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14:paraId="421DE42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14:paraId="448D6BFD">
            <w:pPr>
              <w:widowControl/>
              <w:snapToGrid w:val="0"/>
              <w:jc w:val="right"/>
              <w:rPr>
                <w:rFonts w:ascii="宋体" w:hAnsi="宋体"/>
                <w:color w:val="000000"/>
                <w:kern w:val="0"/>
                <w:sz w:val="25"/>
                <w:szCs w:val="24"/>
              </w:rPr>
            </w:pPr>
            <w:r>
              <w:rPr>
                <w:rFonts w:ascii="Times New Roman" w:hAnsi="Times New Roman"/>
                <w:color w:val="000000"/>
                <w:kern w:val="0"/>
                <w:sz w:val="25"/>
                <w:szCs w:val="24"/>
              </w:rPr>
              <w:t>1,116,720.00</w:t>
            </w:r>
          </w:p>
        </w:tc>
        <w:tc>
          <w:tcPr>
            <w:tcW w:w="400" w:type="pct"/>
            <w:tcBorders>
              <w:top w:val="single" w:color="auto" w:sz="4" w:space="0"/>
              <w:left w:val="single" w:color="auto" w:sz="4" w:space="0"/>
              <w:bottom w:val="single" w:color="auto" w:sz="4" w:space="0"/>
              <w:right w:val="single" w:color="auto" w:sz="4" w:space="0"/>
            </w:tcBorders>
            <w:vAlign w:val="center"/>
          </w:tcPr>
          <w:p w14:paraId="6430067B">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14:paraId="57A1EE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A4DAFE3">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14:paraId="4A256CE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14:paraId="33E269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86F99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5EFE38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7F17092">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14:paraId="1E18EE60">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14:paraId="62674D7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DB8A05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E23E42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7E0782">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14:paraId="11ED3AE4">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14:paraId="5BFA1C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37DF28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13C28A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7A70B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14:paraId="0FE97460">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14:paraId="4EA46B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25AF1A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78A0F8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DC612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14:paraId="3FD3164D">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14:paraId="7C0E817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FC4578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34A1D0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54FEC7">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BC7A7E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2A454F22">
            <w:pPr>
              <w:widowControl/>
              <w:snapToGrid w:val="0"/>
              <w:jc w:val="right"/>
              <w:rPr>
                <w:rFonts w:ascii="宋体" w:hAnsi="宋体"/>
                <w:color w:val="000000"/>
                <w:kern w:val="0"/>
                <w:sz w:val="25"/>
                <w:szCs w:val="24"/>
              </w:rPr>
            </w:pPr>
            <w:r>
              <w:rPr>
                <w:rFonts w:ascii="Times New Roman" w:hAnsi="Times New Roman"/>
                <w:color w:val="000000"/>
                <w:kern w:val="0"/>
                <w:sz w:val="25"/>
                <w:szCs w:val="24"/>
              </w:rPr>
              <w:t>3,948,463.12</w:t>
            </w:r>
          </w:p>
        </w:tc>
        <w:tc>
          <w:tcPr>
            <w:tcW w:w="400" w:type="pct"/>
            <w:tcBorders>
              <w:top w:val="single" w:color="auto" w:sz="4" w:space="0"/>
              <w:left w:val="single" w:color="auto" w:sz="4" w:space="0"/>
              <w:bottom w:val="single" w:color="auto" w:sz="4" w:space="0"/>
              <w:right w:val="single" w:color="auto" w:sz="4" w:space="0"/>
            </w:tcBorders>
            <w:vAlign w:val="center"/>
          </w:tcPr>
          <w:p w14:paraId="7FD1CC52">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bl>
    <w:p w14:paraId="57BC41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14:paraId="006BDD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A861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14:paraId="5DA64D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7049763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0ECBF76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2187D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25433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612916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FDDEE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BE8711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6A3893E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FD728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1D45C35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000975</w:t>
            </w:r>
          </w:p>
        </w:tc>
        <w:tc>
          <w:tcPr>
            <w:tcW w:w="750" w:type="pct"/>
            <w:tcBorders>
              <w:top w:val="single" w:color="auto" w:sz="4" w:space="0"/>
              <w:left w:val="single" w:color="auto" w:sz="4" w:space="0"/>
              <w:bottom w:val="single" w:color="auto" w:sz="4" w:space="0"/>
              <w:right w:val="single" w:color="auto" w:sz="4" w:space="0"/>
            </w:tcBorders>
            <w:vAlign w:val="center"/>
          </w:tcPr>
          <w:p w14:paraId="39A9B2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山金国际</w:t>
            </w:r>
          </w:p>
        </w:tc>
        <w:tc>
          <w:tcPr>
            <w:tcW w:w="750" w:type="pct"/>
            <w:tcBorders>
              <w:top w:val="single" w:color="auto" w:sz="4" w:space="0"/>
              <w:left w:val="single" w:color="auto" w:sz="4" w:space="0"/>
              <w:bottom w:val="single" w:color="auto" w:sz="4" w:space="0"/>
              <w:right w:val="single" w:color="auto" w:sz="4" w:space="0"/>
            </w:tcBorders>
            <w:vAlign w:val="center"/>
          </w:tcPr>
          <w:p w14:paraId="4FF41530">
            <w:pPr>
              <w:widowControl/>
              <w:snapToGrid w:val="0"/>
              <w:jc w:val="right"/>
              <w:rPr>
                <w:rFonts w:ascii="宋体" w:hAnsi="宋体"/>
                <w:color w:val="000000"/>
                <w:kern w:val="0"/>
                <w:sz w:val="25"/>
                <w:szCs w:val="24"/>
              </w:rPr>
            </w:pPr>
            <w:r>
              <w:rPr>
                <w:rFonts w:ascii="Times New Roman" w:hAnsi="Times New Roman"/>
                <w:color w:val="000000"/>
                <w:kern w:val="0"/>
                <w:sz w:val="25"/>
                <w:szCs w:val="24"/>
              </w:rPr>
              <w:t>44,100</w:t>
            </w:r>
          </w:p>
        </w:tc>
        <w:tc>
          <w:tcPr>
            <w:tcW w:w="750" w:type="pct"/>
            <w:tcBorders>
              <w:top w:val="single" w:color="auto" w:sz="4" w:space="0"/>
              <w:left w:val="single" w:color="auto" w:sz="4" w:space="0"/>
              <w:bottom w:val="single" w:color="auto" w:sz="4" w:space="0"/>
              <w:right w:val="single" w:color="auto" w:sz="4" w:space="0"/>
            </w:tcBorders>
            <w:vAlign w:val="center"/>
          </w:tcPr>
          <w:p w14:paraId="26FBA0FE">
            <w:pPr>
              <w:widowControl/>
              <w:snapToGrid w:val="0"/>
              <w:jc w:val="right"/>
              <w:rPr>
                <w:rFonts w:ascii="宋体" w:hAnsi="宋体"/>
                <w:color w:val="000000"/>
                <w:kern w:val="0"/>
                <w:sz w:val="25"/>
                <w:szCs w:val="24"/>
              </w:rPr>
            </w:pPr>
            <w:r>
              <w:rPr>
                <w:rFonts w:ascii="Times New Roman" w:hAnsi="Times New Roman"/>
                <w:color w:val="000000"/>
                <w:kern w:val="0"/>
                <w:sz w:val="25"/>
                <w:szCs w:val="24"/>
              </w:rPr>
              <w:t>1,308,888.00</w:t>
            </w:r>
          </w:p>
        </w:tc>
        <w:tc>
          <w:tcPr>
            <w:tcW w:w="750" w:type="pct"/>
            <w:tcBorders>
              <w:top w:val="single" w:color="auto" w:sz="4" w:space="0"/>
              <w:left w:val="single" w:color="auto" w:sz="4" w:space="0"/>
              <w:bottom w:val="single" w:color="auto" w:sz="4" w:space="0"/>
              <w:right w:val="single" w:color="auto" w:sz="4" w:space="0"/>
            </w:tcBorders>
            <w:vAlign w:val="center"/>
          </w:tcPr>
          <w:p w14:paraId="69CA75D1">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14:paraId="3CEBCF4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7CC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12B72E1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000888</w:t>
            </w:r>
          </w:p>
        </w:tc>
        <w:tc>
          <w:tcPr>
            <w:tcW w:w="750" w:type="pct"/>
            <w:tcBorders>
              <w:top w:val="single" w:color="auto" w:sz="4" w:space="0"/>
              <w:left w:val="single" w:color="auto" w:sz="4" w:space="0"/>
              <w:bottom w:val="single" w:color="auto" w:sz="4" w:space="0"/>
              <w:right w:val="single" w:color="auto" w:sz="4" w:space="0"/>
            </w:tcBorders>
            <w:vAlign w:val="center"/>
          </w:tcPr>
          <w:p w14:paraId="451BA2CD">
            <w:pPr>
              <w:widowControl/>
              <w:snapToGrid w:val="0"/>
              <w:jc w:val="center"/>
              <w:rPr>
                <w:rFonts w:ascii="宋体" w:hAnsi="宋体"/>
                <w:color w:val="000000"/>
                <w:kern w:val="0"/>
                <w:sz w:val="25"/>
                <w:szCs w:val="24"/>
              </w:rPr>
            </w:pPr>
            <w:r>
              <w:rPr>
                <w:rFonts w:ascii="Times New Roman" w:hAnsi="Times New Roman"/>
                <w:color w:val="000000"/>
                <w:kern w:val="0"/>
                <w:sz w:val="25"/>
                <w:szCs w:val="24"/>
              </w:rPr>
              <w:t>峨眉山A</w:t>
            </w:r>
          </w:p>
        </w:tc>
        <w:tc>
          <w:tcPr>
            <w:tcW w:w="750" w:type="pct"/>
            <w:tcBorders>
              <w:top w:val="single" w:color="auto" w:sz="4" w:space="0"/>
              <w:left w:val="single" w:color="auto" w:sz="4" w:space="0"/>
              <w:bottom w:val="single" w:color="auto" w:sz="4" w:space="0"/>
              <w:right w:val="single" w:color="auto" w:sz="4" w:space="0"/>
            </w:tcBorders>
            <w:vAlign w:val="center"/>
          </w:tcPr>
          <w:p w14:paraId="510ADB7E">
            <w:pPr>
              <w:widowControl/>
              <w:snapToGrid w:val="0"/>
              <w:jc w:val="right"/>
              <w:rPr>
                <w:rFonts w:ascii="宋体" w:hAnsi="宋体"/>
                <w:color w:val="000000"/>
                <w:kern w:val="0"/>
                <w:sz w:val="25"/>
                <w:szCs w:val="24"/>
              </w:rPr>
            </w:pPr>
            <w:r>
              <w:rPr>
                <w:rFonts w:ascii="Times New Roman" w:hAnsi="Times New Roman"/>
                <w:color w:val="000000"/>
                <w:kern w:val="0"/>
                <w:sz w:val="25"/>
                <w:szCs w:val="24"/>
              </w:rPr>
              <w:t>88,000</w:t>
            </w:r>
          </w:p>
        </w:tc>
        <w:tc>
          <w:tcPr>
            <w:tcW w:w="750" w:type="pct"/>
            <w:tcBorders>
              <w:top w:val="single" w:color="auto" w:sz="4" w:space="0"/>
              <w:left w:val="single" w:color="auto" w:sz="4" w:space="0"/>
              <w:bottom w:val="single" w:color="auto" w:sz="4" w:space="0"/>
              <w:right w:val="single" w:color="auto" w:sz="4" w:space="0"/>
            </w:tcBorders>
            <w:vAlign w:val="center"/>
          </w:tcPr>
          <w:p w14:paraId="301B975E">
            <w:pPr>
              <w:widowControl/>
              <w:snapToGrid w:val="0"/>
              <w:jc w:val="right"/>
              <w:rPr>
                <w:rFonts w:ascii="宋体" w:hAnsi="宋体"/>
                <w:color w:val="000000"/>
                <w:kern w:val="0"/>
                <w:sz w:val="25"/>
                <w:szCs w:val="24"/>
              </w:rPr>
            </w:pPr>
            <w:r>
              <w:rPr>
                <w:rFonts w:ascii="Times New Roman" w:hAnsi="Times New Roman"/>
                <w:color w:val="000000"/>
                <w:kern w:val="0"/>
                <w:sz w:val="25"/>
                <w:szCs w:val="24"/>
              </w:rPr>
              <w:t>1,116,720.00</w:t>
            </w:r>
          </w:p>
        </w:tc>
        <w:tc>
          <w:tcPr>
            <w:tcW w:w="750" w:type="pct"/>
            <w:tcBorders>
              <w:top w:val="single" w:color="auto" w:sz="4" w:space="0"/>
              <w:left w:val="single" w:color="auto" w:sz="4" w:space="0"/>
              <w:bottom w:val="single" w:color="auto" w:sz="4" w:space="0"/>
              <w:right w:val="single" w:color="auto" w:sz="4" w:space="0"/>
            </w:tcBorders>
            <w:vAlign w:val="center"/>
          </w:tcPr>
          <w:p w14:paraId="2B025F3C">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14:paraId="6A80F8B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7A057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CBC4B05">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600150</w:t>
            </w:r>
          </w:p>
        </w:tc>
        <w:tc>
          <w:tcPr>
            <w:tcW w:w="750" w:type="pct"/>
            <w:tcBorders>
              <w:top w:val="single" w:color="auto" w:sz="4" w:space="0"/>
              <w:left w:val="single" w:color="auto" w:sz="4" w:space="0"/>
              <w:bottom w:val="single" w:color="auto" w:sz="4" w:space="0"/>
              <w:right w:val="single" w:color="auto" w:sz="4" w:space="0"/>
            </w:tcBorders>
            <w:vAlign w:val="center"/>
          </w:tcPr>
          <w:p w14:paraId="3F4DE09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中国船舶</w:t>
            </w:r>
          </w:p>
        </w:tc>
        <w:tc>
          <w:tcPr>
            <w:tcW w:w="750" w:type="pct"/>
            <w:tcBorders>
              <w:top w:val="single" w:color="auto" w:sz="4" w:space="0"/>
              <w:left w:val="single" w:color="auto" w:sz="4" w:space="0"/>
              <w:bottom w:val="single" w:color="auto" w:sz="4" w:space="0"/>
              <w:right w:val="single" w:color="auto" w:sz="4" w:space="0"/>
            </w:tcBorders>
            <w:vAlign w:val="center"/>
          </w:tcPr>
          <w:p w14:paraId="71E45A83">
            <w:pPr>
              <w:widowControl/>
              <w:snapToGrid w:val="0"/>
              <w:jc w:val="right"/>
              <w:rPr>
                <w:rFonts w:ascii="宋体" w:hAnsi="宋体"/>
                <w:color w:val="000000"/>
                <w:kern w:val="0"/>
                <w:sz w:val="25"/>
                <w:szCs w:val="24"/>
              </w:rPr>
            </w:pPr>
            <w:r>
              <w:rPr>
                <w:rFonts w:ascii="Times New Roman" w:hAnsi="Times New Roman"/>
                <w:color w:val="000000"/>
                <w:kern w:val="0"/>
                <w:sz w:val="25"/>
                <w:szCs w:val="24"/>
              </w:rPr>
              <w:t>29,200</w:t>
            </w:r>
          </w:p>
        </w:tc>
        <w:tc>
          <w:tcPr>
            <w:tcW w:w="750" w:type="pct"/>
            <w:tcBorders>
              <w:top w:val="single" w:color="auto" w:sz="4" w:space="0"/>
              <w:left w:val="single" w:color="auto" w:sz="4" w:space="0"/>
              <w:bottom w:val="single" w:color="auto" w:sz="4" w:space="0"/>
              <w:right w:val="single" w:color="auto" w:sz="4" w:space="0"/>
            </w:tcBorders>
            <w:vAlign w:val="center"/>
          </w:tcPr>
          <w:p w14:paraId="49888B2D">
            <w:pPr>
              <w:widowControl/>
              <w:snapToGrid w:val="0"/>
              <w:jc w:val="right"/>
              <w:rPr>
                <w:rFonts w:ascii="宋体" w:hAnsi="宋体"/>
                <w:color w:val="000000"/>
                <w:kern w:val="0"/>
                <w:sz w:val="25"/>
                <w:szCs w:val="24"/>
              </w:rPr>
            </w:pPr>
            <w:r>
              <w:rPr>
                <w:rFonts w:ascii="Times New Roman" w:hAnsi="Times New Roman"/>
                <w:color w:val="000000"/>
                <w:kern w:val="0"/>
                <w:sz w:val="25"/>
                <w:szCs w:val="24"/>
              </w:rPr>
              <w:t>900,528.00</w:t>
            </w:r>
          </w:p>
        </w:tc>
        <w:tc>
          <w:tcPr>
            <w:tcW w:w="750" w:type="pct"/>
            <w:tcBorders>
              <w:top w:val="single" w:color="auto" w:sz="4" w:space="0"/>
              <w:left w:val="single" w:color="auto" w:sz="4" w:space="0"/>
              <w:bottom w:val="single" w:color="auto" w:sz="4" w:space="0"/>
              <w:right w:val="single" w:color="auto" w:sz="4" w:space="0"/>
            </w:tcBorders>
            <w:vAlign w:val="center"/>
          </w:tcPr>
          <w:p w14:paraId="0FD26D94">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14:paraId="72720F7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ED712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2A4B62E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601229</w:t>
            </w:r>
          </w:p>
        </w:tc>
        <w:tc>
          <w:tcPr>
            <w:tcW w:w="750" w:type="pct"/>
            <w:tcBorders>
              <w:top w:val="single" w:color="auto" w:sz="4" w:space="0"/>
              <w:left w:val="single" w:color="auto" w:sz="4" w:space="0"/>
              <w:bottom w:val="single" w:color="auto" w:sz="4" w:space="0"/>
              <w:right w:val="single" w:color="auto" w:sz="4" w:space="0"/>
            </w:tcBorders>
            <w:vAlign w:val="center"/>
          </w:tcPr>
          <w:p w14:paraId="004B959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上海银行</w:t>
            </w:r>
          </w:p>
        </w:tc>
        <w:tc>
          <w:tcPr>
            <w:tcW w:w="750" w:type="pct"/>
            <w:tcBorders>
              <w:top w:val="single" w:color="auto" w:sz="4" w:space="0"/>
              <w:left w:val="single" w:color="auto" w:sz="4" w:space="0"/>
              <w:bottom w:val="single" w:color="auto" w:sz="4" w:space="0"/>
              <w:right w:val="single" w:color="auto" w:sz="4" w:space="0"/>
            </w:tcBorders>
            <w:vAlign w:val="center"/>
          </w:tcPr>
          <w:p w14:paraId="0E1C0E14">
            <w:pPr>
              <w:widowControl/>
              <w:snapToGrid w:val="0"/>
              <w:jc w:val="right"/>
              <w:rPr>
                <w:rFonts w:ascii="宋体" w:hAnsi="宋体"/>
                <w:color w:val="000000"/>
                <w:kern w:val="0"/>
                <w:sz w:val="25"/>
                <w:szCs w:val="24"/>
              </w:rPr>
            </w:pPr>
            <w:r>
              <w:rPr>
                <w:rFonts w:ascii="Times New Roman" w:hAnsi="Times New Roman"/>
                <w:color w:val="000000"/>
                <w:kern w:val="0"/>
                <w:sz w:val="25"/>
                <w:szCs w:val="24"/>
              </w:rPr>
              <w:t>54,200</w:t>
            </w:r>
          </w:p>
        </w:tc>
        <w:tc>
          <w:tcPr>
            <w:tcW w:w="750" w:type="pct"/>
            <w:tcBorders>
              <w:top w:val="single" w:color="auto" w:sz="4" w:space="0"/>
              <w:left w:val="single" w:color="auto" w:sz="4" w:space="0"/>
              <w:bottom w:val="single" w:color="auto" w:sz="4" w:space="0"/>
              <w:right w:val="single" w:color="auto" w:sz="4" w:space="0"/>
            </w:tcBorders>
            <w:vAlign w:val="center"/>
          </w:tcPr>
          <w:p w14:paraId="3BB2F70C">
            <w:pPr>
              <w:widowControl/>
              <w:snapToGrid w:val="0"/>
              <w:jc w:val="right"/>
              <w:rPr>
                <w:rFonts w:ascii="宋体" w:hAnsi="宋体"/>
                <w:color w:val="000000"/>
                <w:kern w:val="0"/>
                <w:sz w:val="25"/>
                <w:szCs w:val="24"/>
              </w:rPr>
            </w:pPr>
            <w:r>
              <w:rPr>
                <w:rFonts w:ascii="Times New Roman" w:hAnsi="Times New Roman"/>
                <w:color w:val="000000"/>
                <w:kern w:val="0"/>
                <w:sz w:val="25"/>
                <w:szCs w:val="24"/>
              </w:rPr>
              <w:t>537,122.00</w:t>
            </w:r>
          </w:p>
        </w:tc>
        <w:tc>
          <w:tcPr>
            <w:tcW w:w="750" w:type="pct"/>
            <w:tcBorders>
              <w:top w:val="single" w:color="auto" w:sz="4" w:space="0"/>
              <w:left w:val="single" w:color="auto" w:sz="4" w:space="0"/>
              <w:bottom w:val="single" w:color="auto" w:sz="4" w:space="0"/>
              <w:right w:val="single" w:color="auto" w:sz="4" w:space="0"/>
            </w:tcBorders>
            <w:vAlign w:val="center"/>
          </w:tcPr>
          <w:p w14:paraId="2D17172C">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4AFB04D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52CF4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00768746">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688110</w:t>
            </w:r>
          </w:p>
        </w:tc>
        <w:tc>
          <w:tcPr>
            <w:tcW w:w="750" w:type="pct"/>
            <w:tcBorders>
              <w:top w:val="single" w:color="auto" w:sz="4" w:space="0"/>
              <w:left w:val="single" w:color="auto" w:sz="4" w:space="0"/>
              <w:bottom w:val="single" w:color="auto" w:sz="4" w:space="0"/>
              <w:right w:val="single" w:color="auto" w:sz="4" w:space="0"/>
            </w:tcBorders>
            <w:vAlign w:val="center"/>
          </w:tcPr>
          <w:p w14:paraId="47BCDC9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东芯股份</w:t>
            </w:r>
          </w:p>
        </w:tc>
        <w:tc>
          <w:tcPr>
            <w:tcW w:w="750" w:type="pct"/>
            <w:tcBorders>
              <w:top w:val="single" w:color="auto" w:sz="4" w:space="0"/>
              <w:left w:val="single" w:color="auto" w:sz="4" w:space="0"/>
              <w:bottom w:val="single" w:color="auto" w:sz="4" w:space="0"/>
              <w:right w:val="single" w:color="auto" w:sz="4" w:space="0"/>
            </w:tcBorders>
            <w:vAlign w:val="center"/>
          </w:tcPr>
          <w:p w14:paraId="15A638D7">
            <w:pPr>
              <w:widowControl/>
              <w:snapToGrid w:val="0"/>
              <w:jc w:val="righ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color="auto" w:sz="4" w:space="0"/>
              <w:left w:val="single" w:color="auto" w:sz="4" w:space="0"/>
              <w:bottom w:val="single" w:color="auto" w:sz="4" w:space="0"/>
              <w:right w:val="single" w:color="auto" w:sz="4" w:space="0"/>
            </w:tcBorders>
            <w:vAlign w:val="center"/>
          </w:tcPr>
          <w:p w14:paraId="565349F1">
            <w:pPr>
              <w:widowControl/>
              <w:snapToGrid w:val="0"/>
              <w:jc w:val="right"/>
              <w:rPr>
                <w:rFonts w:ascii="宋体" w:hAnsi="宋体"/>
                <w:color w:val="000000"/>
                <w:kern w:val="0"/>
                <w:sz w:val="25"/>
                <w:szCs w:val="24"/>
              </w:rPr>
            </w:pPr>
            <w:r>
              <w:rPr>
                <w:rFonts w:ascii="Times New Roman" w:hAnsi="Times New Roman"/>
                <w:color w:val="000000"/>
                <w:kern w:val="0"/>
                <w:sz w:val="25"/>
                <w:szCs w:val="24"/>
              </w:rPr>
              <w:t>85,205.12</w:t>
            </w:r>
          </w:p>
        </w:tc>
        <w:tc>
          <w:tcPr>
            <w:tcW w:w="750" w:type="pct"/>
            <w:tcBorders>
              <w:top w:val="single" w:color="auto" w:sz="4" w:space="0"/>
              <w:left w:val="single" w:color="auto" w:sz="4" w:space="0"/>
              <w:bottom w:val="single" w:color="auto" w:sz="4" w:space="0"/>
              <w:right w:val="single" w:color="auto" w:sz="4" w:space="0"/>
            </w:tcBorders>
            <w:vAlign w:val="center"/>
          </w:tcPr>
          <w:p w14:paraId="393B395D">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14:paraId="699FF0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2F01810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1B7C215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3C21A2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1C09DD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7E253E1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4849583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9E4E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D303EC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14:paraId="419EFAA8">
            <w:pPr>
              <w:widowControl/>
              <w:snapToGrid w:val="0"/>
              <w:jc w:val="right"/>
              <w:rPr>
                <w:rFonts w:ascii="宋体" w:hAnsi="宋体"/>
                <w:color w:val="000000"/>
                <w:kern w:val="0"/>
                <w:sz w:val="25"/>
                <w:szCs w:val="24"/>
              </w:rPr>
            </w:pPr>
            <w:r>
              <w:rPr>
                <w:rFonts w:ascii="Times New Roman" w:hAnsi="Times New Roman"/>
                <w:color w:val="000000"/>
                <w:kern w:val="0"/>
                <w:sz w:val="25"/>
                <w:szCs w:val="24"/>
              </w:rPr>
              <w:t>36,871,747.07</w:t>
            </w:r>
          </w:p>
        </w:tc>
        <w:tc>
          <w:tcPr>
            <w:tcW w:w="400" w:type="pct"/>
            <w:tcBorders>
              <w:top w:val="single" w:color="auto" w:sz="4" w:space="0"/>
              <w:left w:val="single" w:color="auto" w:sz="4" w:space="0"/>
              <w:bottom w:val="single" w:color="auto" w:sz="4" w:space="0"/>
              <w:right w:val="single" w:color="auto" w:sz="4" w:space="0"/>
            </w:tcBorders>
            <w:vAlign w:val="center"/>
          </w:tcPr>
          <w:p w14:paraId="15147423">
            <w:pPr>
              <w:widowControl/>
              <w:snapToGrid w:val="0"/>
              <w:jc w:val="right"/>
              <w:rPr>
                <w:rFonts w:ascii="宋体" w:hAnsi="宋体"/>
                <w:color w:val="000000"/>
                <w:kern w:val="0"/>
                <w:sz w:val="25"/>
                <w:szCs w:val="24"/>
              </w:rPr>
            </w:pPr>
            <w:r>
              <w:rPr>
                <w:rFonts w:ascii="Times New Roman" w:hAnsi="Times New Roman"/>
                <w:color w:val="000000"/>
                <w:kern w:val="0"/>
                <w:sz w:val="25"/>
                <w:szCs w:val="24"/>
              </w:rPr>
              <w:t>5.94</w:t>
            </w:r>
          </w:p>
        </w:tc>
      </w:tr>
      <w:tr w14:paraId="43F0025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A8F8C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1117151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14:paraId="273227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D116D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FAF491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532D0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4E94E5F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14:paraId="44C571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241B7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130232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7306D1">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3DBE775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14:paraId="259373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0563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0D83B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19112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7F434B7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14:paraId="5175C8A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AD9EAA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C5A3E6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CAA60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2481AA3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14:paraId="4DFBB6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6B6843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39BBF5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34FB1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4A4644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14:paraId="063039A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ADA7D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CF1C47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A0700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4F089F3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14:paraId="4896D4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3798DB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101271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902FC8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1B9C14A8">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14:paraId="39C5D63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AD80DB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42A1A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7B4D4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547722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14:paraId="3C0352A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D2FB6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B62EAD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C27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5FC0869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7C731A7B">
            <w:pPr>
              <w:widowControl/>
              <w:snapToGrid w:val="0"/>
              <w:jc w:val="right"/>
              <w:rPr>
                <w:rFonts w:ascii="宋体" w:hAnsi="宋体"/>
                <w:color w:val="000000"/>
                <w:kern w:val="0"/>
                <w:sz w:val="25"/>
                <w:szCs w:val="24"/>
              </w:rPr>
            </w:pPr>
            <w:r>
              <w:rPr>
                <w:rFonts w:ascii="Times New Roman" w:hAnsi="Times New Roman"/>
                <w:color w:val="000000"/>
                <w:kern w:val="0"/>
                <w:sz w:val="25"/>
                <w:szCs w:val="24"/>
              </w:rPr>
              <w:t>36,871,747.07</w:t>
            </w:r>
          </w:p>
        </w:tc>
        <w:tc>
          <w:tcPr>
            <w:tcW w:w="400" w:type="pct"/>
            <w:tcBorders>
              <w:top w:val="single" w:color="auto" w:sz="4" w:space="0"/>
              <w:left w:val="single" w:color="auto" w:sz="4" w:space="0"/>
              <w:bottom w:val="single" w:color="auto" w:sz="4" w:space="0"/>
              <w:right w:val="single" w:color="auto" w:sz="4" w:space="0"/>
            </w:tcBorders>
            <w:vAlign w:val="center"/>
          </w:tcPr>
          <w:p w14:paraId="3B2A8BC7">
            <w:pPr>
              <w:widowControl/>
              <w:snapToGrid w:val="0"/>
              <w:jc w:val="right"/>
              <w:rPr>
                <w:rFonts w:ascii="宋体" w:hAnsi="宋体"/>
                <w:color w:val="000000"/>
                <w:kern w:val="0"/>
                <w:sz w:val="25"/>
                <w:szCs w:val="24"/>
              </w:rPr>
            </w:pPr>
            <w:r>
              <w:rPr>
                <w:rFonts w:ascii="Times New Roman" w:hAnsi="Times New Roman"/>
                <w:color w:val="000000"/>
                <w:kern w:val="0"/>
                <w:sz w:val="25"/>
                <w:szCs w:val="24"/>
              </w:rPr>
              <w:t>5.94</w:t>
            </w:r>
          </w:p>
        </w:tc>
      </w:tr>
    </w:tbl>
    <w:p w14:paraId="15E1E4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791CE2D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6658BC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FB1611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99A45B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8EC839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6B5D6B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E8EAC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360FB64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CAB52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EA574C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color="auto" w:sz="4" w:space="0"/>
              <w:left w:val="single" w:color="auto" w:sz="4" w:space="0"/>
              <w:bottom w:val="single" w:color="auto" w:sz="4" w:space="0"/>
              <w:right w:val="single" w:color="auto" w:sz="4" w:space="0"/>
            </w:tcBorders>
            <w:vAlign w:val="center"/>
          </w:tcPr>
          <w:p w14:paraId="335A7B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25国债08</w:t>
            </w:r>
          </w:p>
        </w:tc>
        <w:tc>
          <w:tcPr>
            <w:tcW w:w="750" w:type="pct"/>
            <w:tcBorders>
              <w:top w:val="single" w:color="auto" w:sz="4" w:space="0"/>
              <w:left w:val="single" w:color="auto" w:sz="4" w:space="0"/>
              <w:bottom w:val="single" w:color="auto" w:sz="4" w:space="0"/>
              <w:right w:val="single" w:color="auto" w:sz="4" w:space="0"/>
            </w:tcBorders>
            <w:vAlign w:val="center"/>
          </w:tcPr>
          <w:p w14:paraId="237E3E66">
            <w:pPr>
              <w:widowControl/>
              <w:snapToGrid w:val="0"/>
              <w:jc w:val="right"/>
              <w:rPr>
                <w:rFonts w:ascii="宋体" w:hAnsi="宋体"/>
                <w:color w:val="000000"/>
                <w:kern w:val="0"/>
                <w:sz w:val="25"/>
                <w:szCs w:val="24"/>
              </w:rPr>
            </w:pPr>
            <w:r>
              <w:rPr>
                <w:rFonts w:ascii="Times New Roman" w:hAnsi="Times New Roman"/>
                <w:color w:val="000000"/>
                <w:kern w:val="0"/>
                <w:sz w:val="25"/>
                <w:szCs w:val="24"/>
              </w:rPr>
              <w:t>344,000</w:t>
            </w:r>
          </w:p>
        </w:tc>
        <w:tc>
          <w:tcPr>
            <w:tcW w:w="750" w:type="pct"/>
            <w:tcBorders>
              <w:top w:val="single" w:color="auto" w:sz="4" w:space="0"/>
              <w:left w:val="single" w:color="auto" w:sz="4" w:space="0"/>
              <w:bottom w:val="single" w:color="auto" w:sz="4" w:space="0"/>
              <w:right w:val="single" w:color="auto" w:sz="4" w:space="0"/>
            </w:tcBorders>
            <w:vAlign w:val="center"/>
          </w:tcPr>
          <w:p w14:paraId="2BE4A2DF">
            <w:pPr>
              <w:widowControl/>
              <w:snapToGrid w:val="0"/>
              <w:jc w:val="right"/>
              <w:rPr>
                <w:rFonts w:ascii="宋体" w:hAnsi="宋体"/>
                <w:color w:val="000000"/>
                <w:kern w:val="0"/>
                <w:sz w:val="25"/>
                <w:szCs w:val="24"/>
              </w:rPr>
            </w:pPr>
            <w:r>
              <w:rPr>
                <w:rFonts w:ascii="Times New Roman" w:hAnsi="Times New Roman"/>
                <w:color w:val="000000"/>
                <w:kern w:val="0"/>
                <w:sz w:val="25"/>
                <w:szCs w:val="24"/>
              </w:rPr>
              <w:t>34,856,643.51</w:t>
            </w:r>
          </w:p>
        </w:tc>
        <w:tc>
          <w:tcPr>
            <w:tcW w:w="750" w:type="pct"/>
            <w:tcBorders>
              <w:top w:val="single" w:color="auto" w:sz="4" w:space="0"/>
              <w:left w:val="single" w:color="auto" w:sz="4" w:space="0"/>
              <w:bottom w:val="single" w:color="auto" w:sz="4" w:space="0"/>
              <w:right w:val="single" w:color="auto" w:sz="4" w:space="0"/>
            </w:tcBorders>
            <w:vAlign w:val="center"/>
          </w:tcPr>
          <w:p w14:paraId="49E65630">
            <w:pPr>
              <w:widowControl/>
              <w:snapToGrid w:val="0"/>
              <w:jc w:val="right"/>
              <w:rPr>
                <w:rFonts w:ascii="宋体" w:hAnsi="宋体"/>
                <w:color w:val="000000"/>
                <w:kern w:val="0"/>
                <w:sz w:val="25"/>
                <w:szCs w:val="24"/>
              </w:rPr>
            </w:pPr>
            <w:r>
              <w:rPr>
                <w:rFonts w:ascii="Times New Roman" w:hAnsi="Times New Roman"/>
                <w:color w:val="000000"/>
                <w:kern w:val="0"/>
                <w:sz w:val="25"/>
                <w:szCs w:val="24"/>
              </w:rPr>
              <w:t>5.62</w:t>
            </w:r>
          </w:p>
        </w:tc>
      </w:tr>
      <w:tr w14:paraId="1A11E04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50A24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69144A4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color="auto" w:sz="4" w:space="0"/>
              <w:left w:val="single" w:color="auto" w:sz="4" w:space="0"/>
              <w:bottom w:val="single" w:color="auto" w:sz="4" w:space="0"/>
              <w:right w:val="single" w:color="auto" w:sz="4" w:space="0"/>
            </w:tcBorders>
            <w:vAlign w:val="center"/>
          </w:tcPr>
          <w:p w14:paraId="08065CA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25国债19</w:t>
            </w:r>
          </w:p>
        </w:tc>
        <w:tc>
          <w:tcPr>
            <w:tcW w:w="750" w:type="pct"/>
            <w:tcBorders>
              <w:top w:val="single" w:color="auto" w:sz="4" w:space="0"/>
              <w:left w:val="single" w:color="auto" w:sz="4" w:space="0"/>
              <w:bottom w:val="single" w:color="auto" w:sz="4" w:space="0"/>
              <w:right w:val="single" w:color="auto" w:sz="4" w:space="0"/>
            </w:tcBorders>
            <w:vAlign w:val="center"/>
          </w:tcPr>
          <w:p w14:paraId="3ED4BA3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w:t>
            </w:r>
          </w:p>
        </w:tc>
        <w:tc>
          <w:tcPr>
            <w:tcW w:w="750" w:type="pct"/>
            <w:tcBorders>
              <w:top w:val="single" w:color="auto" w:sz="4" w:space="0"/>
              <w:left w:val="single" w:color="auto" w:sz="4" w:space="0"/>
              <w:bottom w:val="single" w:color="auto" w:sz="4" w:space="0"/>
              <w:right w:val="single" w:color="auto" w:sz="4" w:space="0"/>
            </w:tcBorders>
            <w:vAlign w:val="center"/>
          </w:tcPr>
          <w:p w14:paraId="47D1C3E9">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2,015,103.56</w:t>
            </w:r>
          </w:p>
        </w:tc>
        <w:tc>
          <w:tcPr>
            <w:tcW w:w="750" w:type="pct"/>
            <w:tcBorders>
              <w:top w:val="single" w:color="auto" w:sz="4" w:space="0"/>
              <w:left w:val="single" w:color="auto" w:sz="4" w:space="0"/>
              <w:bottom w:val="single" w:color="auto" w:sz="4" w:space="0"/>
              <w:right w:val="single" w:color="auto" w:sz="4" w:space="0"/>
            </w:tcBorders>
            <w:vAlign w:val="center"/>
          </w:tcPr>
          <w:p w14:paraId="40D0C07D">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bl>
    <w:p w14:paraId="29A3E0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14:paraId="2683B7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56FF63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14:paraId="4A837E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544F48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14:paraId="3C3113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9BB19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14:paraId="70D10B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14:paraId="3B4C51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4946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14:paraId="2E221E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2459A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14:paraId="2DB690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14:paraId="103D1F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64461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14:paraId="211573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0681B9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14:paraId="31331A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C903A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14:paraId="6FB792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14:paraId="2DB73E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14:paraId="76A84A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2026年01月28日,国家金融监督管理总局上海监管局公示沪金罚决字[2026]17-20,22、23号行政处罚决定书,给予上海银行股份有限公司450万元人民币的行政处罚。</w:t>
      </w:r>
    </w:p>
    <w:p w14:paraId="611AFB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2025年08月01日,央行公示银罚决字[2025]10号行政处罚决定书,给予上海银行股份有限公司罚没共计2921.752万元人民币的行政处罚。</w:t>
      </w:r>
    </w:p>
    <w:p w14:paraId="53E87D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本基金管理人对证券投资决策程序的说明如下：本基金管理人对证券投资特别是重仓证券的投资有严格的投资决策流程控制，对上述主体发行证券的投资决策程序符合公司投资制度的规定。</w:t>
      </w:r>
    </w:p>
    <w:p w14:paraId="4FB121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除上述主体外，本基金投资的前十名证券的其他发行主体本期没有出现被监管部门立案调查，或在报告编制日前一年内受到公开谴责、处罚的情形。</w:t>
      </w:r>
    </w:p>
    <w:p w14:paraId="57614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14:paraId="623981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14:paraId="65852E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02064B4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1DE4EC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E60E1F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6DFCFDF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14:paraId="4C5DB8B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EF099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68D1E18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14:paraId="63EFB264">
            <w:pPr>
              <w:widowControl/>
              <w:snapToGrid w:val="0"/>
              <w:jc w:val="right"/>
              <w:rPr>
                <w:rFonts w:ascii="宋体" w:hAnsi="宋体"/>
                <w:color w:val="000000"/>
                <w:kern w:val="0"/>
                <w:sz w:val="25"/>
                <w:szCs w:val="24"/>
              </w:rPr>
            </w:pPr>
            <w:r>
              <w:rPr>
                <w:rFonts w:ascii="Times New Roman" w:hAnsi="Times New Roman"/>
                <w:color w:val="000000"/>
                <w:kern w:val="0"/>
                <w:sz w:val="25"/>
                <w:szCs w:val="24"/>
              </w:rPr>
              <w:t>87,104.25</w:t>
            </w:r>
          </w:p>
        </w:tc>
      </w:tr>
      <w:tr w14:paraId="2C6C0A0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5550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09392E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14:paraId="716305DA">
            <w:pPr>
              <w:widowControl/>
              <w:snapToGrid w:val="0"/>
              <w:jc w:val="right"/>
              <w:rPr>
                <w:rFonts w:ascii="宋体" w:hAnsi="宋体"/>
                <w:color w:val="000000"/>
                <w:kern w:val="0"/>
                <w:sz w:val="25"/>
                <w:szCs w:val="24"/>
              </w:rPr>
            </w:pPr>
            <w:r>
              <w:rPr>
                <w:rFonts w:ascii="Times New Roman" w:hAnsi="Times New Roman"/>
                <w:color w:val="000000"/>
                <w:kern w:val="0"/>
                <w:sz w:val="25"/>
                <w:szCs w:val="24"/>
              </w:rPr>
              <w:t>7,202,934.70</w:t>
            </w:r>
          </w:p>
        </w:tc>
      </w:tr>
      <w:tr w14:paraId="0EDA7DE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BE957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01FDD13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14:paraId="65197E94">
            <w:pPr>
              <w:widowControl/>
              <w:snapToGrid w:val="0"/>
              <w:jc w:val="right"/>
              <w:rPr>
                <w:rFonts w:ascii="宋体" w:hAnsi="宋体"/>
                <w:color w:val="000000"/>
                <w:kern w:val="0"/>
                <w:sz w:val="25"/>
                <w:szCs w:val="24"/>
              </w:rPr>
            </w:pPr>
            <w:r>
              <w:rPr>
                <w:rFonts w:ascii="Times New Roman" w:hAnsi="Times New Roman"/>
                <w:color w:val="000000"/>
                <w:kern w:val="0"/>
                <w:sz w:val="25"/>
                <w:szCs w:val="24"/>
              </w:rPr>
              <w:t>1,250.34</w:t>
            </w:r>
          </w:p>
        </w:tc>
      </w:tr>
      <w:tr w14:paraId="5AE838E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20779C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4158B4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14:paraId="6B6A96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A4B004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5379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3B13D16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14:paraId="70B97E69">
            <w:pPr>
              <w:widowControl/>
              <w:snapToGrid w:val="0"/>
              <w:jc w:val="right"/>
              <w:rPr>
                <w:rFonts w:ascii="宋体" w:hAnsi="宋体"/>
                <w:color w:val="000000"/>
                <w:kern w:val="0"/>
                <w:sz w:val="25"/>
                <w:szCs w:val="24"/>
              </w:rPr>
            </w:pPr>
            <w:r>
              <w:rPr>
                <w:rFonts w:ascii="Times New Roman" w:hAnsi="Times New Roman"/>
                <w:color w:val="000000"/>
                <w:kern w:val="0"/>
                <w:sz w:val="25"/>
                <w:szCs w:val="24"/>
              </w:rPr>
              <w:t>33,253.39</w:t>
            </w:r>
          </w:p>
        </w:tc>
      </w:tr>
      <w:tr w14:paraId="5D9B069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E9DFB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2217FEA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14:paraId="7F9BD69C">
            <w:pPr>
              <w:widowControl/>
              <w:snapToGrid w:val="0"/>
              <w:jc w:val="right"/>
              <w:rPr>
                <w:rFonts w:ascii="宋体" w:hAnsi="宋体"/>
                <w:color w:val="000000"/>
                <w:kern w:val="0"/>
                <w:sz w:val="25"/>
                <w:szCs w:val="24"/>
              </w:rPr>
            </w:pPr>
            <w:r>
              <w:rPr>
                <w:rFonts w:ascii="Times New Roman" w:hAnsi="Times New Roman"/>
                <w:color w:val="000000"/>
                <w:kern w:val="0"/>
                <w:sz w:val="25"/>
                <w:szCs w:val="24"/>
              </w:rPr>
              <w:t>68,025.75</w:t>
            </w:r>
          </w:p>
        </w:tc>
      </w:tr>
      <w:tr w14:paraId="4F65E17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7EE3C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658CC94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14:paraId="7ABF224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D56E60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194908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1C87110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14:paraId="573F9783">
            <w:pPr>
              <w:widowControl/>
              <w:snapToGrid w:val="0"/>
              <w:jc w:val="right"/>
              <w:rPr>
                <w:rFonts w:ascii="宋体" w:hAnsi="宋体"/>
                <w:color w:val="000000"/>
                <w:kern w:val="0"/>
                <w:sz w:val="25"/>
                <w:szCs w:val="24"/>
              </w:rPr>
            </w:pPr>
            <w:r>
              <w:rPr>
                <w:rFonts w:ascii="Times New Roman" w:hAnsi="Times New Roman"/>
                <w:color w:val="000000"/>
                <w:kern w:val="0"/>
                <w:sz w:val="25"/>
                <w:szCs w:val="24"/>
              </w:rPr>
              <w:t>7,392,568.43</w:t>
            </w:r>
          </w:p>
        </w:tc>
      </w:tr>
    </w:tbl>
    <w:p w14:paraId="1035F9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14:paraId="46AFD9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FF7B0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14:paraId="5E391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CA070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14:paraId="5A891C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14:paraId="3F69936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5BEEEDE">
      <w:pPr>
        <w:pStyle w:val="2"/>
        <w:snapToGrid w:val="0"/>
        <w:spacing w:before="240" w:beforeLines="0" w:after="240"/>
        <w:rPr>
          <w:rFonts w:ascii="宋体" w:hAnsi="宋体"/>
          <w:szCs w:val="30"/>
        </w:rPr>
      </w:pPr>
      <w:bookmarkStart w:id="12" w:name="_Toc231197041"/>
      <w:r>
        <w:rPr>
          <w:rFonts w:ascii="Times New Roman" w:hAnsi="Times New Roman"/>
          <w:sz w:val="30"/>
        </w:rPr>
        <w:t>十、基金的业绩</w:t>
      </w:r>
      <w:bookmarkEnd w:id="12"/>
    </w:p>
    <w:p w14:paraId="4584FA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14:paraId="78A4C1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14:paraId="085714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14:paraId="7913D2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（1）交银招享一年持有期混合A：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4C9774F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079D2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6055086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4945CFE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6D69BF1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0CD5395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06367FA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028E5DC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43F4BCD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58E6E5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58E674BA">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color="auto" w:sz="4" w:space="0"/>
              <w:left w:val="single" w:color="auto" w:sz="4" w:space="0"/>
              <w:bottom w:val="single" w:color="auto" w:sz="4" w:space="0"/>
              <w:right w:val="single" w:color="auto" w:sz="4" w:space="0"/>
            </w:tcBorders>
            <w:vAlign w:val="center"/>
          </w:tcPr>
          <w:p w14:paraId="62C910C2">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color="auto" w:sz="4" w:space="0"/>
              <w:left w:val="single" w:color="auto" w:sz="4" w:space="0"/>
              <w:bottom w:val="single" w:color="auto" w:sz="4" w:space="0"/>
              <w:right w:val="single" w:color="auto" w:sz="4" w:space="0"/>
            </w:tcBorders>
            <w:vAlign w:val="center"/>
          </w:tcPr>
          <w:p w14:paraId="1D250D88">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color="auto" w:sz="4" w:space="0"/>
              <w:left w:val="single" w:color="auto" w:sz="4" w:space="0"/>
              <w:bottom w:val="single" w:color="auto" w:sz="4" w:space="0"/>
              <w:right w:val="single" w:color="auto" w:sz="4" w:space="0"/>
            </w:tcBorders>
            <w:vAlign w:val="center"/>
          </w:tcPr>
          <w:p w14:paraId="2B0E73D9">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7162873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14:paraId="652D18ED">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14:paraId="0EE720D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EFF855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14:paraId="46924C7C">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color="auto" w:sz="4" w:space="0"/>
              <w:left w:val="single" w:color="auto" w:sz="4" w:space="0"/>
              <w:bottom w:val="single" w:color="auto" w:sz="4" w:space="0"/>
              <w:right w:val="single" w:color="auto" w:sz="4" w:space="0"/>
            </w:tcBorders>
            <w:vAlign w:val="center"/>
          </w:tcPr>
          <w:p w14:paraId="6BEA68C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14:paraId="598A8FED">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color="auto" w:sz="4" w:space="0"/>
              <w:left w:val="single" w:color="auto" w:sz="4" w:space="0"/>
              <w:bottom w:val="single" w:color="auto" w:sz="4" w:space="0"/>
              <w:right w:val="single" w:color="auto" w:sz="4" w:space="0"/>
            </w:tcBorders>
            <w:vAlign w:val="center"/>
          </w:tcPr>
          <w:p w14:paraId="684D2CC3">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14:paraId="6668B242">
            <w:pPr>
              <w:widowControl/>
              <w:snapToGrid w:val="0"/>
              <w:jc w:val="left"/>
              <w:rPr>
                <w:rFonts w:ascii="宋体" w:hAnsi="宋体"/>
                <w:color w:val="000000"/>
                <w:kern w:val="0"/>
                <w:sz w:val="25"/>
                <w:szCs w:val="24"/>
              </w:rPr>
            </w:pPr>
            <w:r>
              <w:rPr>
                <w:rFonts w:ascii="Times New Roman" w:hAnsi="Times New Roman"/>
                <w:color w:val="000000"/>
                <w:kern w:val="0"/>
                <w:sz w:val="25"/>
                <w:szCs w:val="24"/>
              </w:rPr>
              <w:t>3.72%</w:t>
            </w:r>
          </w:p>
        </w:tc>
        <w:tc>
          <w:tcPr>
            <w:tcW w:w="750" w:type="pct"/>
            <w:tcBorders>
              <w:top w:val="single" w:color="auto" w:sz="4" w:space="0"/>
              <w:left w:val="single" w:color="auto" w:sz="4" w:space="0"/>
              <w:bottom w:val="single" w:color="auto" w:sz="4" w:space="0"/>
              <w:right w:val="single" w:color="auto" w:sz="4" w:space="0"/>
            </w:tcBorders>
            <w:vAlign w:val="center"/>
          </w:tcPr>
          <w:p w14:paraId="65AC326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14:paraId="54A499BF">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17ECC1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232CBB91">
            <w:pPr>
              <w:widowControl/>
              <w:snapToGrid w:val="0"/>
              <w:jc w:val="left"/>
              <w:rPr>
                <w:rFonts w:ascii="宋体" w:hAnsi="宋体"/>
                <w:color w:val="000000"/>
                <w:kern w:val="0"/>
                <w:sz w:val="25"/>
                <w:szCs w:val="24"/>
              </w:rPr>
            </w:pPr>
            <w:r>
              <w:rPr>
                <w:rFonts w:ascii="Times New Roman" w:hAnsi="Times New Roman"/>
                <w:color w:val="000000"/>
                <w:kern w:val="0"/>
                <w:sz w:val="25"/>
                <w:szCs w:val="24"/>
              </w:rPr>
              <w:t>2.29%</w:t>
            </w:r>
          </w:p>
        </w:tc>
        <w:tc>
          <w:tcPr>
            <w:tcW w:w="750" w:type="pct"/>
            <w:tcBorders>
              <w:top w:val="single" w:color="auto" w:sz="4" w:space="0"/>
              <w:left w:val="single" w:color="auto" w:sz="4" w:space="0"/>
              <w:bottom w:val="single" w:color="auto" w:sz="4" w:space="0"/>
              <w:right w:val="single" w:color="auto" w:sz="4" w:space="0"/>
            </w:tcBorders>
            <w:vAlign w:val="center"/>
          </w:tcPr>
          <w:p w14:paraId="752B30C9">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3E22C418">
            <w:pPr>
              <w:widowControl/>
              <w:snapToGrid w:val="0"/>
              <w:jc w:val="left"/>
              <w:rPr>
                <w:rFonts w:ascii="宋体" w:hAnsi="宋体"/>
                <w:color w:val="000000"/>
                <w:kern w:val="0"/>
                <w:sz w:val="25"/>
                <w:szCs w:val="24"/>
              </w:rPr>
            </w:pPr>
            <w:r>
              <w:rPr>
                <w:rFonts w:ascii="Times New Roman" w:hAnsi="Times New Roman"/>
                <w:color w:val="000000"/>
                <w:kern w:val="0"/>
                <w:sz w:val="25"/>
                <w:szCs w:val="24"/>
              </w:rPr>
              <w:t>6.69%</w:t>
            </w:r>
          </w:p>
        </w:tc>
        <w:tc>
          <w:tcPr>
            <w:tcW w:w="750" w:type="pct"/>
            <w:tcBorders>
              <w:top w:val="single" w:color="auto" w:sz="4" w:space="0"/>
              <w:left w:val="single" w:color="auto" w:sz="4" w:space="0"/>
              <w:bottom w:val="single" w:color="auto" w:sz="4" w:space="0"/>
              <w:right w:val="single" w:color="auto" w:sz="4" w:space="0"/>
            </w:tcBorders>
            <w:vAlign w:val="center"/>
          </w:tcPr>
          <w:p w14:paraId="04703228">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color="auto" w:sz="4" w:space="0"/>
              <w:left w:val="single" w:color="auto" w:sz="4" w:space="0"/>
              <w:bottom w:val="single" w:color="auto" w:sz="4" w:space="0"/>
              <w:right w:val="single" w:color="auto" w:sz="4" w:space="0"/>
            </w:tcBorders>
            <w:vAlign w:val="center"/>
          </w:tcPr>
          <w:p w14:paraId="5C5E4236">
            <w:pPr>
              <w:widowControl/>
              <w:snapToGrid w:val="0"/>
              <w:jc w:val="left"/>
              <w:rPr>
                <w:rFonts w:ascii="宋体" w:hAnsi="宋体"/>
                <w:color w:val="000000"/>
                <w:kern w:val="0"/>
                <w:sz w:val="25"/>
                <w:szCs w:val="24"/>
              </w:rPr>
            </w:pPr>
            <w:r>
              <w:rPr>
                <w:rFonts w:ascii="Times New Roman" w:hAnsi="Times New Roman"/>
                <w:color w:val="000000"/>
                <w:kern w:val="0"/>
                <w:sz w:val="25"/>
                <w:szCs w:val="24"/>
              </w:rPr>
              <w:t>-4.40%</w:t>
            </w:r>
          </w:p>
        </w:tc>
        <w:tc>
          <w:tcPr>
            <w:tcW w:w="750" w:type="pct"/>
            <w:tcBorders>
              <w:top w:val="single" w:color="auto" w:sz="4" w:space="0"/>
              <w:left w:val="single" w:color="auto" w:sz="4" w:space="0"/>
              <w:bottom w:val="single" w:color="auto" w:sz="4" w:space="0"/>
              <w:right w:val="single" w:color="auto" w:sz="4" w:space="0"/>
            </w:tcBorders>
            <w:vAlign w:val="center"/>
          </w:tcPr>
          <w:p w14:paraId="190486F7">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14:paraId="485317C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481A3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5004D928">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color="auto" w:sz="4" w:space="0"/>
              <w:left w:val="single" w:color="auto" w:sz="4" w:space="0"/>
              <w:bottom w:val="single" w:color="auto" w:sz="4" w:space="0"/>
              <w:right w:val="single" w:color="auto" w:sz="4" w:space="0"/>
            </w:tcBorders>
            <w:vAlign w:val="center"/>
          </w:tcPr>
          <w:p w14:paraId="4434E1CC">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14:paraId="318180B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780EE63F">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5B727080">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color="auto" w:sz="4" w:space="0"/>
              <w:left w:val="single" w:color="auto" w:sz="4" w:space="0"/>
              <w:bottom w:val="single" w:color="auto" w:sz="4" w:space="0"/>
              <w:right w:val="single" w:color="auto" w:sz="4" w:space="0"/>
            </w:tcBorders>
            <w:vAlign w:val="center"/>
          </w:tcPr>
          <w:p w14:paraId="5B17A3C7">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14:paraId="3CA7DC3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A9E08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6D742C5F">
            <w:pPr>
              <w:widowControl/>
              <w:snapToGrid w:val="0"/>
              <w:jc w:val="left"/>
              <w:rPr>
                <w:rFonts w:ascii="宋体" w:hAnsi="宋体"/>
                <w:color w:val="000000"/>
                <w:kern w:val="0"/>
                <w:sz w:val="25"/>
                <w:szCs w:val="24"/>
              </w:rPr>
            </w:pPr>
            <w:r>
              <w:rPr>
                <w:rFonts w:ascii="Times New Roman" w:hAnsi="Times New Roman"/>
                <w:color w:val="000000"/>
                <w:kern w:val="0"/>
                <w:sz w:val="25"/>
                <w:szCs w:val="24"/>
              </w:rPr>
              <w:t>-3.31%</w:t>
            </w:r>
          </w:p>
        </w:tc>
        <w:tc>
          <w:tcPr>
            <w:tcW w:w="750" w:type="pct"/>
            <w:tcBorders>
              <w:top w:val="single" w:color="auto" w:sz="4" w:space="0"/>
              <w:left w:val="single" w:color="auto" w:sz="4" w:space="0"/>
              <w:bottom w:val="single" w:color="auto" w:sz="4" w:space="0"/>
              <w:right w:val="single" w:color="auto" w:sz="4" w:space="0"/>
            </w:tcBorders>
            <w:vAlign w:val="center"/>
          </w:tcPr>
          <w:p w14:paraId="1E96926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60DA79DD">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color="auto" w:sz="4" w:space="0"/>
              <w:left w:val="single" w:color="auto" w:sz="4" w:space="0"/>
              <w:bottom w:val="single" w:color="auto" w:sz="4" w:space="0"/>
              <w:right w:val="single" w:color="auto" w:sz="4" w:space="0"/>
            </w:tcBorders>
            <w:vAlign w:val="center"/>
          </w:tcPr>
          <w:p w14:paraId="600704C9">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color="auto" w:sz="4" w:space="0"/>
              <w:left w:val="single" w:color="auto" w:sz="4" w:space="0"/>
              <w:bottom w:val="single" w:color="auto" w:sz="4" w:space="0"/>
              <w:right w:val="single" w:color="auto" w:sz="4" w:space="0"/>
            </w:tcBorders>
            <w:vAlign w:val="center"/>
          </w:tcPr>
          <w:p w14:paraId="539F458E">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color="auto" w:sz="4" w:space="0"/>
              <w:left w:val="single" w:color="auto" w:sz="4" w:space="0"/>
              <w:bottom w:val="single" w:color="auto" w:sz="4" w:space="0"/>
              <w:right w:val="single" w:color="auto" w:sz="4" w:space="0"/>
            </w:tcBorders>
            <w:vAlign w:val="center"/>
          </w:tcPr>
          <w:p w14:paraId="14F0689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376B111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09E37C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061D4081">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14:paraId="25DE830A">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14:paraId="24E3A65E">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14:paraId="1FDE82C7">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0F407E3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4B441896">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14:paraId="334635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（2）交银招享一年长持有期混合C：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1794F4AF">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EFC90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585BDBB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52B2E6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341FF95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333EE07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317FC71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5DB074C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6C756CC3">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68FC7E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5CF7FB94">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color="auto" w:sz="4" w:space="0"/>
              <w:left w:val="single" w:color="auto" w:sz="4" w:space="0"/>
              <w:bottom w:val="single" w:color="auto" w:sz="4" w:space="0"/>
              <w:right w:val="single" w:color="auto" w:sz="4" w:space="0"/>
            </w:tcBorders>
            <w:vAlign w:val="center"/>
          </w:tcPr>
          <w:p w14:paraId="561CB5AC">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color="auto" w:sz="4" w:space="0"/>
              <w:left w:val="single" w:color="auto" w:sz="4" w:space="0"/>
              <w:bottom w:val="single" w:color="auto" w:sz="4" w:space="0"/>
              <w:right w:val="single" w:color="auto" w:sz="4" w:space="0"/>
            </w:tcBorders>
            <w:vAlign w:val="center"/>
          </w:tcPr>
          <w:p w14:paraId="3A339588">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color="auto" w:sz="4" w:space="0"/>
              <w:left w:val="single" w:color="auto" w:sz="4" w:space="0"/>
              <w:bottom w:val="single" w:color="auto" w:sz="4" w:space="0"/>
              <w:right w:val="single" w:color="auto" w:sz="4" w:space="0"/>
            </w:tcBorders>
            <w:vAlign w:val="center"/>
          </w:tcPr>
          <w:p w14:paraId="5C8B4611">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1E86B6C1">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color="auto" w:sz="4" w:space="0"/>
              <w:left w:val="single" w:color="auto" w:sz="4" w:space="0"/>
              <w:bottom w:val="single" w:color="auto" w:sz="4" w:space="0"/>
              <w:right w:val="single" w:color="auto" w:sz="4" w:space="0"/>
            </w:tcBorders>
            <w:vAlign w:val="center"/>
          </w:tcPr>
          <w:p w14:paraId="668A7095">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14:paraId="5B775B5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0ED836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14:paraId="338514C5">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color="auto" w:sz="4" w:space="0"/>
              <w:left w:val="single" w:color="auto" w:sz="4" w:space="0"/>
              <w:bottom w:val="single" w:color="auto" w:sz="4" w:space="0"/>
              <w:right w:val="single" w:color="auto" w:sz="4" w:space="0"/>
            </w:tcBorders>
            <w:vAlign w:val="center"/>
          </w:tcPr>
          <w:p w14:paraId="0BFB703F">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14:paraId="5565D851">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color="auto" w:sz="4" w:space="0"/>
              <w:left w:val="single" w:color="auto" w:sz="4" w:space="0"/>
              <w:bottom w:val="single" w:color="auto" w:sz="4" w:space="0"/>
              <w:right w:val="single" w:color="auto" w:sz="4" w:space="0"/>
            </w:tcBorders>
            <w:vAlign w:val="center"/>
          </w:tcPr>
          <w:p w14:paraId="77076E3E">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14:paraId="0DC30E4E">
            <w:pPr>
              <w:widowControl/>
              <w:snapToGrid w:val="0"/>
              <w:jc w:val="left"/>
              <w:rPr>
                <w:rFonts w:ascii="宋体" w:hAnsi="宋体"/>
                <w:color w:val="000000"/>
                <w:kern w:val="0"/>
                <w:sz w:val="25"/>
                <w:szCs w:val="24"/>
              </w:rPr>
            </w:pPr>
            <w:r>
              <w:rPr>
                <w:rFonts w:ascii="Times New Roman" w:hAnsi="Times New Roman"/>
                <w:color w:val="000000"/>
                <w:kern w:val="0"/>
                <w:sz w:val="25"/>
                <w:szCs w:val="24"/>
              </w:rPr>
              <w:t>3.30%</w:t>
            </w:r>
          </w:p>
        </w:tc>
        <w:tc>
          <w:tcPr>
            <w:tcW w:w="750" w:type="pct"/>
            <w:tcBorders>
              <w:top w:val="single" w:color="auto" w:sz="4" w:space="0"/>
              <w:left w:val="single" w:color="auto" w:sz="4" w:space="0"/>
              <w:bottom w:val="single" w:color="auto" w:sz="4" w:space="0"/>
              <w:right w:val="single" w:color="auto" w:sz="4" w:space="0"/>
            </w:tcBorders>
            <w:vAlign w:val="center"/>
          </w:tcPr>
          <w:p w14:paraId="616A4B2C">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14:paraId="10E8808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0CBAC4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28E5D2A6">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color="auto" w:sz="4" w:space="0"/>
              <w:left w:val="single" w:color="auto" w:sz="4" w:space="0"/>
              <w:bottom w:val="single" w:color="auto" w:sz="4" w:space="0"/>
              <w:right w:val="single" w:color="auto" w:sz="4" w:space="0"/>
            </w:tcBorders>
            <w:vAlign w:val="center"/>
          </w:tcPr>
          <w:p w14:paraId="409A7875">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58557E1D">
            <w:pPr>
              <w:widowControl/>
              <w:snapToGrid w:val="0"/>
              <w:jc w:val="left"/>
              <w:rPr>
                <w:rFonts w:ascii="宋体" w:hAnsi="宋体"/>
                <w:color w:val="000000"/>
                <w:kern w:val="0"/>
                <w:sz w:val="25"/>
                <w:szCs w:val="24"/>
              </w:rPr>
            </w:pPr>
            <w:r>
              <w:rPr>
                <w:rFonts w:ascii="Times New Roman" w:hAnsi="Times New Roman"/>
                <w:color w:val="000000"/>
                <w:kern w:val="0"/>
                <w:sz w:val="25"/>
                <w:szCs w:val="24"/>
              </w:rPr>
              <w:t>6.69%</w:t>
            </w:r>
          </w:p>
        </w:tc>
        <w:tc>
          <w:tcPr>
            <w:tcW w:w="750" w:type="pct"/>
            <w:tcBorders>
              <w:top w:val="single" w:color="auto" w:sz="4" w:space="0"/>
              <w:left w:val="single" w:color="auto" w:sz="4" w:space="0"/>
              <w:bottom w:val="single" w:color="auto" w:sz="4" w:space="0"/>
              <w:right w:val="single" w:color="auto" w:sz="4" w:space="0"/>
            </w:tcBorders>
            <w:vAlign w:val="center"/>
          </w:tcPr>
          <w:p w14:paraId="40B802EF">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color="auto" w:sz="4" w:space="0"/>
              <w:left w:val="single" w:color="auto" w:sz="4" w:space="0"/>
              <w:bottom w:val="single" w:color="auto" w:sz="4" w:space="0"/>
              <w:right w:val="single" w:color="auto" w:sz="4" w:space="0"/>
            </w:tcBorders>
            <w:vAlign w:val="center"/>
          </w:tcPr>
          <w:p w14:paraId="410F61B3">
            <w:pPr>
              <w:widowControl/>
              <w:snapToGrid w:val="0"/>
              <w:jc w:val="left"/>
              <w:rPr>
                <w:rFonts w:ascii="宋体" w:hAnsi="宋体"/>
                <w:color w:val="000000"/>
                <w:kern w:val="0"/>
                <w:sz w:val="25"/>
                <w:szCs w:val="24"/>
              </w:rPr>
            </w:pPr>
            <w:r>
              <w:rPr>
                <w:rFonts w:ascii="Times New Roman" w:hAnsi="Times New Roman"/>
                <w:color w:val="000000"/>
                <w:kern w:val="0"/>
                <w:sz w:val="25"/>
                <w:szCs w:val="24"/>
              </w:rPr>
              <w:t>-4.80%</w:t>
            </w:r>
          </w:p>
        </w:tc>
        <w:tc>
          <w:tcPr>
            <w:tcW w:w="750" w:type="pct"/>
            <w:tcBorders>
              <w:top w:val="single" w:color="auto" w:sz="4" w:space="0"/>
              <w:left w:val="single" w:color="auto" w:sz="4" w:space="0"/>
              <w:bottom w:val="single" w:color="auto" w:sz="4" w:space="0"/>
              <w:right w:val="single" w:color="auto" w:sz="4" w:space="0"/>
            </w:tcBorders>
            <w:vAlign w:val="center"/>
          </w:tcPr>
          <w:p w14:paraId="46EDDA0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14:paraId="1848564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68D75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0669FA36">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color="auto" w:sz="4" w:space="0"/>
              <w:left w:val="single" w:color="auto" w:sz="4" w:space="0"/>
              <w:bottom w:val="single" w:color="auto" w:sz="4" w:space="0"/>
              <w:right w:val="single" w:color="auto" w:sz="4" w:space="0"/>
            </w:tcBorders>
            <w:vAlign w:val="center"/>
          </w:tcPr>
          <w:p w14:paraId="42C6406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14:paraId="135EA373">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0773E4F4">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20F21EBD">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color="auto" w:sz="4" w:space="0"/>
              <w:left w:val="single" w:color="auto" w:sz="4" w:space="0"/>
              <w:bottom w:val="single" w:color="auto" w:sz="4" w:space="0"/>
              <w:right w:val="single" w:color="auto" w:sz="4" w:space="0"/>
            </w:tcBorders>
            <w:vAlign w:val="center"/>
          </w:tcPr>
          <w:p w14:paraId="20F3D09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14:paraId="086356D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02D261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244AF52A">
            <w:pPr>
              <w:widowControl/>
              <w:snapToGrid w:val="0"/>
              <w:jc w:val="left"/>
              <w:rPr>
                <w:rFonts w:ascii="宋体" w:hAnsi="宋体"/>
                <w:color w:val="000000"/>
                <w:kern w:val="0"/>
                <w:sz w:val="25"/>
                <w:szCs w:val="24"/>
              </w:rPr>
            </w:pPr>
            <w:r>
              <w:rPr>
                <w:rFonts w:ascii="Times New Roman" w:hAnsi="Times New Roman"/>
                <w:color w:val="000000"/>
                <w:kern w:val="0"/>
                <w:sz w:val="25"/>
                <w:szCs w:val="24"/>
              </w:rPr>
              <w:t>-3.71%</w:t>
            </w:r>
          </w:p>
        </w:tc>
        <w:tc>
          <w:tcPr>
            <w:tcW w:w="750" w:type="pct"/>
            <w:tcBorders>
              <w:top w:val="single" w:color="auto" w:sz="4" w:space="0"/>
              <w:left w:val="single" w:color="auto" w:sz="4" w:space="0"/>
              <w:bottom w:val="single" w:color="auto" w:sz="4" w:space="0"/>
              <w:right w:val="single" w:color="auto" w:sz="4" w:space="0"/>
            </w:tcBorders>
            <w:vAlign w:val="center"/>
          </w:tcPr>
          <w:p w14:paraId="7715CA5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2EDD6ADE">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color="auto" w:sz="4" w:space="0"/>
              <w:left w:val="single" w:color="auto" w:sz="4" w:space="0"/>
              <w:bottom w:val="single" w:color="auto" w:sz="4" w:space="0"/>
              <w:right w:val="single" w:color="auto" w:sz="4" w:space="0"/>
            </w:tcBorders>
            <w:vAlign w:val="center"/>
          </w:tcPr>
          <w:p w14:paraId="56D7C331">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color="auto" w:sz="4" w:space="0"/>
              <w:left w:val="single" w:color="auto" w:sz="4" w:space="0"/>
              <w:bottom w:val="single" w:color="auto" w:sz="4" w:space="0"/>
              <w:right w:val="single" w:color="auto" w:sz="4" w:space="0"/>
            </w:tcBorders>
            <w:vAlign w:val="center"/>
          </w:tcPr>
          <w:p w14:paraId="23B91700">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color="auto" w:sz="4" w:space="0"/>
              <w:left w:val="single" w:color="auto" w:sz="4" w:space="0"/>
              <w:bottom w:val="single" w:color="auto" w:sz="4" w:space="0"/>
              <w:right w:val="single" w:color="auto" w:sz="4" w:space="0"/>
            </w:tcBorders>
            <w:vAlign w:val="center"/>
          </w:tcPr>
          <w:p w14:paraId="3C241EB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4B86C7E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9F427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3C4DAC27">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color="auto" w:sz="4" w:space="0"/>
              <w:left w:val="single" w:color="auto" w:sz="4" w:space="0"/>
              <w:bottom w:val="single" w:color="auto" w:sz="4" w:space="0"/>
              <w:right w:val="single" w:color="auto" w:sz="4" w:space="0"/>
            </w:tcBorders>
            <w:vAlign w:val="center"/>
          </w:tcPr>
          <w:p w14:paraId="5E09CD2D">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14:paraId="2433A763">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14:paraId="75B5E1E3">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0891B5B3">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68569C1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14:paraId="3D2123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71349788">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交银招享一年持有期混合型证券投资基金</w:t>
      </w:r>
    </w:p>
    <w:p w14:paraId="4103CA8A">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14:paraId="488430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（2021年8月24日至2026年03月31日）</w:t>
      </w:r>
    </w:p>
    <w:p w14:paraId="4D6C47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（1）交银招享一年长持有期混合A</w:t>
      </w:r>
    </w:p>
    <w:p w14:paraId="5DA50627">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14:paraId="20E569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（2）交银招享一年长持有期混合C</w:t>
      </w:r>
    </w:p>
    <w:p w14:paraId="1043F2DB">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14:paraId="0F7A46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14:paraId="4B7E561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98C745E">
      <w:pPr>
        <w:pStyle w:val="2"/>
        <w:snapToGrid w:val="0"/>
        <w:spacing w:before="240" w:beforeLines="0" w:after="240"/>
        <w:rPr>
          <w:rFonts w:ascii="宋体" w:hAnsi="宋体"/>
          <w:szCs w:val="30"/>
        </w:rPr>
      </w:pPr>
      <w:bookmarkStart w:id="13" w:name="_Toc231197042"/>
      <w:r>
        <w:rPr>
          <w:rFonts w:ascii="Times New Roman" w:hAnsi="Times New Roman"/>
          <w:sz w:val="30"/>
        </w:rPr>
        <w:t>十一、基金的财产</w:t>
      </w:r>
      <w:bookmarkEnd w:id="13"/>
    </w:p>
    <w:p w14:paraId="1FE02BA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（一）基金资产总值</w:t>
      </w:r>
    </w:p>
    <w:p w14:paraId="4DF541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14:paraId="4442A28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（二）基金资产净值</w:t>
      </w:r>
    </w:p>
    <w:p w14:paraId="488A64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00AFF57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（三）基金财产的账户</w:t>
      </w:r>
    </w:p>
    <w:p w14:paraId="42D8E1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14:paraId="6C02789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（四）基金财产的保管和处分</w:t>
      </w:r>
    </w:p>
    <w:p w14:paraId="1ABED1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10837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14A2EAF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A0F5E31">
      <w:pPr>
        <w:pStyle w:val="2"/>
        <w:snapToGrid w:val="0"/>
        <w:spacing w:before="240" w:beforeLines="0" w:after="240"/>
        <w:rPr>
          <w:rFonts w:ascii="宋体" w:hAnsi="宋体"/>
          <w:szCs w:val="30"/>
        </w:rPr>
      </w:pPr>
      <w:bookmarkStart w:id="14" w:name="_Toc231197043"/>
      <w:r>
        <w:rPr>
          <w:rFonts w:ascii="Times New Roman" w:hAnsi="Times New Roman"/>
          <w:sz w:val="30"/>
        </w:rPr>
        <w:t>十二、基金资产的估值</w:t>
      </w:r>
      <w:bookmarkEnd w:id="14"/>
    </w:p>
    <w:p w14:paraId="18BF56A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（一）估值日</w:t>
      </w:r>
    </w:p>
    <w:p w14:paraId="1A408A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14:paraId="6B24E7B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（二）估值对象</w:t>
      </w:r>
    </w:p>
    <w:p w14:paraId="631298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基金所拥有的证券投资基金份额、股票、债券和其他投资等持续以公允价值计量的金融资产及负债。</w:t>
      </w:r>
    </w:p>
    <w:p w14:paraId="393454F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（三）估值原则</w:t>
      </w:r>
    </w:p>
    <w:p w14:paraId="07A76B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14:paraId="038E6E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79907C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410D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138E3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14:paraId="600DA80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（四）估值方法</w:t>
      </w:r>
    </w:p>
    <w:p w14:paraId="388EC8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1、证券投资基金的估值</w:t>
      </w:r>
    </w:p>
    <w:p w14:paraId="23AF6B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（1）本基金投资于非上市的非货币市场基金，按所投资基金估值日的份额净值进行估值；</w:t>
      </w:r>
    </w:p>
    <w:p w14:paraId="2C57FD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14:paraId="160736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（3）本基金投资的ETF基金，按所投资ETF基金估值日的收盘价进行估值；</w:t>
      </w:r>
    </w:p>
    <w:p w14:paraId="4927D6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（4）本基金投资的上市开放式基金（LOF），按所投资基金估值日的份额净值估值；</w:t>
      </w:r>
    </w:p>
    <w:p w14:paraId="1BC8B6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（5）本基金投资的上市定期开放式基金、封闭式基金，按所投资基金估值日的收盘价估值；</w:t>
      </w:r>
    </w:p>
    <w:p w14:paraId="047786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14:paraId="2010A8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14:paraId="03F506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14:paraId="20C4E5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14:paraId="695C26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14:paraId="36A95F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14:paraId="07A0D5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2、证券交易所上市的有价证券的估值</w:t>
      </w:r>
    </w:p>
    <w:p w14:paraId="7417AB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2BCF3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14:paraId="38058B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14:paraId="20CED7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14:paraId="04E9A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14:paraId="51D014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14:paraId="2F3B38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3、处于未上市期间的有价证券应区分如下情况处理：</w:t>
      </w:r>
    </w:p>
    <w:p w14:paraId="464F8A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14:paraId="59E380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14:paraId="1CB9EE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01A70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0AFE95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14:paraId="4743C8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6、当发生大额申购或赎回情形时，基金管理人可以采用摆动定价机制，以确保基金估值的公平性。</w:t>
      </w:r>
    </w:p>
    <w:p w14:paraId="22FAF9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7、本基金投资存托凭证的估值核算依照境内上市交易的股票执行。</w:t>
      </w:r>
    </w:p>
    <w:p w14:paraId="1A1D1C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8、相关法律法规以及监管部门有强制规定的，从其规定。如有新增事项，按国家最新规定估值。</w:t>
      </w:r>
    </w:p>
    <w:p w14:paraId="12378B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2DA93E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14:paraId="506C2D2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（五）估值程序</w:t>
      </w:r>
    </w:p>
    <w:p w14:paraId="133E9E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1、各类基金份额的基金份额净值是按照每个估值日，</w:t>
      </w:r>
      <w:r>
        <w:rPr>
          <w:rFonts w:hint="eastAsia"/>
          <w:bCs/>
          <w:sz w:val="24"/>
        </w:rPr>
        <w:t>该类</w:t>
      </w:r>
      <w:r>
        <w:rPr>
          <w:rFonts w:ascii="宋体" w:hAnsi="宋体"/>
          <w:sz w:val="24"/>
        </w:rPr>
        <w:t>基金份额的基金资产净值除以估值日</w:t>
      </w:r>
      <w:r>
        <w:rPr>
          <w:rFonts w:hint="eastAsia"/>
          <w:bCs/>
          <w:sz w:val="24"/>
        </w:rPr>
        <w:t>该类</w:t>
      </w:r>
      <w:r>
        <w:rPr>
          <w:rFonts w:ascii="宋体" w:hAnsi="宋体"/>
          <w:sz w:val="24"/>
        </w:rPr>
        <w:t>基金份额的余额数量计算，精确到0.0001元，小数点后第5位四舍五入。基金管理人可以设立大额赎回情形下的净值精度应急调整机制，具体可参见相关公告。国家另有规定的，从其规定。</w:t>
      </w:r>
    </w:p>
    <w:p w14:paraId="4A570F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基金管理人于每个工作日分别计算</w:t>
      </w:r>
      <w:r>
        <w:rPr>
          <w:rFonts w:hint="eastAsia" w:ascii="宋体" w:hAnsi="宋体"/>
          <w:sz w:val="24"/>
          <w:lang w:val="en-US" w:eastAsia="zh-CN"/>
        </w:rPr>
        <w:t>各类</w:t>
      </w:r>
      <w:r>
        <w:rPr>
          <w:rFonts w:ascii="宋体" w:hAnsi="宋体"/>
          <w:sz w:val="24"/>
        </w:rPr>
        <w:t>基金份额的基金资产净值及基金份额净值，并按规定公告。如遇特殊情况，经履行适当程序，可以适当延迟计算或公告。</w:t>
      </w:r>
    </w:p>
    <w:p w14:paraId="315E33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14:paraId="2188818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（六）估值错误的处理</w:t>
      </w:r>
    </w:p>
    <w:p w14:paraId="6BCC67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14:paraId="64E7C0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14:paraId="7BEBA4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14:paraId="7A5F5A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768314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14:paraId="0EBCF1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14:paraId="0A92E6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2A9762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14:paraId="02754D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6194EE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14:paraId="53D6CD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F574B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14:paraId="303CE2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14:paraId="06BA0D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14:paraId="188214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14:paraId="029F9B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14:paraId="6C4A02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14:paraId="2C8DA8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14:paraId="793C9A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14:paraId="6A8660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14:paraId="745512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14:paraId="71E7E1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14:paraId="6237E5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14:paraId="549061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481879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4F4D53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1E455A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14:paraId="5D5A63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14:paraId="05DC119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（七）暂停估值的情形</w:t>
      </w:r>
    </w:p>
    <w:p w14:paraId="39CF58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14:paraId="242F5E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14:paraId="15B2EF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3、由于本基金持有的相当比例的基金暂停估值，导致基金管理人无法计算当日基金资产净值；</w:t>
      </w:r>
    </w:p>
    <w:p w14:paraId="1ACFA3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14:paraId="6FDE4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5、法律法规、中国证监会和基金合同认定的其它情形。</w:t>
      </w:r>
    </w:p>
    <w:p w14:paraId="4EE4667C">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（八）基金净值的确认</w:t>
      </w:r>
    </w:p>
    <w:p w14:paraId="1BBCDD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14:paraId="53F752D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（九）特殊情形的处理</w:t>
      </w:r>
    </w:p>
    <w:p w14:paraId="3828E5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14:paraId="19C275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14:paraId="7FC8C77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（十）实施侧袋机制期间的基金资产估值</w:t>
      </w:r>
    </w:p>
    <w:p w14:paraId="6E9CEA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14:paraId="316CDA2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77CB18F">
      <w:pPr>
        <w:pStyle w:val="2"/>
        <w:snapToGrid w:val="0"/>
        <w:spacing w:before="240" w:beforeLines="0" w:after="240"/>
        <w:rPr>
          <w:rFonts w:ascii="宋体" w:hAnsi="宋体"/>
          <w:szCs w:val="30"/>
        </w:rPr>
      </w:pPr>
      <w:bookmarkStart w:id="15" w:name="_Toc231197044"/>
      <w:r>
        <w:rPr>
          <w:rFonts w:ascii="Times New Roman" w:hAnsi="Times New Roman"/>
          <w:sz w:val="30"/>
        </w:rPr>
        <w:t>十三、基金收益与分配</w:t>
      </w:r>
      <w:bookmarkEnd w:id="15"/>
    </w:p>
    <w:p w14:paraId="4597158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（一）基金利润的构成</w:t>
      </w:r>
    </w:p>
    <w:p w14:paraId="7A05A1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14:paraId="6CBCAF7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（二）基金可供分配利润</w:t>
      </w:r>
    </w:p>
    <w:p w14:paraId="5BA889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14:paraId="45FF042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（三）基金收益分配原则</w:t>
      </w:r>
    </w:p>
    <w:p w14:paraId="09F94C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14:paraId="7FB5C4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w:t>
      </w:r>
      <w:r>
        <w:rPr>
          <w:rFonts w:hint="default" w:ascii="宋体" w:hAnsi="宋体"/>
          <w:bCs w:val="0"/>
          <w:sz w:val="24"/>
        </w:rPr>
        <w:t>A类基金份额</w:t>
      </w:r>
      <w:r>
        <w:rPr>
          <w:rFonts w:hint="default" w:ascii="宋体" w:hAnsi="宋体"/>
          <w:bCs w:val="0"/>
          <w:sz w:val="24"/>
          <w:lang w:val="en-US" w:eastAsia="zh-CN"/>
        </w:rPr>
        <w:t>和C类基金份额</w:t>
      </w:r>
      <w:r>
        <w:rPr>
          <w:rFonts w:ascii="宋体" w:hAnsi="宋体"/>
          <w:sz w:val="24"/>
        </w:rPr>
        <w:t>默认的收益分配方式是现金分红</w:t>
      </w:r>
      <w:r>
        <w:rPr>
          <w:rFonts w:hint="default" w:ascii="宋体" w:hAnsi="宋体"/>
          <w:bCs w:val="0"/>
          <w:sz w:val="24"/>
        </w:rPr>
        <w:t>，Y类基金份额默认的收益分配方式为红利再投资；基金份额持有人可对其持有的各类基金份额分别选择不同的收益分配方式</w:t>
      </w:r>
      <w:r>
        <w:rPr>
          <w:rFonts w:ascii="宋体" w:hAnsi="宋体"/>
          <w:sz w:val="24"/>
        </w:rPr>
        <w:t>；</w:t>
      </w:r>
    </w:p>
    <w:p w14:paraId="4E3799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14:paraId="6ADB3E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4、由于本基金A类基金份额</w:t>
      </w:r>
      <w:r>
        <w:rPr>
          <w:rFonts w:hint="eastAsia"/>
          <w:bCs/>
          <w:sz w:val="24"/>
          <w:lang w:val="en-US" w:eastAsia="zh-CN"/>
        </w:rPr>
        <w:t>和</w:t>
      </w:r>
      <w:r>
        <w:rPr>
          <w:rFonts w:hint="default" w:ascii="宋体" w:hAnsi="宋体"/>
          <w:bCs w:val="0"/>
          <w:sz w:val="24"/>
        </w:rPr>
        <w:t>Y类</w:t>
      </w:r>
      <w:r>
        <w:rPr>
          <w:rFonts w:hint="eastAsia"/>
          <w:bCs/>
          <w:sz w:val="24"/>
          <w:lang w:val="en-US" w:eastAsia="zh-CN"/>
        </w:rPr>
        <w:t>基金份额</w:t>
      </w:r>
      <w:r>
        <w:rPr>
          <w:rFonts w:ascii="宋体" w:hAnsi="宋体"/>
          <w:sz w:val="24"/>
        </w:rPr>
        <w:t>不收取销售服务费，C类基金份额收取销售服务费，各基金份额类别对应的可供分配利润将有所不同；本基金同一类别的每份基金份额享有同等分配权；</w:t>
      </w:r>
    </w:p>
    <w:p w14:paraId="2ECEA7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14:paraId="4433B5C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（四）收益分配方案</w:t>
      </w:r>
    </w:p>
    <w:p w14:paraId="47BE41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14:paraId="1A499D5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（五）收益分配方案的确定、公告与实施</w:t>
      </w:r>
    </w:p>
    <w:p w14:paraId="70E457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14:paraId="22A3DB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14:paraId="7936483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（六）基金收益分配中发生的费用</w:t>
      </w:r>
    </w:p>
    <w:p w14:paraId="56D8B4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5C3D586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（七）收益分配方式的修改</w:t>
      </w:r>
    </w:p>
    <w:p w14:paraId="679EAF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14:paraId="2E5AEA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14:paraId="72AF58D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（八）实施侧袋机制期间的收益分配</w:t>
      </w:r>
    </w:p>
    <w:p w14:paraId="5BED96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14:paraId="65B9457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072D458">
      <w:pPr>
        <w:pStyle w:val="2"/>
        <w:snapToGrid w:val="0"/>
        <w:spacing w:before="240" w:beforeLines="0" w:after="240"/>
        <w:rPr>
          <w:rFonts w:ascii="宋体" w:hAnsi="宋体"/>
          <w:szCs w:val="30"/>
        </w:rPr>
      </w:pPr>
      <w:bookmarkStart w:id="16" w:name="_Toc231197045"/>
      <w:r>
        <w:rPr>
          <w:rFonts w:ascii="Times New Roman" w:hAnsi="Times New Roman"/>
          <w:sz w:val="30"/>
        </w:rPr>
        <w:t>十四、基金的费用与税收</w:t>
      </w:r>
      <w:bookmarkEnd w:id="16"/>
    </w:p>
    <w:p w14:paraId="43A3A3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14:paraId="29218D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0617E7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6D37DF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14:paraId="693266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14:paraId="386D2F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14:paraId="653A19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6、基金的证券、基金交易费用；</w:t>
      </w:r>
    </w:p>
    <w:p w14:paraId="01CFBF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14:paraId="5BD88F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14:paraId="3E5F66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14:paraId="4FC1A9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14:paraId="701727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14:paraId="7CB9EFE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（二）基金费用计提方法、计提标准和支付方式</w:t>
      </w:r>
    </w:p>
    <w:p w14:paraId="1F971A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14:paraId="1DFC90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2039EBE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本基金基金财产中持有的基金管理人自身管理的基金部分不收取管理费。本基金各类基金份额按照不同的年费率计提管理费，各类基金份额的管理费按前一日该类基金份额基金资产净值扣除该类基金财产中持有的基金管理人自身管理的基金部分所对应资产后剩余部分（若为负数，则取0）的年管理费率计提。</w:t>
      </w:r>
    </w:p>
    <w:p w14:paraId="217E7782">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本基金A类基金份额和C类基金份额的年管理费率为0.5%；本基金Y类基金份额的年管理费率为0.25%。</w:t>
      </w:r>
    </w:p>
    <w:p w14:paraId="58FD7282">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管理费的计算方法如下：</w:t>
      </w:r>
    </w:p>
    <w:p w14:paraId="4DA42CAD">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H＝E×年管理费率÷当年天数</w:t>
      </w:r>
    </w:p>
    <w:p w14:paraId="0A012E7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H为各类基金份额每日应计提的基金管理费</w:t>
      </w:r>
    </w:p>
    <w:p w14:paraId="630715D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E为各类基金份额前一日的该类基金资产净值扣除该类基金财产中持有的基金管理人自身管理的基金部分所对应资产后剩余部分，若为负数，则E取0。</w:t>
      </w:r>
    </w:p>
    <w:p w14:paraId="54C19A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自动于次月首日起5个工作日内从基金财产中一次性支付给基金管理人，若遇法定节假日、休息日或不可抗力致使无法按时支付的，支付日期顺延。</w:t>
      </w:r>
    </w:p>
    <w:p w14:paraId="6D3257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0640A253">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本基金基金财产中持有的基金托管人自身托管的基金部分不收取托管费。本基金各类基金份额按照不同的年费率计提托管费，各类基金份额的托管费按前一日该类基金份额基金资产净值扣除该类基金财产中持有的基金托管人自身托管的基金部分所对应资产后剩余部分（若为负数，则取0）的年托管费率计提。</w:t>
      </w:r>
    </w:p>
    <w:p w14:paraId="648F39A3">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本基金A类基金份额和C类基金份额的年托管费率为0.15%；本基金Y类基金份额的年托管费率为0.075%。</w:t>
      </w:r>
    </w:p>
    <w:p w14:paraId="2B26C580">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托管费的计算方法如下：</w:t>
      </w:r>
    </w:p>
    <w:p w14:paraId="24043083">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H＝E×年托管费率÷当年天数</w:t>
      </w:r>
    </w:p>
    <w:p w14:paraId="2CE55C91">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H为各类基金份额每日应计提的基金托管费</w:t>
      </w:r>
    </w:p>
    <w:p w14:paraId="5C8FF31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E为各类基金份额前一日的该类基金资产净值扣除该类基金财产中持有的基金托管人自身托管的基金部分所对应资产后剩余部分，若为负数，则E取0。</w:t>
      </w:r>
    </w:p>
    <w:p w14:paraId="0D57CD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自动于次月首日起5个工作日内从基金财产中一次性支付给基金托管人，若遇法定节假日、休息日或不可抗力致使无法按时支付的，支付日期顺延。</w:t>
      </w:r>
    </w:p>
    <w:p w14:paraId="4DBD98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14:paraId="2624E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w:t>
      </w:r>
      <w:r>
        <w:rPr>
          <w:rFonts w:hint="eastAsia" w:ascii="宋体" w:hAnsi="宋体"/>
          <w:sz w:val="24"/>
          <w:lang w:val="en-US" w:eastAsia="zh-CN"/>
        </w:rPr>
        <w:t>和Y</w:t>
      </w:r>
      <w:r>
        <w:rPr>
          <w:rFonts w:ascii="宋体" w:hAnsi="宋体"/>
          <w:sz w:val="24"/>
        </w:rPr>
        <w:t>类基金份额不收取销售服务费，C类基金份额的销售服务费按前一日C类基金资产净值的0.4%年费率计提。计算方法如下：</w:t>
      </w:r>
    </w:p>
    <w:p w14:paraId="167A6B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14:paraId="4B568F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14:paraId="4C3B62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14:paraId="7174C8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14:paraId="225CA7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14:paraId="1DDCB42C">
      <w:pPr>
        <w:autoSpaceDE w:val="0"/>
        <w:autoSpaceDN w:val="0"/>
        <w:adjustRightInd w:val="0"/>
        <w:snapToGrid w:val="0"/>
        <w:spacing w:line="360" w:lineRule="auto"/>
        <w:ind w:firstLine="480" w:firstLineChars="200"/>
        <w:jc w:val="left"/>
        <w:rPr>
          <w:rFonts w:hint="eastAsia" w:ascii="宋体" w:hAnsi="宋体"/>
          <w:sz w:val="24"/>
        </w:rPr>
      </w:pPr>
      <w:r>
        <w:rPr>
          <w:rFonts w:ascii="宋体" w:hAnsi="宋体"/>
          <w:sz w:val="24"/>
        </w:rPr>
        <w:t>（4）</w:t>
      </w:r>
      <w:r>
        <w:rPr>
          <w:rFonts w:hint="eastAsia" w:ascii="宋体" w:hAnsi="宋体"/>
          <w:sz w:val="24"/>
        </w:rPr>
        <w:t>本基金Y类基金份额可对基金管理费和基金托管费实施一定的费率优惠，具体优惠请参看招募说明书或相关公告。</w:t>
      </w:r>
    </w:p>
    <w:p w14:paraId="61FA47E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w:t>
      </w:r>
      <w:r>
        <w:rPr>
          <w:rFonts w:ascii="宋体" w:hAnsi="宋体"/>
          <w:sz w:val="24"/>
        </w:rPr>
        <w:t>上述“（一）基金费用的种类”中第3－8项，第10-11项费用，根据有关法规及相应协议规定，按费用实际支出金额列入当期费用，由基金托管人从基金财产中支付。</w:t>
      </w:r>
    </w:p>
    <w:p w14:paraId="6F0438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w:t>
      </w:r>
      <w:r>
        <w:rPr>
          <w:rFonts w:hint="eastAsia" w:ascii="宋体" w:hAnsi="宋体"/>
          <w:sz w:val="24"/>
          <w:lang w:val="en-US" w:eastAsia="zh-CN"/>
        </w:rPr>
        <w:t>6</w:t>
      </w:r>
      <w:r>
        <w:rPr>
          <w:rFonts w:ascii="宋体" w:hAnsi="宋体"/>
          <w:sz w:val="24"/>
        </w:rPr>
        <w:t>）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14:paraId="0C8A53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14:paraId="50C0A4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14:paraId="4E5C88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14:paraId="572A53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14:paraId="5995F7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14:paraId="07D8D68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（三）不列入基金费用的项目</w:t>
      </w:r>
    </w:p>
    <w:p w14:paraId="29CE11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14:paraId="30C200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14:paraId="3C09C3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14:paraId="19B62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14:paraId="59B429C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4、其他根据相关法律法规及中国证监会的有关规定不得列入基金费用的项目。</w:t>
      </w:r>
    </w:p>
    <w:p w14:paraId="3353C46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（四）实施侧袋机制期间的基金费用</w:t>
      </w:r>
    </w:p>
    <w:p w14:paraId="32147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14:paraId="4ADA29D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（五）基金税收</w:t>
      </w:r>
    </w:p>
    <w:p w14:paraId="1F4690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4508203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E32929C">
      <w:pPr>
        <w:pStyle w:val="2"/>
        <w:snapToGrid w:val="0"/>
        <w:spacing w:before="240" w:beforeLines="0" w:after="240"/>
        <w:rPr>
          <w:rFonts w:ascii="宋体" w:hAnsi="宋体"/>
          <w:szCs w:val="30"/>
        </w:rPr>
      </w:pPr>
      <w:bookmarkStart w:id="17" w:name="_Toc231197046"/>
      <w:r>
        <w:rPr>
          <w:rFonts w:ascii="Times New Roman" w:hAnsi="Times New Roman"/>
          <w:sz w:val="30"/>
        </w:rPr>
        <w:t>十五、基金的会计与审计</w:t>
      </w:r>
      <w:bookmarkEnd w:id="17"/>
    </w:p>
    <w:p w14:paraId="070746E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（一）基金会计政策</w:t>
      </w:r>
    </w:p>
    <w:p w14:paraId="6B6242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14:paraId="7FAA39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14:paraId="2ECAE6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14:paraId="6272B4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14:paraId="51E031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14:paraId="4E5B1B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14:paraId="1D55F3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14:paraId="3621F47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（二）基金的年度审计</w:t>
      </w:r>
    </w:p>
    <w:p w14:paraId="2F7056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14:paraId="6A17CB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14:paraId="299D90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14:paraId="6D40D4C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056C0A1">
      <w:pPr>
        <w:pStyle w:val="2"/>
        <w:snapToGrid w:val="0"/>
        <w:spacing w:before="240" w:beforeLines="0" w:after="240"/>
        <w:rPr>
          <w:rFonts w:ascii="宋体" w:hAnsi="宋体"/>
          <w:szCs w:val="30"/>
        </w:rPr>
      </w:pPr>
      <w:bookmarkStart w:id="18" w:name="_Toc231197047"/>
      <w:r>
        <w:rPr>
          <w:rFonts w:ascii="Times New Roman" w:hAnsi="Times New Roman"/>
          <w:sz w:val="30"/>
        </w:rPr>
        <w:t>十六、基金的信息披露</w:t>
      </w:r>
      <w:bookmarkEnd w:id="18"/>
    </w:p>
    <w:p w14:paraId="1E8BE5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14:paraId="0D3B3A4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（二）信息披露义务人</w:t>
      </w:r>
    </w:p>
    <w:p w14:paraId="04EFEC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14:paraId="4283F9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14:paraId="6995D2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14:paraId="141800E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14:paraId="1809A9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14:paraId="4D2AA6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14:paraId="1D8295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14:paraId="350CF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14:paraId="508B85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14:paraId="4054BE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14:paraId="0D103D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14:paraId="6E3766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14:paraId="533A8D7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（五）公开披露的基金信息</w:t>
      </w:r>
    </w:p>
    <w:p w14:paraId="36D66F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14:paraId="07E3EF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14:paraId="78A5C3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14:paraId="09E72A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招募说明书。</w:t>
      </w:r>
    </w:p>
    <w:p w14:paraId="613EB7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14:paraId="1C7818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7C0962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14:paraId="581A82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14:paraId="60454A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14:paraId="5FD3DA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14:paraId="531AB4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14:paraId="637F9B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14:paraId="47B8FD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w:t>
      </w:r>
      <w:r>
        <w:rPr>
          <w:rFonts w:hint="eastAsia" w:ascii="宋体" w:hAnsi="宋体"/>
          <w:sz w:val="24"/>
          <w:lang w:val="en-US" w:eastAsia="zh-CN"/>
        </w:rPr>
        <w:t>各类</w:t>
      </w:r>
      <w:r>
        <w:rPr>
          <w:rFonts w:ascii="宋体" w:hAnsi="宋体"/>
          <w:sz w:val="24"/>
        </w:rPr>
        <w:t>基金份额所对应的基金份额净值和基金份额累计净值。</w:t>
      </w:r>
    </w:p>
    <w:p w14:paraId="2E0B89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w:t>
      </w:r>
      <w:r>
        <w:rPr>
          <w:rFonts w:hint="eastAsia" w:ascii="宋体" w:hAnsi="宋体"/>
          <w:sz w:val="24"/>
          <w:lang w:val="en-US" w:eastAsia="zh-CN"/>
        </w:rPr>
        <w:t>各类</w:t>
      </w:r>
      <w:r>
        <w:rPr>
          <w:rFonts w:ascii="宋体" w:hAnsi="宋体"/>
          <w:sz w:val="24"/>
        </w:rPr>
        <w:t>基金份额所对应的基金份额净值和基金份额累计净值。</w:t>
      </w:r>
    </w:p>
    <w:p w14:paraId="26D89A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基金管理人应当在不晚于半年度和年度最后一日后的2个工作日内，在规定网站披露半年度和年度最后一日</w:t>
      </w:r>
      <w:r>
        <w:rPr>
          <w:rFonts w:hint="eastAsia" w:ascii="宋体" w:hAnsi="宋体"/>
          <w:sz w:val="24"/>
          <w:lang w:val="en-US" w:eastAsia="zh-CN"/>
        </w:rPr>
        <w:t>各类</w:t>
      </w:r>
      <w:r>
        <w:rPr>
          <w:rFonts w:ascii="宋体" w:hAnsi="宋体"/>
          <w:sz w:val="24"/>
        </w:rPr>
        <w:t>基金份额所对应的基金份额净值和基金份额累计净值。</w:t>
      </w:r>
    </w:p>
    <w:p w14:paraId="54C40B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14:paraId="5EAD0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641E18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14:paraId="423F5A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599EF8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14:paraId="1DB4A2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14:paraId="2D0AF1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14:paraId="280D3B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67838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14:paraId="131A5B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14:paraId="39DED6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14:paraId="7686C1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14:paraId="221289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14:paraId="41ACC9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14:paraId="1FD625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14:paraId="462833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14:paraId="35B6E4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0D38B1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14:paraId="6BC59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14:paraId="18F3C4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14:paraId="28F198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14:paraId="223E03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7D20F9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14:paraId="5606F9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70EFC1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4316BA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14:paraId="5C8017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14:paraId="5AADEB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14:paraId="7F1AB7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14:paraId="1B4136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14:paraId="649D00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14:paraId="765055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14:paraId="1FA28B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14:paraId="547883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14:paraId="3D73B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14:paraId="5659A7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14:paraId="57D6B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14:paraId="4A0A18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14:paraId="02ED9B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14:paraId="6C4256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1A67E3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14:paraId="1DE869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14:paraId="230775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14:paraId="5F392A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14:paraId="1EFADD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14:paraId="2DEA87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14:paraId="5C86B7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14:paraId="7736E3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14:paraId="07D6C4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57603B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投资流通受限证券，基金管理人应在本基金投资非公开发行股票后两个交易日内，在中国证监会规定媒介披露所投资非公开发行股票的名称、数量、总成本、账面价值，以及总成本和账面价值占基金资产净值的比例、锁定期等信息。</w:t>
      </w:r>
    </w:p>
    <w:p w14:paraId="3AE286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14:paraId="01B65F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14:paraId="26EE957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（六）信息披露事务管理</w:t>
      </w:r>
    </w:p>
    <w:p w14:paraId="2B95F8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3C8E28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14:paraId="2930D7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14:paraId="74A759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14:paraId="672C9B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40E607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5B3BD6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4FE8F75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（七）信息披露文件的存放与查阅</w:t>
      </w:r>
    </w:p>
    <w:p w14:paraId="71B932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14:paraId="0610CA2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1CE3B06">
      <w:pPr>
        <w:pStyle w:val="2"/>
        <w:snapToGrid w:val="0"/>
        <w:spacing w:before="240" w:beforeLines="0" w:after="240"/>
        <w:rPr>
          <w:rFonts w:ascii="宋体" w:hAnsi="宋体"/>
          <w:szCs w:val="30"/>
        </w:rPr>
      </w:pPr>
      <w:bookmarkStart w:id="19" w:name="_Toc231197048"/>
      <w:r>
        <w:rPr>
          <w:rFonts w:ascii="Times New Roman" w:hAnsi="Times New Roman"/>
          <w:sz w:val="30"/>
        </w:rPr>
        <w:t>十七、侧袋机制</w:t>
      </w:r>
      <w:bookmarkEnd w:id="19"/>
    </w:p>
    <w:p w14:paraId="20BDD76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（一）侧袋机制的实施条件</w:t>
      </w:r>
    </w:p>
    <w:p w14:paraId="1BB9F3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1C693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14:paraId="19B019E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（二）实施侧袋机制期间基金份额的申购与赎回</w:t>
      </w:r>
    </w:p>
    <w:p w14:paraId="0575CA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72720C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14:paraId="36026F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14:paraId="4DA1D2B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（三）实施侧袋机制期间的基金投资</w:t>
      </w:r>
    </w:p>
    <w:p w14:paraId="720935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14:paraId="37CE78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14:paraId="0A59F0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14:paraId="257D8AA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（四）实施侧袋机制期间的基金估值</w:t>
      </w:r>
    </w:p>
    <w:p w14:paraId="59AEEC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14:paraId="07602EA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（五）实施侧袋账户期间的基金费用</w:t>
      </w:r>
    </w:p>
    <w:p w14:paraId="48B131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14:paraId="04CE85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14:paraId="7823154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（六）侧袋账户中特定资产的处置变现和支付</w:t>
      </w:r>
    </w:p>
    <w:p w14:paraId="317D62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20755F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6307F5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14:paraId="5A274CE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（七）侧袋机制的信息披露</w:t>
      </w:r>
    </w:p>
    <w:p w14:paraId="6813E2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14:paraId="04C69E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14:paraId="124AFF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14:paraId="25FA0A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14:paraId="43617A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14:paraId="108FDB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14:paraId="11C5F54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E9AA699">
      <w:pPr>
        <w:pStyle w:val="2"/>
        <w:snapToGrid w:val="0"/>
        <w:spacing w:before="240" w:beforeLines="0" w:after="240"/>
        <w:rPr>
          <w:rFonts w:ascii="宋体" w:hAnsi="宋体"/>
          <w:szCs w:val="30"/>
        </w:rPr>
      </w:pPr>
      <w:bookmarkStart w:id="20" w:name="_Toc231197049"/>
      <w:r>
        <w:rPr>
          <w:rFonts w:ascii="Times New Roman" w:hAnsi="Times New Roman"/>
          <w:sz w:val="30"/>
        </w:rPr>
        <w:t>十八、风险揭示</w:t>
      </w:r>
      <w:bookmarkEnd w:id="20"/>
    </w:p>
    <w:p w14:paraId="0DAA8D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2D7231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14:paraId="426AD2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14:paraId="19255B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14:paraId="2559D6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138FEB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14:paraId="131025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14:paraId="054325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14:paraId="09A5D44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（一）市场风险</w:t>
      </w:r>
    </w:p>
    <w:p w14:paraId="5ABC32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422FF1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1D2258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14:paraId="1D430D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14:paraId="4B308D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14:paraId="3AE18E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14:paraId="1DC7533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（二）管理风险</w:t>
      </w:r>
    </w:p>
    <w:p w14:paraId="228E36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5D8E212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（三）流动性风险</w:t>
      </w:r>
    </w:p>
    <w:p w14:paraId="1C2D04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但设置最短持有期，基金份额持有人持有的每份基金份额最短持有期限为一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208F5C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14:paraId="7CDE43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至一年后的年度对日（含该日）开始办理赎回，具体业务办理时间在赎回开始公告中规定。</w:t>
      </w:r>
    </w:p>
    <w:p w14:paraId="2302A1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14:paraId="129579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14:paraId="6BE324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14:paraId="50D5B0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14:paraId="5D6058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34AC02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5EA07B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471575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ascii="宋体" w:hAnsi="宋体"/>
          <w:sz w:val="24"/>
        </w:rPr>
        <w:t>该类</w:t>
      </w:r>
      <w:r>
        <w:rPr>
          <w:rFonts w:ascii="宋体" w:hAnsi="宋体"/>
          <w:sz w:val="24"/>
        </w:rPr>
        <w:t>基金份额净值为基础计算赎回金额，以此类推，直到全部赎回为止。如投资人在提交赎回申请时未作明确选择，投资人未能赎回部分作自动延期赎回处理。</w:t>
      </w:r>
    </w:p>
    <w:p w14:paraId="77051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5B758D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14:paraId="647E10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w:t>
      </w:r>
      <w:r>
        <w:rPr>
          <w:rFonts w:hint="eastAsia" w:ascii="宋体" w:hAnsi="宋体"/>
          <w:sz w:val="24"/>
          <w:lang w:val="en-US" w:eastAsia="zh-CN"/>
        </w:rPr>
        <w:t>前述</w:t>
      </w:r>
      <w:r>
        <w:rPr>
          <w:rFonts w:ascii="宋体" w:hAnsi="宋体"/>
          <w:sz w:val="24"/>
        </w:rPr>
        <w:t>“（1）全额赎回”或“（2）部分延期赎回”的约定方式与其他基金份额持有人的赎回申请一并办理。但是，如基金份额持有人在当日选择取消赎回，则其当日未获受理的部分赎回申请将被撤销。</w:t>
      </w:r>
    </w:p>
    <w:p w14:paraId="24969E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6BA591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14:paraId="4DC5CC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14:paraId="102841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12BE89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1E1BA9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14:paraId="73CE1D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14:paraId="299EA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0FC465B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（四）信用风险</w:t>
      </w:r>
    </w:p>
    <w:p w14:paraId="0C23C8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14:paraId="0E2DC2D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（五）本基金的特有风险</w:t>
      </w:r>
    </w:p>
    <w:p w14:paraId="3210EE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型基金（包括股票指数基金）的比例占基金资产的0%-30%。因此本基金所持有的基金的业绩表现、持有基金的基金管理人水平等因素将影响到本基金的基金业绩表现。</w:t>
      </w:r>
    </w:p>
    <w:p w14:paraId="10D06D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14:paraId="6B6D3E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14:paraId="21E14F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14:paraId="100300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14:paraId="72591A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14:paraId="7E34E6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14:paraId="76E88FE6">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8、本基金可投资创业板股票，创业板个股上市后的前五个交易日不设价格涨跌幅限制，第六个交易日开始涨跌幅限制比例为20%。</w:t>
      </w:r>
    </w:p>
    <w:p w14:paraId="01841E0B">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lang w:val="en-US" w:eastAsia="zh-CN"/>
        </w:rPr>
        <w:t>9</w:t>
      </w:r>
      <w:r>
        <w:rPr>
          <w:rFonts w:hint="eastAsia" w:ascii="宋体" w:hAnsi="宋体"/>
          <w:sz w:val="24"/>
        </w:rPr>
        <w:t>、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14:paraId="19219AB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（六）投资资产支持证券的特定风险</w:t>
      </w:r>
    </w:p>
    <w:p w14:paraId="40BA27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1ACED19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（七）投资流通受限证券的特定风险</w:t>
      </w:r>
    </w:p>
    <w:p w14:paraId="358BD0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4024D205">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（八）投资科创板股票的特定风险</w:t>
      </w:r>
    </w:p>
    <w:p w14:paraId="13BB32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519466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14:paraId="027F36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14:paraId="608D63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14:paraId="1C9B94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14:paraId="6E415C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14:paraId="5771CC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14:paraId="41E487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14:paraId="71467A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14:paraId="06105D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14:paraId="0EFC32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14:paraId="036201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14:paraId="04DEDAD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（九）基金合同提前终止风险</w:t>
      </w:r>
    </w:p>
    <w:p w14:paraId="04A858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14:paraId="0E75EE3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（十）投资存托凭证的特定风险</w:t>
      </w:r>
    </w:p>
    <w:p w14:paraId="0E728F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5C907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0D2963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14:paraId="7A1E20D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（十一）本基金法律文件风险收益特征表述与销售机构基金风险评价可能不一致的风险</w:t>
      </w:r>
    </w:p>
    <w:p w14:paraId="4E2E06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60D3B7C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（十二）其他风险</w:t>
      </w:r>
    </w:p>
    <w:p w14:paraId="04662C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14:paraId="0F2AE4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14:paraId="730577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14:paraId="39E43A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14:paraId="20823E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14:paraId="656425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14:paraId="0EE4E5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14:paraId="6050DF2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7A92721">
      <w:pPr>
        <w:pStyle w:val="2"/>
        <w:snapToGrid w:val="0"/>
        <w:spacing w:before="240" w:beforeLines="0" w:after="240"/>
        <w:rPr>
          <w:rFonts w:ascii="宋体" w:hAnsi="宋体"/>
          <w:szCs w:val="30"/>
        </w:rPr>
      </w:pPr>
      <w:bookmarkStart w:id="21" w:name="_Toc231197050"/>
      <w:r>
        <w:rPr>
          <w:rFonts w:ascii="Times New Roman" w:hAnsi="Times New Roman"/>
          <w:sz w:val="30"/>
        </w:rPr>
        <w:t>十九、基金合同的变更、终止与基金财产的清算</w:t>
      </w:r>
      <w:bookmarkEnd w:id="21"/>
    </w:p>
    <w:p w14:paraId="0A7B20F4">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（一）《基金合同》的变更</w:t>
      </w:r>
    </w:p>
    <w:p w14:paraId="0B0789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34B538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14:paraId="25948AD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（二）《基金合同》的终止事由</w:t>
      </w:r>
    </w:p>
    <w:p w14:paraId="53D79A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14:paraId="36AA32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4C2672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6B6BE2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14:paraId="2D7509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571A97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5A6799C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（三）基金财产的清算</w:t>
      </w:r>
    </w:p>
    <w:p w14:paraId="46EC00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4FEA62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21B49B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122A4E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5AF02A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14:paraId="70EDE6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24640F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6A55D4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5079D9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182531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3017F7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39D71F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78E4EF5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（四）清算费用</w:t>
      </w:r>
    </w:p>
    <w:p w14:paraId="4691E3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67B89B5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（五）基金财产清算剩余资产的分配</w:t>
      </w:r>
    </w:p>
    <w:p w14:paraId="11AB4F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0B17395B">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（六）基金财产清算的公告</w:t>
      </w:r>
    </w:p>
    <w:p w14:paraId="36FB59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4FDA93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（七）基金财产清算账册及文件的保存</w:t>
      </w:r>
    </w:p>
    <w:p w14:paraId="4FF3FC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14:paraId="1AA0E8C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FAB2FDF">
      <w:pPr>
        <w:pStyle w:val="2"/>
        <w:snapToGrid w:val="0"/>
        <w:spacing w:before="240" w:beforeLines="0" w:after="240"/>
        <w:rPr>
          <w:rFonts w:ascii="宋体" w:hAnsi="宋体"/>
          <w:szCs w:val="30"/>
        </w:rPr>
      </w:pPr>
      <w:bookmarkStart w:id="22" w:name="_Toc231197051"/>
      <w:r>
        <w:rPr>
          <w:rFonts w:ascii="Times New Roman" w:hAnsi="Times New Roman"/>
          <w:sz w:val="30"/>
        </w:rPr>
        <w:t>二十、基金合同内容摘要</w:t>
      </w:r>
      <w:bookmarkEnd w:id="22"/>
    </w:p>
    <w:p w14:paraId="074AA91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（一）基金份额持有人、基金管理人和基金托管人的权利与义务</w:t>
      </w:r>
    </w:p>
    <w:p w14:paraId="455CA9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14:paraId="608C41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14:paraId="203024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14:paraId="11449E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14:paraId="4F449A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14:paraId="197E61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14:paraId="62734D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14:paraId="0D119C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14:paraId="2941BA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14:paraId="1F3D7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14:paraId="199713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14:paraId="182B42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14:paraId="6D63A3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14:paraId="1A989F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14:paraId="423220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14:paraId="0DD15C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14:paraId="3D6370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14:paraId="5620EC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14:paraId="014320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（17）以基金管理人的名义，参与本基金持有的基金所召开的基金份额持有人大会；</w:t>
      </w:r>
    </w:p>
    <w:p w14:paraId="0D28A9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（18）法律法规及中国证监会规定的和《基金合同》约定的其他权利。</w:t>
      </w:r>
    </w:p>
    <w:p w14:paraId="5CB4BA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14:paraId="397EC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2ECEE6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6BCBF4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14:paraId="46A2B0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792A11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14:paraId="040C98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14:paraId="46F803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14:paraId="127024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14:paraId="3729FE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14:paraId="2622B6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14:paraId="2DCEAD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14:paraId="2B6C86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14:paraId="02AA61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14:paraId="6FBAD5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14:paraId="2DFF2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14:paraId="32C418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14:paraId="402CDF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4BFA9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14:paraId="315BE7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14:paraId="48C01B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14:paraId="29ABB3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14:paraId="551CEE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14:paraId="4705C3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14:paraId="1F7452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14:paraId="36FB60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14:paraId="6D7B60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14:paraId="7AE3C0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14:paraId="7EC3D4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14:paraId="4D64BA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14:paraId="13D9B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14:paraId="408406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14:paraId="1BD2E4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572E6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14:paraId="7E5BF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14:paraId="37CC83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14:paraId="34EADA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14:paraId="2CDBA2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14:paraId="2D04E6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14:paraId="72A6AC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14:paraId="33D437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73AF9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14:paraId="5DA3AA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14:paraId="49D765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14:paraId="728C7A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14:paraId="3A50AC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14:paraId="37403A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14:paraId="174A6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D8A64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14:paraId="14B5CA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（12）从基金管理人或其委托的登记机构处接收并保存基金份额持有人名册；</w:t>
      </w:r>
    </w:p>
    <w:p w14:paraId="32671B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14:paraId="654BCA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14:paraId="73FCE3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14:paraId="1D2F25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14:paraId="757C88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14:paraId="7C6190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14:paraId="02A8F6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14:paraId="7556EF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14:paraId="25A3FB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14:paraId="06F37C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14:paraId="126A57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14:paraId="05E573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14:paraId="75CC39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14:paraId="3B0829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14:paraId="70CD70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14:paraId="40118C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14:paraId="725FD3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14:paraId="6266FD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14:paraId="7FCBD0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14:paraId="7765EC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14:paraId="56A20C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14:paraId="50A0BD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14:paraId="04D833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14:paraId="79615F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14:paraId="5105BA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14:paraId="5CF4E8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14:paraId="1E3E8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14:paraId="43403E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14:paraId="372235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14:paraId="3BFDB8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14:paraId="54B0DC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14:paraId="1B69A1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14:paraId="07592A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14:paraId="24882D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14:paraId="3031C8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14:paraId="472B0B7C">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（二）基金份额持有人大会召集、议事及表决的程序和规则</w:t>
      </w:r>
    </w:p>
    <w:p w14:paraId="41ACE3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14:paraId="6E609E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14:paraId="4610A5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14:paraId="24C06F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14:paraId="7D3E7D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14:paraId="1C873D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14:paraId="1001BA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14:paraId="129853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14:paraId="4DF1F9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5）调整基金管理人、基金托管人的报酬标准和提高销售服务费；</w:t>
      </w:r>
    </w:p>
    <w:p w14:paraId="6009C5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14:paraId="42BC48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68AAA5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14:paraId="119150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14:paraId="2FF3B5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14:paraId="7E29EF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14:paraId="400C85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14:paraId="69AF64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14:paraId="391C98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14:paraId="41CBD1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w:t>
      </w:r>
    </w:p>
    <w:p w14:paraId="2B79CA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14:paraId="10BD2C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14:paraId="163B97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14:paraId="3B61BD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14:paraId="26AFA0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14:paraId="6D835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r>
        <w:rPr>
          <w:rFonts w:hint="eastAsia"/>
          <w:bCs/>
          <w:sz w:val="24"/>
        </w:rPr>
        <w:t>、对基金份额分类办法及规则进行调整</w:t>
      </w:r>
      <w:r>
        <w:rPr>
          <w:rFonts w:ascii="宋体" w:hAnsi="宋体"/>
          <w:sz w:val="24"/>
        </w:rPr>
        <w:t>；</w:t>
      </w:r>
    </w:p>
    <w:p w14:paraId="7A2B2A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14:paraId="323A1D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14:paraId="11A4D6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14:paraId="24AD70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14:paraId="09F1F2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14:paraId="25698B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14:paraId="1FD9CC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663E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1755C7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7B5FF2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14:paraId="1FE18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14:paraId="238E38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14:paraId="43CCFF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14:paraId="27B681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14:paraId="3BDDB6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14:paraId="0D2643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14:paraId="4D61B8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14:paraId="5A6757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14:paraId="1A4B25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14:paraId="1BFA9A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EF351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6B532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14:paraId="067451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14:paraId="4D439B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E7DB1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C2C45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9C2B2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14:paraId="52CC70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14:paraId="0C0ADB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14:paraId="6A4720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EB963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14:paraId="2FFA73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1BDEC2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14:paraId="5C1300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14:paraId="4A791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14:paraId="2A03EA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14:paraId="29FE51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14:paraId="7D65DA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14:paraId="62DF92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14:paraId="40FBFB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7F7E5F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14:paraId="0BF645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34F89F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6A997E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34D8D9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14:paraId="0B61D1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14:paraId="5403F7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14:paraId="63FD7F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00CB6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14:paraId="3F2AE5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14:paraId="74995A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1FDCB5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14:paraId="13DE52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14:paraId="1A8F17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655690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14:paraId="42BA83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14:paraId="2812E3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077D4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14:paraId="65BE17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6C98DE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8F97F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14:paraId="2DE65B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14:paraId="66E78C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14:paraId="7FD3D0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14:paraId="017173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14:paraId="528B1B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14:paraId="19D587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10、实施侧袋机制期间基金份额持有人大会的特殊约定</w:t>
      </w:r>
    </w:p>
    <w:p w14:paraId="45A1A8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B9717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14:paraId="46FDFD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14:paraId="3E4BC9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14:paraId="5A09EB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6C62E9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14:paraId="1561DA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14:paraId="5F9718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14:paraId="211314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14:paraId="1DBE6D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14:paraId="48310777">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（三）基金合同解除和终止的事由、程序</w:t>
      </w:r>
    </w:p>
    <w:p w14:paraId="5BDE2A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14:paraId="28F755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012148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14:paraId="739A34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14:paraId="623969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14:paraId="5BCFB5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38449B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148040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14:paraId="278922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40C7AD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5FDF87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14:paraId="54EBBF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3A7C6A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5B7D4E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1664BF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42312F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14:paraId="7A5A1F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0AA5B2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1C3C84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01E030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3C32DB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2633EA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7EA416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1F18DC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14:paraId="0F96C9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75376F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14:paraId="393F44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7D4159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14:paraId="462A28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3EF0D4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14:paraId="093E1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14:paraId="5DDD834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（四）争议解决方式</w:t>
      </w:r>
    </w:p>
    <w:p w14:paraId="15AC20B1">
      <w:pPr>
        <w:autoSpaceDE w:val="0"/>
        <w:autoSpaceDN w:val="0"/>
        <w:adjustRightInd w:val="0"/>
        <w:snapToGrid w:val="0"/>
        <w:spacing w:line="360" w:lineRule="auto"/>
        <w:ind w:firstLine="482" w:firstLineChars="200"/>
        <w:jc w:val="left"/>
        <w:rPr>
          <w:rFonts w:ascii="宋体" w:hAnsi="宋体"/>
          <w:b/>
          <w:bCs/>
          <w:szCs w:val="24"/>
        </w:rPr>
      </w:pPr>
      <w:r>
        <w:rPr>
          <w:rFonts w:ascii="宋体" w:hAnsi="宋体"/>
          <w:b/>
          <w:bCs/>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用由败诉方承担。</w:t>
      </w:r>
    </w:p>
    <w:p w14:paraId="473F5E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14:paraId="199FC9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14:paraId="4C18DDF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（五）基金合同存放地和投资者取得基金合同的方式</w:t>
      </w:r>
    </w:p>
    <w:p w14:paraId="59F0C7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14:paraId="788E48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14:paraId="576C36F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76D8CD3">
      <w:pPr>
        <w:pStyle w:val="2"/>
        <w:snapToGrid w:val="0"/>
        <w:spacing w:before="240" w:beforeLines="0" w:after="240"/>
        <w:rPr>
          <w:rFonts w:ascii="宋体" w:hAnsi="宋体"/>
          <w:szCs w:val="30"/>
        </w:rPr>
      </w:pPr>
      <w:bookmarkStart w:id="23" w:name="_Toc231197052"/>
      <w:r>
        <w:rPr>
          <w:rFonts w:ascii="Times New Roman" w:hAnsi="Times New Roman"/>
          <w:sz w:val="30"/>
        </w:rPr>
        <w:t>二十一、托管协议的内容摘要</w:t>
      </w:r>
      <w:bookmarkEnd w:id="23"/>
    </w:p>
    <w:p w14:paraId="6673A3A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（一）托管协议当事人</w:t>
      </w:r>
    </w:p>
    <w:p w14:paraId="36D0F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14:paraId="514655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2826E4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4C1D49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63AF04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57AE9391">
      <w:pPr>
        <w:autoSpaceDE w:val="0"/>
        <w:autoSpaceDN w:val="0"/>
        <w:adjustRightInd w:val="0"/>
        <w:snapToGrid w:val="0"/>
        <w:spacing w:line="360" w:lineRule="auto"/>
        <w:ind w:firstLine="480" w:firstLineChars="200"/>
        <w:jc w:val="left"/>
        <w:rPr>
          <w:rFonts w:hint="eastAsia" w:ascii="宋体" w:hAnsi="宋体" w:eastAsia="宋体"/>
          <w:szCs w:val="24"/>
          <w:lang w:eastAsia="zh-CN"/>
        </w:rPr>
      </w:pPr>
      <w:r>
        <w:rPr>
          <w:rFonts w:ascii="宋体" w:hAnsi="宋体"/>
          <w:sz w:val="24"/>
        </w:rPr>
        <w:t>法定代表人：</w:t>
      </w:r>
      <w:r>
        <w:rPr>
          <w:rFonts w:hint="eastAsia" w:ascii="宋体" w:hAnsi="宋体"/>
          <w:sz w:val="24"/>
          <w:lang w:eastAsia="zh-CN"/>
        </w:rPr>
        <w:t>袁庆伟（代任）</w:t>
      </w:r>
    </w:p>
    <w:p w14:paraId="15301F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4135AD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批准设立机关：中国证券监督管理委员会</w:t>
      </w:r>
    </w:p>
    <w:p w14:paraId="464735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批准设立文号：中国证监会证监基金字[2005]128号</w:t>
      </w:r>
    </w:p>
    <w:p w14:paraId="376237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14:paraId="09523B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7D213B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2ACC78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经营范围：基金募集、基金销售、资产管理和中国证监会许可的其他业务。</w:t>
      </w:r>
    </w:p>
    <w:p w14:paraId="7408E3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14:paraId="3BD1A5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名称：招商银行股份有限公司(简称：招商银行)</w:t>
      </w:r>
    </w:p>
    <w:p w14:paraId="6963C6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住所：深圳市深南大道7088号招商银行大厦</w:t>
      </w:r>
    </w:p>
    <w:p w14:paraId="31C29E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14:paraId="4AF12C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邮政编码：518040</w:t>
      </w:r>
    </w:p>
    <w:p w14:paraId="18BB6B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14:paraId="161327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w:t>
      </w:r>
      <w:r>
        <w:rPr>
          <w:rFonts w:hint="eastAsia" w:ascii="宋体" w:hAnsi="宋体"/>
          <w:sz w:val="24"/>
          <w:lang w:val="en-US" w:eastAsia="zh-CN"/>
        </w:rPr>
        <w:t>3</w:t>
      </w:r>
      <w:r>
        <w:rPr>
          <w:rFonts w:ascii="宋体" w:hAnsi="宋体"/>
          <w:sz w:val="24"/>
        </w:rPr>
        <w:t>月</w:t>
      </w:r>
      <w:r>
        <w:rPr>
          <w:rFonts w:hint="eastAsia" w:ascii="宋体" w:hAnsi="宋体"/>
          <w:sz w:val="24"/>
          <w:lang w:val="en-US" w:eastAsia="zh-CN"/>
        </w:rPr>
        <w:t>31</w:t>
      </w:r>
      <w:r>
        <w:rPr>
          <w:rFonts w:ascii="宋体" w:hAnsi="宋体"/>
          <w:sz w:val="24"/>
        </w:rPr>
        <w:t>日</w:t>
      </w:r>
    </w:p>
    <w:p w14:paraId="19B6F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基金托管业务批准文号：证监基金字[2002]83号</w:t>
      </w:r>
    </w:p>
    <w:p w14:paraId="0D944F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00C223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注册资本：人民币252.20亿元</w:t>
      </w:r>
    </w:p>
    <w:p w14:paraId="244B5A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0EF45E51">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（二）基金托管人对基金管理人的业务监督和核查</w:t>
      </w:r>
    </w:p>
    <w:p w14:paraId="6759F3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w:t>
      </w:r>
    </w:p>
    <w:p w14:paraId="417414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（1）本基金的投资范围为：</w:t>
      </w:r>
    </w:p>
    <w:p w14:paraId="4C2A29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国内依法发行上市的股票（含中小板、创业板及其他经中国证监会核准或注册上市的股票、存托凭证）、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w:t>
      </w:r>
    </w:p>
    <w:p w14:paraId="4CBE2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20C76C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（2）本基金各类品种的投资比例、投资限制为：</w:t>
      </w:r>
    </w:p>
    <w:p w14:paraId="01CFB5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型基金（包括股票指数基金）的比例占基金资产的0%-30%；本基金持有的现金或者投资于到期日在一年以内的政府债券的比例合计不低于基金资产净值的5%，其中现金不包括结算备付金、存出保证金、应收申购款等。</w:t>
      </w:r>
    </w:p>
    <w:p w14:paraId="37A803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1A097A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14:paraId="6AFCC2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型基金（包括股票指数基金）的比例占基金资产的0%-30%；投资于货币市场基金的比例不得超过基金资产的15%；</w:t>
      </w:r>
    </w:p>
    <w:p w14:paraId="6F5384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14:paraId="220D6E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3）本基金持有单只基金的市值，不得高于本基金资产净值的20%，且不得持有其他基金中基金；</w:t>
      </w:r>
    </w:p>
    <w:p w14:paraId="5C881D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14:paraId="06F460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5）本基金不得持有具有复杂、衍生品性质的基金份额，包括分级基金和中国证监会认定的其他基金份额；</w:t>
      </w:r>
    </w:p>
    <w:p w14:paraId="28C3D5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14:paraId="08E669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14:paraId="490719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8）本基金持有一家公司发行的证券（不含本基金所投资的基金份额），其市值不超过基金资产净值的10%；</w:t>
      </w:r>
    </w:p>
    <w:p w14:paraId="03D017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9）本基金管理人管理的全部基金持有一家公司发行的证券（不含本基金所投资的基金份额），不超过该证券的10%，完全按照有关指数的构成比例进行证券投资的基金品种可以不受此条款规定的比例限制；</w:t>
      </w:r>
    </w:p>
    <w:p w14:paraId="3882CD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32469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14:paraId="1D4A4D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14:paraId="292B39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13）本基金投资于同一原始权益人的各类资产支持证券的比例，不得超过基金资产净值的10%；</w:t>
      </w:r>
    </w:p>
    <w:p w14:paraId="6DFF24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14）本基金持有的全部资产支持证券，其市值不得超过基金资产净值的20%；</w:t>
      </w:r>
    </w:p>
    <w:p w14:paraId="729481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15）本基金持有的同一（指同一信用级别）资产支持证券的比例，不得超过该资产支持证券规模的10%；</w:t>
      </w:r>
    </w:p>
    <w:p w14:paraId="281A45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14:paraId="3764EC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14:paraId="284145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14:paraId="06839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14:paraId="57B393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20）本基金资产总值不超过基金资产净值的140%；</w:t>
      </w:r>
    </w:p>
    <w:p w14:paraId="343B66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21）本基金投资存托凭证的比例限制依照境内上市交易的股票执行；</w:t>
      </w:r>
    </w:p>
    <w:p w14:paraId="3DD316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22）法律法规及中国证监会规定的和《基金合同》约定的其他投资限制。</w:t>
      </w:r>
    </w:p>
    <w:p w14:paraId="64D49D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14:paraId="70F134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（3）本基金财产不得用于以下投资或者活动：</w:t>
      </w:r>
    </w:p>
    <w:p w14:paraId="057781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14F280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14:paraId="5B38A4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7287D3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4）向其基金管理人、基金托管人出资；</w:t>
      </w:r>
    </w:p>
    <w:p w14:paraId="130CC6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5）从事内幕交易、操纵证券交易价格及其他不正当的证券交易活动；</w:t>
      </w:r>
    </w:p>
    <w:p w14:paraId="30F33D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6）法律、行政法规和中国证监会规定禁止的其他活动。</w:t>
      </w:r>
    </w:p>
    <w:p w14:paraId="4E2907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6DE8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14:paraId="0C696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14:paraId="0C08CE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14:paraId="30354A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341775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14:paraId="257EBD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14:paraId="3E93E0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14:paraId="76BBB4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0D0D65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14:paraId="624BF5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056AA2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14:paraId="3696BC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14:paraId="79A4B6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3、基金投资银行存款协议的签订、账户开设与管理、投资指令与资金划付、账目核对、到期兑付、提前支取</w:t>
      </w:r>
    </w:p>
    <w:p w14:paraId="1B94AC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（1）基金投资银行存款协议的签订</w:t>
      </w:r>
    </w:p>
    <w:p w14:paraId="1EB310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1D6683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2）基金托管人依据相关法规对《总体合作协议》和《存款协议书》的内容进行复核，审查存款银行资格等。</w:t>
      </w:r>
    </w:p>
    <w:p w14:paraId="404A78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14:paraId="3654F7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14:paraId="2524E7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14:paraId="1AFC48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49DA8E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14:paraId="54CC92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（2）基金投资银行存款时的账户开设与管理</w:t>
      </w:r>
    </w:p>
    <w:p w14:paraId="0EAD59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14:paraId="4A1623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2）基金投资于银行存款时的预留印鉴由基金托管人保管和使用。</w:t>
      </w:r>
    </w:p>
    <w:p w14:paraId="4BC970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（3）存款凭证传递、账目核对及到期兑付</w:t>
      </w:r>
    </w:p>
    <w:p w14:paraId="1A2E6B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1）存款证实书等存款凭证传递</w:t>
      </w:r>
    </w:p>
    <w:p w14:paraId="11E24A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14:paraId="348311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2）存款凭证的遗失补办</w:t>
      </w:r>
    </w:p>
    <w:p w14:paraId="0631B7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14:paraId="600637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3）账目核对</w:t>
      </w:r>
    </w:p>
    <w:p w14:paraId="572426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每个工作日，基金管理人应与基金托管人核对各项银行存款投资余额及应计利息。</w:t>
      </w:r>
    </w:p>
    <w:p w14:paraId="3D5D39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14:paraId="5DCED7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14:paraId="0D6AE9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4）到期兑付</w:t>
      </w:r>
    </w:p>
    <w:p w14:paraId="34F4BF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14:paraId="35F659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14:paraId="1762DC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14:paraId="371628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14:paraId="0156E6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（4）提前支取</w:t>
      </w:r>
    </w:p>
    <w:p w14:paraId="7BAAC1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14:paraId="132070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提前支取的具体事项按照基金管理人与存款银行签订的《存款协议书》执行。</w:t>
      </w:r>
    </w:p>
    <w:p w14:paraId="14AFEC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（5）基金投资银行存款的监督</w:t>
      </w:r>
    </w:p>
    <w:p w14:paraId="1B550C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14:paraId="358D8C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14:paraId="036BF0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14:paraId="3B7780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14:paraId="56E6CD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035CA3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14:paraId="173CA2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本基金不得投资未经中国证监会批准的非公开发行证券。</w:t>
      </w:r>
    </w:p>
    <w:p w14:paraId="0289BB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本基金不得投资有锁定期但锁定期不明确的证券。</w:t>
      </w:r>
    </w:p>
    <w:p w14:paraId="5D5A79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4D49D7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76BA32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14:paraId="65521C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14:paraId="410650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14:paraId="0D9B65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14:paraId="084BE5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基金投资非公开发行股票后两个交易日内，在中国证监会规定媒介披露所投资非公开发行股票的名称、数量、总成本、账面价值，以及总成本和账面价值占基金资产净值的比例、锁定期等信息。</w:t>
      </w:r>
    </w:p>
    <w:p w14:paraId="005B9A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14:paraId="575ED6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14:paraId="14CDE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3A99D7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3CB0E3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14:paraId="1BF998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11、基金托管人发现基金管理人有重大违规行为，应及时报告中国证监会，同时通知基金管理人限期纠正。</w:t>
      </w:r>
    </w:p>
    <w:p w14:paraId="42313C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12、侧袋机制的实施和投资运作安排</w:t>
      </w:r>
    </w:p>
    <w:p w14:paraId="7739B7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EE887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14:paraId="481856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14:paraId="516290D6">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（三）基金管理人对基金托管人的业务核查</w:t>
      </w:r>
    </w:p>
    <w:p w14:paraId="63349B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基金账户等投资所需账户、复核基金管理人计算的各类基金份额的基金资产净值和基金份额净值、根据基金管理人指令办理清算交收、相关信息披露和监督基金投资运作等行为。</w:t>
      </w:r>
    </w:p>
    <w:p w14:paraId="5B64FF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14:paraId="75F319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7002C1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14:paraId="6AE721E2">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（四）基金财产保管</w:t>
      </w:r>
    </w:p>
    <w:p w14:paraId="28F46B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14:paraId="68F03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14:paraId="5078E6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14:paraId="18936A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（3）基金托管人按照规定开设基金财产的资金账户、证券账户和基金账户等投资所需的相关账户。</w:t>
      </w:r>
    </w:p>
    <w:p w14:paraId="50CE0A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14:paraId="1C2421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14:paraId="71794A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14:paraId="1D3AF9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14:paraId="5EE456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（8）除依据法律法规和基金合同的规定外，基金托管人不得委托第三人托管基金财产。</w:t>
      </w:r>
    </w:p>
    <w:p w14:paraId="16AA7D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14:paraId="51F186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14:paraId="23D4DE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14:paraId="7AA6FC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w:t>
      </w:r>
    </w:p>
    <w:p w14:paraId="147C63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14:paraId="7D9F0B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招享一年持有期混合型基金中基金（FOF）”，预留印鉴为基金托管人印章。</w:t>
      </w:r>
    </w:p>
    <w:p w14:paraId="4AD0D4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14:paraId="72CD6A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（3）基金资金账户的开立和管理应符合法律法规及银行业监督管理机构的有关规定。</w:t>
      </w:r>
    </w:p>
    <w:p w14:paraId="59BBC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14:paraId="6D9EA9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14:paraId="0C4980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5FA9CB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14:paraId="2E9440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14:paraId="7B220D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14:paraId="06F6AA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5、债券托管账户的开设和管理</w:t>
      </w:r>
    </w:p>
    <w:p w14:paraId="5F14F2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14:paraId="3C2C2A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14:paraId="7840D9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（1）因业务发展需要而开立的其他账户，可以根据法律法规和基金合同的规定，由基金管理人协助基金托管人按照有关法律法规和本协议的约定协商后开立。新账户按有关规定使用并管理。</w:t>
      </w:r>
    </w:p>
    <w:p w14:paraId="5ED1B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14:paraId="71B5EE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14:paraId="3977C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14:paraId="7B2E93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14:paraId="6A53EA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低于法律法规规定的最低期限。</w:t>
      </w:r>
    </w:p>
    <w:p w14:paraId="03A0C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06C4F15E">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（五）基金资产净值计算、估值和会计核算</w:t>
      </w:r>
    </w:p>
    <w:p w14:paraId="10F7D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1、基金资产净值的计算、复核与完成的时间及程序</w:t>
      </w:r>
    </w:p>
    <w:p w14:paraId="34BE06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14:paraId="3ABB80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1718C9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各类基金份额的基金份额净值是按照每个估值日，</w:t>
      </w:r>
      <w:r>
        <w:rPr>
          <w:rFonts w:hint="eastAsia"/>
          <w:bCs/>
          <w:sz w:val="24"/>
        </w:rPr>
        <w:t>该类基金份额的</w:t>
      </w:r>
      <w:r>
        <w:rPr>
          <w:rFonts w:ascii="宋体" w:hAnsi="宋体"/>
          <w:sz w:val="24"/>
        </w:rPr>
        <w:t>基金资产净值除以估值日</w:t>
      </w:r>
      <w:r>
        <w:rPr>
          <w:rFonts w:hint="eastAsia"/>
          <w:bCs/>
          <w:sz w:val="24"/>
        </w:rPr>
        <w:t>该类</w:t>
      </w:r>
      <w:r>
        <w:rPr>
          <w:rFonts w:ascii="宋体" w:hAnsi="宋体"/>
          <w:sz w:val="24"/>
        </w:rPr>
        <w:t>基金份额的余额数量计算，精确到0.0001元，小数点后第5位四舍五入。基金管理人可以设立大额赎回情形下的净值精度应急调整机制，具体可参见相关公告。国家另有规定的，从其规定。</w:t>
      </w:r>
    </w:p>
    <w:p w14:paraId="1C551B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基金管理人于每个工作日分别计算</w:t>
      </w:r>
      <w:r>
        <w:rPr>
          <w:rFonts w:hint="eastAsia" w:ascii="宋体" w:hAnsi="宋体"/>
          <w:sz w:val="24"/>
          <w:lang w:val="en-US" w:eastAsia="zh-CN"/>
        </w:rPr>
        <w:t>各类</w:t>
      </w:r>
      <w:r>
        <w:rPr>
          <w:rFonts w:ascii="宋体" w:hAnsi="宋体"/>
          <w:sz w:val="24"/>
        </w:rPr>
        <w:t>基金份额的基金资产净值及基金份额净值，并按规定公告。如遇特殊情况，经履行适当程序，可以适当延迟计算或公告。基金管理人应每个工作日对基金资产估值。但基金管理人根据法律法规或基金合同的规定暂停估值时除外。</w:t>
      </w:r>
    </w:p>
    <w:p w14:paraId="0DB46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14:paraId="1D79AE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14:paraId="7CA4D5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14:paraId="55CABE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2、基金资产的估值</w:t>
      </w:r>
    </w:p>
    <w:p w14:paraId="078453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基金管理人及基金托管人应当按照《基金合同》的约定进行估值。</w:t>
      </w:r>
    </w:p>
    <w:p w14:paraId="181B4B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14:paraId="450734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基金管理人及基金托管人应当按照《基金合同》的约定处理份额净值错误。</w:t>
      </w:r>
    </w:p>
    <w:p w14:paraId="050E90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4、基金会计制度</w:t>
      </w:r>
    </w:p>
    <w:p w14:paraId="3DFDD5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14:paraId="41E609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5、基金账册的建立</w:t>
      </w:r>
    </w:p>
    <w:p w14:paraId="2881F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14:paraId="1300A9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6、基金财务报表与报告的编制和复核</w:t>
      </w:r>
    </w:p>
    <w:p w14:paraId="7EAB84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14:paraId="0D4733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基金财务报表由基金管理人编制，基金托管人复核。</w:t>
      </w:r>
    </w:p>
    <w:p w14:paraId="386952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14:paraId="39AD79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14:paraId="72DE84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（3）财务报表的编制与复核时间安排</w:t>
      </w:r>
    </w:p>
    <w:p w14:paraId="26C933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14:paraId="668CCD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7、在有需要时，基金管理人应每季度向基金托管人提供基金业绩比较基准的基础数据和编制结果。</w:t>
      </w:r>
    </w:p>
    <w:p w14:paraId="42FDA1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8、实施侧袋机制期间的基金资产估值</w:t>
      </w:r>
    </w:p>
    <w:p w14:paraId="663AAC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14:paraId="28D98BD9">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（六）基金份额持有人名册的保管</w:t>
      </w:r>
    </w:p>
    <w:p w14:paraId="68D3A7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14:paraId="7613A6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14:paraId="6FC8DA18">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（七）争议解决方式</w:t>
      </w:r>
    </w:p>
    <w:p w14:paraId="6D55FE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14:paraId="03239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6B34B1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本协议受中华人民共和国法律（不含港澳台地区法律）管辖。</w:t>
      </w:r>
    </w:p>
    <w:p w14:paraId="3DE5253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（八）托管协议的变更、终止与基金财产的清算</w:t>
      </w:r>
    </w:p>
    <w:p w14:paraId="685CCB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14:paraId="4BA93D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14:paraId="1C9CF9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14:paraId="1682AA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14:paraId="4C47CF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14:paraId="05595C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14:paraId="32FD8C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（4）发生法律法规或《基金合同》规定的其他终止事项。</w:t>
      </w:r>
    </w:p>
    <w:p w14:paraId="2A9928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14:paraId="141ED0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基金管理人与基金托管人按照《基金合同》的约定处理基金财产的清算。</w:t>
      </w:r>
    </w:p>
    <w:p w14:paraId="78A9C4E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987A168">
      <w:pPr>
        <w:pStyle w:val="2"/>
        <w:snapToGrid w:val="0"/>
        <w:spacing w:before="240" w:beforeLines="0" w:after="240"/>
        <w:rPr>
          <w:rFonts w:ascii="宋体" w:hAnsi="宋体"/>
          <w:szCs w:val="30"/>
        </w:rPr>
      </w:pPr>
      <w:bookmarkStart w:id="24" w:name="_Toc231197053"/>
      <w:r>
        <w:rPr>
          <w:rFonts w:ascii="Times New Roman" w:hAnsi="Times New Roman"/>
          <w:sz w:val="30"/>
        </w:rPr>
        <w:t>二十二、对基金份额持有人的服务</w:t>
      </w:r>
      <w:bookmarkEnd w:id="24"/>
    </w:p>
    <w:p w14:paraId="1EC364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14:paraId="0C2E2CCB">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（一）持有人交易资料的寄送服务</w:t>
      </w:r>
    </w:p>
    <w:p w14:paraId="27A87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1、基金合同生效后的每次交易结束后，投资人可在T+3个工作日后通过销售机构的网点查询和打印确认单；</w:t>
      </w:r>
    </w:p>
    <w:p w14:paraId="2BCC60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14:paraId="061E308D">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（二）网上直销服务</w:t>
      </w:r>
    </w:p>
    <w:p w14:paraId="0FDC5B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基金份额的申购、赎回、定期定额投资等业务。通过网上直销交易平台办理本基金申购和定期定额投资业务的个人投资者将享受前端申购费率的优惠，其他费率标准不变。具体优惠费率请参见公司网站列示的网上直销申购、定期定额投资费率表或相关公告。</w:t>
      </w:r>
    </w:p>
    <w:p w14:paraId="071F5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14:paraId="43C996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14:paraId="08ACEA5A">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（三）信息咨询、查询服务</w:t>
      </w:r>
    </w:p>
    <w:p w14:paraId="705C9B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14:paraId="76C31D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2C98C9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14:paraId="49E534FF">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（四）基金红利再投资</w:t>
      </w:r>
    </w:p>
    <w:p w14:paraId="009275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w:t>
      </w:r>
      <w:r>
        <w:rPr>
          <w:rFonts w:hint="eastAsia" w:ascii="宋体" w:hAnsi="宋体"/>
          <w:sz w:val="24"/>
          <w:lang w:val="en-US" w:eastAsia="zh-CN"/>
        </w:rPr>
        <w:t>A类基金份额和C类基金份额</w:t>
      </w:r>
      <w:r>
        <w:rPr>
          <w:rFonts w:ascii="宋体" w:hAnsi="宋体"/>
          <w:sz w:val="24"/>
        </w:rPr>
        <w:t>默认的收益分配方式是现金分红</w:t>
      </w:r>
      <w:r>
        <w:rPr>
          <w:rFonts w:hint="eastAsia"/>
          <w:bCs/>
          <w:sz w:val="24"/>
        </w:rPr>
        <w:t>，</w:t>
      </w:r>
      <w:r>
        <w:rPr>
          <w:rFonts w:hint="eastAsia" w:ascii="宋体" w:hAnsi="宋体"/>
          <w:bCs w:val="0"/>
          <w:sz w:val="24"/>
        </w:rPr>
        <w:t>Y</w:t>
      </w:r>
      <w:r>
        <w:rPr>
          <w:rFonts w:hint="eastAsia"/>
          <w:bCs/>
          <w:sz w:val="24"/>
        </w:rPr>
        <w:t>类基金份额默认的收益分配方式为红利再投资；基金份额持有人可对其持有的各类基金份额分别选择不同的收益分配方式</w:t>
      </w:r>
      <w:r>
        <w:rPr>
          <w:rFonts w:ascii="宋体" w:hAnsi="宋体"/>
          <w:sz w:val="24"/>
        </w:rPr>
        <w:t>。再投资红利按红利再投日（即除息日）除息后的基金份额净值自动转为基金份额，并免收申购费用。</w:t>
      </w:r>
    </w:p>
    <w:p w14:paraId="4BFD7243">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（五）定期定额投资计划</w:t>
      </w:r>
    </w:p>
    <w:p w14:paraId="31A660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本基金已开通定期定额投资业务，具体实施方法请参见相关公告。</w:t>
      </w:r>
    </w:p>
    <w:p w14:paraId="0D9132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14:paraId="1CB957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14:paraId="5CBEFE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215421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14:paraId="280E92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14:paraId="30B4BA60">
      <w:pPr>
        <w:autoSpaceDE w:val="0"/>
        <w:autoSpaceDN w:val="0"/>
        <w:adjustRightInd w:val="0"/>
        <w:snapToGrid w:val="0"/>
        <w:spacing w:line="360" w:lineRule="auto"/>
        <w:ind w:firstLine="482"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14:paraId="47F8295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5FDA75E">
      <w:pPr>
        <w:pStyle w:val="2"/>
        <w:snapToGrid w:val="0"/>
        <w:spacing w:before="240" w:beforeLines="0" w:after="240"/>
        <w:rPr>
          <w:rFonts w:ascii="宋体" w:hAnsi="宋体"/>
          <w:szCs w:val="30"/>
        </w:rPr>
      </w:pPr>
      <w:bookmarkStart w:id="25" w:name="_Toc231197054"/>
      <w:r>
        <w:rPr>
          <w:rFonts w:ascii="Times New Roman" w:hAnsi="Times New Roman"/>
          <w:sz w:val="30"/>
        </w:rPr>
        <w:t>二十三、其他应披露事项</w:t>
      </w:r>
      <w:bookmarkEnd w:id="25"/>
    </w:p>
    <w:p w14:paraId="1D05C7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22F00C7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A3F43A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4C808B6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14:paraId="7CF2D8A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14:paraId="1635B4F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14:paraId="203B63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60B0D7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0612B1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78E937A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4AC63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14:paraId="477BA77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9339C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40763D9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433F374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94E48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14:paraId="2DFB826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0A9DCC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F4CDE8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5C96257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68ECE5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14:paraId="5101323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B63301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75836D8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1AB197E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A2C37F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14:paraId="4EBEF76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E39BA9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037E976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3B8D044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10AF01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14:paraId="788C1F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B5CB8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0287E0C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交银施罗德招享一年持有期混合型基金中基金(FOF)2025年中期报告</w:t>
            </w:r>
          </w:p>
        </w:tc>
        <w:tc>
          <w:tcPr>
            <w:tcW w:w="750" w:type="pct"/>
            <w:tcBorders>
              <w:top w:val="single" w:color="auto" w:sz="4" w:space="0"/>
              <w:left w:val="single" w:color="auto" w:sz="4" w:space="0"/>
              <w:bottom w:val="single" w:color="auto" w:sz="4" w:space="0"/>
              <w:right w:val="single" w:color="auto" w:sz="4" w:space="0"/>
            </w:tcBorders>
            <w:vAlign w:val="center"/>
          </w:tcPr>
          <w:p w14:paraId="62EE240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52949C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14:paraId="2AD737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54F56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3A85EAB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09953CA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DB40A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14:paraId="6AF43E8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4759B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444BB44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14:paraId="5FB620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3CBDE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14:paraId="5A4CE7C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B86DC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757517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7C56F95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921844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14:paraId="25FD179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5DBDC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1BC93B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14:paraId="02C5BD1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BA764E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14:paraId="776231A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38B92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0229E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交银施罗德招享一年持有期混合型基金中基金(FOF)2025年年度报告</w:t>
            </w:r>
          </w:p>
        </w:tc>
        <w:tc>
          <w:tcPr>
            <w:tcW w:w="750" w:type="pct"/>
            <w:tcBorders>
              <w:top w:val="single" w:color="auto" w:sz="4" w:space="0"/>
              <w:left w:val="single" w:color="auto" w:sz="4" w:space="0"/>
              <w:bottom w:val="single" w:color="auto" w:sz="4" w:space="0"/>
              <w:right w:val="single" w:color="auto" w:sz="4" w:space="0"/>
            </w:tcBorders>
            <w:vAlign w:val="center"/>
          </w:tcPr>
          <w:p w14:paraId="61F0D04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DE603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14:paraId="47A7023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1508846">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15789D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交银施罗德招享一年持有期混合型基金中基金(FOF)2026年第1季度报告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6AA541C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52665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14:paraId="6986D84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7ED8596">
      <w:pPr>
        <w:pStyle w:val="2"/>
        <w:snapToGrid w:val="0"/>
        <w:spacing w:before="240" w:beforeLines="0" w:after="240"/>
        <w:rPr>
          <w:rFonts w:ascii="宋体" w:hAnsi="宋体"/>
          <w:szCs w:val="30"/>
        </w:rPr>
      </w:pPr>
      <w:bookmarkStart w:id="26" w:name="_Toc231197055"/>
      <w:r>
        <w:rPr>
          <w:rFonts w:ascii="Times New Roman" w:hAnsi="Times New Roman"/>
          <w:sz w:val="30"/>
        </w:rPr>
        <w:t>二十四、招募说明书的存放及查阅方式</w:t>
      </w:r>
      <w:bookmarkEnd w:id="26"/>
    </w:p>
    <w:p w14:paraId="4754CC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478751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14:paraId="04A969C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2136BEC">
      <w:pPr>
        <w:pStyle w:val="2"/>
        <w:snapToGrid w:val="0"/>
        <w:spacing w:before="240" w:beforeLines="0" w:after="240"/>
        <w:rPr>
          <w:rFonts w:ascii="宋体" w:hAnsi="宋体"/>
          <w:szCs w:val="30"/>
        </w:rPr>
      </w:pPr>
      <w:bookmarkStart w:id="27" w:name="_Toc231197056"/>
      <w:r>
        <w:rPr>
          <w:rFonts w:ascii="Times New Roman" w:hAnsi="Times New Roman"/>
          <w:sz w:val="30"/>
        </w:rPr>
        <w:t>二十五、备查文件</w:t>
      </w:r>
      <w:bookmarkEnd w:id="27"/>
    </w:p>
    <w:p w14:paraId="54F86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14:paraId="1761B0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（一）中国证监会准予交银施罗德招享一年持有期混合型基金中基金（FOF）募集注册的文件</w:t>
      </w:r>
    </w:p>
    <w:p w14:paraId="2F13EB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（二）《交银施罗德招享一年持有期混合型基金中基金（FOF）基金合同》</w:t>
      </w:r>
    </w:p>
    <w:p w14:paraId="1D4541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（三）《交银施罗德招享一年持有期混合型基金中基金（FOF）托管协议》</w:t>
      </w:r>
    </w:p>
    <w:p w14:paraId="64EA92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14:paraId="6FD27E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14:paraId="75EF80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（六）关于申请募集注册交银施罗德招享一年持有期混合型基金中基金（FOF）的法律意见书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3A297">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14:paraId="59458C7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B30D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73095">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F08BF">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14:paraId="1BD8833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154</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3CD39">
    <w:pPr>
      <w:pStyle w:val="9"/>
      <w:jc w:val="right"/>
      <w:rPr>
        <w:rFonts w:ascii="宋体" w:hAnsi="宋体"/>
      </w:rPr>
    </w:pPr>
    <w:r>
      <w:rPr>
        <w:rFonts w:hint="eastAsia" w:ascii="宋体" w:hAnsi="宋体"/>
      </w:rPr>
      <w:t>交银施罗德招享一年持有期混合型基金中基金（FOF）招募说明书更新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6D2A4">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E214F">
    <w:pPr>
      <w:pStyle w:val="10"/>
      <w:jc w:val="right"/>
    </w:pPr>
  </w:p>
  <w:p w14:paraId="5B50B3B6">
    <w:pPr>
      <w:pStyle w:val="10"/>
      <w:jc w:val="right"/>
    </w:pPr>
  </w:p>
  <w:p w14:paraId="402D3990">
    <w:pPr>
      <w:pStyle w:val="9"/>
      <w:jc w:val="right"/>
    </w:pPr>
  </w:p>
  <w:p w14:paraId="7ED8A1F4">
    <w:pPr>
      <w:pStyle w:val="9"/>
      <w:jc w:val="right"/>
      <w:rPr>
        <w:rFonts w:ascii="宋体" w:hAnsi="宋体"/>
      </w:rPr>
    </w:pPr>
    <w:r>
      <w:rPr>
        <w:rFonts w:hint="eastAsia" w:ascii="宋体" w:hAnsi="宋体"/>
      </w:rPr>
      <w:t>交银施罗德招享一年持有期混合型基金中基金（FOF）招募说明书更新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6943A">
    <w:pPr>
      <w:pStyle w:val="9"/>
      <w:jc w:val="right"/>
    </w:pPr>
  </w:p>
  <w:p w14:paraId="53F195BA">
    <w:pPr>
      <w:pStyle w:val="9"/>
      <w:jc w:val="right"/>
    </w:pPr>
  </w:p>
  <w:p w14:paraId="7DFF6B77">
    <w:pPr>
      <w:pStyle w:val="9"/>
      <w:jc w:val="right"/>
    </w:pPr>
  </w:p>
  <w:p w14:paraId="01AE2218">
    <w:pPr>
      <w:pStyle w:val="9"/>
      <w:jc w:val="right"/>
      <w:rPr>
        <w:rFonts w:ascii="宋体" w:hAnsi="宋体"/>
      </w:rPr>
    </w:pPr>
    <w:r>
      <w:rPr>
        <w:rFonts w:hint="eastAsia" w:ascii="宋体" w:hAnsi="宋体"/>
      </w:rPr>
      <w:t>交银施罗德招享一年持有期混合型基金中基金（FOF）招募说明书更新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720"/>
  <w:drawingGridHorizontalSpacing w:val="105"/>
  <w:drawingGridVerticalSpacing w:val="120"/>
  <w:displayHorizontalDrawingGridEvery w:val="1"/>
  <w:displayVerticalDrawingGridEvery w:val="1"/>
  <w:doNotShadeFormData w:val="1"/>
  <w:noPunctuationKerning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A502F"/>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5B12"/>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16E0"/>
    <w:rsid w:val="00DF3188"/>
    <w:rsid w:val="00DF5529"/>
    <w:rsid w:val="00DF6DE8"/>
    <w:rsid w:val="00DF6FB0"/>
    <w:rsid w:val="00DF76B3"/>
    <w:rsid w:val="00DF76F2"/>
    <w:rsid w:val="00E00083"/>
    <w:rsid w:val="00E009E2"/>
    <w:rsid w:val="00E01DE7"/>
    <w:rsid w:val="00E0411F"/>
    <w:rsid w:val="00E0572E"/>
    <w:rsid w:val="00E07FA7"/>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3C2088A"/>
    <w:rsid w:val="03CA5C6D"/>
    <w:rsid w:val="095D7A6A"/>
    <w:rsid w:val="0A345B9D"/>
    <w:rsid w:val="0B8815BD"/>
    <w:rsid w:val="0DE32CBA"/>
    <w:rsid w:val="10B3274E"/>
    <w:rsid w:val="115B3A89"/>
    <w:rsid w:val="12C21BC2"/>
    <w:rsid w:val="12D231ED"/>
    <w:rsid w:val="15122FD5"/>
    <w:rsid w:val="183627CE"/>
    <w:rsid w:val="1A113708"/>
    <w:rsid w:val="1A7F7E63"/>
    <w:rsid w:val="1AD10DB0"/>
    <w:rsid w:val="20215B52"/>
    <w:rsid w:val="22816D9D"/>
    <w:rsid w:val="248E72DB"/>
    <w:rsid w:val="262268B6"/>
    <w:rsid w:val="26B33E5C"/>
    <w:rsid w:val="2D8763F0"/>
    <w:rsid w:val="2F756A1F"/>
    <w:rsid w:val="34AC0BA3"/>
    <w:rsid w:val="34D46893"/>
    <w:rsid w:val="37C219F7"/>
    <w:rsid w:val="3CAD3CDC"/>
    <w:rsid w:val="40895ACF"/>
    <w:rsid w:val="44861351"/>
    <w:rsid w:val="46607120"/>
    <w:rsid w:val="488038CE"/>
    <w:rsid w:val="48EC1F28"/>
    <w:rsid w:val="4B800066"/>
    <w:rsid w:val="4D8212ED"/>
    <w:rsid w:val="4E7A7DEC"/>
    <w:rsid w:val="4EFD4370"/>
    <w:rsid w:val="4F23410F"/>
    <w:rsid w:val="52C80D5F"/>
    <w:rsid w:val="55F001A1"/>
    <w:rsid w:val="57582A2F"/>
    <w:rsid w:val="579E1380"/>
    <w:rsid w:val="5895609D"/>
    <w:rsid w:val="5BAB6739"/>
    <w:rsid w:val="5D2A0918"/>
    <w:rsid w:val="5DE50165"/>
    <w:rsid w:val="6045704D"/>
    <w:rsid w:val="63E57025"/>
    <w:rsid w:val="66AA3CBC"/>
    <w:rsid w:val="66B97195"/>
    <w:rsid w:val="66D64432"/>
    <w:rsid w:val="68900EF1"/>
    <w:rsid w:val="68AD1522"/>
    <w:rsid w:val="6A42391E"/>
    <w:rsid w:val="6AED1226"/>
    <w:rsid w:val="6B3B5F37"/>
    <w:rsid w:val="6D44249B"/>
    <w:rsid w:val="7084380A"/>
    <w:rsid w:val="72884956"/>
    <w:rsid w:val="75126466"/>
    <w:rsid w:val="76AF5A20"/>
    <w:rsid w:val="77F25B34"/>
    <w:rsid w:val="78015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155</Pages>
  <Words>16290</Words>
  <Characters>92859</Characters>
  <Lines>773</Lines>
  <Paragraphs>217</Paragraphs>
  <TotalTime>0</TotalTime>
  <ScaleCrop>false</ScaleCrop>
  <LinksUpToDate>false</LinksUpToDate>
  <CharactersWithSpaces>108932</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2026-06-01T01:03:00Z</dcterms:created>
  <dc:creator>系统用户</dc:creator>
  <cp:lastModifiedBy>刘晨晨</cp:lastModifiedBy>
  <cp:lastPrinted>2013-02-18T03:10:00Z</cp:lastPrinted>
  <dcterms:modified xsi:type="dcterms:W3CDTF">2026-09-28T06:09:40Z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D2A0D595CE454D2B9AB24891279E58A5_12</vt:lpwstr>
  </property>
</Properties>
</file>