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FC4551">
      <w:pPr>
        <w:jc w:val="center"/>
        <w:rPr>
          <w:rFonts w:ascii="黑体" w:hAnsi="黑体" w:eastAsia="黑体"/>
          <w:b/>
          <w:sz w:val="36"/>
        </w:rPr>
      </w:pPr>
      <w:bookmarkStart w:id="0" w:name="_GoBack"/>
      <w:bookmarkEnd w:id="0"/>
      <w:r>
        <w:rPr>
          <w:rFonts w:hint="eastAsia" w:ascii="黑体" w:hAnsi="黑体" w:eastAsia="黑体"/>
          <w:b/>
          <w:sz w:val="36"/>
        </w:rPr>
        <w:t>交银施罗德招享一年持有期混合型基金中基金（FOF）（</w:t>
      </w:r>
      <w:r>
        <w:rPr>
          <w:rFonts w:hint="eastAsia" w:ascii="黑体" w:hAnsi="黑体" w:eastAsia="黑体"/>
          <w:b/>
          <w:sz w:val="36"/>
          <w:lang w:val="en-US" w:eastAsia="zh-CN"/>
        </w:rPr>
        <w:t>Y</w:t>
      </w:r>
      <w:r>
        <w:rPr>
          <w:rFonts w:hint="eastAsia" w:ascii="黑体" w:hAnsi="黑体" w:eastAsia="黑体"/>
          <w:b/>
          <w:sz w:val="36"/>
        </w:rPr>
        <w:t>类份额）</w:t>
      </w:r>
    </w:p>
    <w:p w14:paraId="30AD74AF">
      <w:pPr>
        <w:jc w:val="center"/>
        <w:rPr>
          <w:rFonts w:ascii="黑体" w:hAnsi="黑体" w:eastAsia="黑体"/>
          <w:b/>
          <w:sz w:val="36"/>
        </w:rPr>
      </w:pPr>
      <w:r>
        <w:rPr>
          <w:rFonts w:hint="eastAsia" w:ascii="黑体" w:hAnsi="黑体" w:eastAsia="黑体"/>
          <w:b/>
          <w:sz w:val="36"/>
        </w:rPr>
        <w:t>基金产品资料概要更新</w:t>
      </w:r>
    </w:p>
    <w:p w14:paraId="1DB06A95">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w:t>
      </w:r>
      <w:r>
        <w:rPr>
          <w:rFonts w:hint="eastAsia" w:ascii="仿宋_GB2312" w:hAnsi="宋体" w:eastAsia="仿宋_GB2312" w:cs="宋体"/>
          <w:kern w:val="0"/>
          <w:szCs w:val="21"/>
          <w:lang w:val="en-US" w:eastAsia="zh-CN"/>
        </w:rPr>
        <w:t>09</w:t>
      </w:r>
      <w:r>
        <w:rPr>
          <w:rFonts w:hint="eastAsia" w:ascii="仿宋_GB2312" w:hAnsi="宋体" w:eastAsia="仿宋_GB2312" w:cs="宋体"/>
          <w:kern w:val="0"/>
          <w:szCs w:val="21"/>
        </w:rPr>
        <w:t>-</w:t>
      </w:r>
      <w:r>
        <w:rPr>
          <w:rFonts w:hint="eastAsia" w:ascii="仿宋_GB2312" w:hAnsi="宋体" w:eastAsia="仿宋_GB2312" w:cs="宋体"/>
          <w:kern w:val="0"/>
          <w:szCs w:val="21"/>
          <w:lang w:val="en-US" w:eastAsia="zh-CN"/>
        </w:rPr>
        <w:t>28</w:t>
      </w:r>
    </w:p>
    <w:p w14:paraId="65D57C32">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w:t>
      </w:r>
      <w:r>
        <w:rPr>
          <w:rFonts w:hint="eastAsia" w:ascii="Times New Roman" w:hAnsi="Times New Roman" w:cs="Times New Roman"/>
          <w:lang w:val="en-US" w:eastAsia="zh-CN"/>
        </w:rPr>
        <w:t>09</w:t>
      </w:r>
      <w:r>
        <w:rPr>
          <w:rFonts w:ascii="Times New Roman" w:hAnsi="Times New Roman" w:cs="Times New Roman"/>
        </w:rPr>
        <w:t>-</w:t>
      </w:r>
      <w:r>
        <w:rPr>
          <w:rFonts w:hint="eastAsia" w:ascii="Times New Roman" w:hAnsi="Times New Roman" w:cs="Times New Roman"/>
          <w:lang w:val="en-US" w:eastAsia="zh-CN"/>
        </w:rPr>
        <w:t>29</w:t>
      </w:r>
      <w:r>
        <w:rPr>
          <w:rFonts w:hint="eastAsia" w:ascii="方正仿宋简体" w:hAnsi="方正仿宋简体" w:cs="方正仿宋简体"/>
          <w:b/>
          <w:iCs/>
          <w:szCs w:val="21"/>
        </w:rPr>
        <w:t xml:space="preserve"> </w:t>
      </w:r>
    </w:p>
    <w:p w14:paraId="2F95287D">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14:paraId="7122AFC2">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14:paraId="232DA85C">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14:paraId="6441D178">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50F9D334">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14:paraId="35908F64">
            <w:pPr>
              <w:rPr>
                <w:rFonts w:ascii="仿宋_GB2312" w:eastAsia="仿宋_GB2312"/>
                <w:szCs w:val="21"/>
              </w:rPr>
            </w:pPr>
            <w:r>
              <w:rPr>
                <w:rFonts w:hint="eastAsia" w:ascii="仿宋_GB2312" w:eastAsia="仿宋_GB2312"/>
                <w:szCs w:val="21"/>
              </w:rPr>
              <w:t>交银招享一年持有期混合（FOF）</w:t>
            </w:r>
            <w:r>
              <w:rPr>
                <w:rFonts w:hint="eastAsia" w:ascii="仿宋_GB2312" w:eastAsia="仿宋_GB2312"/>
                <w:szCs w:val="21"/>
                <w:lang w:val="en-US" w:eastAsia="zh-CN"/>
              </w:rPr>
              <w:t>Y</w:t>
            </w:r>
          </w:p>
        </w:tc>
        <w:tc>
          <w:tcPr>
            <w:tcW w:w="3649" w:type="dxa"/>
            <w:vAlign w:val="center"/>
          </w:tcPr>
          <w:p w14:paraId="3BFCF706">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14:paraId="201BC428">
            <w:pPr>
              <w:rPr>
                <w:rFonts w:hint="eastAsia" w:ascii="仿宋_GB2312" w:eastAsia="仿宋_GB2312"/>
                <w:szCs w:val="21"/>
                <w:lang w:eastAsia="zh-CN"/>
              </w:rPr>
            </w:pPr>
            <w:r>
              <w:rPr>
                <w:rFonts w:hint="eastAsia" w:ascii="仿宋_GB2312" w:eastAsia="仿宋_GB2312"/>
                <w:szCs w:val="21"/>
              </w:rPr>
              <w:t>029372</w:t>
            </w:r>
          </w:p>
        </w:tc>
      </w:tr>
      <w:tr w14:paraId="47292B9C">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4B75A620">
            <w:pPr>
              <w:rPr>
                <w:rFonts w:ascii="仿宋_GB2312" w:eastAsia="仿宋_GB2312"/>
                <w:szCs w:val="21"/>
              </w:rPr>
            </w:pPr>
            <w:r>
              <w:rPr>
                <w:rFonts w:hint="eastAsia" w:ascii="仿宋_GB2312" w:eastAsia="仿宋_GB2312"/>
                <w:szCs w:val="21"/>
              </w:rPr>
              <w:t>基金管理人</w:t>
            </w:r>
          </w:p>
        </w:tc>
        <w:tc>
          <w:tcPr>
            <w:tcW w:w="1601" w:type="dxa"/>
            <w:vAlign w:val="center"/>
          </w:tcPr>
          <w:p w14:paraId="08EC3251">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14:paraId="714BDD95">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14:paraId="3E2CA7A8">
            <w:pPr>
              <w:rPr>
                <w:rFonts w:ascii="仿宋_GB2312" w:eastAsia="仿宋_GB2312"/>
                <w:szCs w:val="21"/>
              </w:rPr>
            </w:pPr>
            <w:r>
              <w:rPr>
                <w:rFonts w:hint="eastAsia" w:ascii="仿宋_GB2312" w:eastAsia="仿宋_GB2312"/>
                <w:szCs w:val="21"/>
              </w:rPr>
              <w:t>招商银行股份有限公司</w:t>
            </w:r>
          </w:p>
        </w:tc>
      </w:tr>
      <w:tr w14:paraId="07E7BBA7">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14:paraId="25D98D03">
            <w:pPr>
              <w:rPr>
                <w:rFonts w:ascii="仿宋_GB2312" w:eastAsia="仿宋_GB2312"/>
                <w:szCs w:val="21"/>
              </w:rPr>
            </w:pPr>
            <w:r>
              <w:rPr>
                <w:rFonts w:hint="eastAsia" w:ascii="仿宋_GB2312" w:eastAsia="仿宋_GB2312"/>
                <w:szCs w:val="21"/>
              </w:rPr>
              <w:t>基金合同生效日</w:t>
            </w:r>
          </w:p>
        </w:tc>
        <w:tc>
          <w:tcPr>
            <w:tcW w:w="1601" w:type="dxa"/>
            <w:vAlign w:val="center"/>
          </w:tcPr>
          <w:p w14:paraId="039AF40C">
            <w:pPr>
              <w:rPr>
                <w:rFonts w:ascii="仿宋_GB2312" w:eastAsia="仿宋_GB2312"/>
                <w:szCs w:val="21"/>
              </w:rPr>
            </w:pPr>
            <w:r>
              <w:rPr>
                <w:rFonts w:hint="eastAsia" w:ascii="仿宋_GB2312" w:eastAsia="仿宋_GB2312"/>
                <w:szCs w:val="21"/>
              </w:rPr>
              <w:t>2021-08-24</w:t>
            </w:r>
          </w:p>
        </w:tc>
      </w:tr>
      <w:tr w14:paraId="3181963E">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3EF1557E">
            <w:pPr>
              <w:rPr>
                <w:rFonts w:ascii="仿宋_GB2312" w:eastAsia="仿宋_GB2312"/>
                <w:szCs w:val="21"/>
              </w:rPr>
            </w:pPr>
            <w:r>
              <w:rPr>
                <w:rFonts w:hint="eastAsia" w:ascii="仿宋_GB2312" w:eastAsia="仿宋_GB2312"/>
                <w:szCs w:val="21"/>
              </w:rPr>
              <w:t>基金类型</w:t>
            </w:r>
          </w:p>
        </w:tc>
        <w:tc>
          <w:tcPr>
            <w:tcW w:w="1601" w:type="dxa"/>
            <w:vAlign w:val="center"/>
          </w:tcPr>
          <w:p w14:paraId="14EAA1E7">
            <w:pPr>
              <w:rPr>
                <w:rFonts w:ascii="仿宋_GB2312" w:eastAsia="仿宋_GB2312"/>
                <w:szCs w:val="21"/>
              </w:rPr>
            </w:pPr>
            <w:r>
              <w:rPr>
                <w:rFonts w:hint="eastAsia" w:ascii="仿宋_GB2312" w:eastAsia="仿宋_GB2312"/>
                <w:szCs w:val="21"/>
              </w:rPr>
              <w:t>基金中基金</w:t>
            </w:r>
          </w:p>
        </w:tc>
        <w:tc>
          <w:tcPr>
            <w:tcW w:w="3649" w:type="dxa"/>
            <w:vAlign w:val="center"/>
          </w:tcPr>
          <w:p w14:paraId="41CA33FC">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14:paraId="7B110210">
            <w:pPr>
              <w:rPr>
                <w:rFonts w:ascii="仿宋_GB2312" w:eastAsia="仿宋_GB2312"/>
                <w:szCs w:val="21"/>
              </w:rPr>
            </w:pPr>
            <w:r>
              <w:rPr>
                <w:rFonts w:hint="eastAsia" w:ascii="仿宋_GB2312" w:eastAsia="仿宋_GB2312"/>
                <w:szCs w:val="21"/>
              </w:rPr>
              <w:t>人民币</w:t>
            </w:r>
          </w:p>
        </w:tc>
      </w:tr>
      <w:tr w14:paraId="29152237">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60079CD7">
            <w:pPr>
              <w:rPr>
                <w:rFonts w:ascii="仿宋_GB2312" w:eastAsia="仿宋_GB2312"/>
                <w:szCs w:val="21"/>
              </w:rPr>
            </w:pPr>
            <w:r>
              <w:rPr>
                <w:rFonts w:hint="eastAsia" w:ascii="仿宋_GB2312" w:eastAsia="仿宋_GB2312"/>
                <w:szCs w:val="21"/>
              </w:rPr>
              <w:t>运作方式</w:t>
            </w:r>
          </w:p>
        </w:tc>
        <w:tc>
          <w:tcPr>
            <w:tcW w:w="1601" w:type="dxa"/>
            <w:vAlign w:val="center"/>
          </w:tcPr>
          <w:p w14:paraId="7F6ECB07">
            <w:pPr>
              <w:rPr>
                <w:rFonts w:ascii="仿宋_GB2312" w:eastAsia="仿宋_GB2312"/>
                <w:szCs w:val="21"/>
              </w:rPr>
            </w:pPr>
            <w:r>
              <w:rPr>
                <w:rFonts w:hint="eastAsia" w:ascii="仿宋_GB2312" w:eastAsia="仿宋_GB2312"/>
                <w:szCs w:val="21"/>
              </w:rPr>
              <w:t>其他开放式</w:t>
            </w:r>
          </w:p>
        </w:tc>
        <w:tc>
          <w:tcPr>
            <w:tcW w:w="3649" w:type="dxa"/>
            <w:vAlign w:val="center"/>
          </w:tcPr>
          <w:p w14:paraId="0DA1E931">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14:paraId="12779AC2">
            <w:pPr>
              <w:rPr>
                <w:rFonts w:ascii="仿宋_GB2312" w:eastAsia="仿宋_GB2312"/>
                <w:szCs w:val="21"/>
              </w:rPr>
            </w:pPr>
            <w:r>
              <w:rPr>
                <w:rFonts w:hint="eastAsia" w:ascii="仿宋_GB2312" w:eastAsia="仿宋_GB2312"/>
                <w:szCs w:val="21"/>
              </w:rPr>
              <w:t>每个开放日开放申购；每份基金份额最短持有期限为一年，在最短持有期限内不可赎回</w:t>
            </w:r>
          </w:p>
        </w:tc>
      </w:tr>
      <w:tr w14:paraId="6362A846">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14:paraId="5C8D5D6B">
            <w:pPr>
              <w:jc w:val="left"/>
              <w:rPr>
                <w:rFonts w:ascii="仿宋_GB2312" w:eastAsia="仿宋_GB2312"/>
                <w:szCs w:val="21"/>
              </w:rPr>
            </w:pPr>
            <w:r>
              <w:rPr>
                <w:rFonts w:hint="eastAsia" w:ascii="仿宋_GB2312" w:eastAsia="仿宋_GB2312"/>
                <w:szCs w:val="21"/>
              </w:rPr>
              <w:t>基金经理</w:t>
            </w:r>
          </w:p>
        </w:tc>
        <w:tc>
          <w:tcPr>
            <w:tcW w:w="1601" w:type="dxa"/>
            <w:vMerge w:val="restart"/>
          </w:tcPr>
          <w:p w14:paraId="174D7E2F">
            <w:pPr>
              <w:jc w:val="left"/>
              <w:rPr>
                <w:rFonts w:ascii="仿宋_GB2312" w:eastAsia="仿宋_GB2312"/>
                <w:szCs w:val="21"/>
              </w:rPr>
            </w:pPr>
            <w:r>
              <w:rPr>
                <w:rFonts w:hint="eastAsia" w:ascii="仿宋_GB2312" w:eastAsia="仿宋_GB2312"/>
                <w:szCs w:val="21"/>
              </w:rPr>
              <w:t>刘迪</w:t>
            </w:r>
          </w:p>
        </w:tc>
        <w:tc>
          <w:tcPr>
            <w:tcW w:w="3000" w:type="dxa"/>
          </w:tcPr>
          <w:p w14:paraId="472E473B">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14:paraId="35F30561">
            <w:pPr>
              <w:jc w:val="left"/>
              <w:rPr>
                <w:rFonts w:ascii="仿宋_GB2312" w:eastAsia="仿宋_GB2312"/>
                <w:szCs w:val="21"/>
              </w:rPr>
            </w:pPr>
            <w:r>
              <w:rPr>
                <w:rFonts w:hint="eastAsia" w:ascii="仿宋_GB2312" w:eastAsia="仿宋_GB2312"/>
                <w:szCs w:val="21"/>
              </w:rPr>
              <w:t>2024-10-31</w:t>
            </w:r>
          </w:p>
        </w:tc>
      </w:tr>
      <w:tr w14:paraId="442A5423">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14:paraId="7C179BEA">
            <w:pPr>
              <w:jc w:val="left"/>
              <w:rPr>
                <w:rFonts w:ascii="仿宋_GB2312" w:eastAsia="仿宋_GB2312"/>
                <w:szCs w:val="21"/>
              </w:rPr>
            </w:pPr>
          </w:p>
        </w:tc>
        <w:tc>
          <w:tcPr>
            <w:tcW w:w="1601" w:type="dxa"/>
            <w:vMerge w:val="continue"/>
          </w:tcPr>
          <w:p w14:paraId="3D11D7FE">
            <w:pPr>
              <w:jc w:val="left"/>
              <w:rPr>
                <w:rFonts w:ascii="仿宋_GB2312" w:eastAsia="仿宋_GB2312"/>
                <w:szCs w:val="21"/>
              </w:rPr>
            </w:pPr>
          </w:p>
        </w:tc>
        <w:tc>
          <w:tcPr>
            <w:tcW w:w="3649" w:type="dxa"/>
          </w:tcPr>
          <w:p w14:paraId="001E9DF2">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14:paraId="19B591EC">
            <w:pPr>
              <w:jc w:val="left"/>
              <w:rPr>
                <w:rFonts w:ascii="仿宋_GB2312" w:eastAsia="仿宋_GB2312"/>
                <w:szCs w:val="21"/>
              </w:rPr>
            </w:pPr>
            <w:r>
              <w:rPr>
                <w:rFonts w:hint="eastAsia" w:ascii="仿宋_GB2312" w:eastAsia="仿宋_GB2312"/>
                <w:szCs w:val="21"/>
              </w:rPr>
              <w:t>2015-07-01</w:t>
            </w:r>
          </w:p>
        </w:tc>
      </w:tr>
      <w:tr w14:paraId="3702F2E8">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49CC4CB0">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14:paraId="155D200F">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14:paraId="31BDFFA3">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14:paraId="286049D8">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14:paraId="6C7A54B1">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0148EAB1">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14:paraId="0BB58017">
            <w:pPr>
              <w:ind w:firstLine="420"/>
              <w:jc w:val="left"/>
              <w:rPr>
                <w:rFonts w:ascii="仿宋_GB2312" w:eastAsia="仿宋_GB2312"/>
                <w:szCs w:val="21"/>
              </w:rPr>
            </w:pPr>
            <w:r>
              <w:rPr>
                <w:rFonts w:hint="eastAsia" w:ascii="仿宋_GB2312" w:eastAsia="仿宋_GB2312"/>
                <w:szCs w:val="21"/>
              </w:rPr>
              <w:t>本基金主要投资于经中国证监会依法核准或注册的公开募集证券投资基金的基金份额，在保持基金资产良好的流动性的前提下，力争实现基金资产的长期增值。</w:t>
            </w:r>
          </w:p>
        </w:tc>
      </w:tr>
      <w:tr w14:paraId="1BA06D37">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44423C76">
            <w:pPr>
              <w:rPr>
                <w:rFonts w:ascii="仿宋_GB2312" w:eastAsia="仿宋_GB2312"/>
                <w:szCs w:val="21"/>
              </w:rPr>
            </w:pPr>
            <w:r>
              <w:rPr>
                <w:rFonts w:hint="eastAsia" w:ascii="仿宋_GB2312" w:eastAsia="仿宋_GB2312"/>
                <w:szCs w:val="21"/>
              </w:rPr>
              <w:t>投资范围</w:t>
            </w:r>
          </w:p>
        </w:tc>
        <w:tc>
          <w:tcPr>
            <w:tcW w:w="6525" w:type="dxa"/>
            <w:vAlign w:val="center"/>
          </w:tcPr>
          <w:p w14:paraId="74F04F54">
            <w:pPr>
              <w:ind w:firstLine="420"/>
              <w:jc w:val="left"/>
              <w:rPr>
                <w:rFonts w:ascii="仿宋_GB2312" w:eastAsia="仿宋_GB2312"/>
                <w:szCs w:val="21"/>
              </w:rPr>
            </w:pPr>
            <w:r>
              <w:rPr>
                <w:rFonts w:hint="eastAsia" w:ascii="仿宋_GB2312" w:eastAsia="仿宋_GB2312"/>
                <w:szCs w:val="21"/>
              </w:rPr>
              <w:t>本基金的投资范围为具有良好流动性的金融工具，包括经中国证监会依法核准或注册的公开募集证券投资基金（含ETF和LOF、香港互认基金、不含QDII）、国内依法发行上市的股票（含中小板、创业板及其他经中国证监会核准或注册上市的股票、存托凭证）、债券（含国债、央行票据、金融债券、政府支持债券、政府支持机构债券、地方政府债券、企业债券、公司债券、可转换债券（含可分离交易可转换债券的纯债部分）、可交换债券、公开发行的次级债券、中期票据、短期融资券、超短期融资券等）、资产支持证券、货币市场工具、债券回购、同业存单、银行存款（含协议存款、定期存款及其他银行存款）以及法律法规或中国证监会允许基金投资的其他金融工具。</w:t>
            </w:r>
          </w:p>
          <w:p w14:paraId="7AB82766">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14:paraId="2AB6639B">
            <w:pPr>
              <w:ind w:firstLine="420"/>
              <w:jc w:val="left"/>
              <w:rPr>
                <w:rFonts w:ascii="仿宋_GB2312" w:eastAsia="仿宋_GB2312"/>
                <w:szCs w:val="21"/>
              </w:rPr>
            </w:pPr>
            <w:r>
              <w:rPr>
                <w:rFonts w:hint="eastAsia" w:ascii="仿宋_GB2312" w:eastAsia="仿宋_GB2312"/>
                <w:szCs w:val="21"/>
              </w:rPr>
              <w:t>基金的投资组合比例为：本基金投资于经中国证监会依法核准或注册的公开募集证券投资基金的基金份额的资产不低于本基金资产的80%；投资于股票型基金（包括股票指数基金）的比例占基金资产的0%-30%；本基金持有的现金或者投资于到期日在一年以内的政府债券的比例合计不低于基金资产净值的5%，其中现金不包括结算备付金、存出保证金、应收申购款等。</w:t>
            </w:r>
          </w:p>
          <w:p w14:paraId="7FC2FB0E">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14:paraId="3BC37B01">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587C3588">
            <w:pPr>
              <w:rPr>
                <w:rFonts w:ascii="仿宋_GB2312" w:eastAsia="仿宋_GB2312"/>
                <w:szCs w:val="21"/>
              </w:rPr>
            </w:pPr>
            <w:r>
              <w:rPr>
                <w:rFonts w:hint="eastAsia" w:ascii="仿宋_GB2312" w:eastAsia="仿宋_GB2312"/>
                <w:szCs w:val="21"/>
              </w:rPr>
              <w:t>主要投资策略</w:t>
            </w:r>
          </w:p>
        </w:tc>
        <w:tc>
          <w:tcPr>
            <w:tcW w:w="6525" w:type="dxa"/>
            <w:vAlign w:val="center"/>
          </w:tcPr>
          <w:p w14:paraId="1AB3DD7A">
            <w:pPr>
              <w:ind w:firstLine="420"/>
              <w:jc w:val="left"/>
              <w:rPr>
                <w:rFonts w:ascii="仿宋_GB2312" w:eastAsia="仿宋_GB2312"/>
                <w:szCs w:val="21"/>
              </w:rPr>
            </w:pPr>
            <w:r>
              <w:rPr>
                <w:rFonts w:hint="eastAsia" w:ascii="仿宋_GB2312" w:eastAsia="仿宋_GB2312"/>
                <w:szCs w:val="21"/>
              </w:rPr>
              <w:t>本基金投资策略主要分为以下五个部分：</w:t>
            </w:r>
          </w:p>
          <w:p w14:paraId="4A2F3222">
            <w:pPr>
              <w:ind w:firstLine="420"/>
              <w:jc w:val="left"/>
              <w:rPr>
                <w:rFonts w:ascii="仿宋_GB2312" w:eastAsia="仿宋_GB2312"/>
                <w:szCs w:val="21"/>
              </w:rPr>
            </w:pPr>
            <w:r>
              <w:rPr>
                <w:rFonts w:hint="eastAsia" w:ascii="仿宋_GB2312" w:eastAsia="仿宋_GB2312"/>
                <w:szCs w:val="21"/>
              </w:rPr>
              <w:t>1、大类资产配置；2、基金投资策略；3、股票投资策略；4、债券投资策略；5、资产支持证券投资策略。</w:t>
            </w:r>
          </w:p>
        </w:tc>
      </w:tr>
      <w:tr w14:paraId="28275791">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237901BE">
            <w:pPr>
              <w:rPr>
                <w:rFonts w:ascii="仿宋_GB2312" w:eastAsia="仿宋_GB2312"/>
                <w:szCs w:val="21"/>
              </w:rPr>
            </w:pPr>
            <w:r>
              <w:rPr>
                <w:rFonts w:hint="eastAsia" w:ascii="仿宋_GB2312" w:eastAsia="仿宋_GB2312"/>
                <w:szCs w:val="21"/>
              </w:rPr>
              <w:t>业绩比较基准</w:t>
            </w:r>
          </w:p>
        </w:tc>
        <w:tc>
          <w:tcPr>
            <w:tcW w:w="6525" w:type="dxa"/>
            <w:vAlign w:val="center"/>
          </w:tcPr>
          <w:p w14:paraId="1E00BE14">
            <w:pPr>
              <w:ind w:firstLine="420"/>
              <w:jc w:val="left"/>
              <w:rPr>
                <w:rFonts w:ascii="仿宋_GB2312" w:eastAsia="仿宋_GB2312"/>
                <w:szCs w:val="21"/>
              </w:rPr>
            </w:pPr>
            <w:r>
              <w:rPr>
                <w:rFonts w:hint="eastAsia" w:ascii="仿宋_GB2312" w:eastAsia="仿宋_GB2312"/>
                <w:szCs w:val="21"/>
              </w:rPr>
              <w:t>85%×中债综合全价指数收益率+15%×沪深300指数收益率</w:t>
            </w:r>
          </w:p>
        </w:tc>
      </w:tr>
      <w:tr w14:paraId="48C387A3">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0AD06D5D">
            <w:pPr>
              <w:rPr>
                <w:rFonts w:ascii="仿宋_GB2312" w:eastAsia="仿宋_GB2312"/>
                <w:szCs w:val="21"/>
              </w:rPr>
            </w:pPr>
            <w:r>
              <w:rPr>
                <w:rFonts w:hint="eastAsia" w:ascii="仿宋_GB2312" w:eastAsia="仿宋_GB2312"/>
                <w:szCs w:val="21"/>
              </w:rPr>
              <w:t>风险收益特征</w:t>
            </w:r>
          </w:p>
        </w:tc>
        <w:tc>
          <w:tcPr>
            <w:tcW w:w="6525" w:type="dxa"/>
            <w:vAlign w:val="center"/>
          </w:tcPr>
          <w:p w14:paraId="53827403">
            <w:pPr>
              <w:ind w:firstLine="420"/>
              <w:jc w:val="left"/>
              <w:rPr>
                <w:rFonts w:ascii="仿宋_GB2312" w:eastAsia="仿宋_GB2312"/>
                <w:szCs w:val="21"/>
              </w:rPr>
            </w:pPr>
            <w:r>
              <w:rPr>
                <w:rFonts w:hint="eastAsia" w:ascii="仿宋_GB2312" w:eastAsia="仿宋_GB2312"/>
                <w:szCs w:val="21"/>
              </w:rPr>
              <w:t>本基金为混合型基金中基金，由于本基金主要投资于经中国证监会依法核准或注册的公开募集证券投资基金的基金份额，持有基金的预期风险和预期收益间接成为本基金的预期风险和预期收益。本基金的预期风险与预期收益高于债券型基金、债券型基金中基金、货币市场基金和货币型基金中基金，低于股票型基金和股票型基金中基金。</w:t>
            </w:r>
          </w:p>
        </w:tc>
      </w:tr>
    </w:tbl>
    <w:p w14:paraId="1B0EDF82">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详见《交银施罗德招享一年持有期混合型基金中基金(FOF)招募说明书》“基金的投资”。</w:t>
      </w:r>
    </w:p>
    <w:p w14:paraId="31DC8850">
      <w:pPr>
        <w:jc w:val="left"/>
        <w:rPr>
          <w:rFonts w:ascii="仿宋_GB2312" w:eastAsia="仿宋_GB2312"/>
          <w:b/>
          <w:szCs w:val="21"/>
        </w:rPr>
      </w:pPr>
      <w:r>
        <w:rPr>
          <w:rFonts w:hint="eastAsia" w:ascii="仿宋_GB2312" w:eastAsia="仿宋_GB2312"/>
          <w:b/>
          <w:szCs w:val="21"/>
        </w:rPr>
        <w:t>（二）投资组合资产配置图表/区域配置图表</w:t>
      </w:r>
    </w:p>
    <w:p w14:paraId="578034C2">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14:paraId="72CAC99D">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14:paraId="63EF5BA9">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14:paraId="04007A71">
      <w:pPr>
        <w:ind w:left="420" w:firstLine="420" w:firstLineChars="200"/>
        <w:jc w:val="left"/>
        <w:rPr>
          <w:rFonts w:ascii="仿宋_GB2312" w:eastAsia="仿宋_GB2312"/>
          <w:szCs w:val="21"/>
        </w:rPr>
      </w:pPr>
      <w:r>
        <w:rPr>
          <w:rFonts w:hint="eastAsia" w:ascii="仿宋_GB2312" w:eastAsia="仿宋_GB2312"/>
          <w:szCs w:val="21"/>
          <w:lang w:val="en-US" w:eastAsia="zh-CN"/>
        </w:rPr>
        <w:t>无</w:t>
      </w:r>
      <w:r>
        <w:rPr>
          <w:rFonts w:hint="eastAsia" w:ascii="仿宋_GB2312" w:eastAsia="仿宋_GB2312"/>
          <w:szCs w:val="21"/>
        </w:rPr>
        <w:t>。</w:t>
      </w:r>
    </w:p>
    <w:p w14:paraId="151F69BC">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14:paraId="5D2EEC57">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14:paraId="74178808">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930"/>
        <w:gridCol w:w="2409"/>
        <w:gridCol w:w="1843"/>
        <w:gridCol w:w="2126"/>
      </w:tblGrid>
      <w:tr w14:paraId="000DA7D2">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930" w:type="dxa"/>
            <w:vAlign w:val="center"/>
          </w:tcPr>
          <w:p w14:paraId="4E12EE2E">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14:paraId="62256FD4">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14:paraId="4113DAA4">
            <w:pPr>
              <w:rPr>
                <w:rFonts w:ascii="仿宋_GB2312" w:eastAsia="仿宋_GB2312"/>
                <w:szCs w:val="21"/>
              </w:rPr>
            </w:pPr>
            <w:r>
              <w:rPr>
                <w:rFonts w:hint="eastAsia" w:ascii="仿宋_GB2312" w:eastAsia="仿宋_GB2312"/>
                <w:szCs w:val="21"/>
              </w:rPr>
              <w:t>收费方式/费率</w:t>
            </w:r>
          </w:p>
        </w:tc>
        <w:tc>
          <w:tcPr>
            <w:tcW w:w="2126" w:type="dxa"/>
            <w:vAlign w:val="center"/>
          </w:tcPr>
          <w:p w14:paraId="6C559A75">
            <w:pPr>
              <w:widowControl/>
              <w:jc w:val="left"/>
              <w:rPr>
                <w:rFonts w:ascii="仿宋_GB2312" w:eastAsia="仿宋_GB2312"/>
                <w:szCs w:val="21"/>
              </w:rPr>
            </w:pPr>
            <w:r>
              <w:rPr>
                <w:rFonts w:hint="eastAsia" w:ascii="仿宋_GB2312" w:hAnsi="宋体" w:eastAsia="仿宋_GB2312" w:cs="宋体"/>
                <w:kern w:val="0"/>
                <w:szCs w:val="21"/>
              </w:rPr>
              <w:t>备注</w:t>
            </w:r>
          </w:p>
        </w:tc>
      </w:tr>
      <w:tr w14:paraId="3B77EE1B">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14:paraId="6D05D345">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14:paraId="7399804D">
            <w:pPr>
              <w:rPr>
                <w:rFonts w:ascii="仿宋_GB2312" w:eastAsia="仿宋_GB2312"/>
                <w:szCs w:val="21"/>
              </w:rPr>
            </w:pPr>
            <w:r>
              <w:rPr>
                <w:rFonts w:hint="eastAsia" w:ascii="仿宋_GB2312" w:eastAsia="仿宋_GB2312"/>
                <w:szCs w:val="21"/>
              </w:rPr>
              <w:t>M＜500万元</w:t>
            </w:r>
          </w:p>
        </w:tc>
        <w:tc>
          <w:tcPr>
            <w:tcW w:w="1843" w:type="dxa"/>
            <w:vAlign w:val="center"/>
          </w:tcPr>
          <w:p w14:paraId="1EDB4C96">
            <w:pPr>
              <w:rPr>
                <w:rFonts w:ascii="仿宋_GB2312" w:eastAsia="仿宋_GB2312"/>
                <w:szCs w:val="21"/>
              </w:rPr>
            </w:pPr>
            <w:r>
              <w:rPr>
                <w:rFonts w:hint="eastAsia" w:ascii="仿宋_GB2312" w:eastAsia="仿宋_GB2312"/>
                <w:szCs w:val="21"/>
              </w:rPr>
              <w:t>0.4%</w:t>
            </w:r>
          </w:p>
        </w:tc>
        <w:tc>
          <w:tcPr>
            <w:tcW w:w="2126" w:type="dxa"/>
            <w:vAlign w:val="center"/>
          </w:tcPr>
          <w:p w14:paraId="7AA4549A">
            <w:pPr>
              <w:widowControl/>
              <w:jc w:val="left"/>
              <w:rPr>
                <w:rFonts w:ascii="仿宋_GB2312" w:hAnsi="宋体" w:eastAsia="仿宋_GB2312" w:cs="宋体"/>
                <w:kern w:val="0"/>
                <w:szCs w:val="21"/>
              </w:rPr>
            </w:pPr>
          </w:p>
        </w:tc>
      </w:tr>
      <w:tr w14:paraId="7E473127">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14:paraId="123FE945">
            <w:pPr>
              <w:widowControl/>
              <w:jc w:val="left"/>
              <w:rPr>
                <w:rFonts w:ascii="仿宋_GB2312" w:hAnsi="宋体" w:eastAsia="仿宋_GB2312" w:cs="宋体"/>
                <w:kern w:val="0"/>
                <w:szCs w:val="21"/>
              </w:rPr>
            </w:pPr>
          </w:p>
        </w:tc>
        <w:tc>
          <w:tcPr>
            <w:tcW w:w="2409" w:type="dxa"/>
          </w:tcPr>
          <w:p w14:paraId="2B2F4E5D">
            <w:pPr>
              <w:rPr>
                <w:rFonts w:ascii="仿宋_GB2312" w:eastAsia="仿宋_GB2312"/>
                <w:szCs w:val="21"/>
              </w:rPr>
            </w:pPr>
            <w:r>
              <w:rPr>
                <w:rFonts w:hint="eastAsia" w:ascii="仿宋_GB2312" w:eastAsia="仿宋_GB2312"/>
                <w:szCs w:val="21"/>
              </w:rPr>
              <w:t>500万元≤M</w:t>
            </w:r>
          </w:p>
        </w:tc>
        <w:tc>
          <w:tcPr>
            <w:tcW w:w="1843" w:type="dxa"/>
            <w:vAlign w:val="center"/>
          </w:tcPr>
          <w:p w14:paraId="784F5CF3">
            <w:pPr>
              <w:rPr>
                <w:rFonts w:ascii="仿宋_GB2312" w:eastAsia="仿宋_GB2312"/>
                <w:szCs w:val="21"/>
              </w:rPr>
            </w:pPr>
            <w:r>
              <w:rPr>
                <w:rFonts w:hint="eastAsia" w:ascii="仿宋_GB2312" w:eastAsia="仿宋_GB2312"/>
                <w:szCs w:val="21"/>
              </w:rPr>
              <w:t>1,000元每笔</w:t>
            </w:r>
          </w:p>
        </w:tc>
        <w:tc>
          <w:tcPr>
            <w:tcW w:w="2126" w:type="dxa"/>
            <w:vAlign w:val="center"/>
          </w:tcPr>
          <w:p w14:paraId="45BC5EA3">
            <w:pPr>
              <w:widowControl/>
              <w:jc w:val="left"/>
              <w:rPr>
                <w:rFonts w:ascii="仿宋_GB2312" w:hAnsi="宋体" w:eastAsia="仿宋_GB2312" w:cs="宋体"/>
                <w:kern w:val="0"/>
                <w:szCs w:val="21"/>
              </w:rPr>
            </w:pPr>
          </w:p>
        </w:tc>
      </w:tr>
    </w:tbl>
    <w:p w14:paraId="69B77844">
      <w:pPr>
        <w:jc w:val="left"/>
        <w:rPr>
          <w:rFonts w:ascii="仿宋_GB2312" w:eastAsia="仿宋_GB2312"/>
          <w:szCs w:val="21"/>
        </w:rPr>
      </w:pPr>
      <w:r>
        <w:rPr>
          <w:rFonts w:hint="eastAsia" w:ascii="仿宋_GB2312" w:eastAsia="仿宋_GB2312"/>
          <w:szCs w:val="21"/>
        </w:rPr>
        <w:t>注：1、通过直销机构申购的</w:t>
      </w:r>
      <w:r>
        <w:rPr>
          <w:rFonts w:hint="eastAsia" w:ascii="仿宋_GB2312" w:eastAsia="仿宋_GB2312"/>
          <w:szCs w:val="21"/>
          <w:lang w:val="en-US" w:eastAsia="zh-CN"/>
        </w:rPr>
        <w:t>Y类</w:t>
      </w:r>
      <w:r>
        <w:rPr>
          <w:rFonts w:hint="eastAsia" w:ascii="仿宋_GB2312" w:eastAsia="仿宋_GB2312"/>
          <w:szCs w:val="21"/>
        </w:rPr>
        <w:t>基金份额，不收取申购费用。</w:t>
      </w:r>
      <w:r>
        <w:rPr>
          <w:rFonts w:hint="eastAsia" w:ascii="仿宋_GB2312" w:eastAsia="仿宋_GB2312"/>
          <w:szCs w:val="21"/>
          <w:lang w:val="en-US" w:eastAsia="zh-CN"/>
        </w:rPr>
        <w:t>2、</w:t>
      </w:r>
      <w:r>
        <w:rPr>
          <w:rFonts w:hint="eastAsia" w:ascii="仿宋_GB2312" w:eastAsia="仿宋_GB2312"/>
          <w:szCs w:val="21"/>
        </w:rPr>
        <w:t>基金份额持有人持有的每份基金份额最短持有期限为一年，本基金不收取赎回费。</w:t>
      </w:r>
      <w:r>
        <w:rPr>
          <w:rFonts w:hint="eastAsia" w:ascii="仿宋_GB2312" w:eastAsia="仿宋_GB2312"/>
          <w:szCs w:val="21"/>
          <w:lang w:val="en-US" w:eastAsia="zh-CN"/>
        </w:rPr>
        <w:t>3</w:t>
      </w:r>
      <w:r>
        <w:rPr>
          <w:rFonts w:hint="eastAsia" w:ascii="仿宋_GB2312" w:eastAsia="仿宋_GB2312"/>
          <w:szCs w:val="21"/>
        </w:rPr>
        <w:t>、销售机构若有其他费率优惠请见基金管理人或其他销售机构的有关公告或通知。</w:t>
      </w:r>
    </w:p>
    <w:p w14:paraId="78412357">
      <w:pPr>
        <w:jc w:val="left"/>
        <w:rPr>
          <w:rFonts w:ascii="仿宋_GB2312" w:eastAsia="仿宋_GB2312"/>
          <w:b/>
          <w:szCs w:val="21"/>
        </w:rPr>
      </w:pPr>
      <w:r>
        <w:rPr>
          <w:rFonts w:hint="eastAsia" w:ascii="仿宋_GB2312" w:eastAsia="仿宋_GB2312"/>
          <w:b/>
          <w:szCs w:val="21"/>
        </w:rPr>
        <w:t>（二）基金运作相关费用</w:t>
      </w:r>
    </w:p>
    <w:p w14:paraId="01DDF5A2">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14:paraId="79A50096">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14:paraId="3C3692FA">
            <w:pPr>
              <w:rPr>
                <w:rFonts w:ascii="仿宋_GB2312" w:eastAsia="仿宋_GB2312"/>
                <w:b/>
                <w:szCs w:val="21"/>
              </w:rPr>
            </w:pPr>
            <w:r>
              <w:rPr>
                <w:rFonts w:hint="eastAsia" w:ascii="仿宋_GB2312" w:eastAsia="仿宋_GB2312"/>
                <w:b/>
                <w:szCs w:val="21"/>
              </w:rPr>
              <w:t>费用类别</w:t>
            </w:r>
          </w:p>
        </w:tc>
        <w:tc>
          <w:tcPr>
            <w:tcW w:w="5958" w:type="dxa"/>
            <w:vAlign w:val="center"/>
          </w:tcPr>
          <w:p w14:paraId="61F65B75">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14:paraId="5CD55445">
            <w:pPr>
              <w:rPr>
                <w:rFonts w:ascii="仿宋" w:hAnsi="仿宋" w:eastAsia="仿宋" w:cs="仿宋"/>
                <w:b/>
                <w:sz w:val="24"/>
                <w:szCs w:val="24"/>
              </w:rPr>
            </w:pPr>
            <w:r>
              <w:rPr>
                <w:rFonts w:hint="eastAsia" w:ascii="仿宋" w:hAnsi="仿宋" w:eastAsia="仿宋" w:cs="仿宋"/>
                <w:b/>
                <w:sz w:val="24"/>
                <w:szCs w:val="24"/>
              </w:rPr>
              <w:t>收取方</w:t>
            </w:r>
          </w:p>
        </w:tc>
      </w:tr>
      <w:tr w14:paraId="47B7F170">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7F09A769">
            <w:pPr>
              <w:rPr>
                <w:rFonts w:ascii="仿宋_GB2312" w:eastAsia="仿宋_GB2312"/>
                <w:szCs w:val="21"/>
              </w:rPr>
            </w:pPr>
            <w:r>
              <w:rPr>
                <w:rFonts w:hint="eastAsia" w:ascii="仿宋_GB2312" w:eastAsia="仿宋_GB2312"/>
                <w:szCs w:val="21"/>
              </w:rPr>
              <w:t>管理费</w:t>
            </w:r>
          </w:p>
        </w:tc>
        <w:tc>
          <w:tcPr>
            <w:tcW w:w="5958" w:type="dxa"/>
            <w:vAlign w:val="center"/>
          </w:tcPr>
          <w:p w14:paraId="2A71A889">
            <w:pPr>
              <w:rPr>
                <w:rFonts w:ascii="仿宋_GB2312" w:eastAsia="仿宋_GB2312"/>
                <w:szCs w:val="21"/>
              </w:rPr>
            </w:pPr>
            <w:r>
              <w:rPr>
                <w:rFonts w:hint="eastAsia" w:ascii="仿宋_GB2312" w:eastAsia="仿宋_GB2312"/>
                <w:szCs w:val="21"/>
              </w:rPr>
              <w:t>0.</w:t>
            </w:r>
            <w:r>
              <w:rPr>
                <w:rFonts w:hint="eastAsia" w:ascii="仿宋_GB2312" w:eastAsia="仿宋_GB2312"/>
                <w:szCs w:val="21"/>
                <w:lang w:val="en-US" w:eastAsia="zh-CN"/>
              </w:rPr>
              <w:t>25</w:t>
            </w:r>
            <w:r>
              <w:rPr>
                <w:rFonts w:hint="eastAsia" w:ascii="仿宋_GB2312" w:eastAsia="仿宋_GB2312"/>
                <w:szCs w:val="21"/>
              </w:rPr>
              <w:t>%</w:t>
            </w:r>
          </w:p>
        </w:tc>
        <w:tc>
          <w:tcPr>
            <w:tcW w:w="3078" w:type="dxa"/>
          </w:tcPr>
          <w:p w14:paraId="6C94B02E">
            <w:pPr>
              <w:rPr>
                <w:rFonts w:ascii="仿宋_GB2312" w:eastAsia="仿宋_GB2312"/>
                <w:szCs w:val="21"/>
              </w:rPr>
            </w:pPr>
            <w:r>
              <w:rPr>
                <w:rFonts w:hint="eastAsia" w:ascii="仿宋_GB2312" w:eastAsia="仿宋_GB2312"/>
                <w:szCs w:val="21"/>
              </w:rPr>
              <w:t>基金管理人和销售机构</w:t>
            </w:r>
          </w:p>
        </w:tc>
      </w:tr>
      <w:tr w14:paraId="3CBE0E55">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1BDC70BA">
            <w:pPr>
              <w:rPr>
                <w:rFonts w:ascii="仿宋_GB2312" w:eastAsia="仿宋_GB2312"/>
                <w:szCs w:val="21"/>
              </w:rPr>
            </w:pPr>
            <w:r>
              <w:rPr>
                <w:rFonts w:hint="eastAsia" w:ascii="仿宋_GB2312" w:eastAsia="仿宋_GB2312"/>
                <w:szCs w:val="21"/>
              </w:rPr>
              <w:t>托管费</w:t>
            </w:r>
          </w:p>
        </w:tc>
        <w:tc>
          <w:tcPr>
            <w:tcW w:w="5958" w:type="dxa"/>
            <w:vAlign w:val="center"/>
          </w:tcPr>
          <w:p w14:paraId="249065B7">
            <w:pPr>
              <w:rPr>
                <w:rFonts w:ascii="仿宋_GB2312" w:eastAsia="仿宋_GB2312"/>
                <w:szCs w:val="21"/>
              </w:rPr>
            </w:pPr>
            <w:r>
              <w:rPr>
                <w:rFonts w:hint="eastAsia" w:ascii="仿宋_GB2312" w:eastAsia="仿宋_GB2312"/>
                <w:szCs w:val="21"/>
              </w:rPr>
              <w:t>0.</w:t>
            </w:r>
            <w:r>
              <w:rPr>
                <w:rFonts w:hint="eastAsia" w:ascii="仿宋_GB2312" w:eastAsia="仿宋_GB2312"/>
                <w:szCs w:val="21"/>
                <w:lang w:val="en-US" w:eastAsia="zh-CN"/>
              </w:rPr>
              <w:t>075</w:t>
            </w:r>
            <w:r>
              <w:rPr>
                <w:rFonts w:hint="eastAsia" w:ascii="仿宋_GB2312" w:eastAsia="仿宋_GB2312"/>
                <w:szCs w:val="21"/>
              </w:rPr>
              <w:t>%</w:t>
            </w:r>
          </w:p>
        </w:tc>
        <w:tc>
          <w:tcPr>
            <w:tcW w:w="3078" w:type="dxa"/>
          </w:tcPr>
          <w:p w14:paraId="29CB519D">
            <w:pPr>
              <w:rPr>
                <w:rFonts w:ascii="仿宋_GB2312" w:eastAsia="仿宋_GB2312"/>
                <w:szCs w:val="21"/>
              </w:rPr>
            </w:pPr>
            <w:r>
              <w:rPr>
                <w:rFonts w:hint="eastAsia" w:ascii="仿宋_GB2312" w:eastAsia="仿宋_GB2312"/>
                <w:szCs w:val="21"/>
              </w:rPr>
              <w:t>基金托管人</w:t>
            </w:r>
          </w:p>
        </w:tc>
      </w:tr>
      <w:tr w14:paraId="29FE1FFB">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33FE2DF6">
            <w:pPr>
              <w:jc w:val="left"/>
              <w:rPr>
                <w:rFonts w:ascii="仿宋_GB2312" w:eastAsia="仿宋_GB2312"/>
                <w:szCs w:val="21"/>
              </w:rPr>
            </w:pPr>
            <w:r>
              <w:rPr>
                <w:rFonts w:hint="eastAsia" w:ascii="仿宋_GB2312" w:eastAsia="仿宋_GB2312"/>
                <w:szCs w:val="21"/>
              </w:rPr>
              <w:t>销售服务费</w:t>
            </w:r>
          </w:p>
        </w:tc>
        <w:tc>
          <w:tcPr>
            <w:tcW w:w="3080" w:type="dxa"/>
            <w:vAlign w:val="center"/>
          </w:tcPr>
          <w:p w14:paraId="3473B287">
            <w:pPr>
              <w:rPr>
                <w:rFonts w:ascii="仿宋_GB2312" w:eastAsia="仿宋_GB2312"/>
                <w:szCs w:val="21"/>
              </w:rPr>
            </w:pPr>
            <w:r>
              <w:rPr>
                <w:rFonts w:hint="eastAsia" w:ascii="仿宋_GB2312" w:eastAsia="仿宋_GB2312"/>
                <w:szCs w:val="21"/>
              </w:rPr>
              <w:t>-</w:t>
            </w:r>
          </w:p>
        </w:tc>
        <w:tc>
          <w:tcPr>
            <w:tcW w:w="3078" w:type="dxa"/>
          </w:tcPr>
          <w:p w14:paraId="1ACD4840">
            <w:pPr>
              <w:rPr>
                <w:rFonts w:ascii="仿宋_GB2312" w:eastAsia="仿宋_GB2312"/>
                <w:szCs w:val="21"/>
              </w:rPr>
            </w:pPr>
            <w:r>
              <w:rPr>
                <w:rFonts w:hint="eastAsia" w:ascii="仿宋_GB2312" w:eastAsia="仿宋_GB2312"/>
                <w:szCs w:val="21"/>
              </w:rPr>
              <w:t>销售机构</w:t>
            </w:r>
          </w:p>
        </w:tc>
      </w:tr>
      <w:tr w14:paraId="5120DC17">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31B1A591">
            <w:pPr>
              <w:jc w:val="left"/>
              <w:rPr>
                <w:rFonts w:ascii="仿宋_GB2312" w:eastAsia="仿宋_GB2312"/>
                <w:szCs w:val="21"/>
              </w:rPr>
            </w:pPr>
            <w:r>
              <w:rPr>
                <w:rFonts w:hint="eastAsia" w:ascii="仿宋_GB2312" w:eastAsia="仿宋_GB2312"/>
                <w:szCs w:val="21"/>
              </w:rPr>
              <w:t>审计费用</w:t>
            </w:r>
          </w:p>
        </w:tc>
        <w:tc>
          <w:tcPr>
            <w:tcW w:w="3080" w:type="dxa"/>
            <w:vAlign w:val="center"/>
          </w:tcPr>
          <w:p w14:paraId="6D785D40">
            <w:pPr>
              <w:rPr>
                <w:rFonts w:ascii="仿宋_GB2312" w:eastAsia="仿宋_GB2312"/>
                <w:szCs w:val="21"/>
              </w:rPr>
            </w:pPr>
            <w:r>
              <w:rPr>
                <w:rFonts w:hint="eastAsia" w:ascii="仿宋_GB2312" w:eastAsia="仿宋_GB2312"/>
                <w:szCs w:val="21"/>
              </w:rPr>
              <w:t>40000.00</w:t>
            </w:r>
          </w:p>
        </w:tc>
        <w:tc>
          <w:tcPr>
            <w:tcW w:w="3078" w:type="dxa"/>
          </w:tcPr>
          <w:p w14:paraId="6B135E20">
            <w:pPr>
              <w:rPr>
                <w:rFonts w:ascii="仿宋_GB2312" w:eastAsia="仿宋_GB2312"/>
                <w:szCs w:val="21"/>
              </w:rPr>
            </w:pPr>
            <w:r>
              <w:rPr>
                <w:rFonts w:hint="eastAsia" w:ascii="仿宋_GB2312" w:eastAsia="仿宋_GB2312"/>
                <w:szCs w:val="21"/>
              </w:rPr>
              <w:t>会计师事务所</w:t>
            </w:r>
          </w:p>
        </w:tc>
      </w:tr>
      <w:tr w14:paraId="037143A1">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45E74C06">
            <w:pPr>
              <w:jc w:val="left"/>
              <w:rPr>
                <w:rFonts w:ascii="仿宋_GB2312" w:eastAsia="仿宋_GB2312"/>
                <w:szCs w:val="21"/>
              </w:rPr>
            </w:pPr>
            <w:r>
              <w:rPr>
                <w:rFonts w:hint="eastAsia" w:ascii="仿宋_GB2312" w:eastAsia="仿宋_GB2312"/>
                <w:szCs w:val="21"/>
              </w:rPr>
              <w:t>信息披露费</w:t>
            </w:r>
          </w:p>
        </w:tc>
        <w:tc>
          <w:tcPr>
            <w:tcW w:w="3080" w:type="dxa"/>
            <w:vAlign w:val="center"/>
          </w:tcPr>
          <w:p w14:paraId="24AE905B">
            <w:pPr>
              <w:rPr>
                <w:rFonts w:ascii="仿宋_GB2312" w:eastAsia="仿宋_GB2312"/>
                <w:szCs w:val="21"/>
              </w:rPr>
            </w:pPr>
            <w:r>
              <w:rPr>
                <w:rFonts w:hint="eastAsia" w:ascii="仿宋_GB2312" w:eastAsia="仿宋_GB2312"/>
                <w:szCs w:val="21"/>
              </w:rPr>
              <w:t>120000.00</w:t>
            </w:r>
          </w:p>
        </w:tc>
        <w:tc>
          <w:tcPr>
            <w:tcW w:w="3078" w:type="dxa"/>
          </w:tcPr>
          <w:p w14:paraId="2216B409">
            <w:pPr>
              <w:rPr>
                <w:rFonts w:ascii="仿宋_GB2312" w:eastAsia="仿宋_GB2312"/>
                <w:szCs w:val="21"/>
              </w:rPr>
            </w:pPr>
            <w:r>
              <w:rPr>
                <w:rFonts w:hint="eastAsia" w:ascii="仿宋_GB2312" w:eastAsia="仿宋_GB2312"/>
                <w:szCs w:val="21"/>
              </w:rPr>
              <w:t>规定披露报刊</w:t>
            </w:r>
          </w:p>
        </w:tc>
      </w:tr>
      <w:tr w14:paraId="00D1B613">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3F373376">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14:paraId="5EBCA069">
            <w:pPr>
              <w:rPr>
                <w:rFonts w:ascii="仿宋_GB2312" w:eastAsia="仿宋_GB2312"/>
                <w:szCs w:val="21"/>
              </w:rPr>
            </w:pPr>
            <w:r>
              <w:rPr>
                <w:rFonts w:hint="eastAsia" w:ascii="仿宋_GB2312" w:eastAsia="仿宋_GB2312"/>
                <w:szCs w:val="21"/>
              </w:rPr>
              <w:t>-</w:t>
            </w:r>
          </w:p>
        </w:tc>
        <w:tc>
          <w:tcPr>
            <w:tcW w:w="3078" w:type="dxa"/>
          </w:tcPr>
          <w:p w14:paraId="79A6363D">
            <w:pPr>
              <w:rPr>
                <w:rFonts w:ascii="仿宋_GB2312" w:eastAsia="仿宋_GB2312"/>
                <w:szCs w:val="21"/>
              </w:rPr>
            </w:pPr>
            <w:r>
              <w:rPr>
                <w:rFonts w:hint="eastAsia" w:ascii="仿宋_GB2312" w:eastAsia="仿宋_GB2312"/>
                <w:szCs w:val="21"/>
              </w:rPr>
              <w:t>指数编制公司</w:t>
            </w:r>
          </w:p>
        </w:tc>
      </w:tr>
      <w:tr w14:paraId="2B0C5493">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14:paraId="30633E13">
            <w:pPr>
              <w:rPr>
                <w:rFonts w:ascii="仿宋_GB2312" w:eastAsia="仿宋_GB2312"/>
                <w:szCs w:val="21"/>
              </w:rPr>
            </w:pPr>
            <w:r>
              <w:rPr>
                <w:rFonts w:hint="eastAsia" w:ascii="仿宋_GB2312" w:eastAsia="仿宋_GB2312"/>
                <w:szCs w:val="21"/>
              </w:rPr>
              <w:t>其他费用</w:t>
            </w:r>
          </w:p>
        </w:tc>
        <w:tc>
          <w:tcPr>
            <w:tcW w:w="3080" w:type="dxa"/>
            <w:vAlign w:val="center"/>
          </w:tcPr>
          <w:p w14:paraId="15D79E91">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14:paraId="2161AB1D">
            <w:pPr>
              <w:rPr>
                <w:rFonts w:ascii="仿宋_GB2312" w:eastAsia="仿宋_GB2312"/>
                <w:szCs w:val="21"/>
              </w:rPr>
            </w:pPr>
          </w:p>
        </w:tc>
      </w:tr>
    </w:tbl>
    <w:p w14:paraId="09F80A58">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Y类基金份额可对基金管理费和基金托管费实施一定的费率优惠，具体优惠请参看招募说明书或相关公告。2、本基金基金财产中持有的基金管理人自身管理的基金部分不收取管理费；持有的基金托管人自身托管的基金部分不收取托管费。</w:t>
      </w:r>
      <w:r>
        <w:rPr>
          <w:rFonts w:hint="eastAsia" w:ascii="仿宋_GB2312" w:eastAsia="仿宋_GB2312"/>
          <w:szCs w:val="21"/>
          <w:lang w:val="en-US" w:eastAsia="zh-CN"/>
        </w:rPr>
        <w:t>3</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14:paraId="7091730E">
      <w:pPr>
        <w:jc w:val="left"/>
        <w:rPr>
          <w:rFonts w:ascii="仿宋" w:hAnsi="仿宋" w:eastAsia="仿宋" w:cs="仿宋"/>
          <w:b/>
          <w:sz w:val="24"/>
          <w:szCs w:val="24"/>
        </w:rPr>
      </w:pPr>
      <w:r>
        <w:rPr>
          <w:rFonts w:hint="eastAsia" w:ascii="仿宋" w:hAnsi="仿宋" w:eastAsia="仿宋" w:cs="仿宋"/>
          <w:b/>
          <w:szCs w:val="21"/>
        </w:rPr>
        <w:t>（三）基金运作综合费用测算</w:t>
      </w:r>
    </w:p>
    <w:p w14:paraId="0A4B5429">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14:paraId="76BC4258">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14:paraId="3A966FDE">
            <w:pPr>
              <w:rPr>
                <w:rFonts w:ascii="仿宋_GB2312" w:eastAsia="仿宋_GB2312"/>
                <w:b/>
                <w:szCs w:val="21"/>
              </w:rPr>
            </w:pPr>
          </w:p>
        </w:tc>
        <w:tc>
          <w:tcPr>
            <w:tcW w:w="5342" w:type="dxa"/>
          </w:tcPr>
          <w:p w14:paraId="2A7C8522">
            <w:pPr>
              <w:rPr>
                <w:rFonts w:ascii="仿宋" w:hAnsi="仿宋" w:eastAsia="仿宋" w:cs="仿宋"/>
                <w:b/>
                <w:szCs w:val="21"/>
              </w:rPr>
            </w:pPr>
            <w:r>
              <w:rPr>
                <w:rFonts w:hint="eastAsia" w:ascii="仿宋" w:hAnsi="仿宋" w:eastAsia="仿宋" w:cs="仿宋"/>
                <w:b/>
                <w:sz w:val="24"/>
                <w:szCs w:val="24"/>
              </w:rPr>
              <w:t>基金运作综合费率（年化）</w:t>
            </w:r>
          </w:p>
        </w:tc>
      </w:tr>
      <w:tr w14:paraId="05E15980">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14:paraId="7264E75F">
            <w:pPr>
              <w:rPr>
                <w:rFonts w:ascii="仿宋_GB2312" w:eastAsia="仿宋_GB2312"/>
                <w:b/>
                <w:szCs w:val="21"/>
              </w:rPr>
            </w:pPr>
          </w:p>
        </w:tc>
        <w:tc>
          <w:tcPr>
            <w:tcW w:w="3080" w:type="dxa"/>
            <w:vAlign w:val="center"/>
          </w:tcPr>
          <w:p w14:paraId="35E7280E">
            <w:pPr>
              <w:rPr>
                <w:rFonts w:ascii="仿宋_GB2312" w:eastAsia="仿宋_GB2312"/>
                <w:szCs w:val="21"/>
              </w:rPr>
            </w:pPr>
            <w:r>
              <w:rPr>
                <w:rFonts w:hint="eastAsia" w:ascii="仿宋_GB2312" w:eastAsia="仿宋_GB2312"/>
                <w:szCs w:val="21"/>
              </w:rPr>
              <w:t>0.</w:t>
            </w:r>
            <w:r>
              <w:rPr>
                <w:rFonts w:hint="eastAsia" w:ascii="仿宋_GB2312" w:eastAsia="仿宋_GB2312"/>
                <w:szCs w:val="21"/>
                <w:lang w:val="en-US" w:eastAsia="zh-CN"/>
              </w:rPr>
              <w:t>345</w:t>
            </w:r>
            <w:r>
              <w:rPr>
                <w:rFonts w:hint="eastAsia" w:ascii="仿宋_GB2312" w:eastAsia="仿宋_GB2312"/>
                <w:szCs w:val="21"/>
              </w:rPr>
              <w:t>%</w:t>
            </w:r>
          </w:p>
        </w:tc>
      </w:tr>
    </w:tbl>
    <w:p w14:paraId="5CA807C2">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14:paraId="47C86F4E">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14:paraId="248ED398">
      <w:pPr>
        <w:jc w:val="left"/>
        <w:rPr>
          <w:rFonts w:ascii="仿宋_GB2312" w:eastAsia="仿宋_GB2312"/>
          <w:b/>
          <w:szCs w:val="21"/>
        </w:rPr>
      </w:pPr>
      <w:r>
        <w:rPr>
          <w:rFonts w:hint="eastAsia" w:ascii="仿宋_GB2312" w:eastAsia="仿宋_GB2312"/>
          <w:b/>
          <w:szCs w:val="21"/>
        </w:rPr>
        <w:t>（一）风险揭示</w:t>
      </w:r>
    </w:p>
    <w:p w14:paraId="4ADC0AB4">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14:paraId="6B6E8859">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14:paraId="3B91F84B">
      <w:pPr>
        <w:ind w:firstLine="420"/>
        <w:jc w:val="left"/>
        <w:rPr>
          <w:rFonts w:ascii="仿宋_GB2312" w:eastAsia="仿宋_GB2312"/>
          <w:szCs w:val="21"/>
        </w:rPr>
      </w:pPr>
      <w:r>
        <w:rPr>
          <w:rFonts w:hint="eastAsia" w:ascii="仿宋_GB2312" w:eastAsia="仿宋_GB2312"/>
          <w:szCs w:val="21"/>
        </w:rPr>
        <w:t>基金份额持有人须了解并承受以下风险：</w:t>
      </w:r>
    </w:p>
    <w:p w14:paraId="341CC616">
      <w:pPr>
        <w:ind w:firstLine="420"/>
        <w:jc w:val="left"/>
        <w:rPr>
          <w:rFonts w:ascii="仿宋_GB2312" w:eastAsia="仿宋_GB2312"/>
          <w:szCs w:val="21"/>
        </w:rPr>
      </w:pPr>
      <w:r>
        <w:rPr>
          <w:rFonts w:hint="eastAsia" w:ascii="仿宋_GB2312" w:eastAsia="仿宋_GB2312"/>
          <w:szCs w:val="21"/>
        </w:rPr>
        <w:t>1、市场风险</w:t>
      </w:r>
    </w:p>
    <w:p w14:paraId="65F8D602">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14:paraId="6BA08F04">
      <w:pPr>
        <w:ind w:firstLine="420"/>
        <w:jc w:val="left"/>
        <w:rPr>
          <w:rFonts w:ascii="仿宋_GB2312" w:eastAsia="仿宋_GB2312"/>
          <w:szCs w:val="21"/>
        </w:rPr>
      </w:pPr>
      <w:r>
        <w:rPr>
          <w:rFonts w:hint="eastAsia" w:ascii="仿宋_GB2312" w:eastAsia="仿宋_GB2312"/>
          <w:szCs w:val="21"/>
        </w:rPr>
        <w:t>2、管理风险</w:t>
      </w:r>
    </w:p>
    <w:p w14:paraId="3EB9B1A0">
      <w:pPr>
        <w:ind w:firstLine="420"/>
        <w:jc w:val="left"/>
        <w:rPr>
          <w:rFonts w:ascii="仿宋_GB2312" w:eastAsia="仿宋_GB2312"/>
          <w:szCs w:val="21"/>
        </w:rPr>
      </w:pPr>
      <w:r>
        <w:rPr>
          <w:rFonts w:hint="eastAsia" w:ascii="仿宋_GB2312" w:eastAsia="仿宋_GB2312"/>
          <w:szCs w:val="21"/>
        </w:rPr>
        <w:t>3、流动性风险</w:t>
      </w:r>
    </w:p>
    <w:p w14:paraId="47030C48">
      <w:pPr>
        <w:ind w:firstLine="420"/>
        <w:jc w:val="left"/>
        <w:rPr>
          <w:rFonts w:ascii="仿宋_GB2312" w:eastAsia="仿宋_GB2312"/>
          <w:szCs w:val="21"/>
        </w:rPr>
      </w:pPr>
      <w:r>
        <w:rPr>
          <w:rFonts w:hint="eastAsia" w:ascii="仿宋_GB2312" w:eastAsia="仿宋_GB2312"/>
          <w:szCs w:val="21"/>
        </w:rPr>
        <w:t>4、信用风险</w:t>
      </w:r>
    </w:p>
    <w:p w14:paraId="7264E07A">
      <w:pPr>
        <w:ind w:firstLine="420"/>
        <w:jc w:val="left"/>
        <w:rPr>
          <w:rFonts w:ascii="仿宋_GB2312" w:eastAsia="仿宋_GB2312"/>
          <w:szCs w:val="21"/>
        </w:rPr>
      </w:pPr>
      <w:r>
        <w:rPr>
          <w:rFonts w:hint="eastAsia" w:ascii="仿宋_GB2312" w:eastAsia="仿宋_GB2312"/>
          <w:szCs w:val="21"/>
        </w:rPr>
        <w:t>5、本基金的特有风险</w:t>
      </w:r>
    </w:p>
    <w:p w14:paraId="1676C6CC">
      <w:pPr>
        <w:ind w:firstLine="420"/>
        <w:jc w:val="left"/>
        <w:rPr>
          <w:rFonts w:ascii="仿宋_GB2312" w:eastAsia="仿宋_GB2312"/>
          <w:szCs w:val="21"/>
        </w:rPr>
      </w:pPr>
      <w:r>
        <w:rPr>
          <w:rFonts w:hint="eastAsia" w:ascii="仿宋_GB2312" w:eastAsia="仿宋_GB2312"/>
          <w:szCs w:val="21"/>
        </w:rPr>
        <w:t>（1）本基金为混合型基金中基金，本基金投资于经中国证监会依法核准或注册的公开募集证券投资基金的基金份额的资产不低于本基金资产的80%；投资于股票型基金（包括股票指数基金）的比例占基金资产的0%-30%。因此本基金所持有的基金的业绩表现、持有基金的基金管理人水平等因素将影响到本基金的基金业绩表现。</w:t>
      </w:r>
    </w:p>
    <w:p w14:paraId="70A73865">
      <w:pPr>
        <w:ind w:firstLine="420"/>
        <w:jc w:val="left"/>
        <w:rPr>
          <w:rFonts w:ascii="仿宋_GB2312" w:eastAsia="仿宋_GB2312"/>
          <w:szCs w:val="21"/>
        </w:rPr>
      </w:pPr>
      <w:r>
        <w:rPr>
          <w:rFonts w:hint="eastAsia" w:ascii="仿宋_GB2312" w:eastAsia="仿宋_GB2312"/>
          <w:szCs w:val="21"/>
        </w:rPr>
        <w:t>（2）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14:paraId="6490775D">
      <w:pPr>
        <w:ind w:firstLine="420"/>
        <w:jc w:val="left"/>
        <w:rPr>
          <w:rFonts w:ascii="仿宋_GB2312" w:eastAsia="仿宋_GB2312"/>
          <w:szCs w:val="21"/>
        </w:rPr>
      </w:pPr>
      <w:r>
        <w:rPr>
          <w:rFonts w:hint="eastAsia" w:ascii="仿宋_GB2312" w:eastAsia="仿宋_GB2312"/>
          <w:szCs w:val="21"/>
        </w:rPr>
        <w:t>（3）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14:paraId="73222075">
      <w:pPr>
        <w:ind w:firstLine="420"/>
        <w:jc w:val="left"/>
        <w:rPr>
          <w:rFonts w:ascii="仿宋_GB2312" w:eastAsia="仿宋_GB2312"/>
          <w:szCs w:val="21"/>
        </w:rPr>
      </w:pPr>
      <w:r>
        <w:rPr>
          <w:rFonts w:hint="eastAsia" w:ascii="仿宋_GB2312" w:eastAsia="仿宋_GB2312"/>
          <w:szCs w:val="21"/>
        </w:rPr>
        <w:t>（4）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14:paraId="23B98FD7">
      <w:pPr>
        <w:ind w:firstLine="420"/>
        <w:jc w:val="left"/>
        <w:rPr>
          <w:rFonts w:ascii="仿宋_GB2312" w:eastAsia="仿宋_GB2312"/>
          <w:szCs w:val="21"/>
        </w:rPr>
      </w:pPr>
      <w:r>
        <w:rPr>
          <w:rFonts w:hint="eastAsia" w:ascii="仿宋_GB2312" w:eastAsia="仿宋_GB2312"/>
          <w:szCs w:val="21"/>
        </w:rPr>
        <w:t>（5）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14:paraId="4239BCFD">
      <w:pPr>
        <w:ind w:firstLine="420"/>
        <w:jc w:val="left"/>
        <w:rPr>
          <w:rFonts w:ascii="仿宋_GB2312" w:eastAsia="仿宋_GB2312"/>
          <w:szCs w:val="21"/>
        </w:rPr>
      </w:pPr>
      <w:r>
        <w:rPr>
          <w:rFonts w:hint="eastAsia" w:ascii="仿宋_GB2312" w:eastAsia="仿宋_GB2312"/>
          <w:szCs w:val="21"/>
        </w:rPr>
        <w:t>（6）本基金为基金中基金，本基金可投资于商品基金，因此将间接承担商品基金可能面临的商品价格波动风险、投资商品期货合约的风险、盯市风险等商品投资风险。</w:t>
      </w:r>
    </w:p>
    <w:p w14:paraId="6B028476">
      <w:pPr>
        <w:ind w:firstLine="420"/>
        <w:jc w:val="left"/>
        <w:rPr>
          <w:rFonts w:ascii="仿宋_GB2312" w:eastAsia="仿宋_GB2312"/>
          <w:szCs w:val="21"/>
        </w:rPr>
      </w:pPr>
      <w:r>
        <w:rPr>
          <w:rFonts w:hint="eastAsia" w:ascii="仿宋_GB2312" w:eastAsia="仿宋_GB2312"/>
          <w:szCs w:val="21"/>
        </w:rPr>
        <w:t>（7）基金份额持有人持有的每份基金份额最短持有期限为一年，在最短持有期限内该份基金份额不可赎回，自最短持有期限届满的下一工作日起（含该日）可赎回。对于每笔认购的基金份额而言，最短持有期限自基金合同生效之日起（含该日）至一年后的年度对日的前一日；对于每笔申购的基金份额而言，最短持有期限自该笔申购份额确认日（含该日）至一年后的年度对日的前一日。因此，对于基金份额持有人而言，存在投资本基金后一年内无法赎回的风险。</w:t>
      </w:r>
    </w:p>
    <w:p w14:paraId="100BCBD0">
      <w:pPr>
        <w:ind w:firstLine="420"/>
        <w:jc w:val="left"/>
        <w:rPr>
          <w:rFonts w:hint="eastAsia" w:ascii="仿宋_GB2312" w:eastAsia="仿宋_GB2312"/>
          <w:szCs w:val="21"/>
        </w:rPr>
      </w:pPr>
      <w:r>
        <w:rPr>
          <w:rFonts w:hint="eastAsia" w:ascii="仿宋_GB2312" w:eastAsia="仿宋_GB2312"/>
          <w:szCs w:val="21"/>
        </w:rPr>
        <w:t>（8）本基金可投资创业板股票，创业板个股上市后的前五个交易日不设价格涨跌幅限制，第六个交易日开始涨跌幅限制比例为20%。</w:t>
      </w:r>
    </w:p>
    <w:p w14:paraId="10AAD5B5">
      <w:pPr>
        <w:ind w:firstLine="420"/>
        <w:jc w:val="left"/>
        <w:rPr>
          <w:rFonts w:hint="eastAsia" w:ascii="仿宋_GB2312" w:eastAsia="仿宋_GB2312"/>
          <w:szCs w:val="21"/>
        </w:rPr>
      </w:pPr>
      <w:r>
        <w:rPr>
          <w:rFonts w:hint="eastAsia" w:ascii="仿宋_GB2312" w:eastAsia="仿宋_GB2312"/>
          <w:szCs w:val="21"/>
        </w:rPr>
        <w:t>（</w:t>
      </w:r>
      <w:r>
        <w:rPr>
          <w:rFonts w:hint="eastAsia" w:ascii="仿宋_GB2312" w:eastAsia="仿宋_GB2312"/>
          <w:szCs w:val="21"/>
          <w:lang w:eastAsia="zh-CN"/>
        </w:rPr>
        <w:t>9</w:t>
      </w:r>
      <w:r>
        <w:rPr>
          <w:rFonts w:hint="eastAsia" w:ascii="仿宋_GB2312" w:eastAsia="仿宋_GB2312"/>
          <w:szCs w:val="21"/>
        </w:rPr>
        <w:t>）本基金的Y类基金份额为针对个人养老金投资基金业务设立的单独的基金份额类别，投资者仅能通过个人养老金资金账户购买Y类基金份额参与个人养老金投资基金业务。根据个人养老金账户要求，个人养老金投资基金的基金份额申购赎回等款项将在个人养老金账户内流转，投资者未达到领取基本养老金年龄或者政策规定的其他领取条件时不可领取个人养老金。具体业务规则请关注基金管理人届时发布的相关公告。</w:t>
      </w:r>
    </w:p>
    <w:p w14:paraId="07B82146">
      <w:pPr>
        <w:ind w:firstLine="420"/>
        <w:jc w:val="left"/>
        <w:rPr>
          <w:rFonts w:ascii="仿宋_GB2312" w:eastAsia="仿宋_GB2312"/>
          <w:szCs w:val="21"/>
        </w:rPr>
      </w:pPr>
      <w:r>
        <w:rPr>
          <w:rFonts w:hint="eastAsia" w:ascii="仿宋_GB2312" w:eastAsia="仿宋_GB2312"/>
          <w:szCs w:val="21"/>
        </w:rPr>
        <w:t>6、投资资产支持证券的特定风险</w:t>
      </w:r>
    </w:p>
    <w:p w14:paraId="6B7A5194">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14:paraId="70C1DB2C">
      <w:pPr>
        <w:ind w:firstLine="420"/>
        <w:jc w:val="left"/>
        <w:rPr>
          <w:rFonts w:ascii="仿宋_GB2312" w:eastAsia="仿宋_GB2312"/>
          <w:szCs w:val="21"/>
        </w:rPr>
      </w:pPr>
      <w:r>
        <w:rPr>
          <w:rFonts w:hint="eastAsia" w:ascii="仿宋_GB2312" w:eastAsia="仿宋_GB2312"/>
          <w:szCs w:val="21"/>
        </w:rPr>
        <w:t>7、投资流通受限证券的特定风险</w:t>
      </w:r>
    </w:p>
    <w:p w14:paraId="6AE91013">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14:paraId="6F0B9824">
      <w:pPr>
        <w:ind w:firstLine="420"/>
        <w:jc w:val="left"/>
        <w:rPr>
          <w:rFonts w:ascii="仿宋_GB2312" w:eastAsia="仿宋_GB2312"/>
          <w:szCs w:val="21"/>
        </w:rPr>
      </w:pPr>
      <w:r>
        <w:rPr>
          <w:rFonts w:hint="eastAsia" w:ascii="仿宋_GB2312" w:eastAsia="仿宋_GB2312"/>
          <w:szCs w:val="21"/>
        </w:rPr>
        <w:t>8、投资科创板股票的特定风险</w:t>
      </w:r>
    </w:p>
    <w:p w14:paraId="6EE9BBBA">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14:paraId="548642C4">
      <w:pPr>
        <w:ind w:firstLine="420"/>
        <w:jc w:val="left"/>
        <w:rPr>
          <w:rFonts w:ascii="仿宋_GB2312" w:eastAsia="仿宋_GB2312"/>
          <w:szCs w:val="21"/>
        </w:rPr>
      </w:pPr>
      <w:r>
        <w:rPr>
          <w:rFonts w:hint="eastAsia" w:ascii="仿宋_GB2312" w:eastAsia="仿宋_GB2312"/>
          <w:szCs w:val="21"/>
        </w:rPr>
        <w:t>9、基金合同提前终止风险</w:t>
      </w:r>
    </w:p>
    <w:p w14:paraId="7315480A">
      <w:pPr>
        <w:ind w:firstLine="420"/>
        <w:jc w:val="left"/>
        <w:rPr>
          <w:rFonts w:ascii="仿宋_GB2312" w:eastAsia="仿宋_GB2312"/>
          <w:szCs w:val="21"/>
        </w:rPr>
      </w:pPr>
      <w:r>
        <w:rPr>
          <w:rFonts w:hint="eastAsia" w:ascii="仿宋_GB2312" w:eastAsia="仿宋_GB2312"/>
          <w:szCs w:val="21"/>
        </w:rPr>
        <w:t>连续50个工作日出现基金份额持有人数量不满200人或基金资产净值低于5000万元情形时，基金合同终止，不需召开基金份额持有人大会。</w:t>
      </w:r>
    </w:p>
    <w:p w14:paraId="3DE09595">
      <w:pPr>
        <w:ind w:firstLine="420"/>
        <w:jc w:val="left"/>
        <w:rPr>
          <w:rFonts w:ascii="仿宋_GB2312" w:eastAsia="仿宋_GB2312"/>
          <w:szCs w:val="21"/>
        </w:rPr>
      </w:pPr>
      <w:r>
        <w:rPr>
          <w:rFonts w:hint="eastAsia" w:ascii="仿宋_GB2312" w:eastAsia="仿宋_GB2312"/>
          <w:szCs w:val="21"/>
        </w:rPr>
        <w:t>10、投资存托凭证的特定风险</w:t>
      </w:r>
    </w:p>
    <w:p w14:paraId="6DE2606D">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14:paraId="29D2BFED">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14:paraId="152BE065">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14:paraId="4021DB22">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14:paraId="0256F5FD">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14:paraId="140133D9">
      <w:pPr>
        <w:ind w:firstLine="420"/>
        <w:jc w:val="left"/>
        <w:rPr>
          <w:rFonts w:ascii="仿宋_GB2312" w:eastAsia="仿宋_GB2312"/>
          <w:szCs w:val="21"/>
        </w:rPr>
      </w:pPr>
      <w:r>
        <w:rPr>
          <w:rFonts w:hint="eastAsia" w:ascii="仿宋_GB2312" w:eastAsia="仿宋_GB2312"/>
          <w:szCs w:val="21"/>
        </w:rPr>
        <w:t>12、其他风险</w:t>
      </w:r>
    </w:p>
    <w:p w14:paraId="7BB45D4E">
      <w:pPr>
        <w:jc w:val="left"/>
        <w:rPr>
          <w:rFonts w:ascii="仿宋_GB2312" w:eastAsia="仿宋_GB2312"/>
          <w:b/>
          <w:szCs w:val="21"/>
        </w:rPr>
      </w:pPr>
      <w:r>
        <w:rPr>
          <w:rFonts w:hint="eastAsia" w:ascii="仿宋_GB2312" w:eastAsia="仿宋_GB2312"/>
          <w:b/>
          <w:szCs w:val="21"/>
        </w:rPr>
        <w:t>（二）重要提示</w:t>
      </w:r>
    </w:p>
    <w:p w14:paraId="435EDE44">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14:paraId="15B855E1">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14:paraId="310EDAA0">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14:paraId="5E2433E5">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14:paraId="7915BB8C">
      <w:pPr>
        <w:ind w:firstLine="420"/>
        <w:jc w:val="left"/>
        <w:rPr>
          <w:rFonts w:ascii="仿宋_GB2312" w:eastAsia="仿宋_GB2312"/>
          <w:b/>
          <w:bCs/>
          <w:szCs w:val="21"/>
        </w:rPr>
      </w:pPr>
      <w:r>
        <w:rPr>
          <w:rFonts w:hint="eastAsia" w:ascii="仿宋_GB2312" w:eastAsia="仿宋_GB2312"/>
          <w:szCs w:val="21"/>
        </w:rPr>
        <w:t>▲▲</w:t>
      </w:r>
      <w:r>
        <w:rPr>
          <w:rFonts w:hint="eastAsia" w:ascii="仿宋_GB2312" w:eastAsia="仿宋_GB2312"/>
          <w:b/>
          <w:bCs/>
          <w:szCs w:val="21"/>
        </w:rPr>
        <w:t>因基金合同而产生的或与基金合同有关的一切争议，如经友好协商未能解决的，任何一方均有权将争议提交深圳国际仲裁院，按其届时有效的仲裁规则进行仲裁。仲裁地点为深圳市。</w:t>
      </w:r>
    </w:p>
    <w:p w14:paraId="4F92792D">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14:paraId="5F15F700">
      <w:pPr>
        <w:jc w:val="left"/>
        <w:rPr>
          <w:rFonts w:ascii="仿宋_GB2312" w:eastAsia="仿宋_GB2312"/>
          <w:b/>
          <w:szCs w:val="21"/>
        </w:rPr>
      </w:pPr>
      <w:r>
        <w:rPr>
          <w:rFonts w:hint="eastAsia" w:ascii="仿宋_GB2312" w:eastAsia="仿宋_GB2312"/>
          <w:b/>
          <w:szCs w:val="21"/>
        </w:rPr>
        <w:t>五、其他资料查询方式</w:t>
      </w:r>
    </w:p>
    <w:p w14:paraId="18486190">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14:paraId="47F88709">
      <w:pPr>
        <w:ind w:firstLine="420"/>
        <w:jc w:val="left"/>
        <w:rPr>
          <w:rFonts w:ascii="仿宋_GB2312" w:eastAsia="仿宋_GB2312"/>
          <w:szCs w:val="21"/>
        </w:rPr>
      </w:pPr>
      <w:r>
        <w:rPr>
          <w:rFonts w:hint="eastAsia" w:ascii="仿宋_GB2312" w:eastAsia="仿宋_GB2312"/>
          <w:szCs w:val="21"/>
        </w:rPr>
        <w:t>●《交银施罗德招享一年持有期混合型基金中基金（FOF）基金合同》、</w:t>
      </w:r>
    </w:p>
    <w:p w14:paraId="3048BD9C">
      <w:pPr>
        <w:ind w:firstLine="420"/>
        <w:jc w:val="left"/>
        <w:rPr>
          <w:rFonts w:ascii="仿宋_GB2312" w:eastAsia="仿宋_GB2312"/>
          <w:szCs w:val="21"/>
        </w:rPr>
      </w:pPr>
      <w:r>
        <w:rPr>
          <w:rFonts w:hint="eastAsia" w:ascii="仿宋_GB2312" w:eastAsia="仿宋_GB2312"/>
          <w:szCs w:val="21"/>
        </w:rPr>
        <w:t>《交银施罗德招享一年持有期混合型基金中基金（FOF）托管协议》、</w:t>
      </w:r>
    </w:p>
    <w:p w14:paraId="461FD8ED">
      <w:pPr>
        <w:ind w:firstLine="420"/>
        <w:jc w:val="left"/>
        <w:rPr>
          <w:rFonts w:ascii="仿宋_GB2312" w:eastAsia="仿宋_GB2312"/>
          <w:szCs w:val="21"/>
        </w:rPr>
      </w:pPr>
      <w:r>
        <w:rPr>
          <w:rFonts w:hint="eastAsia" w:ascii="仿宋_GB2312" w:eastAsia="仿宋_GB2312"/>
          <w:szCs w:val="21"/>
        </w:rPr>
        <w:t>《交银施罗德招享一年持有期混合型基金中基金（FOF）招募说明书》</w:t>
      </w:r>
    </w:p>
    <w:p w14:paraId="5D7C4E22">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14:paraId="4EA3EA1B">
      <w:pPr>
        <w:ind w:firstLine="420"/>
        <w:jc w:val="left"/>
        <w:rPr>
          <w:rFonts w:ascii="仿宋_GB2312" w:eastAsia="仿宋_GB2312"/>
          <w:szCs w:val="21"/>
        </w:rPr>
      </w:pPr>
      <w:r>
        <w:rPr>
          <w:rFonts w:hint="eastAsia" w:ascii="仿宋_GB2312" w:eastAsia="仿宋_GB2312"/>
          <w:szCs w:val="21"/>
        </w:rPr>
        <w:t>●基金份额净值</w:t>
      </w:r>
    </w:p>
    <w:p w14:paraId="0C2B4D9A">
      <w:pPr>
        <w:ind w:firstLine="420"/>
        <w:jc w:val="left"/>
        <w:rPr>
          <w:rFonts w:ascii="仿宋_GB2312" w:eastAsia="仿宋_GB2312"/>
          <w:szCs w:val="21"/>
        </w:rPr>
      </w:pPr>
      <w:r>
        <w:rPr>
          <w:rFonts w:hint="eastAsia" w:ascii="仿宋_GB2312" w:eastAsia="仿宋_GB2312"/>
          <w:szCs w:val="21"/>
        </w:rPr>
        <w:t>●基金销售机构及联系方式</w:t>
      </w:r>
    </w:p>
    <w:p w14:paraId="1D3305B1">
      <w:pPr>
        <w:ind w:firstLine="420"/>
        <w:jc w:val="left"/>
        <w:rPr>
          <w:rFonts w:ascii="仿宋_GB2312" w:eastAsia="仿宋_GB2312"/>
          <w:szCs w:val="21"/>
        </w:rPr>
      </w:pPr>
      <w:r>
        <w:rPr>
          <w:rFonts w:hint="eastAsia" w:ascii="仿宋_GB2312" w:eastAsia="仿宋_GB2312"/>
          <w:szCs w:val="21"/>
        </w:rPr>
        <w:t>●其他重要资料</w:t>
      </w:r>
    </w:p>
    <w:p w14:paraId="26E527A1">
      <w:pPr>
        <w:jc w:val="left"/>
        <w:rPr>
          <w:rFonts w:ascii="仿宋_GB2312" w:eastAsia="仿宋_GB2312"/>
          <w:b/>
          <w:szCs w:val="21"/>
        </w:rPr>
      </w:pPr>
      <w:r>
        <w:rPr>
          <w:rFonts w:hint="eastAsia" w:ascii="仿宋_GB2312" w:eastAsia="仿宋_GB2312"/>
          <w:b/>
          <w:szCs w:val="21"/>
        </w:rPr>
        <w:t>六、其他情况说明</w:t>
      </w:r>
    </w:p>
    <w:p w14:paraId="58F4D01A">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97DF5"/>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09613BF8"/>
    <w:rsid w:val="11FC2DD8"/>
    <w:rsid w:val="1C85182F"/>
    <w:rsid w:val="1CBC648A"/>
    <w:rsid w:val="280D52FE"/>
    <w:rsid w:val="33D76582"/>
    <w:rsid w:val="35E913EC"/>
    <w:rsid w:val="3F65711A"/>
    <w:rsid w:val="3F912CB2"/>
    <w:rsid w:val="49DA3FE2"/>
    <w:rsid w:val="5C1038A9"/>
    <w:rsid w:val="662507FD"/>
    <w:rsid w:val="76033AF4"/>
    <w:rsid w:val="7A597D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851</Words>
  <Characters>4854</Characters>
  <Lines>40</Lines>
  <Paragraphs>11</Paragraphs>
  <TotalTime>0</TotalTime>
  <ScaleCrop>false</ScaleCrop>
  <LinksUpToDate>false</LinksUpToDate>
  <CharactersWithSpaces>5694</CharactersWithSpaces>
  <Application>WPS Office_12.8.2.19823_F1E327BC-269C-435d-A152-05C5408002CA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2026-05-20T01:37:00Z</dcterms:created>
  <dc:creator>Cc</dc:creator>
  <cp:lastModifiedBy>刘晨晨</cp:lastModifiedBy>
  <dcterms:modified xsi:type="dcterms:W3CDTF">2026-09-28T06:09:06Z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2052-12.8.2.19823</vt:lpwstr>
  </property>
  <property fmtid="{D5CDD505-2E9C-101B-9397-08002B2CF9AE}" pid="3" name="ICV">
    <vt:lpwstr>7B0B42B072A145B191E5AF862E117140</vt:lpwstr>
  </property>
</Properties>
</file>