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55583">
      <w:pPr>
        <w:widowControl/>
        <w:jc w:val="center"/>
        <w:rPr>
          <w:b/>
          <w:bCs/>
          <w:color w:val="000000"/>
          <w:sz w:val="30"/>
          <w:szCs w:val="30"/>
        </w:rPr>
      </w:pPr>
      <w:bookmarkStart w:id="0" w:name="_Toc249760023"/>
      <w:r>
        <w:rPr>
          <w:rFonts w:hint="eastAsia"/>
          <w:b/>
          <w:bCs/>
          <w:color w:val="000000"/>
          <w:sz w:val="30"/>
          <w:szCs w:val="30"/>
        </w:rPr>
        <w:t>交银施罗德基金管理有限公司关于交银施罗德智选进取三个月持有期混合型发起式基金中基金（FOF）暂停申购、</w:t>
      </w:r>
      <w:r>
        <w:rPr>
          <w:rFonts w:hint="eastAsia"/>
          <w:b/>
          <w:bCs/>
          <w:color w:val="000000"/>
          <w:sz w:val="30"/>
          <w:szCs w:val="30"/>
          <w:lang w:val="en-US" w:eastAsia="zh-CN"/>
        </w:rPr>
        <w:t>转换转入</w:t>
      </w:r>
      <w:r>
        <w:rPr>
          <w:rFonts w:hint="eastAsia"/>
          <w:b/>
          <w:bCs/>
          <w:color w:val="000000"/>
          <w:sz w:val="30"/>
          <w:szCs w:val="30"/>
        </w:rPr>
        <w:t>和定期定额投资业务的公告</w:t>
      </w:r>
    </w:p>
    <w:p w14:paraId="305E25BC">
      <w:pPr>
        <w:spacing w:line="360" w:lineRule="auto"/>
        <w:jc w:val="center"/>
        <w:rPr>
          <w:rFonts w:hint="eastAsia"/>
          <w:sz w:val="24"/>
        </w:rPr>
      </w:pPr>
      <w:r>
        <w:rPr>
          <w:rFonts w:hint="eastAsia" w:ascii="宋体" w:hAnsi="宋体"/>
          <w:b/>
          <w:sz w:val="24"/>
        </w:rPr>
        <w:t>公告送出日期：</w:t>
      </w:r>
      <w:r>
        <w:rPr>
          <w:sz w:val="24"/>
        </w:rPr>
        <w:t>202</w:t>
      </w:r>
      <w:r>
        <w:rPr>
          <w:rFonts w:hint="eastAsia"/>
          <w:sz w:val="24"/>
          <w:lang w:val="en-US" w:eastAsia="zh-CN"/>
        </w:rPr>
        <w:t>6</w:t>
      </w:r>
      <w:r>
        <w:rPr>
          <w:sz w:val="24"/>
        </w:rPr>
        <w:t>年</w:t>
      </w:r>
      <w:r>
        <w:rPr>
          <w:rFonts w:hint="eastAsia"/>
          <w:sz w:val="24"/>
          <w:lang w:val="en-US" w:eastAsia="zh-CN"/>
        </w:rPr>
        <w:t>9</w:t>
      </w:r>
      <w:r>
        <w:rPr>
          <w:rFonts w:hint="eastAsia"/>
          <w:sz w:val="24"/>
        </w:rPr>
        <w:t>月</w:t>
      </w:r>
      <w:r>
        <w:rPr>
          <w:rFonts w:hint="eastAsia"/>
          <w:sz w:val="24"/>
          <w:lang w:val="en-US" w:eastAsia="zh-CN"/>
        </w:rPr>
        <w:t>22</w:t>
      </w:r>
      <w:r>
        <w:rPr>
          <w:rFonts w:hint="eastAsia"/>
          <w:sz w:val="24"/>
        </w:rPr>
        <w:t>日</w:t>
      </w:r>
      <w:bookmarkStart w:id="1" w:name="_GoBack"/>
      <w:bookmarkEnd w:id="1"/>
    </w:p>
    <w:p w14:paraId="7578E1B5">
      <w:pPr>
        <w:spacing w:line="360" w:lineRule="auto"/>
        <w:jc w:val="center"/>
        <w:rPr>
          <w:rFonts w:hint="eastAsia"/>
          <w:sz w:val="24"/>
        </w:rPr>
      </w:pPr>
    </w:p>
    <w:bookmarkEnd w:id="0"/>
    <w:p w14:paraId="26DA580B">
      <w:pPr>
        <w:pStyle w:val="2"/>
        <w:keepNext w:val="0"/>
        <w:keepLines w:val="0"/>
        <w:spacing w:before="0" w:after="0" w:line="360" w:lineRule="auto"/>
        <w:rPr>
          <w:rFonts w:ascii="宋体" w:hAnsi="宋体"/>
          <w:bCs w:val="0"/>
          <w:sz w:val="24"/>
          <w:szCs w:val="24"/>
        </w:rPr>
      </w:pPr>
      <w:r>
        <w:rPr>
          <w:rFonts w:hint="eastAsia" w:ascii="宋体" w:hAnsi="宋体"/>
          <w:bCs w:val="0"/>
          <w:sz w:val="24"/>
          <w:szCs w:val="24"/>
        </w:rPr>
        <w:t>1.公告基本信息</w:t>
      </w:r>
    </w:p>
    <w:tbl>
      <w:tblPr>
        <w:tblStyle w:val="8"/>
        <w:tblW w:w="520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91"/>
        <w:gridCol w:w="2891"/>
        <w:gridCol w:w="3496"/>
      </w:tblGrid>
      <w:tr w14:paraId="61E06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top w:val="single" w:color="000000" w:sz="4" w:space="0"/>
              <w:left w:val="single" w:color="000000" w:sz="4" w:space="0"/>
              <w:bottom w:val="single" w:color="000000" w:sz="4" w:space="0"/>
              <w:right w:val="single" w:color="000000" w:sz="4" w:space="0"/>
            </w:tcBorders>
            <w:vAlign w:val="center"/>
          </w:tcPr>
          <w:p w14:paraId="21706C90">
            <w:pPr>
              <w:rPr>
                <w:sz w:val="24"/>
              </w:rPr>
            </w:pPr>
            <w:r>
              <w:rPr>
                <w:rFonts w:hint="eastAsia"/>
                <w:sz w:val="24"/>
              </w:rPr>
              <w:t>基金名称</w:t>
            </w:r>
          </w:p>
        </w:tc>
        <w:tc>
          <w:tcPr>
            <w:tcW w:w="3597" w:type="pct"/>
            <w:gridSpan w:val="2"/>
            <w:tcBorders>
              <w:top w:val="single" w:color="000000" w:sz="4" w:space="0"/>
              <w:left w:val="single" w:color="000000" w:sz="4" w:space="0"/>
              <w:bottom w:val="single" w:color="000000" w:sz="4" w:space="0"/>
              <w:right w:val="single" w:color="000000" w:sz="4" w:space="0"/>
            </w:tcBorders>
            <w:vAlign w:val="center"/>
          </w:tcPr>
          <w:p w14:paraId="710181E0">
            <w:pPr>
              <w:jc w:val="left"/>
              <w:rPr>
                <w:sz w:val="24"/>
              </w:rPr>
            </w:pPr>
            <w:r>
              <w:rPr>
                <w:rFonts w:hint="eastAsia"/>
                <w:sz w:val="24"/>
              </w:rPr>
              <w:t>交银施罗德智选进取三个月持有期混合型发起式基金中基金（FOF）</w:t>
            </w:r>
          </w:p>
        </w:tc>
      </w:tr>
      <w:tr w14:paraId="049A1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top w:val="single" w:color="000000" w:sz="4" w:space="0"/>
              <w:left w:val="single" w:color="000000" w:sz="4" w:space="0"/>
              <w:bottom w:val="single" w:color="000000" w:sz="4" w:space="0"/>
              <w:right w:val="single" w:color="000000" w:sz="4" w:space="0"/>
            </w:tcBorders>
            <w:vAlign w:val="center"/>
          </w:tcPr>
          <w:p w14:paraId="78039C5F">
            <w:pPr>
              <w:rPr>
                <w:sz w:val="24"/>
              </w:rPr>
            </w:pPr>
            <w:r>
              <w:rPr>
                <w:rFonts w:hint="eastAsia"/>
                <w:sz w:val="24"/>
              </w:rPr>
              <w:t>基金简称</w:t>
            </w:r>
          </w:p>
        </w:tc>
        <w:tc>
          <w:tcPr>
            <w:tcW w:w="3597" w:type="pct"/>
            <w:gridSpan w:val="2"/>
            <w:tcBorders>
              <w:top w:val="single" w:color="000000" w:sz="4" w:space="0"/>
              <w:left w:val="single" w:color="000000" w:sz="4" w:space="0"/>
              <w:bottom w:val="single" w:color="000000" w:sz="4" w:space="0"/>
              <w:right w:val="single" w:color="000000" w:sz="4" w:space="0"/>
            </w:tcBorders>
            <w:vAlign w:val="center"/>
          </w:tcPr>
          <w:p w14:paraId="493B578A">
            <w:pPr>
              <w:rPr>
                <w:kern w:val="0"/>
                <w:sz w:val="20"/>
                <w:szCs w:val="20"/>
              </w:rPr>
            </w:pPr>
            <w:r>
              <w:rPr>
                <w:rFonts w:hint="eastAsia"/>
                <w:sz w:val="24"/>
              </w:rPr>
              <w:t>交银智选进取三个月持有期混合发起（FOF）</w:t>
            </w:r>
          </w:p>
        </w:tc>
      </w:tr>
      <w:tr w14:paraId="59C95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top w:val="single" w:color="000000" w:sz="4" w:space="0"/>
              <w:left w:val="single" w:color="000000" w:sz="4" w:space="0"/>
              <w:bottom w:val="single" w:color="000000" w:sz="4" w:space="0"/>
              <w:right w:val="single" w:color="000000" w:sz="4" w:space="0"/>
            </w:tcBorders>
            <w:vAlign w:val="center"/>
          </w:tcPr>
          <w:p w14:paraId="275F2617">
            <w:pPr>
              <w:rPr>
                <w:sz w:val="24"/>
              </w:rPr>
            </w:pPr>
            <w:r>
              <w:rPr>
                <w:rFonts w:hint="eastAsia"/>
                <w:sz w:val="24"/>
              </w:rPr>
              <w:t>基金主代码</w:t>
            </w:r>
          </w:p>
        </w:tc>
        <w:tc>
          <w:tcPr>
            <w:tcW w:w="3597" w:type="pct"/>
            <w:gridSpan w:val="2"/>
            <w:tcBorders>
              <w:top w:val="single" w:color="000000" w:sz="4" w:space="0"/>
              <w:left w:val="single" w:color="000000" w:sz="4" w:space="0"/>
              <w:bottom w:val="single" w:color="000000" w:sz="4" w:space="0"/>
              <w:right w:val="single" w:color="000000" w:sz="4" w:space="0"/>
            </w:tcBorders>
            <w:vAlign w:val="center"/>
          </w:tcPr>
          <w:p w14:paraId="0844FDCD">
            <w:pPr>
              <w:rPr>
                <w:sz w:val="24"/>
              </w:rPr>
            </w:pPr>
            <w:r>
              <w:rPr>
                <w:sz w:val="24"/>
              </w:rPr>
              <w:t>019211</w:t>
            </w:r>
          </w:p>
        </w:tc>
      </w:tr>
      <w:tr w14:paraId="6D69F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top w:val="single" w:color="000000" w:sz="4" w:space="0"/>
              <w:left w:val="single" w:color="000000" w:sz="4" w:space="0"/>
              <w:bottom w:val="single" w:color="000000" w:sz="4" w:space="0"/>
              <w:right w:val="single" w:color="000000" w:sz="4" w:space="0"/>
            </w:tcBorders>
            <w:vAlign w:val="center"/>
          </w:tcPr>
          <w:p w14:paraId="1B7C4393">
            <w:pPr>
              <w:rPr>
                <w:sz w:val="24"/>
              </w:rPr>
            </w:pPr>
            <w:r>
              <w:rPr>
                <w:rFonts w:hint="eastAsia"/>
                <w:sz w:val="24"/>
              </w:rPr>
              <w:t>基金管理人名称</w:t>
            </w:r>
          </w:p>
        </w:tc>
        <w:tc>
          <w:tcPr>
            <w:tcW w:w="3597" w:type="pct"/>
            <w:gridSpan w:val="2"/>
            <w:tcBorders>
              <w:top w:val="single" w:color="000000" w:sz="4" w:space="0"/>
              <w:left w:val="single" w:color="000000" w:sz="4" w:space="0"/>
              <w:bottom w:val="single" w:color="000000" w:sz="4" w:space="0"/>
              <w:right w:val="single" w:color="000000" w:sz="4" w:space="0"/>
            </w:tcBorders>
            <w:vAlign w:val="center"/>
          </w:tcPr>
          <w:p w14:paraId="093911BB">
            <w:pPr>
              <w:rPr>
                <w:sz w:val="24"/>
              </w:rPr>
            </w:pPr>
            <w:r>
              <w:rPr>
                <w:rFonts w:hint="eastAsia"/>
                <w:sz w:val="24"/>
              </w:rPr>
              <w:t>交银施罗德基金管理有限公司</w:t>
            </w:r>
          </w:p>
        </w:tc>
      </w:tr>
      <w:tr w14:paraId="557E9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top w:val="single" w:color="000000" w:sz="4" w:space="0"/>
              <w:left w:val="single" w:color="000000" w:sz="4" w:space="0"/>
              <w:bottom w:val="single" w:color="000000" w:sz="4" w:space="0"/>
              <w:right w:val="single" w:color="000000" w:sz="4" w:space="0"/>
            </w:tcBorders>
            <w:vAlign w:val="center"/>
          </w:tcPr>
          <w:p w14:paraId="1528DFC1">
            <w:pPr>
              <w:rPr>
                <w:sz w:val="24"/>
              </w:rPr>
            </w:pPr>
            <w:r>
              <w:rPr>
                <w:rFonts w:hint="eastAsia"/>
                <w:sz w:val="24"/>
              </w:rPr>
              <w:t>公告依据</w:t>
            </w:r>
          </w:p>
        </w:tc>
        <w:tc>
          <w:tcPr>
            <w:tcW w:w="3597" w:type="pct"/>
            <w:gridSpan w:val="2"/>
            <w:tcBorders>
              <w:top w:val="single" w:color="000000" w:sz="4" w:space="0"/>
              <w:left w:val="single" w:color="000000" w:sz="4" w:space="0"/>
              <w:bottom w:val="single" w:color="000000" w:sz="4" w:space="0"/>
              <w:right w:val="single" w:color="000000" w:sz="4" w:space="0"/>
            </w:tcBorders>
            <w:vAlign w:val="center"/>
          </w:tcPr>
          <w:p w14:paraId="5C1CBCAA">
            <w:pPr>
              <w:rPr>
                <w:sz w:val="24"/>
              </w:rPr>
            </w:pPr>
            <w:r>
              <w:rPr>
                <w:rFonts w:hint="eastAsia"/>
                <w:sz w:val="24"/>
              </w:rPr>
              <w:t>《交银施罗德智选进取三个月持有期混合型发起式基金中基金（FOF）基金合同》、《交银施罗德智选进取三个月持有期混合型发起式基金中基金（FOF）招募说明书》等</w:t>
            </w:r>
          </w:p>
        </w:tc>
      </w:tr>
      <w:tr w14:paraId="6FEA5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1403" w:type="pct"/>
            <w:vMerge w:val="restart"/>
            <w:tcBorders>
              <w:top w:val="nil"/>
              <w:left w:val="single" w:color="000000" w:sz="4" w:space="0"/>
              <w:right w:val="single" w:color="000000" w:sz="4" w:space="0"/>
            </w:tcBorders>
            <w:vAlign w:val="center"/>
          </w:tcPr>
          <w:p w14:paraId="75BAA261">
            <w:pPr>
              <w:jc w:val="center"/>
              <w:rPr>
                <w:sz w:val="24"/>
              </w:rPr>
            </w:pPr>
            <w:r>
              <w:rPr>
                <w:rFonts w:hint="eastAsia"/>
                <w:sz w:val="24"/>
              </w:rPr>
              <w:t>暂停相关业务的起始日及原因说明</w:t>
            </w:r>
          </w:p>
        </w:tc>
        <w:tc>
          <w:tcPr>
            <w:tcW w:w="1628" w:type="pct"/>
            <w:tcBorders>
              <w:top w:val="single" w:color="000000" w:sz="4" w:space="0"/>
              <w:left w:val="single" w:color="000000" w:sz="4" w:space="0"/>
              <w:bottom w:val="single" w:color="000000" w:sz="4" w:space="0"/>
              <w:right w:val="single" w:color="000000" w:sz="4" w:space="0"/>
            </w:tcBorders>
            <w:vAlign w:val="center"/>
          </w:tcPr>
          <w:p w14:paraId="13F4671D">
            <w:pPr>
              <w:rPr>
                <w:sz w:val="24"/>
              </w:rPr>
            </w:pPr>
            <w:r>
              <w:rPr>
                <w:rFonts w:hint="eastAsia"/>
                <w:sz w:val="24"/>
              </w:rPr>
              <w:t>暂停申购起始日</w:t>
            </w:r>
          </w:p>
        </w:tc>
        <w:tc>
          <w:tcPr>
            <w:tcW w:w="1969" w:type="pct"/>
            <w:tcBorders>
              <w:top w:val="single" w:color="000000" w:sz="4" w:space="0"/>
              <w:left w:val="single" w:color="000000" w:sz="4" w:space="0"/>
              <w:bottom w:val="single" w:color="000000" w:sz="4" w:space="0"/>
              <w:right w:val="single" w:color="000000" w:sz="4" w:space="0"/>
            </w:tcBorders>
            <w:vAlign w:val="center"/>
          </w:tcPr>
          <w:p w14:paraId="22249163">
            <w:r>
              <w:rPr>
                <w:sz w:val="24"/>
              </w:rPr>
              <w:t>202</w:t>
            </w:r>
            <w:r>
              <w:rPr>
                <w:rFonts w:hint="eastAsia"/>
                <w:sz w:val="24"/>
                <w:lang w:val="en-US" w:eastAsia="zh-CN"/>
              </w:rPr>
              <w:t>6</w:t>
            </w:r>
            <w:r>
              <w:rPr>
                <w:sz w:val="24"/>
              </w:rPr>
              <w:t>年</w:t>
            </w:r>
            <w:r>
              <w:rPr>
                <w:rFonts w:hint="eastAsia"/>
                <w:sz w:val="24"/>
                <w:lang w:val="en-US" w:eastAsia="zh-CN"/>
              </w:rPr>
              <w:t>9</w:t>
            </w:r>
            <w:r>
              <w:rPr>
                <w:rFonts w:hint="eastAsia"/>
                <w:sz w:val="24"/>
              </w:rPr>
              <w:t>月</w:t>
            </w:r>
            <w:r>
              <w:rPr>
                <w:rFonts w:hint="eastAsia"/>
                <w:sz w:val="24"/>
                <w:lang w:val="en-US" w:eastAsia="zh-CN"/>
              </w:rPr>
              <w:t>23</w:t>
            </w:r>
            <w:r>
              <w:rPr>
                <w:rFonts w:hint="eastAsia"/>
                <w:sz w:val="24"/>
              </w:rPr>
              <w:t>日</w:t>
            </w:r>
          </w:p>
        </w:tc>
      </w:tr>
      <w:tr w14:paraId="6270B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403" w:type="pct"/>
            <w:vMerge w:val="continue"/>
            <w:tcBorders>
              <w:left w:val="single" w:color="000000" w:sz="4" w:space="0"/>
              <w:right w:val="single" w:color="000000" w:sz="4" w:space="0"/>
            </w:tcBorders>
            <w:vAlign w:val="center"/>
          </w:tcPr>
          <w:p w14:paraId="0B61CEBF">
            <w:pPr>
              <w:rPr>
                <w:sz w:val="24"/>
              </w:rPr>
            </w:pPr>
          </w:p>
        </w:tc>
        <w:tc>
          <w:tcPr>
            <w:tcW w:w="1628" w:type="pct"/>
            <w:tcBorders>
              <w:top w:val="single" w:color="000000" w:sz="4" w:space="0"/>
              <w:left w:val="single" w:color="000000" w:sz="4" w:space="0"/>
              <w:bottom w:val="single" w:color="000000" w:sz="4" w:space="0"/>
              <w:right w:val="single" w:color="000000" w:sz="4" w:space="0"/>
            </w:tcBorders>
            <w:vAlign w:val="center"/>
          </w:tcPr>
          <w:p w14:paraId="42452E1C">
            <w:pPr>
              <w:rPr>
                <w:sz w:val="24"/>
              </w:rPr>
            </w:pPr>
            <w:r>
              <w:rPr>
                <w:rFonts w:hint="eastAsia"/>
                <w:sz w:val="24"/>
              </w:rPr>
              <w:t>暂停转换转入起始日</w:t>
            </w:r>
          </w:p>
        </w:tc>
        <w:tc>
          <w:tcPr>
            <w:tcW w:w="1969" w:type="pct"/>
            <w:tcBorders>
              <w:top w:val="single" w:color="000000" w:sz="4" w:space="0"/>
              <w:left w:val="single" w:color="000000" w:sz="4" w:space="0"/>
              <w:bottom w:val="single" w:color="000000" w:sz="4" w:space="0"/>
              <w:right w:val="single" w:color="000000" w:sz="4" w:space="0"/>
            </w:tcBorders>
            <w:vAlign w:val="center"/>
          </w:tcPr>
          <w:p w14:paraId="7306AEE7">
            <w:r>
              <w:rPr>
                <w:sz w:val="24"/>
              </w:rPr>
              <w:t>202</w:t>
            </w:r>
            <w:r>
              <w:rPr>
                <w:rFonts w:hint="eastAsia"/>
                <w:sz w:val="24"/>
                <w:lang w:val="en-US" w:eastAsia="zh-CN"/>
              </w:rPr>
              <w:t>6</w:t>
            </w:r>
            <w:r>
              <w:rPr>
                <w:sz w:val="24"/>
              </w:rPr>
              <w:t>年</w:t>
            </w:r>
            <w:r>
              <w:rPr>
                <w:rFonts w:hint="eastAsia"/>
                <w:sz w:val="24"/>
                <w:lang w:val="en-US" w:eastAsia="zh-CN"/>
              </w:rPr>
              <w:t>9</w:t>
            </w:r>
            <w:r>
              <w:rPr>
                <w:rFonts w:hint="eastAsia"/>
                <w:sz w:val="24"/>
              </w:rPr>
              <w:t>月</w:t>
            </w:r>
            <w:r>
              <w:rPr>
                <w:rFonts w:hint="eastAsia"/>
                <w:sz w:val="24"/>
                <w:lang w:val="en-US" w:eastAsia="zh-CN"/>
              </w:rPr>
              <w:t>23</w:t>
            </w:r>
            <w:r>
              <w:rPr>
                <w:rFonts w:hint="eastAsia"/>
                <w:sz w:val="24"/>
              </w:rPr>
              <w:t>日</w:t>
            </w:r>
          </w:p>
        </w:tc>
      </w:tr>
      <w:tr w14:paraId="57917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403" w:type="pct"/>
            <w:vMerge w:val="continue"/>
            <w:tcBorders>
              <w:left w:val="single" w:color="000000" w:sz="4" w:space="0"/>
              <w:right w:val="single" w:color="000000" w:sz="4" w:space="0"/>
            </w:tcBorders>
            <w:vAlign w:val="center"/>
          </w:tcPr>
          <w:p w14:paraId="1A789E30">
            <w:pPr>
              <w:rPr>
                <w:sz w:val="24"/>
              </w:rPr>
            </w:pPr>
          </w:p>
        </w:tc>
        <w:tc>
          <w:tcPr>
            <w:tcW w:w="1628" w:type="pct"/>
            <w:tcBorders>
              <w:top w:val="single" w:color="000000" w:sz="4" w:space="0"/>
              <w:left w:val="single" w:color="000000" w:sz="4" w:space="0"/>
              <w:bottom w:val="single" w:color="000000" w:sz="4" w:space="0"/>
              <w:right w:val="single" w:color="000000" w:sz="4" w:space="0"/>
            </w:tcBorders>
            <w:vAlign w:val="center"/>
          </w:tcPr>
          <w:p w14:paraId="205959D4">
            <w:pPr>
              <w:rPr>
                <w:sz w:val="24"/>
              </w:rPr>
            </w:pPr>
            <w:r>
              <w:rPr>
                <w:rFonts w:hint="eastAsia"/>
                <w:sz w:val="24"/>
              </w:rPr>
              <w:t>暂停定期定额投资起始日</w:t>
            </w:r>
          </w:p>
        </w:tc>
        <w:tc>
          <w:tcPr>
            <w:tcW w:w="1969" w:type="pct"/>
            <w:tcBorders>
              <w:top w:val="single" w:color="000000" w:sz="4" w:space="0"/>
              <w:left w:val="single" w:color="000000" w:sz="4" w:space="0"/>
              <w:bottom w:val="single" w:color="000000" w:sz="4" w:space="0"/>
              <w:right w:val="single" w:color="000000" w:sz="4" w:space="0"/>
            </w:tcBorders>
            <w:vAlign w:val="center"/>
          </w:tcPr>
          <w:p w14:paraId="1ED7CAF2">
            <w:r>
              <w:rPr>
                <w:sz w:val="24"/>
              </w:rPr>
              <w:t>202</w:t>
            </w:r>
            <w:r>
              <w:rPr>
                <w:rFonts w:hint="eastAsia"/>
                <w:sz w:val="24"/>
                <w:lang w:val="en-US" w:eastAsia="zh-CN"/>
              </w:rPr>
              <w:t>6</w:t>
            </w:r>
            <w:r>
              <w:rPr>
                <w:sz w:val="24"/>
              </w:rPr>
              <w:t>年</w:t>
            </w:r>
            <w:r>
              <w:rPr>
                <w:rFonts w:hint="eastAsia"/>
                <w:sz w:val="24"/>
                <w:lang w:val="en-US" w:eastAsia="zh-CN"/>
              </w:rPr>
              <w:t>9</w:t>
            </w:r>
            <w:r>
              <w:rPr>
                <w:rFonts w:hint="eastAsia"/>
                <w:sz w:val="24"/>
              </w:rPr>
              <w:t>月</w:t>
            </w:r>
            <w:r>
              <w:rPr>
                <w:rFonts w:hint="eastAsia"/>
                <w:sz w:val="24"/>
                <w:lang w:val="en-US" w:eastAsia="zh-CN"/>
              </w:rPr>
              <w:t>23</w:t>
            </w:r>
            <w:r>
              <w:rPr>
                <w:rFonts w:hint="eastAsia"/>
                <w:sz w:val="24"/>
              </w:rPr>
              <w:t>日</w:t>
            </w:r>
          </w:p>
        </w:tc>
      </w:tr>
      <w:tr w14:paraId="721CE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vMerge w:val="continue"/>
            <w:tcBorders>
              <w:left w:val="single" w:color="000000" w:sz="4" w:space="0"/>
              <w:bottom w:val="single" w:color="000000" w:sz="4" w:space="0"/>
              <w:right w:val="single" w:color="000000" w:sz="4" w:space="0"/>
            </w:tcBorders>
            <w:vAlign w:val="center"/>
          </w:tcPr>
          <w:p w14:paraId="01A2DA86">
            <w:pPr>
              <w:rPr>
                <w:sz w:val="24"/>
              </w:rPr>
            </w:pPr>
          </w:p>
        </w:tc>
        <w:tc>
          <w:tcPr>
            <w:tcW w:w="1628" w:type="pct"/>
            <w:tcBorders>
              <w:top w:val="single" w:color="000000" w:sz="4" w:space="0"/>
              <w:left w:val="single" w:color="000000" w:sz="4" w:space="0"/>
              <w:bottom w:val="single" w:color="000000" w:sz="4" w:space="0"/>
              <w:right w:val="single" w:color="000000" w:sz="4" w:space="0"/>
            </w:tcBorders>
            <w:vAlign w:val="center"/>
          </w:tcPr>
          <w:p w14:paraId="5FA6082A">
            <w:pPr>
              <w:rPr>
                <w:sz w:val="24"/>
              </w:rPr>
            </w:pPr>
            <w:r>
              <w:rPr>
                <w:rFonts w:hint="eastAsia"/>
                <w:sz w:val="24"/>
              </w:rPr>
              <w:t>暂停申购、转换转入、定期定额投资的原因说明</w:t>
            </w:r>
          </w:p>
        </w:tc>
        <w:tc>
          <w:tcPr>
            <w:tcW w:w="1969" w:type="pct"/>
            <w:tcBorders>
              <w:top w:val="single" w:color="000000" w:sz="4" w:space="0"/>
              <w:left w:val="single" w:color="000000" w:sz="4" w:space="0"/>
              <w:bottom w:val="single" w:color="000000" w:sz="4" w:space="0"/>
              <w:right w:val="single" w:color="000000" w:sz="4" w:space="0"/>
            </w:tcBorders>
            <w:vAlign w:val="center"/>
          </w:tcPr>
          <w:p w14:paraId="7F942A04">
            <w:pPr>
              <w:rPr>
                <w:sz w:val="24"/>
              </w:rPr>
            </w:pPr>
            <w:r>
              <w:rPr>
                <w:rFonts w:hint="eastAsia"/>
                <w:sz w:val="24"/>
              </w:rPr>
              <w:t>为保护基金份额持有人的利益，交银施罗德基金管理有限公司（以下简称“本公司”）决定于</w:t>
            </w:r>
            <w:r>
              <w:rPr>
                <w:sz w:val="24"/>
              </w:rPr>
              <w:t>202</w:t>
            </w:r>
            <w:r>
              <w:rPr>
                <w:rFonts w:hint="eastAsia"/>
                <w:sz w:val="24"/>
                <w:lang w:val="en-US" w:eastAsia="zh-CN"/>
              </w:rPr>
              <w:t>6</w:t>
            </w:r>
            <w:r>
              <w:rPr>
                <w:sz w:val="24"/>
              </w:rPr>
              <w:t>年</w:t>
            </w:r>
            <w:r>
              <w:rPr>
                <w:rFonts w:hint="eastAsia"/>
                <w:sz w:val="24"/>
                <w:lang w:val="en-US" w:eastAsia="zh-CN"/>
              </w:rPr>
              <w:t>9</w:t>
            </w:r>
            <w:r>
              <w:rPr>
                <w:rFonts w:hint="eastAsia"/>
                <w:sz w:val="24"/>
              </w:rPr>
              <w:t>月</w:t>
            </w:r>
            <w:r>
              <w:rPr>
                <w:rFonts w:hint="eastAsia"/>
                <w:sz w:val="24"/>
                <w:lang w:val="en-US" w:eastAsia="zh-CN"/>
              </w:rPr>
              <w:t>23</w:t>
            </w:r>
            <w:r>
              <w:rPr>
                <w:rFonts w:hint="eastAsia"/>
                <w:sz w:val="24"/>
              </w:rPr>
              <w:t>日</w:t>
            </w:r>
            <w:r>
              <w:rPr>
                <w:rFonts w:hint="eastAsia"/>
                <w:sz w:val="24"/>
                <w:lang w:eastAsia="zh-CN"/>
              </w:rPr>
              <w:t>（</w:t>
            </w:r>
            <w:r>
              <w:rPr>
                <w:rFonts w:hint="eastAsia"/>
                <w:sz w:val="24"/>
                <w:lang w:val="en-US" w:eastAsia="zh-CN"/>
              </w:rPr>
              <w:t>星期三</w:t>
            </w:r>
            <w:r>
              <w:rPr>
                <w:rFonts w:hint="eastAsia"/>
                <w:sz w:val="24"/>
                <w:lang w:eastAsia="zh-CN"/>
              </w:rPr>
              <w:t>）</w:t>
            </w:r>
            <w:r>
              <w:rPr>
                <w:rFonts w:hint="eastAsia"/>
                <w:sz w:val="24"/>
              </w:rPr>
              <w:t>起暂停本基金的申购、转换转入和定期定额投资业务。</w:t>
            </w:r>
          </w:p>
        </w:tc>
      </w:tr>
      <w:tr w14:paraId="04ECC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left w:val="single" w:color="000000" w:sz="4" w:space="0"/>
              <w:right w:val="single" w:color="000000" w:sz="4" w:space="0"/>
            </w:tcBorders>
            <w:vAlign w:val="center"/>
          </w:tcPr>
          <w:p w14:paraId="5948C096">
            <w:pPr>
              <w:rPr>
                <w:sz w:val="24"/>
              </w:rPr>
            </w:pPr>
            <w:r>
              <w:rPr>
                <w:rFonts w:hint="eastAsia"/>
                <w:sz w:val="24"/>
              </w:rPr>
              <w:t xml:space="preserve">下属分级基金的基金简称 </w:t>
            </w:r>
          </w:p>
        </w:tc>
        <w:tc>
          <w:tcPr>
            <w:tcW w:w="1628" w:type="pct"/>
            <w:tcBorders>
              <w:top w:val="single" w:color="000000" w:sz="4" w:space="0"/>
              <w:left w:val="single" w:color="000000" w:sz="4" w:space="0"/>
              <w:bottom w:val="single" w:color="000000" w:sz="4" w:space="0"/>
              <w:right w:val="single" w:color="000000" w:sz="4" w:space="0"/>
            </w:tcBorders>
            <w:vAlign w:val="center"/>
          </w:tcPr>
          <w:p w14:paraId="57111C92">
            <w:pPr>
              <w:rPr>
                <w:sz w:val="24"/>
              </w:rPr>
            </w:pPr>
            <w:r>
              <w:rPr>
                <w:rFonts w:hint="eastAsia"/>
                <w:sz w:val="24"/>
              </w:rPr>
              <w:t>交银智选进取三个月持有期混合发起（FOF）A</w:t>
            </w:r>
          </w:p>
        </w:tc>
        <w:tc>
          <w:tcPr>
            <w:tcW w:w="1969" w:type="pct"/>
            <w:tcBorders>
              <w:top w:val="single" w:color="000000" w:sz="4" w:space="0"/>
              <w:left w:val="single" w:color="000000" w:sz="4" w:space="0"/>
              <w:bottom w:val="single" w:color="000000" w:sz="4" w:space="0"/>
              <w:right w:val="single" w:color="000000" w:sz="4" w:space="0"/>
            </w:tcBorders>
            <w:vAlign w:val="center"/>
          </w:tcPr>
          <w:p w14:paraId="46820453">
            <w:pPr>
              <w:rPr>
                <w:sz w:val="24"/>
              </w:rPr>
            </w:pPr>
            <w:r>
              <w:rPr>
                <w:rFonts w:hint="eastAsia"/>
                <w:sz w:val="24"/>
              </w:rPr>
              <w:t>交银智选进取三个月持有期混合发起（FOF）C</w:t>
            </w:r>
          </w:p>
        </w:tc>
      </w:tr>
      <w:tr w14:paraId="3C16A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left w:val="single" w:color="000000" w:sz="4" w:space="0"/>
              <w:right w:val="single" w:color="000000" w:sz="4" w:space="0"/>
            </w:tcBorders>
            <w:vAlign w:val="center"/>
          </w:tcPr>
          <w:p w14:paraId="0A3E7F91">
            <w:pPr>
              <w:rPr>
                <w:sz w:val="24"/>
              </w:rPr>
            </w:pPr>
            <w:r>
              <w:rPr>
                <w:rFonts w:hint="eastAsia"/>
                <w:sz w:val="24"/>
              </w:rPr>
              <w:t>下属分级基金的交易代码</w:t>
            </w:r>
          </w:p>
        </w:tc>
        <w:tc>
          <w:tcPr>
            <w:tcW w:w="1628" w:type="pct"/>
            <w:tcBorders>
              <w:top w:val="single" w:color="000000" w:sz="4" w:space="0"/>
              <w:left w:val="single" w:color="000000" w:sz="4" w:space="0"/>
              <w:bottom w:val="single" w:color="000000" w:sz="4" w:space="0"/>
              <w:right w:val="single" w:color="000000" w:sz="4" w:space="0"/>
            </w:tcBorders>
            <w:vAlign w:val="center"/>
          </w:tcPr>
          <w:p w14:paraId="1AB0A5AF">
            <w:pPr>
              <w:rPr>
                <w:sz w:val="24"/>
              </w:rPr>
            </w:pPr>
            <w:r>
              <w:rPr>
                <w:sz w:val="24"/>
              </w:rPr>
              <w:t>019211</w:t>
            </w:r>
          </w:p>
        </w:tc>
        <w:tc>
          <w:tcPr>
            <w:tcW w:w="1969" w:type="pct"/>
            <w:tcBorders>
              <w:top w:val="single" w:color="000000" w:sz="4" w:space="0"/>
              <w:left w:val="single" w:color="000000" w:sz="4" w:space="0"/>
              <w:bottom w:val="single" w:color="000000" w:sz="4" w:space="0"/>
              <w:right w:val="single" w:color="000000" w:sz="4" w:space="0"/>
            </w:tcBorders>
            <w:vAlign w:val="center"/>
          </w:tcPr>
          <w:p w14:paraId="05D0F369">
            <w:pPr>
              <w:rPr>
                <w:sz w:val="24"/>
              </w:rPr>
            </w:pPr>
            <w:r>
              <w:rPr>
                <w:sz w:val="24"/>
              </w:rPr>
              <w:t>019212</w:t>
            </w:r>
          </w:p>
        </w:tc>
      </w:tr>
      <w:tr w14:paraId="76798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3" w:type="pct"/>
            <w:tcBorders>
              <w:left w:val="single" w:color="000000" w:sz="4" w:space="0"/>
              <w:bottom w:val="single" w:color="000000" w:sz="4" w:space="0"/>
              <w:right w:val="single" w:color="000000" w:sz="4" w:space="0"/>
            </w:tcBorders>
            <w:vAlign w:val="center"/>
          </w:tcPr>
          <w:p w14:paraId="4BD960EB">
            <w:pPr>
              <w:rPr>
                <w:sz w:val="24"/>
              </w:rPr>
            </w:pPr>
            <w:r>
              <w:rPr>
                <w:rFonts w:hint="eastAsia"/>
                <w:sz w:val="24"/>
              </w:rPr>
              <w:t>该分级基金是否暂停申购、转换转入、定期定额投资业务</w:t>
            </w:r>
          </w:p>
        </w:tc>
        <w:tc>
          <w:tcPr>
            <w:tcW w:w="1628" w:type="pct"/>
            <w:tcBorders>
              <w:top w:val="single" w:color="000000" w:sz="4" w:space="0"/>
              <w:left w:val="single" w:color="000000" w:sz="4" w:space="0"/>
              <w:bottom w:val="single" w:color="000000" w:sz="4" w:space="0"/>
              <w:right w:val="single" w:color="000000" w:sz="4" w:space="0"/>
            </w:tcBorders>
            <w:vAlign w:val="center"/>
          </w:tcPr>
          <w:p w14:paraId="6D6803A4">
            <w:pPr>
              <w:rPr>
                <w:sz w:val="24"/>
              </w:rPr>
            </w:pPr>
            <w:r>
              <w:rPr>
                <w:rFonts w:hint="eastAsia"/>
                <w:sz w:val="24"/>
              </w:rPr>
              <w:t>是</w:t>
            </w:r>
          </w:p>
        </w:tc>
        <w:tc>
          <w:tcPr>
            <w:tcW w:w="1969" w:type="pct"/>
            <w:tcBorders>
              <w:top w:val="single" w:color="000000" w:sz="4" w:space="0"/>
              <w:left w:val="single" w:color="000000" w:sz="4" w:space="0"/>
              <w:bottom w:val="single" w:color="000000" w:sz="4" w:space="0"/>
              <w:right w:val="single" w:color="000000" w:sz="4" w:space="0"/>
            </w:tcBorders>
            <w:vAlign w:val="center"/>
          </w:tcPr>
          <w:p w14:paraId="4A609679">
            <w:pPr>
              <w:rPr>
                <w:sz w:val="24"/>
              </w:rPr>
            </w:pPr>
            <w:r>
              <w:rPr>
                <w:rFonts w:hint="eastAsia"/>
                <w:sz w:val="24"/>
              </w:rPr>
              <w:t>是</w:t>
            </w:r>
          </w:p>
        </w:tc>
      </w:tr>
    </w:tbl>
    <w:p w14:paraId="307E3389">
      <w:pPr>
        <w:pStyle w:val="2"/>
        <w:keepNext w:val="0"/>
        <w:keepLines w:val="0"/>
        <w:spacing w:before="0" w:after="0" w:line="360" w:lineRule="auto"/>
        <w:rPr>
          <w:color w:val="000000"/>
          <w:sz w:val="24"/>
          <w:szCs w:val="24"/>
        </w:rPr>
      </w:pPr>
    </w:p>
    <w:p w14:paraId="748BEAB4">
      <w:pPr>
        <w:pStyle w:val="2"/>
        <w:keepNext w:val="0"/>
        <w:keepLines w:val="0"/>
        <w:spacing w:before="0" w:after="0" w:line="360" w:lineRule="auto"/>
        <w:rPr>
          <w:color w:val="000000"/>
          <w:sz w:val="24"/>
          <w:szCs w:val="24"/>
        </w:rPr>
      </w:pPr>
      <w:r>
        <w:rPr>
          <w:color w:val="000000"/>
          <w:sz w:val="24"/>
          <w:szCs w:val="24"/>
        </w:rPr>
        <w:t>2.</w:t>
      </w:r>
      <w:r>
        <w:rPr>
          <w:rFonts w:hint="eastAsia"/>
          <w:color w:val="000000"/>
          <w:sz w:val="24"/>
          <w:szCs w:val="24"/>
        </w:rPr>
        <w:t>其他需要提示的事项</w:t>
      </w:r>
    </w:p>
    <w:p w14:paraId="4A80F072">
      <w:pPr>
        <w:spacing w:line="360" w:lineRule="auto"/>
        <w:ind w:firstLine="480" w:firstLineChars="200"/>
        <w:rPr>
          <w:color w:val="000000"/>
          <w:sz w:val="24"/>
        </w:rPr>
      </w:pPr>
      <w:r>
        <w:rPr>
          <w:rFonts w:hint="eastAsia"/>
          <w:color w:val="000000"/>
          <w:sz w:val="24"/>
        </w:rPr>
        <w:t>（1）在本基金上述暂停申购</w:t>
      </w:r>
      <w:r>
        <w:rPr>
          <w:rFonts w:hint="eastAsia"/>
          <w:color w:val="000000"/>
          <w:sz w:val="24"/>
          <w:lang w:eastAsia="zh-CN"/>
        </w:rPr>
        <w:t>、</w:t>
      </w:r>
      <w:r>
        <w:rPr>
          <w:rFonts w:hint="eastAsia"/>
          <w:color w:val="000000"/>
          <w:sz w:val="24"/>
        </w:rPr>
        <w:t>转换转入、定期定额投资业务期间，本基金的赎回</w:t>
      </w:r>
      <w:r>
        <w:rPr>
          <w:rFonts w:hint="eastAsia"/>
          <w:color w:val="000000"/>
          <w:sz w:val="24"/>
          <w:lang w:eastAsia="zh-CN"/>
        </w:rPr>
        <w:t>、</w:t>
      </w:r>
      <w:r>
        <w:rPr>
          <w:rFonts w:hint="eastAsia"/>
          <w:color w:val="000000"/>
          <w:sz w:val="24"/>
        </w:rPr>
        <w:t>转换转出业务正常进行。</w:t>
      </w:r>
    </w:p>
    <w:p w14:paraId="4F952C11">
      <w:pPr>
        <w:spacing w:line="360" w:lineRule="auto"/>
        <w:ind w:firstLine="480" w:firstLineChars="200"/>
        <w:rPr>
          <w:color w:val="000000"/>
          <w:sz w:val="24"/>
        </w:rPr>
      </w:pPr>
      <w:r>
        <w:rPr>
          <w:rFonts w:hint="eastAsia"/>
          <w:color w:val="000000"/>
          <w:sz w:val="24"/>
        </w:rPr>
        <w:t>（</w:t>
      </w:r>
      <w:r>
        <w:rPr>
          <w:color w:val="000000"/>
          <w:sz w:val="24"/>
        </w:rPr>
        <w:t>2</w:t>
      </w:r>
      <w:r>
        <w:rPr>
          <w:rFonts w:hint="eastAsia"/>
          <w:color w:val="000000"/>
          <w:sz w:val="24"/>
        </w:rPr>
        <w:t>）投资者可通过以下途径了解或咨询详请：</w:t>
      </w:r>
    </w:p>
    <w:p w14:paraId="28C85C2C">
      <w:pPr>
        <w:spacing w:line="360" w:lineRule="auto"/>
        <w:ind w:firstLine="480" w:firstLineChars="200"/>
        <w:rPr>
          <w:color w:val="000000"/>
          <w:sz w:val="24"/>
        </w:rPr>
      </w:pPr>
      <w:r>
        <w:rPr>
          <w:color w:val="000000"/>
          <w:sz w:val="24"/>
        </w:rPr>
        <w:t>1</w:t>
      </w:r>
      <w:r>
        <w:rPr>
          <w:rFonts w:hint="eastAsia"/>
          <w:color w:val="000000"/>
          <w:sz w:val="24"/>
        </w:rPr>
        <w:t>）本公司网址：</w:t>
      </w:r>
      <w:r>
        <w:rPr>
          <w:color w:val="000000"/>
          <w:sz w:val="24"/>
        </w:rPr>
        <w:t>www.fund</w:t>
      </w:r>
      <w:r>
        <w:rPr>
          <w:rFonts w:hint="eastAsia"/>
          <w:color w:val="000000"/>
          <w:sz w:val="24"/>
        </w:rPr>
        <w:t>001</w:t>
      </w:r>
      <w:r>
        <w:rPr>
          <w:color w:val="000000"/>
          <w:sz w:val="24"/>
        </w:rPr>
        <w:t>.com</w:t>
      </w:r>
    </w:p>
    <w:p w14:paraId="2984CF37">
      <w:pPr>
        <w:spacing w:line="360" w:lineRule="auto"/>
        <w:ind w:firstLine="480" w:firstLineChars="200"/>
        <w:rPr>
          <w:color w:val="000000"/>
          <w:sz w:val="24"/>
        </w:rPr>
      </w:pPr>
      <w:r>
        <w:rPr>
          <w:color w:val="000000"/>
          <w:sz w:val="24"/>
        </w:rPr>
        <w:t>2</w:t>
      </w:r>
      <w:r>
        <w:rPr>
          <w:rFonts w:hint="eastAsia"/>
          <w:color w:val="000000"/>
          <w:sz w:val="24"/>
        </w:rPr>
        <w:t>）本公司客户服务电话：</w:t>
      </w:r>
      <w:r>
        <w:rPr>
          <w:color w:val="000000"/>
          <w:sz w:val="24"/>
        </w:rPr>
        <w:t>400-700-5000</w:t>
      </w:r>
      <w:r>
        <w:rPr>
          <w:rFonts w:hint="eastAsia"/>
          <w:color w:val="000000"/>
          <w:sz w:val="24"/>
        </w:rPr>
        <w:t>（免长途话费），（</w:t>
      </w:r>
      <w:r>
        <w:rPr>
          <w:color w:val="000000"/>
          <w:sz w:val="24"/>
        </w:rPr>
        <w:t>021</w:t>
      </w:r>
      <w:r>
        <w:rPr>
          <w:rFonts w:hint="eastAsia"/>
          <w:color w:val="000000"/>
          <w:sz w:val="24"/>
        </w:rPr>
        <w:t>）</w:t>
      </w:r>
      <w:r>
        <w:rPr>
          <w:color w:val="000000"/>
          <w:sz w:val="24"/>
        </w:rPr>
        <w:t>61055000</w:t>
      </w:r>
    </w:p>
    <w:p w14:paraId="670E328A">
      <w:pPr>
        <w:spacing w:line="360" w:lineRule="auto"/>
        <w:ind w:firstLine="480" w:firstLineChars="200"/>
        <w:rPr>
          <w:color w:val="000000"/>
          <w:sz w:val="24"/>
        </w:rPr>
      </w:pPr>
      <w:r>
        <w:rPr>
          <w:color w:val="000000"/>
          <w:sz w:val="24"/>
        </w:rPr>
        <w:t>3</w:t>
      </w:r>
      <w:r>
        <w:rPr>
          <w:rFonts w:hint="eastAsia"/>
          <w:color w:val="000000"/>
          <w:sz w:val="24"/>
        </w:rPr>
        <w:t>）本公司客户服务邮箱：</w:t>
      </w:r>
      <w:r>
        <w:rPr>
          <w:color w:val="000000"/>
          <w:sz w:val="24"/>
        </w:rPr>
        <w:t>services@jysld.com</w:t>
      </w:r>
    </w:p>
    <w:p w14:paraId="26B5D5DD">
      <w:pPr>
        <w:spacing w:line="360" w:lineRule="auto"/>
        <w:ind w:firstLine="480" w:firstLineChars="200"/>
        <w:rPr>
          <w:color w:val="000000"/>
          <w:sz w:val="24"/>
        </w:rPr>
      </w:pPr>
    </w:p>
    <w:p w14:paraId="28DA512F">
      <w:pPr>
        <w:spacing w:line="360" w:lineRule="auto"/>
        <w:ind w:firstLine="480" w:firstLineChars="200"/>
        <w:rPr>
          <w:color w:val="000000"/>
          <w:sz w:val="24"/>
        </w:rPr>
      </w:pPr>
      <w:r>
        <w:rPr>
          <w:rFonts w:hint="eastAsia"/>
          <w:color w:val="000000"/>
          <w:sz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14:paraId="5A694001">
      <w:pPr>
        <w:spacing w:line="360" w:lineRule="auto"/>
        <w:ind w:firstLine="480" w:firstLineChars="200"/>
        <w:rPr>
          <w:color w:val="000000"/>
          <w:sz w:val="24"/>
        </w:rPr>
      </w:pPr>
    </w:p>
    <w:p w14:paraId="12C94E97">
      <w:pPr>
        <w:spacing w:line="360" w:lineRule="auto"/>
        <w:ind w:firstLine="480" w:firstLineChars="200"/>
        <w:rPr>
          <w:color w:val="000000"/>
          <w:sz w:val="24"/>
        </w:rPr>
      </w:pPr>
      <w:r>
        <w:rPr>
          <w:rFonts w:hint="eastAsia"/>
          <w:color w:val="000000"/>
          <w:sz w:val="24"/>
        </w:rPr>
        <w:t>特此公告。</w:t>
      </w:r>
    </w:p>
    <w:p w14:paraId="4FD8C3BB">
      <w:pPr>
        <w:spacing w:line="360" w:lineRule="auto"/>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8D5"/>
    <w:rsid w:val="000072BE"/>
    <w:rsid w:val="0002200B"/>
    <w:rsid w:val="00031FF8"/>
    <w:rsid w:val="00036C65"/>
    <w:rsid w:val="00046E9C"/>
    <w:rsid w:val="00066A2C"/>
    <w:rsid w:val="00081891"/>
    <w:rsid w:val="00081DCE"/>
    <w:rsid w:val="000825AC"/>
    <w:rsid w:val="000A1123"/>
    <w:rsid w:val="000A5FA3"/>
    <w:rsid w:val="000B15D6"/>
    <w:rsid w:val="000C148B"/>
    <w:rsid w:val="000C6EA7"/>
    <w:rsid w:val="000C788E"/>
    <w:rsid w:val="000C7A3A"/>
    <w:rsid w:val="000E1720"/>
    <w:rsid w:val="001026C6"/>
    <w:rsid w:val="00102C45"/>
    <w:rsid w:val="001064E1"/>
    <w:rsid w:val="0010669B"/>
    <w:rsid w:val="001177A2"/>
    <w:rsid w:val="001177E6"/>
    <w:rsid w:val="001259DA"/>
    <w:rsid w:val="00131560"/>
    <w:rsid w:val="00144688"/>
    <w:rsid w:val="00167036"/>
    <w:rsid w:val="00167CB1"/>
    <w:rsid w:val="001771BB"/>
    <w:rsid w:val="0017781E"/>
    <w:rsid w:val="00194BE7"/>
    <w:rsid w:val="001A0AEA"/>
    <w:rsid w:val="001A540E"/>
    <w:rsid w:val="001B18D5"/>
    <w:rsid w:val="001B2C80"/>
    <w:rsid w:val="001B46D0"/>
    <w:rsid w:val="001B7FFC"/>
    <w:rsid w:val="001C0C74"/>
    <w:rsid w:val="001C76BD"/>
    <w:rsid w:val="001D06BE"/>
    <w:rsid w:val="001D697E"/>
    <w:rsid w:val="001D7512"/>
    <w:rsid w:val="001E3D7A"/>
    <w:rsid w:val="001E59B3"/>
    <w:rsid w:val="001E6237"/>
    <w:rsid w:val="002179AD"/>
    <w:rsid w:val="00220101"/>
    <w:rsid w:val="002300E8"/>
    <w:rsid w:val="00233321"/>
    <w:rsid w:val="00236796"/>
    <w:rsid w:val="002370E1"/>
    <w:rsid w:val="00241C9C"/>
    <w:rsid w:val="00243A26"/>
    <w:rsid w:val="0026040C"/>
    <w:rsid w:val="002647E2"/>
    <w:rsid w:val="00274B91"/>
    <w:rsid w:val="00293AA5"/>
    <w:rsid w:val="002B6FE8"/>
    <w:rsid w:val="002E26DC"/>
    <w:rsid w:val="002E4451"/>
    <w:rsid w:val="002E46A6"/>
    <w:rsid w:val="002E5563"/>
    <w:rsid w:val="002E6184"/>
    <w:rsid w:val="002E7861"/>
    <w:rsid w:val="002F21FD"/>
    <w:rsid w:val="002F254C"/>
    <w:rsid w:val="00303BCA"/>
    <w:rsid w:val="0031520A"/>
    <w:rsid w:val="00346CDC"/>
    <w:rsid w:val="00350438"/>
    <w:rsid w:val="00355CA3"/>
    <w:rsid w:val="00362BB5"/>
    <w:rsid w:val="0036368D"/>
    <w:rsid w:val="00371771"/>
    <w:rsid w:val="003775D4"/>
    <w:rsid w:val="00381395"/>
    <w:rsid w:val="0038427A"/>
    <w:rsid w:val="00386330"/>
    <w:rsid w:val="00387344"/>
    <w:rsid w:val="00387D1D"/>
    <w:rsid w:val="003A116A"/>
    <w:rsid w:val="003A5ACD"/>
    <w:rsid w:val="003C056B"/>
    <w:rsid w:val="003C580C"/>
    <w:rsid w:val="003D2213"/>
    <w:rsid w:val="003F0743"/>
    <w:rsid w:val="003F65D7"/>
    <w:rsid w:val="003F7678"/>
    <w:rsid w:val="004045A2"/>
    <w:rsid w:val="004309A5"/>
    <w:rsid w:val="004347EC"/>
    <w:rsid w:val="00435869"/>
    <w:rsid w:val="0043623F"/>
    <w:rsid w:val="004451FB"/>
    <w:rsid w:val="00464A54"/>
    <w:rsid w:val="00464C85"/>
    <w:rsid w:val="004A1131"/>
    <w:rsid w:val="004A24CD"/>
    <w:rsid w:val="004A4F96"/>
    <w:rsid w:val="004B021D"/>
    <w:rsid w:val="004B5F23"/>
    <w:rsid w:val="004C4847"/>
    <w:rsid w:val="004E0C62"/>
    <w:rsid w:val="004F2F0B"/>
    <w:rsid w:val="00500D62"/>
    <w:rsid w:val="00501C93"/>
    <w:rsid w:val="005107ED"/>
    <w:rsid w:val="0051133E"/>
    <w:rsid w:val="0052411F"/>
    <w:rsid w:val="005361D6"/>
    <w:rsid w:val="00543AA7"/>
    <w:rsid w:val="00545219"/>
    <w:rsid w:val="00567D1B"/>
    <w:rsid w:val="00573695"/>
    <w:rsid w:val="00592B63"/>
    <w:rsid w:val="005972D2"/>
    <w:rsid w:val="005A2917"/>
    <w:rsid w:val="005A33D0"/>
    <w:rsid w:val="005B2EA5"/>
    <w:rsid w:val="005B61E9"/>
    <w:rsid w:val="005C0CC6"/>
    <w:rsid w:val="005C17EC"/>
    <w:rsid w:val="005C21E9"/>
    <w:rsid w:val="005D003E"/>
    <w:rsid w:val="005D1892"/>
    <w:rsid w:val="005D18C2"/>
    <w:rsid w:val="005D1BA8"/>
    <w:rsid w:val="005D3A38"/>
    <w:rsid w:val="005D5FEE"/>
    <w:rsid w:val="005F1D07"/>
    <w:rsid w:val="005F78D0"/>
    <w:rsid w:val="00605216"/>
    <w:rsid w:val="006246ED"/>
    <w:rsid w:val="00625772"/>
    <w:rsid w:val="00626804"/>
    <w:rsid w:val="0062688B"/>
    <w:rsid w:val="0063296A"/>
    <w:rsid w:val="00654EAE"/>
    <w:rsid w:val="00662458"/>
    <w:rsid w:val="00670AC0"/>
    <w:rsid w:val="0067229A"/>
    <w:rsid w:val="006728BF"/>
    <w:rsid w:val="006849E0"/>
    <w:rsid w:val="006927E3"/>
    <w:rsid w:val="00694C69"/>
    <w:rsid w:val="006A624A"/>
    <w:rsid w:val="006B1C27"/>
    <w:rsid w:val="0070143C"/>
    <w:rsid w:val="00704EA1"/>
    <w:rsid w:val="00707143"/>
    <w:rsid w:val="007123AE"/>
    <w:rsid w:val="00721BC4"/>
    <w:rsid w:val="00726AB2"/>
    <w:rsid w:val="00727B57"/>
    <w:rsid w:val="00730C90"/>
    <w:rsid w:val="00747232"/>
    <w:rsid w:val="00747F7F"/>
    <w:rsid w:val="00772123"/>
    <w:rsid w:val="00774AC0"/>
    <w:rsid w:val="00781874"/>
    <w:rsid w:val="00782425"/>
    <w:rsid w:val="0078413B"/>
    <w:rsid w:val="00787AA4"/>
    <w:rsid w:val="007B495D"/>
    <w:rsid w:val="007C4750"/>
    <w:rsid w:val="007D4AD2"/>
    <w:rsid w:val="007F1BA1"/>
    <w:rsid w:val="008011B9"/>
    <w:rsid w:val="00824238"/>
    <w:rsid w:val="0084246E"/>
    <w:rsid w:val="00854E22"/>
    <w:rsid w:val="00856AAD"/>
    <w:rsid w:val="00856E09"/>
    <w:rsid w:val="00861631"/>
    <w:rsid w:val="008641DA"/>
    <w:rsid w:val="00867697"/>
    <w:rsid w:val="008737FA"/>
    <w:rsid w:val="00880309"/>
    <w:rsid w:val="00896C0A"/>
    <w:rsid w:val="008A5BE6"/>
    <w:rsid w:val="008A66FA"/>
    <w:rsid w:val="008A776C"/>
    <w:rsid w:val="008C3FD3"/>
    <w:rsid w:val="008E0CA6"/>
    <w:rsid w:val="008E33CD"/>
    <w:rsid w:val="008E4F89"/>
    <w:rsid w:val="008F567D"/>
    <w:rsid w:val="00910246"/>
    <w:rsid w:val="009103D4"/>
    <w:rsid w:val="0091165F"/>
    <w:rsid w:val="00916A7B"/>
    <w:rsid w:val="00920E12"/>
    <w:rsid w:val="00922878"/>
    <w:rsid w:val="009403A4"/>
    <w:rsid w:val="00942836"/>
    <w:rsid w:val="00942E72"/>
    <w:rsid w:val="00944434"/>
    <w:rsid w:val="00946387"/>
    <w:rsid w:val="00946F1A"/>
    <w:rsid w:val="009A129F"/>
    <w:rsid w:val="009A665D"/>
    <w:rsid w:val="009B313D"/>
    <w:rsid w:val="009B6953"/>
    <w:rsid w:val="009C00CB"/>
    <w:rsid w:val="009C2483"/>
    <w:rsid w:val="009C50DD"/>
    <w:rsid w:val="009E1D3E"/>
    <w:rsid w:val="009E5D43"/>
    <w:rsid w:val="009F4FFF"/>
    <w:rsid w:val="00A059BA"/>
    <w:rsid w:val="00A24671"/>
    <w:rsid w:val="00A326F1"/>
    <w:rsid w:val="00A335F0"/>
    <w:rsid w:val="00A5758C"/>
    <w:rsid w:val="00A61152"/>
    <w:rsid w:val="00A67B39"/>
    <w:rsid w:val="00A85598"/>
    <w:rsid w:val="00A97FFC"/>
    <w:rsid w:val="00AA0A7D"/>
    <w:rsid w:val="00AA1249"/>
    <w:rsid w:val="00AA1F91"/>
    <w:rsid w:val="00AA2121"/>
    <w:rsid w:val="00AC6D1A"/>
    <w:rsid w:val="00AD06BC"/>
    <w:rsid w:val="00AD7A11"/>
    <w:rsid w:val="00AE2BDA"/>
    <w:rsid w:val="00AF11B2"/>
    <w:rsid w:val="00AF143E"/>
    <w:rsid w:val="00AF490D"/>
    <w:rsid w:val="00B0493E"/>
    <w:rsid w:val="00B12396"/>
    <w:rsid w:val="00B17E7D"/>
    <w:rsid w:val="00B206C1"/>
    <w:rsid w:val="00B5512F"/>
    <w:rsid w:val="00B56F38"/>
    <w:rsid w:val="00B57B06"/>
    <w:rsid w:val="00B650BE"/>
    <w:rsid w:val="00B72BA2"/>
    <w:rsid w:val="00B74604"/>
    <w:rsid w:val="00B86B29"/>
    <w:rsid w:val="00B955AE"/>
    <w:rsid w:val="00BC3237"/>
    <w:rsid w:val="00BC6DF3"/>
    <w:rsid w:val="00BD2E20"/>
    <w:rsid w:val="00BD6DF6"/>
    <w:rsid w:val="00BE6318"/>
    <w:rsid w:val="00BF01F7"/>
    <w:rsid w:val="00BF57B3"/>
    <w:rsid w:val="00C11EC5"/>
    <w:rsid w:val="00C12757"/>
    <w:rsid w:val="00C225E3"/>
    <w:rsid w:val="00C25CE6"/>
    <w:rsid w:val="00C32F38"/>
    <w:rsid w:val="00C36711"/>
    <w:rsid w:val="00C36D71"/>
    <w:rsid w:val="00C73DCB"/>
    <w:rsid w:val="00C80646"/>
    <w:rsid w:val="00C8375C"/>
    <w:rsid w:val="00C83A04"/>
    <w:rsid w:val="00C91CCC"/>
    <w:rsid w:val="00C964A0"/>
    <w:rsid w:val="00CB05D6"/>
    <w:rsid w:val="00CB1C76"/>
    <w:rsid w:val="00CC1261"/>
    <w:rsid w:val="00CD3003"/>
    <w:rsid w:val="00CD4E22"/>
    <w:rsid w:val="00CF747C"/>
    <w:rsid w:val="00D0105A"/>
    <w:rsid w:val="00D060F7"/>
    <w:rsid w:val="00D102A5"/>
    <w:rsid w:val="00D2060E"/>
    <w:rsid w:val="00D25EAD"/>
    <w:rsid w:val="00D2635C"/>
    <w:rsid w:val="00D26C41"/>
    <w:rsid w:val="00D32DDA"/>
    <w:rsid w:val="00D34B54"/>
    <w:rsid w:val="00D551C0"/>
    <w:rsid w:val="00D65254"/>
    <w:rsid w:val="00D66FF3"/>
    <w:rsid w:val="00D717E6"/>
    <w:rsid w:val="00D762CB"/>
    <w:rsid w:val="00D90339"/>
    <w:rsid w:val="00D90ADA"/>
    <w:rsid w:val="00DA2FB1"/>
    <w:rsid w:val="00DB4D51"/>
    <w:rsid w:val="00DC6914"/>
    <w:rsid w:val="00DD2AD9"/>
    <w:rsid w:val="00DD4429"/>
    <w:rsid w:val="00DD73B7"/>
    <w:rsid w:val="00DE2B50"/>
    <w:rsid w:val="00DF4A6E"/>
    <w:rsid w:val="00DF5AD2"/>
    <w:rsid w:val="00DF5AF9"/>
    <w:rsid w:val="00E70FE6"/>
    <w:rsid w:val="00E77E31"/>
    <w:rsid w:val="00E8692F"/>
    <w:rsid w:val="00E97458"/>
    <w:rsid w:val="00EA2F18"/>
    <w:rsid w:val="00EB338E"/>
    <w:rsid w:val="00EB45D1"/>
    <w:rsid w:val="00EC0491"/>
    <w:rsid w:val="00ED35E0"/>
    <w:rsid w:val="00F00584"/>
    <w:rsid w:val="00F02107"/>
    <w:rsid w:val="00F04190"/>
    <w:rsid w:val="00F10708"/>
    <w:rsid w:val="00F33F87"/>
    <w:rsid w:val="00F3528F"/>
    <w:rsid w:val="00F46272"/>
    <w:rsid w:val="00F46C17"/>
    <w:rsid w:val="00F84E8D"/>
    <w:rsid w:val="00F94DD5"/>
    <w:rsid w:val="00FA04FE"/>
    <w:rsid w:val="00FA4317"/>
    <w:rsid w:val="00FB0422"/>
    <w:rsid w:val="00FB5ED5"/>
    <w:rsid w:val="00FD4448"/>
    <w:rsid w:val="00FD5041"/>
    <w:rsid w:val="00FE6182"/>
    <w:rsid w:val="17F61E1C"/>
    <w:rsid w:val="1D3C3403"/>
    <w:rsid w:val="24B52872"/>
    <w:rsid w:val="3EC116FE"/>
    <w:rsid w:val="405C3D1C"/>
    <w:rsid w:val="47C4258B"/>
    <w:rsid w:val="4A0A11B7"/>
    <w:rsid w:val="4CAD64D5"/>
    <w:rsid w:val="6B816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2"/>
    <w:semiHidden/>
    <w:unhideWhenUsed/>
    <w:qFormat/>
    <w:uiPriority w:val="0"/>
    <w:pPr>
      <w:keepNext/>
      <w:keepLines/>
      <w:spacing w:before="260" w:after="260" w:line="415" w:lineRule="auto"/>
      <w:outlineLvl w:val="2"/>
    </w:pPr>
    <w:rPr>
      <w:b/>
      <w:bCs/>
      <w:sz w:val="32"/>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semiHidden/>
    <w:unhideWhenUsed/>
    <w:qFormat/>
    <w:uiPriority w:val="99"/>
    <w:rPr>
      <w:b/>
      <w:bCs/>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semiHidden/>
    <w:unhideWhenUsed/>
    <w:uiPriority w:val="99"/>
    <w:rPr>
      <w:sz w:val="21"/>
      <w:szCs w:val="21"/>
    </w:rPr>
  </w:style>
  <w:style w:type="character" w:customStyle="1" w:styleId="12">
    <w:name w:val="标题 3 字符"/>
    <w:link w:val="2"/>
    <w:semiHidden/>
    <w:qFormat/>
    <w:uiPriority w:val="0"/>
    <w:rPr>
      <w:rFonts w:ascii="Times New Roman" w:hAnsi="Times New Roman" w:eastAsia="宋体" w:cs="Times New Roman"/>
      <w:b/>
      <w:bCs/>
      <w:sz w:val="32"/>
      <w:szCs w:val="32"/>
    </w:rPr>
  </w:style>
  <w:style w:type="character" w:customStyle="1" w:styleId="13">
    <w:name w:val="页眉 字符"/>
    <w:link w:val="6"/>
    <w:qFormat/>
    <w:uiPriority w:val="99"/>
    <w:rPr>
      <w:rFonts w:ascii="Times New Roman" w:hAnsi="Times New Roman"/>
      <w:kern w:val="2"/>
      <w:sz w:val="18"/>
      <w:szCs w:val="18"/>
    </w:rPr>
  </w:style>
  <w:style w:type="character" w:customStyle="1" w:styleId="14">
    <w:name w:val="页脚 字符"/>
    <w:link w:val="5"/>
    <w:uiPriority w:val="99"/>
    <w:rPr>
      <w:rFonts w:ascii="Times New Roman" w:hAnsi="Times New Roman"/>
      <w:kern w:val="2"/>
      <w:sz w:val="18"/>
      <w:szCs w:val="18"/>
    </w:rPr>
  </w:style>
  <w:style w:type="character" w:customStyle="1" w:styleId="15">
    <w:name w:val="批注框文本 字符"/>
    <w:link w:val="4"/>
    <w:semiHidden/>
    <w:qFormat/>
    <w:uiPriority w:val="99"/>
    <w:rPr>
      <w:rFonts w:ascii="Times New Roman" w:hAnsi="Times New Roman"/>
      <w:kern w:val="2"/>
      <w:sz w:val="18"/>
      <w:szCs w:val="18"/>
    </w:rPr>
  </w:style>
  <w:style w:type="character" w:customStyle="1" w:styleId="16">
    <w:name w:val="批注文字 字符"/>
    <w:link w:val="3"/>
    <w:semiHidden/>
    <w:uiPriority w:val="99"/>
    <w:rPr>
      <w:rFonts w:ascii="Times New Roman" w:hAnsi="Times New Roman"/>
      <w:kern w:val="2"/>
      <w:sz w:val="21"/>
      <w:szCs w:val="24"/>
    </w:rPr>
  </w:style>
  <w:style w:type="character" w:customStyle="1" w:styleId="17">
    <w:name w:val="批注主题 字符"/>
    <w:link w:val="7"/>
    <w:semiHidden/>
    <w:qFormat/>
    <w:uiPriority w:val="99"/>
    <w:rPr>
      <w:rFonts w:ascii="Times New Roman" w:hAnsi="Times New Roman"/>
      <w:b/>
      <w:bCs/>
      <w:kern w:val="2"/>
      <w:sz w:val="21"/>
      <w:szCs w:val="24"/>
    </w:rPr>
  </w:style>
  <w:style w:type="paragraph" w:customStyle="1" w:styleId="18">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132</Words>
  <Characters>755</Characters>
  <Lines>6</Lines>
  <Paragraphs>1</Paragraphs>
  <TotalTime>0</TotalTime>
  <ScaleCrop>false</ScaleCrop>
  <LinksUpToDate>false</LinksUpToDate>
  <CharactersWithSpaces>886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2024-09-06T01:51:00Z</dcterms:created>
  <dc:creator>王晚婷</dc:creator>
  <cp:lastModifiedBy>刘晨晨</cp:lastModifiedBy>
  <dcterms:modified xsi:type="dcterms:W3CDTF">2026-09-21T03:22:06Z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432B85D1EBB44E9885672D2CD2B529C7_12</vt:lpwstr>
  </property>
</Properties>
</file>