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C3877">
      <w:pPr>
        <w:widowControl/>
        <w:jc w:val="center"/>
        <w:rPr>
          <w:rFonts w:eastAsiaTheme="minorEastAsia"/>
          <w:b/>
          <w:kern w:val="0"/>
          <w:sz w:val="30"/>
          <w:szCs w:val="30"/>
        </w:rPr>
      </w:pPr>
      <w:bookmarkStart w:id="2" w:name="_GoBack"/>
      <w:bookmarkEnd w:id="2"/>
      <w:r>
        <w:rPr>
          <w:rFonts w:hAnsiTheme="minorEastAsia" w:eastAsiaTheme="minorEastAsia"/>
          <w:b/>
          <w:kern w:val="0"/>
          <w:sz w:val="30"/>
          <w:szCs w:val="30"/>
        </w:rPr>
        <w:t>交银施罗德基金管理有限公司关于</w:t>
      </w:r>
      <w:r>
        <w:rPr>
          <w:rFonts w:hint="eastAsia" w:hAnsiTheme="minorEastAsia" w:eastAsiaTheme="minorEastAsia"/>
          <w:b/>
          <w:kern w:val="0"/>
          <w:sz w:val="30"/>
          <w:szCs w:val="30"/>
          <w:lang w:eastAsia="zh-CN"/>
        </w:rPr>
        <w:t>交银施罗德信用添利债券证券投资基金（LOF）</w:t>
      </w:r>
      <w:r>
        <w:rPr>
          <w:rFonts w:hAnsiTheme="minorEastAsia" w:eastAsiaTheme="minorEastAsia"/>
          <w:b/>
          <w:kern w:val="0"/>
          <w:sz w:val="30"/>
          <w:szCs w:val="30"/>
        </w:rPr>
        <w:t>暂停</w:t>
      </w:r>
      <w:r>
        <w:rPr>
          <w:rFonts w:hint="eastAsia" w:hAnsiTheme="minorEastAsia" w:eastAsiaTheme="minorEastAsia"/>
          <w:b/>
          <w:kern w:val="0"/>
          <w:sz w:val="30"/>
          <w:szCs w:val="30"/>
          <w:lang w:val="en-US" w:eastAsia="zh-CN"/>
        </w:rPr>
        <w:t>场外份额</w:t>
      </w:r>
      <w:r>
        <w:rPr>
          <w:rFonts w:hAnsiTheme="minorEastAsia" w:eastAsiaTheme="minorEastAsia"/>
          <w:b/>
          <w:kern w:val="0"/>
          <w:sz w:val="30"/>
          <w:szCs w:val="30"/>
        </w:rPr>
        <w:t>转换</w:t>
      </w:r>
      <w:r>
        <w:rPr>
          <w:rFonts w:hint="eastAsia" w:hAnsiTheme="minorEastAsia" w:eastAsiaTheme="minorEastAsia"/>
          <w:b/>
          <w:kern w:val="0"/>
          <w:sz w:val="30"/>
          <w:szCs w:val="30"/>
        </w:rPr>
        <w:t>业务</w:t>
      </w:r>
      <w:r>
        <w:rPr>
          <w:rFonts w:hAnsiTheme="minorEastAsia" w:eastAsiaTheme="minorEastAsia"/>
          <w:b/>
          <w:kern w:val="0"/>
          <w:sz w:val="30"/>
          <w:szCs w:val="30"/>
        </w:rPr>
        <w:t>的公告</w:t>
      </w:r>
    </w:p>
    <w:p w14:paraId="75C79F04">
      <w:pPr>
        <w:spacing w:line="560" w:lineRule="exact"/>
        <w:jc w:val="center"/>
        <w:rPr>
          <w:rFonts w:eastAsiaTheme="minorEastAsia"/>
          <w:b/>
          <w:bCs/>
          <w:sz w:val="24"/>
          <w:szCs w:val="24"/>
        </w:rPr>
      </w:pPr>
      <w:r>
        <w:rPr>
          <w:rFonts w:hAnsiTheme="minorEastAsia" w:eastAsiaTheme="minorEastAsia"/>
          <w:b/>
          <w:color w:val="000000"/>
          <w:sz w:val="24"/>
          <w:szCs w:val="24"/>
        </w:rPr>
        <w:t>公告送出日期：</w:t>
      </w:r>
      <w:r>
        <w:rPr>
          <w:rFonts w:eastAsiaTheme="minorEastAsia"/>
          <w:b/>
          <w:bCs/>
          <w:sz w:val="24"/>
          <w:szCs w:val="24"/>
        </w:rPr>
        <w:t>202</w:t>
      </w:r>
      <w:r>
        <w:rPr>
          <w:rFonts w:hint="eastAsia" w:eastAsiaTheme="minorEastAsia"/>
          <w:b/>
          <w:bCs/>
          <w:sz w:val="24"/>
          <w:szCs w:val="24"/>
          <w:lang w:val="en-US" w:eastAsia="zh-CN"/>
        </w:rPr>
        <w:t>6</w:t>
      </w:r>
      <w:r>
        <w:rPr>
          <w:rFonts w:eastAsiaTheme="minorEastAsia"/>
          <w:b/>
          <w:bCs/>
          <w:sz w:val="24"/>
          <w:szCs w:val="24"/>
        </w:rPr>
        <w:t>年</w:t>
      </w:r>
      <w:r>
        <w:rPr>
          <w:rFonts w:hint="eastAsia" w:eastAsiaTheme="minorEastAsia"/>
          <w:b/>
          <w:bCs/>
          <w:sz w:val="24"/>
          <w:szCs w:val="24"/>
          <w:lang w:val="en-US" w:eastAsia="zh-CN"/>
        </w:rPr>
        <w:t>9</w:t>
      </w:r>
      <w:r>
        <w:rPr>
          <w:rFonts w:hint="eastAsia" w:eastAsiaTheme="minorEastAsia"/>
          <w:b/>
          <w:bCs/>
          <w:sz w:val="24"/>
          <w:szCs w:val="24"/>
        </w:rPr>
        <w:t>月</w:t>
      </w:r>
      <w:r>
        <w:rPr>
          <w:rFonts w:hint="eastAsia" w:eastAsiaTheme="minorEastAsia"/>
          <w:b/>
          <w:bCs/>
          <w:sz w:val="24"/>
          <w:szCs w:val="24"/>
          <w:lang w:val="en-US" w:eastAsia="zh-CN"/>
        </w:rPr>
        <w:t>8</w:t>
      </w:r>
      <w:r>
        <w:rPr>
          <w:rFonts w:eastAsiaTheme="minorEastAsia"/>
          <w:b/>
          <w:bCs/>
          <w:sz w:val="24"/>
          <w:szCs w:val="24"/>
        </w:rPr>
        <w:t>日</w:t>
      </w:r>
    </w:p>
    <w:p w14:paraId="2F87F0CF">
      <w:pPr>
        <w:spacing w:line="560" w:lineRule="exact"/>
        <w:jc w:val="center"/>
        <w:rPr>
          <w:rFonts w:eastAsiaTheme="minorEastAsia"/>
          <w:color w:val="000000"/>
          <w:sz w:val="24"/>
          <w:szCs w:val="24"/>
        </w:rPr>
      </w:pPr>
    </w:p>
    <w:p w14:paraId="13A9C97D">
      <w:pPr>
        <w:pStyle w:val="3"/>
        <w:spacing w:line="560" w:lineRule="exact"/>
        <w:rPr>
          <w:rFonts w:ascii="Times New Roman" w:hAnsi="Times New Roman" w:eastAsiaTheme="minorEastAsia"/>
          <w:bCs w:val="0"/>
          <w:color w:val="000000"/>
          <w:sz w:val="24"/>
          <w:szCs w:val="24"/>
        </w:rPr>
      </w:pPr>
      <w:bookmarkStart w:id="0" w:name="_Toc275961405"/>
      <w:r>
        <w:rPr>
          <w:rFonts w:ascii="Times New Roman" w:hAnsi="Times New Roman" w:eastAsiaTheme="minorEastAsia"/>
          <w:bCs w:val="0"/>
          <w:color w:val="000000"/>
          <w:sz w:val="24"/>
          <w:szCs w:val="24"/>
        </w:rPr>
        <w:t xml:space="preserve">1 </w:t>
      </w:r>
      <w:r>
        <w:rPr>
          <w:rFonts w:ascii="Times New Roman" w:hAnsiTheme="minorEastAsia" w:eastAsiaTheme="minorEastAsia"/>
          <w:bCs w:val="0"/>
          <w:color w:val="000000"/>
          <w:sz w:val="24"/>
          <w:szCs w:val="24"/>
        </w:rPr>
        <w:t>公告基本信息</w:t>
      </w:r>
      <w:bookmarkEnd w:id="0"/>
    </w:p>
    <w:tbl>
      <w:tblPr>
        <w:tblStyle w:val="10"/>
        <w:tblW w:w="878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1"/>
        <w:gridCol w:w="3149"/>
        <w:gridCol w:w="3149"/>
      </w:tblGrid>
      <w:tr w14:paraId="7994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</w:tcPr>
          <w:p w14:paraId="191852F5">
            <w:pPr>
              <w:rPr>
                <w:rFonts w:eastAsiaTheme="minorEastAsia"/>
                <w:color w:val="000000"/>
                <w:sz w:val="24"/>
                <w:szCs w:val="24"/>
                <w:highlight w:val="cyan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基金名称</w:t>
            </w:r>
          </w:p>
        </w:tc>
        <w:tc>
          <w:tcPr>
            <w:tcW w:w="6298" w:type="dxa"/>
            <w:gridSpan w:val="2"/>
            <w:vAlign w:val="center"/>
          </w:tcPr>
          <w:p w14:paraId="32D6A0A5">
            <w:pPr>
              <w:rPr>
                <w:rFonts w:hint="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hAnsiTheme="minorEastAsia" w:eastAsiaTheme="minorEastAsia"/>
                <w:color w:val="000000"/>
                <w:sz w:val="24"/>
                <w:szCs w:val="24"/>
                <w:lang w:eastAsia="zh-CN"/>
              </w:rPr>
              <w:t>交银施罗德信用添利债券证券投资基金（LOF）</w:t>
            </w:r>
          </w:p>
        </w:tc>
      </w:tr>
      <w:tr w14:paraId="6646C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</w:tcPr>
          <w:p w14:paraId="145622FC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基金简称</w:t>
            </w:r>
          </w:p>
        </w:tc>
        <w:tc>
          <w:tcPr>
            <w:tcW w:w="6298" w:type="dxa"/>
            <w:gridSpan w:val="2"/>
            <w:vAlign w:val="center"/>
          </w:tcPr>
          <w:p w14:paraId="457D3292">
            <w:pPr>
              <w:rPr>
                <w:rFonts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hAnsiTheme="minorEastAsia" w:eastAsiaTheme="minorEastAsia"/>
                <w:color w:val="000000"/>
                <w:sz w:val="24"/>
                <w:szCs w:val="24"/>
              </w:rPr>
              <w:t>交银信用添利债券（LOF）（场内简称：交银添利LOF）</w:t>
            </w:r>
          </w:p>
        </w:tc>
      </w:tr>
      <w:tr w14:paraId="711BC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491" w:type="dxa"/>
          </w:tcPr>
          <w:p w14:paraId="4000FE5C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基金主代码</w:t>
            </w:r>
          </w:p>
        </w:tc>
        <w:tc>
          <w:tcPr>
            <w:tcW w:w="6298" w:type="dxa"/>
            <w:gridSpan w:val="2"/>
            <w:vAlign w:val="center"/>
          </w:tcPr>
          <w:p w14:paraId="1537D619">
            <w:pPr>
              <w:rPr>
                <w:rFonts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>164902</w:t>
            </w:r>
          </w:p>
        </w:tc>
      </w:tr>
      <w:tr w14:paraId="0170C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</w:tcPr>
          <w:p w14:paraId="584FDAC4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基金管理人名称</w:t>
            </w:r>
          </w:p>
        </w:tc>
        <w:tc>
          <w:tcPr>
            <w:tcW w:w="6298" w:type="dxa"/>
            <w:gridSpan w:val="2"/>
            <w:vAlign w:val="center"/>
          </w:tcPr>
          <w:p w14:paraId="7BF9082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AnsiTheme="minorEastAsia" w:eastAsiaTheme="minorEastAsia"/>
                <w:sz w:val="24"/>
                <w:szCs w:val="24"/>
              </w:rPr>
              <w:t>交银施罗德基金管理有限公司</w:t>
            </w:r>
          </w:p>
        </w:tc>
      </w:tr>
      <w:tr w14:paraId="25EFE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</w:tcPr>
          <w:p w14:paraId="4B39D08D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公告依据</w:t>
            </w:r>
          </w:p>
        </w:tc>
        <w:tc>
          <w:tcPr>
            <w:tcW w:w="6298" w:type="dxa"/>
            <w:gridSpan w:val="2"/>
            <w:vAlign w:val="center"/>
          </w:tcPr>
          <w:p w14:paraId="705DF26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AnsiTheme="minorEastAsia" w:eastAsiaTheme="minorEastAsia"/>
                <w:sz w:val="24"/>
                <w:szCs w:val="24"/>
              </w:rPr>
              <w:t>《</w:t>
            </w:r>
            <w:r>
              <w:rPr>
                <w:rFonts w:hint="eastAsia" w:hAnsiTheme="minorEastAsia" w:eastAsiaTheme="minorEastAsia"/>
                <w:sz w:val="24"/>
                <w:szCs w:val="24"/>
                <w:lang w:eastAsia="zh-CN"/>
              </w:rPr>
              <w:t>交银施罗德信用添利债券证券投资基金（LOF）</w:t>
            </w:r>
            <w:r>
              <w:rPr>
                <w:rFonts w:hAnsiTheme="minorEastAsia" w:eastAsiaTheme="minorEastAsia"/>
                <w:sz w:val="24"/>
                <w:szCs w:val="24"/>
              </w:rPr>
              <w:t>基金合同》、《</w:t>
            </w:r>
            <w:r>
              <w:rPr>
                <w:rFonts w:hint="eastAsia" w:hAnsiTheme="minorEastAsia" w:eastAsiaTheme="minorEastAsia"/>
                <w:sz w:val="24"/>
                <w:szCs w:val="24"/>
                <w:lang w:eastAsia="zh-CN"/>
              </w:rPr>
              <w:t>交银施罗德信用添利债券证券投资基金（LOF）</w:t>
            </w:r>
            <w:r>
              <w:rPr>
                <w:rFonts w:hAnsiTheme="minorEastAsia" w:eastAsiaTheme="minorEastAsia"/>
                <w:sz w:val="24"/>
                <w:szCs w:val="24"/>
              </w:rPr>
              <w:t>招募说明书》等</w:t>
            </w:r>
          </w:p>
        </w:tc>
      </w:tr>
      <w:tr w14:paraId="6936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  <w:vMerge w:val="restart"/>
          </w:tcPr>
          <w:p w14:paraId="39788D38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暂停相关业务的起始日及原因说明</w:t>
            </w:r>
          </w:p>
        </w:tc>
        <w:tc>
          <w:tcPr>
            <w:tcW w:w="3149" w:type="dxa"/>
          </w:tcPr>
          <w:p w14:paraId="4CA93B5B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暂停转换转入起始日</w:t>
            </w:r>
          </w:p>
        </w:tc>
        <w:tc>
          <w:tcPr>
            <w:tcW w:w="3149" w:type="dxa"/>
            <w:vAlign w:val="center"/>
          </w:tcPr>
          <w:p w14:paraId="5774536D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2026年9月9日</w:t>
            </w:r>
          </w:p>
        </w:tc>
      </w:tr>
      <w:tr w14:paraId="24F08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  <w:vMerge w:val="continue"/>
          </w:tcPr>
          <w:p w14:paraId="474582F0">
            <w:pPr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</w:tcPr>
          <w:p w14:paraId="6702A043">
            <w:pPr>
              <w:rPr>
                <w:rFonts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暂停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</w:rPr>
              <w:t>转换转出</w:t>
            </w: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起始日</w:t>
            </w:r>
          </w:p>
        </w:tc>
        <w:tc>
          <w:tcPr>
            <w:tcW w:w="3149" w:type="dxa"/>
            <w:vAlign w:val="center"/>
          </w:tcPr>
          <w:p w14:paraId="30F056B3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2026年9月9日</w:t>
            </w:r>
          </w:p>
        </w:tc>
      </w:tr>
      <w:tr w14:paraId="6359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  <w:vMerge w:val="continue"/>
          </w:tcPr>
          <w:p w14:paraId="113B99D0"/>
        </w:tc>
        <w:tc>
          <w:tcPr>
            <w:tcW w:w="3149" w:type="dxa"/>
          </w:tcPr>
          <w:p w14:paraId="75327FB9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暂停转换转入、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</w:rPr>
              <w:t>转换转出业务</w:t>
            </w: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的原因说明</w:t>
            </w:r>
          </w:p>
        </w:tc>
        <w:tc>
          <w:tcPr>
            <w:tcW w:w="3149" w:type="dxa"/>
          </w:tcPr>
          <w:p w14:paraId="0F907CC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hAnsiTheme="minorEastAsia" w:eastAsiaTheme="minorEastAsia"/>
                <w:sz w:val="24"/>
                <w:szCs w:val="24"/>
              </w:rPr>
              <w:t>基金运作管理需要。</w:t>
            </w:r>
          </w:p>
        </w:tc>
      </w:tr>
      <w:tr w14:paraId="28C5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  <w:shd w:val="clear" w:color="auto" w:fill="auto"/>
            <w:vAlign w:val="center"/>
          </w:tcPr>
          <w:p w14:paraId="24035442">
            <w:pPr>
              <w:rPr>
                <w:rFonts w:hint="eastAsia" w:ascii="Times New Roman" w:hAnsi="Times New Roman" w:eastAsia="方正仿宋简体" w:cs="Times New Roman"/>
                <w:kern w:val="2"/>
                <w:sz w:val="32"/>
                <w:lang w:val="en-US" w:eastAsia="zh-CN" w:bidi="ar-SA"/>
              </w:rPr>
            </w:pPr>
            <w:bookmarkStart w:id="1" w:name="_Toc275961406"/>
            <w:r>
              <w:rPr>
                <w:rFonts w:hint="eastAsia" w:eastAsia="宋体"/>
                <w:sz w:val="24"/>
              </w:rPr>
              <w:t>下属分级基金的基金简称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925582D">
            <w:pPr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hAnsiTheme="minorEastAsia" w:eastAsiaTheme="minorEastAsia"/>
                <w:color w:val="000000"/>
                <w:sz w:val="24"/>
                <w:szCs w:val="24"/>
              </w:rPr>
              <w:t>交银信用添利债券（LOF）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D6333A9">
            <w:pPr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宋体"/>
                <w:sz w:val="24"/>
              </w:rPr>
              <w:t>交银信用添利债券（LOF）</w:t>
            </w:r>
            <w:r>
              <w:rPr>
                <w:rFonts w:hint="eastAsia" w:eastAsia="宋体"/>
                <w:sz w:val="24"/>
                <w:lang w:val="en-US" w:eastAsia="zh-CN"/>
              </w:rPr>
              <w:t>C</w:t>
            </w:r>
          </w:p>
        </w:tc>
      </w:tr>
      <w:tr w14:paraId="1DED1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  <w:shd w:val="clear" w:color="auto" w:fill="auto"/>
            <w:vAlign w:val="center"/>
          </w:tcPr>
          <w:p w14:paraId="10F39785">
            <w:pPr>
              <w:rPr>
                <w:rFonts w:hint="eastAsia" w:ascii="Times New Roman" w:hAnsi="Times New Roman" w:eastAsia="方正仿宋简体" w:cs="Times New Roman"/>
                <w:kern w:val="2"/>
                <w:sz w:val="32"/>
                <w:lang w:val="en-US" w:eastAsia="zh-CN" w:bidi="ar-SA"/>
              </w:rPr>
            </w:pPr>
            <w:r>
              <w:rPr>
                <w:rFonts w:hint="eastAsia" w:eastAsia="宋体"/>
                <w:sz w:val="24"/>
              </w:rPr>
              <w:t>下属分级基金的交易代码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6765C05">
            <w:pPr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>164902（前端）</w:t>
            </w:r>
            <w:r>
              <w:rPr>
                <w:rFonts w:hint="eastAsia" w:eastAsia="宋体"/>
                <w:sz w:val="24"/>
                <w:lang w:val="en-US" w:eastAsia="zh-CN"/>
              </w:rPr>
              <w:t>、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>164903（后端）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3F5F56BF">
            <w:pPr>
              <w:rPr>
                <w:rFonts w:hint="default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027672</w:t>
            </w:r>
          </w:p>
        </w:tc>
      </w:tr>
      <w:tr w14:paraId="0A3CC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  <w:shd w:val="clear" w:color="auto" w:fill="auto"/>
            <w:vAlign w:val="top"/>
          </w:tcPr>
          <w:p w14:paraId="286FDB0F">
            <w:pPr>
              <w:rPr>
                <w:rFonts w:hint="eastAsia" w:ascii="Times New Roman" w:hAnsi="Times New Roman" w:eastAsia="方正仿宋简体" w:cs="Times New Roman"/>
                <w:kern w:val="2"/>
                <w:sz w:val="32"/>
                <w:lang w:val="en-US" w:eastAsia="zh-CN" w:bidi="ar-SA"/>
              </w:rPr>
            </w:pPr>
            <w:r>
              <w:rPr>
                <w:rFonts w:hint="eastAsia" w:eastAsia="宋体"/>
                <w:sz w:val="24"/>
              </w:rPr>
              <w:t>该分级基金是否暂停转换转入</w:t>
            </w:r>
            <w:r>
              <w:rPr>
                <w:rFonts w:eastAsia="宋体"/>
                <w:sz w:val="24"/>
              </w:rPr>
              <w:t>、</w:t>
            </w:r>
            <w:r>
              <w:rPr>
                <w:rFonts w:hint="eastAsia" w:eastAsia="宋体"/>
                <w:sz w:val="24"/>
              </w:rPr>
              <w:t>转换转出业务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7D1D7ABE">
            <w:pPr>
              <w:rPr>
                <w:rFonts w:hint="eastAsia" w:ascii="Times New Roman" w:cs="Times New Roman" w:hAnsiTheme="minorEastAsia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sz w:val="24"/>
                <w:szCs w:val="24"/>
              </w:rPr>
              <w:t>是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59616731">
            <w:pPr>
              <w:rPr>
                <w:rFonts w:hint="eastAsia" w:ascii="Times New Roman" w:cs="Times New Roman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不适用</w:t>
            </w:r>
          </w:p>
        </w:tc>
      </w:tr>
    </w:tbl>
    <w:p w14:paraId="075D11E1">
      <w:pPr>
        <w:spacing w:line="240" w:lineRule="auto"/>
        <w:ind w:firstLine="0" w:firstLineChars="0"/>
        <w:rPr>
          <w:rFonts w:hint="default" w:ascii="Times New Roman" w:hAnsiTheme="minorEastAsia" w:eastAsiaTheme="minorEastAsia"/>
          <w:b w:val="0"/>
          <w:bCs w:val="0"/>
          <w:color w:val="000000"/>
          <w:sz w:val="24"/>
          <w:szCs w:val="24"/>
        </w:rPr>
      </w:pPr>
    </w:p>
    <w:p w14:paraId="23C14AB6">
      <w:pPr>
        <w:pStyle w:val="3"/>
        <w:spacing w:line="560" w:lineRule="exact"/>
        <w:rPr>
          <w:rFonts w:ascii="Times New Roman" w:hAnsi="Times New Roman" w:eastAsiaTheme="minorEastAsia"/>
          <w:bCs w:val="0"/>
          <w:color w:val="000000"/>
          <w:sz w:val="24"/>
          <w:szCs w:val="24"/>
        </w:rPr>
      </w:pPr>
      <w:r>
        <w:rPr>
          <w:rFonts w:ascii="Times New Roman" w:hAnsi="Times New Roman" w:eastAsiaTheme="minorEastAsia"/>
          <w:bCs w:val="0"/>
          <w:color w:val="000000"/>
          <w:sz w:val="24"/>
          <w:szCs w:val="24"/>
        </w:rPr>
        <w:t>2</w:t>
      </w:r>
      <w:r>
        <w:rPr>
          <w:rFonts w:ascii="Times New Roman" w:hAnsiTheme="minorEastAsia" w:eastAsiaTheme="minorEastAsia"/>
          <w:bCs w:val="0"/>
          <w:color w:val="000000"/>
          <w:sz w:val="24"/>
          <w:szCs w:val="24"/>
        </w:rPr>
        <w:t>其他需要提示的事项</w:t>
      </w:r>
      <w:bookmarkEnd w:id="1"/>
    </w:p>
    <w:p w14:paraId="37B464D3">
      <w:pPr>
        <w:spacing w:line="360" w:lineRule="auto"/>
        <w:ind w:firstLine="480" w:firstLineChars="200"/>
        <w:rPr>
          <w:rFonts w:hAnsiTheme="minorEastAsia"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1</w:t>
      </w:r>
      <w:r>
        <w:rPr>
          <w:rFonts w:hAnsiTheme="minorEastAsia" w:eastAsiaTheme="minorEastAsia"/>
          <w:sz w:val="24"/>
          <w:szCs w:val="24"/>
        </w:rPr>
        <w:t>）</w:t>
      </w:r>
      <w:r>
        <w:rPr>
          <w:rFonts w:hint="eastAsia" w:hAnsiTheme="minorEastAsia" w:eastAsiaTheme="minorEastAsia"/>
          <w:sz w:val="24"/>
          <w:szCs w:val="24"/>
        </w:rPr>
        <w:t>为保证基金的平稳运作，维护基金份额持有人利益，本基金自</w:t>
      </w:r>
      <w:r>
        <w:rPr>
          <w:rFonts w:hint="eastAsia" w:hAnsiTheme="minorEastAsia" w:eastAsiaTheme="minorEastAsia"/>
          <w:sz w:val="24"/>
          <w:szCs w:val="24"/>
          <w:lang w:eastAsia="zh-CN"/>
        </w:rPr>
        <w:t>2026年9月9日</w:t>
      </w:r>
      <w:r>
        <w:rPr>
          <w:rFonts w:hint="eastAsia" w:hAnsiTheme="minorEastAsia" w:eastAsiaTheme="minorEastAsia"/>
          <w:sz w:val="24"/>
          <w:szCs w:val="24"/>
        </w:rPr>
        <w:t>起暂停场外份额转换转入和转换转出业务。</w:t>
      </w:r>
    </w:p>
    <w:p w14:paraId="730B9EFD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r>
        <w:rPr>
          <w:rFonts w:hint="eastAsia" w:hAnsiTheme="minorEastAsia" w:eastAsiaTheme="minorEastAsia"/>
          <w:sz w:val="24"/>
          <w:szCs w:val="24"/>
        </w:rPr>
        <w:t>（2）</w:t>
      </w:r>
      <w:r>
        <w:rPr>
          <w:rFonts w:hAnsiTheme="minorEastAsia" w:eastAsiaTheme="minorEastAsia"/>
          <w:sz w:val="24"/>
          <w:szCs w:val="24"/>
        </w:rPr>
        <w:t>在本基金暂停</w:t>
      </w:r>
      <w:r>
        <w:rPr>
          <w:rFonts w:hint="eastAsia" w:hAnsiTheme="minorEastAsia" w:eastAsiaTheme="minorEastAsia"/>
          <w:sz w:val="24"/>
          <w:szCs w:val="24"/>
        </w:rPr>
        <w:t>场外份额转换转入和转换转出业务</w:t>
      </w:r>
      <w:r>
        <w:rPr>
          <w:rFonts w:hAnsiTheme="minorEastAsia" w:eastAsiaTheme="minorEastAsia"/>
          <w:sz w:val="24"/>
          <w:szCs w:val="24"/>
        </w:rPr>
        <w:t>期间，</w:t>
      </w:r>
      <w:r>
        <w:rPr>
          <w:rFonts w:hint="eastAsia" w:hAnsiTheme="minorEastAsia" w:eastAsiaTheme="minorEastAsia"/>
          <w:sz w:val="24"/>
          <w:szCs w:val="24"/>
        </w:rPr>
        <w:t>其他</w:t>
      </w:r>
      <w:r>
        <w:rPr>
          <w:rFonts w:hAnsiTheme="minorEastAsia" w:eastAsiaTheme="minorEastAsia"/>
          <w:sz w:val="24"/>
          <w:szCs w:val="24"/>
        </w:rPr>
        <w:t>业务正常进行。</w:t>
      </w:r>
    </w:p>
    <w:p w14:paraId="5BA38B72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3</w:t>
      </w:r>
      <w:r>
        <w:rPr>
          <w:rFonts w:hAnsiTheme="minorEastAsia" w:eastAsiaTheme="minorEastAsia"/>
          <w:sz w:val="24"/>
          <w:szCs w:val="24"/>
        </w:rPr>
        <w:t>）关于</w:t>
      </w:r>
      <w:r>
        <w:rPr>
          <w:rFonts w:hint="eastAsia" w:hAnsiTheme="minorEastAsia" w:eastAsiaTheme="minorEastAsia"/>
          <w:sz w:val="24"/>
          <w:szCs w:val="24"/>
        </w:rPr>
        <w:t>本基金恢复办理场外份额转换转入和转换转出业务</w:t>
      </w:r>
      <w:r>
        <w:rPr>
          <w:rFonts w:hAnsiTheme="minorEastAsia" w:eastAsiaTheme="minorEastAsia"/>
          <w:sz w:val="24"/>
          <w:szCs w:val="24"/>
        </w:rPr>
        <w:t>的时间，本基金管理人将另行公告。</w:t>
      </w:r>
    </w:p>
    <w:p w14:paraId="16BE79DA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4</w:t>
      </w:r>
      <w:r>
        <w:rPr>
          <w:rFonts w:hAnsiTheme="minorEastAsia" w:eastAsiaTheme="minorEastAsia"/>
          <w:sz w:val="24"/>
          <w:szCs w:val="24"/>
        </w:rPr>
        <w:t>）投资者可以登录本公司网站（</w:t>
      </w:r>
      <w:r>
        <w:rPr>
          <w:rFonts w:eastAsiaTheme="minorEastAsia"/>
          <w:sz w:val="24"/>
          <w:szCs w:val="24"/>
        </w:rPr>
        <w:t>www.fund001.com</w:t>
      </w:r>
      <w:r>
        <w:rPr>
          <w:rFonts w:hAnsiTheme="minorEastAsia" w:eastAsiaTheme="minorEastAsia"/>
          <w:sz w:val="24"/>
          <w:szCs w:val="24"/>
        </w:rPr>
        <w:t>）或拨打客户服务电话（</w:t>
      </w:r>
      <w:r>
        <w:rPr>
          <w:rFonts w:eastAsiaTheme="minorEastAsia"/>
          <w:sz w:val="24"/>
          <w:szCs w:val="24"/>
        </w:rPr>
        <w:t>400-700-5000</w:t>
      </w:r>
      <w:r>
        <w:rPr>
          <w:rFonts w:hAnsiTheme="minorEastAsia" w:eastAsiaTheme="minorEastAsia"/>
          <w:sz w:val="24"/>
          <w:szCs w:val="24"/>
        </w:rPr>
        <w:t>，</w:t>
      </w:r>
      <w:r>
        <w:rPr>
          <w:rFonts w:eastAsiaTheme="minorEastAsia"/>
          <w:sz w:val="24"/>
          <w:szCs w:val="24"/>
        </w:rPr>
        <w:t>021-61055000</w:t>
      </w:r>
      <w:r>
        <w:rPr>
          <w:rFonts w:hAnsiTheme="minorEastAsia" w:eastAsiaTheme="minorEastAsia"/>
          <w:sz w:val="24"/>
          <w:szCs w:val="24"/>
        </w:rPr>
        <w:t>）咨询基金相关信息。</w:t>
      </w:r>
    </w:p>
    <w:p w14:paraId="764E6200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</w:p>
    <w:p w14:paraId="41CB657C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风险提示：基金管理人承诺以诚实信用、勤勉尽责的原则管理和运用基金财产，但不保证基金一定盈利，也不保证最低收益。基金的过往业绩并不代表其未来表现。投资有风险，敬请投资者认真阅读基金的相关法律文件，并选择适合自身风险承受能力的投资品种进行投资。</w:t>
      </w:r>
    </w:p>
    <w:p w14:paraId="587356A3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</w:p>
    <w:p w14:paraId="47A64F44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特此公告。</w:t>
      </w:r>
    </w:p>
    <w:p w14:paraId="7B643D9F">
      <w:pPr>
        <w:rPr>
          <w:rFonts w:eastAsia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FA"/>
    <w:rsid w:val="00007F46"/>
    <w:rsid w:val="000411A5"/>
    <w:rsid w:val="00041353"/>
    <w:rsid w:val="00087133"/>
    <w:rsid w:val="00095A80"/>
    <w:rsid w:val="00097CEA"/>
    <w:rsid w:val="000D472C"/>
    <w:rsid w:val="000E1817"/>
    <w:rsid w:val="000E4CBF"/>
    <w:rsid w:val="000F55E1"/>
    <w:rsid w:val="0012500E"/>
    <w:rsid w:val="0013025A"/>
    <w:rsid w:val="00142F3A"/>
    <w:rsid w:val="00160DAE"/>
    <w:rsid w:val="00172472"/>
    <w:rsid w:val="00180DA3"/>
    <w:rsid w:val="001B4F9F"/>
    <w:rsid w:val="001D3B58"/>
    <w:rsid w:val="001F0502"/>
    <w:rsid w:val="002241A8"/>
    <w:rsid w:val="00245724"/>
    <w:rsid w:val="00285347"/>
    <w:rsid w:val="002935EF"/>
    <w:rsid w:val="00297148"/>
    <w:rsid w:val="002A6277"/>
    <w:rsid w:val="002B3273"/>
    <w:rsid w:val="002C1251"/>
    <w:rsid w:val="002C4BA9"/>
    <w:rsid w:val="002D2A24"/>
    <w:rsid w:val="002D475A"/>
    <w:rsid w:val="002F7241"/>
    <w:rsid w:val="00327DA7"/>
    <w:rsid w:val="00331105"/>
    <w:rsid w:val="0033476C"/>
    <w:rsid w:val="0036784E"/>
    <w:rsid w:val="003753B6"/>
    <w:rsid w:val="003900FA"/>
    <w:rsid w:val="003936F9"/>
    <w:rsid w:val="003D0DCF"/>
    <w:rsid w:val="003D3818"/>
    <w:rsid w:val="00463139"/>
    <w:rsid w:val="00470869"/>
    <w:rsid w:val="00470E32"/>
    <w:rsid w:val="00473FE4"/>
    <w:rsid w:val="004966BA"/>
    <w:rsid w:val="004B1D96"/>
    <w:rsid w:val="004C07E2"/>
    <w:rsid w:val="004D6346"/>
    <w:rsid w:val="004E503B"/>
    <w:rsid w:val="004F0521"/>
    <w:rsid w:val="004F51E8"/>
    <w:rsid w:val="00522227"/>
    <w:rsid w:val="00536E8E"/>
    <w:rsid w:val="0055497B"/>
    <w:rsid w:val="00566AFA"/>
    <w:rsid w:val="00567DDA"/>
    <w:rsid w:val="005B1035"/>
    <w:rsid w:val="005C5A05"/>
    <w:rsid w:val="005F2DBE"/>
    <w:rsid w:val="00603A93"/>
    <w:rsid w:val="00607CF1"/>
    <w:rsid w:val="00633C51"/>
    <w:rsid w:val="00646522"/>
    <w:rsid w:val="00653F13"/>
    <w:rsid w:val="00663031"/>
    <w:rsid w:val="00677C51"/>
    <w:rsid w:val="006A0A5E"/>
    <w:rsid w:val="006B6C4C"/>
    <w:rsid w:val="006E4616"/>
    <w:rsid w:val="006E57FC"/>
    <w:rsid w:val="006F45AB"/>
    <w:rsid w:val="0073228C"/>
    <w:rsid w:val="007344AC"/>
    <w:rsid w:val="00753E39"/>
    <w:rsid w:val="00762FED"/>
    <w:rsid w:val="00770DB7"/>
    <w:rsid w:val="007B0250"/>
    <w:rsid w:val="007B1D31"/>
    <w:rsid w:val="00802AD5"/>
    <w:rsid w:val="008255A0"/>
    <w:rsid w:val="00837E48"/>
    <w:rsid w:val="00846A58"/>
    <w:rsid w:val="008472DB"/>
    <w:rsid w:val="008712F5"/>
    <w:rsid w:val="008D65EE"/>
    <w:rsid w:val="008D6773"/>
    <w:rsid w:val="008E2A7E"/>
    <w:rsid w:val="009233FD"/>
    <w:rsid w:val="00930327"/>
    <w:rsid w:val="00956B0F"/>
    <w:rsid w:val="00981679"/>
    <w:rsid w:val="009A0237"/>
    <w:rsid w:val="009C5858"/>
    <w:rsid w:val="009C6B75"/>
    <w:rsid w:val="00A15BAB"/>
    <w:rsid w:val="00A243B0"/>
    <w:rsid w:val="00A2638C"/>
    <w:rsid w:val="00A428CE"/>
    <w:rsid w:val="00A5414E"/>
    <w:rsid w:val="00A71771"/>
    <w:rsid w:val="00A745E5"/>
    <w:rsid w:val="00AB7BA5"/>
    <w:rsid w:val="00AC0B6D"/>
    <w:rsid w:val="00AC0E51"/>
    <w:rsid w:val="00AD4FCC"/>
    <w:rsid w:val="00AD7BDD"/>
    <w:rsid w:val="00AF024E"/>
    <w:rsid w:val="00B0212F"/>
    <w:rsid w:val="00B101F7"/>
    <w:rsid w:val="00B13FDA"/>
    <w:rsid w:val="00B25C61"/>
    <w:rsid w:val="00B867A9"/>
    <w:rsid w:val="00B872E5"/>
    <w:rsid w:val="00B909FC"/>
    <w:rsid w:val="00BD545A"/>
    <w:rsid w:val="00BD601B"/>
    <w:rsid w:val="00C06257"/>
    <w:rsid w:val="00C4500C"/>
    <w:rsid w:val="00C569C3"/>
    <w:rsid w:val="00C57BA0"/>
    <w:rsid w:val="00C60993"/>
    <w:rsid w:val="00C70DC6"/>
    <w:rsid w:val="00C70EDA"/>
    <w:rsid w:val="00C77552"/>
    <w:rsid w:val="00C80F4A"/>
    <w:rsid w:val="00C844A2"/>
    <w:rsid w:val="00C97172"/>
    <w:rsid w:val="00CD209B"/>
    <w:rsid w:val="00CD6473"/>
    <w:rsid w:val="00CD74DC"/>
    <w:rsid w:val="00CF5EAE"/>
    <w:rsid w:val="00D043F8"/>
    <w:rsid w:val="00D114B7"/>
    <w:rsid w:val="00D1480F"/>
    <w:rsid w:val="00D327FA"/>
    <w:rsid w:val="00D6095E"/>
    <w:rsid w:val="00D95A18"/>
    <w:rsid w:val="00DC2A36"/>
    <w:rsid w:val="00DD22A8"/>
    <w:rsid w:val="00DE25A8"/>
    <w:rsid w:val="00DF159B"/>
    <w:rsid w:val="00E27D76"/>
    <w:rsid w:val="00E3565A"/>
    <w:rsid w:val="00E414B0"/>
    <w:rsid w:val="00E63200"/>
    <w:rsid w:val="00E714AE"/>
    <w:rsid w:val="00E830A4"/>
    <w:rsid w:val="00E9491B"/>
    <w:rsid w:val="00EA7B49"/>
    <w:rsid w:val="00EC47F6"/>
    <w:rsid w:val="00EE1823"/>
    <w:rsid w:val="00EF476D"/>
    <w:rsid w:val="00EF6D2E"/>
    <w:rsid w:val="00F15B17"/>
    <w:rsid w:val="00F27E02"/>
    <w:rsid w:val="00F64447"/>
    <w:rsid w:val="00FD5102"/>
    <w:rsid w:val="00FD6EF4"/>
    <w:rsid w:val="00FE41E3"/>
    <w:rsid w:val="00FF1A2E"/>
    <w:rsid w:val="041A7626"/>
    <w:rsid w:val="12191A2E"/>
    <w:rsid w:val="2A34725E"/>
    <w:rsid w:val="300D5CE4"/>
    <w:rsid w:val="34220656"/>
    <w:rsid w:val="497424A6"/>
    <w:rsid w:val="5B9006C7"/>
    <w:rsid w:val="5E3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uiPriority w:val="99"/>
    <w:pPr>
      <w:jc w:val="left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6"/>
    <w:qFormat/>
    <w:uiPriority w:val="0"/>
    <w:pPr>
      <w:snapToGrid w:val="0"/>
      <w:jc w:val="left"/>
    </w:pPr>
    <w:rPr>
      <w:rFonts w:eastAsia="宋体"/>
      <w:sz w:val="18"/>
    </w:rPr>
  </w:style>
  <w:style w:type="paragraph" w:styleId="9">
    <w:name w:val="annotation subject"/>
    <w:basedOn w:val="4"/>
    <w:next w:val="4"/>
    <w:link w:val="22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basedOn w:val="11"/>
    <w:qFormat/>
    <w:uiPriority w:val="0"/>
    <w:rPr>
      <w:vertAlign w:val="superscript"/>
    </w:rPr>
  </w:style>
  <w:style w:type="character" w:customStyle="1" w:styleId="14">
    <w:name w:val="标题 1 字符"/>
    <w:basedOn w:val="11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5">
    <w:name w:val="标题 2 字符"/>
    <w:basedOn w:val="11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脚注文本 字符"/>
    <w:basedOn w:val="11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7">
    <w:name w:val="批注框文本 字符"/>
    <w:basedOn w:val="11"/>
    <w:link w:val="5"/>
    <w:semiHidden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character" w:customStyle="1" w:styleId="18">
    <w:name w:val="页眉 字符"/>
    <w:basedOn w:val="11"/>
    <w:link w:val="7"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character" w:customStyle="1" w:styleId="19">
    <w:name w:val="页脚 字符"/>
    <w:basedOn w:val="11"/>
    <w:link w:val="6"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paragraph" w:customStyle="1" w:styleId="20">
    <w:name w:val="修订1"/>
    <w:hidden/>
    <w:semiHidden/>
    <w:qFormat/>
    <w:uiPriority w:val="99"/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customStyle="1" w:styleId="21">
    <w:name w:val="批注文字 字符"/>
    <w:basedOn w:val="11"/>
    <w:link w:val="4"/>
    <w:semiHidden/>
    <w:qFormat/>
    <w:uiPriority w:val="99"/>
    <w:rPr>
      <w:rFonts w:ascii="Times New Roman" w:hAnsi="Times New Roman" w:eastAsia="方正仿宋简体" w:cs="Times New Roman"/>
      <w:sz w:val="32"/>
      <w:szCs w:val="20"/>
    </w:rPr>
  </w:style>
  <w:style w:type="character" w:customStyle="1" w:styleId="22">
    <w:name w:val="批注主题 字符"/>
    <w:basedOn w:val="21"/>
    <w:link w:val="9"/>
    <w:semiHidden/>
    <w:qFormat/>
    <w:uiPriority w:val="99"/>
    <w:rPr>
      <w:rFonts w:ascii="Times New Roman" w:hAnsi="Times New Roman" w:eastAsia="方正仿宋简体" w:cs="Times New Roman"/>
      <w:b/>
      <w:bCs/>
      <w:sz w:val="32"/>
      <w:szCs w:val="20"/>
    </w:rPr>
  </w:style>
  <w:style w:type="paragraph" w:customStyle="1" w:styleId="23">
    <w:name w:val="Revision"/>
    <w:hidden/>
    <w:semiHidden/>
    <w:qFormat/>
    <w:uiPriority w:val="99"/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116</Words>
  <Characters>662</Characters>
  <Lines>5</Lines>
  <Paragraphs>1</Paragraphs>
  <TotalTime>1</TotalTime>
  <ScaleCrop>false</ScaleCrop>
  <LinksUpToDate>false</LinksUpToDate>
  <CharactersWithSpaces>777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2025-10-27T02:34:00Z</dcterms:created>
  <dc:creator>User</dc:creator>
  <cp:lastModifiedBy>陈尚清</cp:lastModifiedBy>
  <dcterms:modified xsi:type="dcterms:W3CDTF">2026-09-07T07:34:53Z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16749BB79FB94775A20F4C758AFF5B49</vt:lpwstr>
  </property>
</Properties>
</file>