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402CC0">
      <w:pPr>
        <w:jc w:val="center"/>
        <w:rPr>
          <w:rFonts w:ascii="Times New Roman" w:hAnsi="Times New Roman" w:cs="Times New Roman" w:eastAsiaTheme="majorEastAsia"/>
          <w:b/>
          <w:sz w:val="30"/>
          <w:szCs w:val="30"/>
        </w:rPr>
      </w:pPr>
      <w:r>
        <w:rPr>
          <w:rFonts w:ascii="Times New Roman" w:hAnsi="Times New Roman" w:cs="Times New Roman" w:eastAsiaTheme="majorEastAsia"/>
          <w:b/>
          <w:sz w:val="30"/>
          <w:szCs w:val="30"/>
        </w:rPr>
        <w:t>交银施罗德基金管理有限公司关于</w:t>
      </w:r>
      <w:r>
        <w:rPr>
          <w:rFonts w:hint="eastAsia" w:ascii="Times New Roman" w:hAnsi="Times New Roman" w:cs="Times New Roman" w:eastAsiaTheme="majorEastAsia"/>
          <w:b/>
          <w:sz w:val="30"/>
          <w:szCs w:val="30"/>
        </w:rPr>
        <w:t>调整</w:t>
      </w:r>
      <w:r>
        <w:rPr>
          <w:rFonts w:hint="eastAsia" w:ascii="Times New Roman" w:hAnsi="Times New Roman" w:cs="Times New Roman" w:eastAsiaTheme="majorEastAsia"/>
          <w:b/>
          <w:sz w:val="30"/>
          <w:szCs w:val="30"/>
          <w:lang w:eastAsia="zh-CN"/>
        </w:rPr>
        <w:t>交银施罗德天利宝货币市场基金</w:t>
      </w:r>
      <w:r>
        <w:rPr>
          <w:rFonts w:ascii="Times New Roman" w:hAnsi="Times New Roman" w:cs="Times New Roman" w:eastAsiaTheme="majorEastAsia"/>
          <w:b/>
          <w:sz w:val="30"/>
          <w:szCs w:val="30"/>
        </w:rPr>
        <w:t>托管费率并修改基金合同</w:t>
      </w:r>
      <w:r>
        <w:rPr>
          <w:rFonts w:hint="eastAsia" w:ascii="Times New Roman" w:hAnsi="Times New Roman" w:cs="Times New Roman" w:eastAsiaTheme="majorEastAsia"/>
          <w:b/>
          <w:sz w:val="30"/>
          <w:szCs w:val="30"/>
        </w:rPr>
        <w:t>等法律文件</w:t>
      </w:r>
      <w:r>
        <w:rPr>
          <w:rFonts w:ascii="Times New Roman" w:hAnsi="Times New Roman" w:cs="Times New Roman" w:eastAsiaTheme="majorEastAsia"/>
          <w:b/>
          <w:sz w:val="30"/>
          <w:szCs w:val="30"/>
        </w:rPr>
        <w:t>的公告</w:t>
      </w:r>
    </w:p>
    <w:p w14:paraId="1D0196F2">
      <w:pPr>
        <w:jc w:val="center"/>
        <w:rPr>
          <w:rFonts w:ascii="Times New Roman" w:hAnsi="Times New Roman" w:cs="Times New Roman" w:eastAsiaTheme="majorEastAsia"/>
          <w:b/>
          <w:sz w:val="30"/>
          <w:szCs w:val="30"/>
        </w:rPr>
      </w:pPr>
    </w:p>
    <w:p w14:paraId="6108898B">
      <w:pPr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 w:eastAsiaTheme="majorEastAsia"/>
          <w:bCs/>
          <w:sz w:val="24"/>
          <w:szCs w:val="20"/>
        </w:rPr>
      </w:pPr>
      <w:r>
        <w:rPr>
          <w:rFonts w:ascii="Times New Roman" w:hAnsi="Times New Roman" w:cs="Times New Roman" w:eastAsiaTheme="majorEastAsia"/>
          <w:bCs/>
          <w:sz w:val="24"/>
          <w:szCs w:val="20"/>
        </w:rPr>
        <w:t>为更好地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</w:rPr>
        <w:t>满足广大投资者的投资需求，降低</w:t>
      </w:r>
      <w:bookmarkStart w:id="0" w:name="_GoBack"/>
      <w:bookmarkEnd w:id="0"/>
      <w:r>
        <w:rPr>
          <w:rFonts w:hint="eastAsia" w:ascii="Times New Roman" w:hAnsi="Times New Roman" w:cs="Times New Roman" w:eastAsiaTheme="majorEastAsia"/>
          <w:bCs/>
          <w:sz w:val="24"/>
          <w:szCs w:val="20"/>
        </w:rPr>
        <w:t>投资者的投资成本</w:t>
      </w:r>
      <w:r>
        <w:rPr>
          <w:rFonts w:ascii="Times New Roman" w:hAnsi="Times New Roman" w:cs="Times New Roman" w:eastAsiaTheme="majorEastAsia"/>
          <w:bCs/>
          <w:sz w:val="24"/>
          <w:szCs w:val="20"/>
        </w:rPr>
        <w:t>，交银施罗德基金管理有限公司（以下简称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  <w:lang w:eastAsia="zh-CN"/>
        </w:rPr>
        <w:t>“</w:t>
      </w:r>
      <w:r>
        <w:rPr>
          <w:rFonts w:ascii="Times New Roman" w:hAnsi="Times New Roman" w:cs="Times New Roman" w:eastAsiaTheme="majorEastAsia"/>
          <w:bCs/>
          <w:sz w:val="24"/>
          <w:szCs w:val="20"/>
        </w:rPr>
        <w:t>本公司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  <w:lang w:eastAsia="zh-CN"/>
        </w:rPr>
        <w:t>”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</w:rPr>
        <w:t>或“基金管理人”</w:t>
      </w:r>
      <w:r>
        <w:rPr>
          <w:rFonts w:ascii="Times New Roman" w:hAnsi="Times New Roman" w:cs="Times New Roman" w:eastAsiaTheme="majorEastAsia"/>
          <w:bCs/>
          <w:sz w:val="24"/>
          <w:szCs w:val="20"/>
        </w:rPr>
        <w:t>）经与基金托管人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  <w:lang w:val="en-US" w:eastAsia="zh-CN"/>
        </w:rPr>
        <w:t>中信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</w:rPr>
        <w:t>银行股份有限公司</w:t>
      </w:r>
      <w:r>
        <w:rPr>
          <w:rFonts w:ascii="Times New Roman" w:hAnsi="Times New Roman" w:cs="Times New Roman" w:eastAsiaTheme="majorEastAsia"/>
          <w:bCs/>
          <w:sz w:val="24"/>
          <w:szCs w:val="20"/>
        </w:rPr>
        <w:t>协商一致，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</w:rPr>
        <w:t>决定</w:t>
      </w:r>
      <w:r>
        <w:rPr>
          <w:rFonts w:ascii="Times New Roman" w:hAnsi="Times New Roman" w:cs="Times New Roman" w:eastAsiaTheme="majorEastAsia"/>
          <w:bCs/>
          <w:sz w:val="24"/>
          <w:szCs w:val="20"/>
        </w:rPr>
        <w:t>自202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  <w:lang w:val="en-US" w:eastAsia="zh-CN"/>
        </w:rPr>
        <w:t>6</w:t>
      </w:r>
      <w:r>
        <w:rPr>
          <w:rFonts w:ascii="Times New Roman" w:hAnsi="Times New Roman" w:cs="Times New Roman" w:eastAsiaTheme="majorEastAsia"/>
          <w:bCs/>
          <w:sz w:val="24"/>
          <w:szCs w:val="20"/>
        </w:rPr>
        <w:t>年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  <w:lang w:val="en-US" w:eastAsia="zh-CN"/>
        </w:rPr>
        <w:t>9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</w:rPr>
        <w:t>月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  <w:lang w:val="en-US" w:eastAsia="zh-CN"/>
        </w:rPr>
        <w:t>2</w:t>
      </w:r>
      <w:r>
        <w:rPr>
          <w:rFonts w:ascii="Times New Roman" w:hAnsi="Times New Roman" w:cs="Times New Roman" w:eastAsiaTheme="majorEastAsia"/>
          <w:bCs/>
          <w:sz w:val="24"/>
          <w:szCs w:val="20"/>
        </w:rPr>
        <w:t>日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</w:rPr>
        <w:t>（含</w:t>
      </w:r>
      <w:r>
        <w:rPr>
          <w:rFonts w:ascii="Times New Roman" w:hAnsi="Times New Roman" w:cs="Times New Roman" w:eastAsiaTheme="majorEastAsia"/>
          <w:bCs/>
          <w:sz w:val="24"/>
          <w:szCs w:val="20"/>
        </w:rPr>
        <w:t>当日）起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</w:rPr>
        <w:t>调整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  <w:lang w:eastAsia="zh-CN"/>
        </w:rPr>
        <w:t>交银施罗德天利宝货币市场基金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</w:rPr>
        <w:t>（以下</w:t>
      </w:r>
      <w:r>
        <w:rPr>
          <w:rFonts w:ascii="Times New Roman" w:hAnsi="Times New Roman" w:cs="Times New Roman" w:eastAsiaTheme="majorEastAsia"/>
          <w:bCs/>
          <w:sz w:val="24"/>
          <w:szCs w:val="20"/>
        </w:rPr>
        <w:t>简称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  <w:lang w:eastAsia="zh-CN"/>
        </w:rPr>
        <w:t>“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</w:rPr>
        <w:t>本基金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  <w:lang w:eastAsia="zh-CN"/>
        </w:rPr>
        <w:t>”</w:t>
      </w:r>
      <w:r>
        <w:rPr>
          <w:rFonts w:ascii="Times New Roman" w:hAnsi="Times New Roman" w:cs="Times New Roman" w:eastAsiaTheme="majorEastAsia"/>
          <w:bCs/>
          <w:sz w:val="24"/>
          <w:szCs w:val="20"/>
        </w:rPr>
        <w:t>）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</w:rPr>
        <w:t>的</w:t>
      </w:r>
      <w:r>
        <w:rPr>
          <w:rFonts w:ascii="Times New Roman" w:hAnsi="Times New Roman" w:cs="Times New Roman" w:eastAsiaTheme="majorEastAsia"/>
          <w:bCs/>
          <w:sz w:val="24"/>
          <w:szCs w:val="20"/>
        </w:rPr>
        <w:t>托管费率，并对本基金的基金合同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</w:rPr>
        <w:t>和其他法律文件</w:t>
      </w:r>
      <w:r>
        <w:rPr>
          <w:rFonts w:ascii="Times New Roman" w:hAnsi="Times New Roman" w:cs="Times New Roman" w:eastAsiaTheme="majorEastAsia"/>
          <w:bCs/>
          <w:sz w:val="24"/>
          <w:szCs w:val="20"/>
        </w:rPr>
        <w:t>作相应修改。</w:t>
      </w:r>
      <w:r>
        <w:rPr>
          <w:rFonts w:hint="eastAsia" w:ascii="Times New Roman" w:hAnsi="Times New Roman" w:cs="Times New Roman" w:eastAsiaTheme="majorEastAsia"/>
          <w:bCs/>
          <w:sz w:val="24"/>
          <w:szCs w:val="20"/>
        </w:rPr>
        <w:t>具体修改</w:t>
      </w:r>
      <w:r>
        <w:rPr>
          <w:rFonts w:ascii="Times New Roman" w:hAnsi="Times New Roman" w:cs="Times New Roman" w:eastAsiaTheme="majorEastAsia"/>
          <w:bCs/>
          <w:sz w:val="24"/>
          <w:szCs w:val="20"/>
        </w:rPr>
        <w:t>内容如下：</w:t>
      </w:r>
    </w:p>
    <w:p w14:paraId="1F918C37">
      <w:pPr>
        <w:pStyle w:val="26"/>
      </w:pPr>
    </w:p>
    <w:p w14:paraId="2DBCD0FB">
      <w:pPr>
        <w:widowControl/>
        <w:adjustRightInd w:val="0"/>
        <w:snapToGrid w:val="0"/>
        <w:spacing w:line="360" w:lineRule="auto"/>
        <w:ind w:firstLine="482" w:firstLineChars="200"/>
        <w:rPr>
          <w:rFonts w:ascii="Times New Roman" w:hAnsi="Times New Roman" w:cs="Times New Roman" w:eastAsiaTheme="majorEastAsia"/>
          <w:b/>
          <w:color w:val="000000"/>
          <w:kern w:val="0"/>
          <w:sz w:val="24"/>
        </w:rPr>
      </w:pPr>
      <w:r>
        <w:rPr>
          <w:rFonts w:hint="eastAsia" w:ascii="Times New Roman" w:hAnsi="Times New Roman" w:cs="Times New Roman" w:eastAsiaTheme="majorEastAsia"/>
          <w:b/>
          <w:color w:val="000000"/>
          <w:kern w:val="0"/>
          <w:sz w:val="24"/>
        </w:rPr>
        <w:t>一</w:t>
      </w:r>
      <w:r>
        <w:rPr>
          <w:rFonts w:ascii="Times New Roman" w:hAnsi="Times New Roman" w:cs="Times New Roman" w:eastAsiaTheme="majorEastAsia"/>
          <w:b/>
          <w:color w:val="000000"/>
          <w:kern w:val="0"/>
          <w:sz w:val="24"/>
        </w:rPr>
        <w:t>、《</w:t>
      </w:r>
      <w:r>
        <w:rPr>
          <w:rFonts w:hint="eastAsia" w:ascii="Times New Roman" w:hAnsi="Times New Roman" w:cs="Times New Roman" w:eastAsiaTheme="majorEastAsia"/>
          <w:b/>
          <w:bCs/>
          <w:color w:val="000000"/>
          <w:kern w:val="0"/>
          <w:sz w:val="24"/>
          <w:lang w:eastAsia="zh-CN"/>
        </w:rPr>
        <w:t>交银施罗德天利宝货币市场基金</w:t>
      </w:r>
      <w:r>
        <w:rPr>
          <w:rFonts w:ascii="Times New Roman" w:hAnsi="Times New Roman" w:cs="Times New Roman" w:eastAsiaTheme="majorEastAsia"/>
          <w:b/>
          <w:color w:val="000000"/>
          <w:kern w:val="0"/>
          <w:sz w:val="24"/>
        </w:rPr>
        <w:t>基金合同》的修订内容</w:t>
      </w:r>
    </w:p>
    <w:p w14:paraId="3FA9ED19">
      <w:pPr>
        <w:widowControl/>
        <w:adjustRightInd w:val="0"/>
        <w:snapToGrid w:val="0"/>
        <w:spacing w:line="360" w:lineRule="auto"/>
        <w:ind w:firstLine="482" w:firstLineChars="200"/>
        <w:rPr>
          <w:rFonts w:hint="eastAsia" w:ascii="Times New Roman" w:hAnsi="Times New Roman" w:cs="Times New Roman" w:eastAsiaTheme="majorEastAsia"/>
          <w:b/>
          <w:color w:val="000000"/>
          <w:kern w:val="0"/>
          <w:sz w:val="24"/>
          <w:lang w:eastAsia="zh-CN"/>
        </w:rPr>
      </w:pPr>
      <w:r>
        <w:rPr>
          <w:rFonts w:hint="eastAsia" w:ascii="Times New Roman" w:hAnsi="Times New Roman" w:cs="Times New Roman" w:eastAsiaTheme="majorEastAsia"/>
          <w:b/>
          <w:color w:val="000000"/>
          <w:kern w:val="0"/>
          <w:sz w:val="24"/>
        </w:rPr>
        <w:t>1、将</w:t>
      </w:r>
      <w:r>
        <w:rPr>
          <w:rFonts w:ascii="Times New Roman" w:hAnsi="Times New Roman" w:cs="Times New Roman" w:eastAsiaTheme="majorEastAsia"/>
          <w:b/>
          <w:color w:val="000000"/>
          <w:kern w:val="0"/>
          <w:sz w:val="24"/>
        </w:rPr>
        <w:t>“</w:t>
      </w:r>
      <w:r>
        <w:rPr>
          <w:rFonts w:hint="eastAsia" w:ascii="Times New Roman" w:hAnsi="Times New Roman" w:cs="Times New Roman" w:eastAsiaTheme="majorEastAsia"/>
          <w:b/>
          <w:color w:val="000000"/>
          <w:kern w:val="0"/>
          <w:sz w:val="24"/>
          <w:lang w:val="en-US" w:eastAsia="zh-CN"/>
        </w:rPr>
        <w:t>第</w:t>
      </w:r>
      <w:r>
        <w:rPr>
          <w:rFonts w:hint="eastAsia" w:ascii="Times New Roman" w:hAnsi="Times New Roman" w:cs="Times New Roman" w:eastAsiaTheme="majorEastAsia"/>
          <w:b/>
          <w:color w:val="000000"/>
          <w:kern w:val="0"/>
          <w:sz w:val="24"/>
        </w:rPr>
        <w:t>十五</w:t>
      </w:r>
      <w:r>
        <w:rPr>
          <w:rFonts w:hint="eastAsia" w:ascii="Times New Roman" w:hAnsi="Times New Roman" w:cs="Times New Roman" w:eastAsiaTheme="majorEastAsia"/>
          <w:b/>
          <w:color w:val="000000"/>
          <w:kern w:val="0"/>
          <w:sz w:val="24"/>
          <w:lang w:val="en-US" w:eastAsia="zh-CN"/>
        </w:rPr>
        <w:t xml:space="preserve">部分 </w:t>
      </w:r>
      <w:r>
        <w:rPr>
          <w:rFonts w:hint="eastAsia" w:ascii="Times New Roman" w:hAnsi="Times New Roman" w:cs="Times New Roman" w:eastAsiaTheme="majorEastAsia"/>
          <w:b/>
          <w:color w:val="000000"/>
          <w:kern w:val="0"/>
          <w:sz w:val="24"/>
        </w:rPr>
        <w:t>基金的费用与税收</w:t>
      </w:r>
      <w:r>
        <w:rPr>
          <w:rFonts w:ascii="Times New Roman" w:hAnsi="Times New Roman" w:cs="Times New Roman" w:eastAsiaTheme="majorEastAsia"/>
          <w:b/>
          <w:color w:val="000000"/>
          <w:kern w:val="0"/>
          <w:sz w:val="24"/>
        </w:rPr>
        <w:t>”</w:t>
      </w:r>
      <w:r>
        <w:rPr>
          <w:rFonts w:hint="eastAsia" w:ascii="Times New Roman" w:hAnsi="Times New Roman" w:cs="Times New Roman" w:eastAsiaTheme="majorEastAsia"/>
          <w:b/>
          <w:color w:val="000000"/>
          <w:kern w:val="0"/>
          <w:sz w:val="24"/>
        </w:rPr>
        <w:t>之</w:t>
      </w:r>
      <w:r>
        <w:rPr>
          <w:rFonts w:ascii="Times New Roman" w:hAnsi="Times New Roman" w:cs="Times New Roman" w:eastAsiaTheme="majorEastAsia"/>
          <w:b/>
          <w:color w:val="000000"/>
          <w:kern w:val="0"/>
          <w:sz w:val="24"/>
        </w:rPr>
        <w:t>“</w:t>
      </w:r>
      <w:r>
        <w:rPr>
          <w:rFonts w:hint="eastAsia" w:ascii="Times New Roman" w:hAnsi="Times New Roman" w:cs="Times New Roman" w:eastAsiaTheme="majorEastAsia"/>
          <w:b/>
          <w:color w:val="000000"/>
          <w:kern w:val="0"/>
          <w:sz w:val="24"/>
        </w:rPr>
        <w:t>二、基金费用计提方法、计提标准和支付方式</w:t>
      </w:r>
      <w:r>
        <w:rPr>
          <w:rFonts w:ascii="Times New Roman" w:hAnsi="Times New Roman" w:cs="Times New Roman" w:eastAsiaTheme="majorEastAsia"/>
          <w:b/>
          <w:color w:val="000000"/>
          <w:kern w:val="0"/>
          <w:sz w:val="24"/>
        </w:rPr>
        <w:t>”</w:t>
      </w:r>
      <w:r>
        <w:rPr>
          <w:rFonts w:hint="eastAsia" w:ascii="Times New Roman" w:hAnsi="Times New Roman" w:cs="Times New Roman" w:eastAsiaTheme="majorEastAsia"/>
          <w:b/>
          <w:color w:val="000000"/>
          <w:kern w:val="0"/>
          <w:sz w:val="24"/>
        </w:rPr>
        <w:t>中</w:t>
      </w:r>
      <w:r>
        <w:rPr>
          <w:rFonts w:hint="eastAsia" w:ascii="Times New Roman" w:hAnsi="Times New Roman" w:cs="Times New Roman" w:eastAsiaTheme="majorEastAsia"/>
          <w:b/>
          <w:color w:val="000000"/>
          <w:kern w:val="0"/>
          <w:sz w:val="24"/>
          <w:lang w:eastAsia="zh-CN"/>
        </w:rPr>
        <w:t>“</w:t>
      </w:r>
      <w:r>
        <w:rPr>
          <w:rFonts w:hint="eastAsia" w:ascii="Times New Roman" w:hAnsi="Times New Roman" w:cs="Times New Roman" w:eastAsiaTheme="majorEastAsia"/>
          <w:b/>
          <w:color w:val="000000"/>
          <w:kern w:val="0"/>
          <w:sz w:val="24"/>
        </w:rPr>
        <w:t>2、基金托管人的托管费</w:t>
      </w:r>
      <w:r>
        <w:rPr>
          <w:rFonts w:hint="eastAsia" w:ascii="Times New Roman" w:hAnsi="Times New Roman" w:cs="Times New Roman" w:eastAsiaTheme="majorEastAsia"/>
          <w:b/>
          <w:color w:val="000000"/>
          <w:kern w:val="0"/>
          <w:sz w:val="24"/>
          <w:lang w:eastAsia="zh-CN"/>
        </w:rPr>
        <w:t>”</w:t>
      </w:r>
    </w:p>
    <w:p w14:paraId="74F9AF98">
      <w:pPr>
        <w:widowControl/>
        <w:adjustRightInd w:val="0"/>
        <w:snapToGrid w:val="0"/>
        <w:spacing w:line="360" w:lineRule="auto"/>
        <w:ind w:firstLine="482" w:firstLineChars="200"/>
        <w:rPr>
          <w:rFonts w:ascii="Times New Roman" w:hAnsi="Times New Roman" w:cs="Times New Roman" w:eastAsiaTheme="majorEastAsia"/>
          <w:b/>
          <w:color w:val="000000"/>
          <w:kern w:val="0"/>
          <w:sz w:val="24"/>
        </w:rPr>
      </w:pPr>
      <w:r>
        <w:rPr>
          <w:rFonts w:hint="eastAsia" w:ascii="Times New Roman" w:hAnsi="Times New Roman" w:cs="Times New Roman" w:eastAsiaTheme="majorEastAsia"/>
          <w:b/>
          <w:color w:val="000000"/>
          <w:kern w:val="0"/>
          <w:sz w:val="24"/>
        </w:rPr>
        <w:t>原表述：</w:t>
      </w:r>
    </w:p>
    <w:p w14:paraId="7E7F1059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“本基金的托管费按前一日基金资产净值的0.0</w:t>
      </w:r>
      <w: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cs="Times New Roman"/>
          <w:bCs/>
          <w:sz w:val="24"/>
          <w:szCs w:val="24"/>
        </w:rPr>
        <w:t>%的年费率计提。托管费的计算方法如下：</w:t>
      </w:r>
    </w:p>
    <w:p w14:paraId="7DBAC639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H＝E×0.0</w:t>
      </w:r>
      <w:r>
        <w:rPr>
          <w:rFonts w:hint="eastAsia" w:ascii="Times New Roman" w:hAnsi="Times New Roman" w:cs="Times New Roman"/>
          <w:bCs/>
          <w:sz w:val="24"/>
          <w:szCs w:val="24"/>
          <w:lang w:val="en-US" w:eastAsia="zh-CN"/>
        </w:rPr>
        <w:t>5</w:t>
      </w:r>
      <w:r>
        <w:rPr>
          <w:rFonts w:hint="eastAsia" w:ascii="Times New Roman" w:hAnsi="Times New Roman" w:cs="Times New Roman"/>
          <w:bCs/>
          <w:sz w:val="24"/>
          <w:szCs w:val="24"/>
        </w:rPr>
        <w:t>%÷当年天数</w:t>
      </w:r>
    </w:p>
    <w:p w14:paraId="2AEFC515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H为每日应计提的基金托管费</w:t>
      </w:r>
    </w:p>
    <w:p w14:paraId="6AF46FE1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E为前一日的基金资产净值</w:t>
      </w:r>
    </w:p>
    <w:p w14:paraId="61AD331D">
      <w:pPr>
        <w:widowControl/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基金托管费每日计提，按月支付，由基金管理人向基金托管人发送划款指令，基金托管人复核后于次月首日起第3个工作日内从基金财产中一次性支取。若遇法定节假日、休息日或不可抗力致使无法按时支付的，支付日期顺延。”</w:t>
      </w:r>
    </w:p>
    <w:p w14:paraId="43DD3986">
      <w:pPr>
        <w:widowControl/>
        <w:adjustRightInd w:val="0"/>
        <w:snapToGrid w:val="0"/>
        <w:spacing w:line="360" w:lineRule="auto"/>
        <w:ind w:firstLine="482" w:firstLineChars="20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修改为：</w:t>
      </w:r>
    </w:p>
    <w:p w14:paraId="0536F192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“本基金的托管费按前一日基金资产净值的0.04%的年费率计提。托管费的计算方法如下：</w:t>
      </w:r>
    </w:p>
    <w:p w14:paraId="5972623D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H＝E×0.04%÷当年天数</w:t>
      </w:r>
    </w:p>
    <w:p w14:paraId="7AD59177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H为每日应计提的基金托管费</w:t>
      </w:r>
    </w:p>
    <w:p w14:paraId="10263D03">
      <w:pPr>
        <w:widowControl/>
        <w:adjustRightInd w:val="0"/>
        <w:snapToGrid w:val="0"/>
        <w:spacing w:line="360" w:lineRule="auto"/>
        <w:ind w:firstLine="480" w:firstLineChars="200"/>
        <w:rPr>
          <w:rFonts w:hint="eastAsia"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E为前一日的基金资产净值</w:t>
      </w:r>
    </w:p>
    <w:p w14:paraId="24832557">
      <w:pPr>
        <w:widowControl/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/>
          <w:bCs/>
          <w:sz w:val="24"/>
          <w:szCs w:val="24"/>
        </w:rPr>
      </w:pPr>
      <w:r>
        <w:rPr>
          <w:rFonts w:hint="eastAsia" w:ascii="Times New Roman" w:hAnsi="Times New Roman" w:cs="Times New Roman"/>
          <w:bCs/>
          <w:sz w:val="24"/>
          <w:szCs w:val="24"/>
        </w:rPr>
        <w:t>基金托管费每日计提，按月支付，由基金管理人向基金托管人发送划款指令，基金托管人复核后于次月首日起第3个工作日内从基金财产中一次性支取。若遇法定节假日、休息日或不可抗力致使无法按时支付的，支付日期顺延。”</w:t>
      </w:r>
    </w:p>
    <w:p w14:paraId="3D952CA5">
      <w:pPr>
        <w:widowControl/>
        <w:adjustRightInd w:val="0"/>
        <w:snapToGrid w:val="0"/>
        <w:spacing w:line="360" w:lineRule="auto"/>
        <w:ind w:firstLine="482" w:firstLineChars="200"/>
        <w:rPr>
          <w:rFonts w:ascii="Times New Roman" w:hAnsi="Times New Roman" w:cs="Times New Roman" w:eastAsiaTheme="majorEastAsia"/>
          <w:b/>
          <w:color w:val="000000"/>
          <w:kern w:val="0"/>
          <w:sz w:val="24"/>
        </w:rPr>
      </w:pPr>
      <w:r>
        <w:rPr>
          <w:rFonts w:ascii="Times New Roman" w:hAnsi="Times New Roman" w:cs="Times New Roman" w:eastAsiaTheme="majorEastAsia"/>
          <w:b/>
          <w:bCs/>
          <w:color w:val="000000"/>
          <w:kern w:val="0"/>
          <w:sz w:val="24"/>
        </w:rPr>
        <w:t>2</w:t>
      </w:r>
      <w:r>
        <w:rPr>
          <w:rFonts w:hint="eastAsia" w:ascii="Times New Roman" w:hAnsi="Times New Roman" w:cs="Times New Roman" w:eastAsiaTheme="majorEastAsia"/>
          <w:b/>
          <w:bCs/>
          <w:color w:val="000000"/>
          <w:kern w:val="0"/>
          <w:sz w:val="24"/>
        </w:rPr>
        <w:t>、</w:t>
      </w:r>
      <w:r>
        <w:rPr>
          <w:rFonts w:hint="eastAsia" w:ascii="Times New Roman" w:hAnsi="Times New Roman" w:cs="Times New Roman" w:eastAsiaTheme="majorEastAsia"/>
          <w:bCs/>
          <w:color w:val="000000"/>
          <w:kern w:val="0"/>
          <w:sz w:val="24"/>
        </w:rPr>
        <w:t>除上述事项外，根据实际情况更新了基金管理人及基金托管人信息。</w:t>
      </w:r>
    </w:p>
    <w:p w14:paraId="3238713C">
      <w:pPr>
        <w:widowControl/>
        <w:adjustRightInd w:val="0"/>
        <w:snapToGrid w:val="0"/>
        <w:spacing w:line="360" w:lineRule="auto"/>
        <w:ind w:firstLine="482" w:firstLineChars="200"/>
        <w:rPr>
          <w:rFonts w:ascii="Times New Roman" w:hAnsi="Times New Roman" w:cs="Times New Roman" w:eastAsiaTheme="majorEastAsia"/>
          <w:b/>
          <w:bCs/>
          <w:color w:val="000000"/>
          <w:kern w:val="0"/>
          <w:sz w:val="24"/>
        </w:rPr>
      </w:pPr>
      <w:r>
        <w:rPr>
          <w:rFonts w:hint="eastAsia" w:ascii="Times New Roman" w:hAnsi="Times New Roman" w:cs="Times New Roman" w:eastAsiaTheme="majorEastAsia"/>
          <w:b/>
          <w:bCs/>
          <w:color w:val="000000"/>
          <w:kern w:val="0"/>
          <w:sz w:val="24"/>
        </w:rPr>
        <w:t>二、托管协议、招募说明书及产品资料概要的修订</w:t>
      </w:r>
    </w:p>
    <w:p w14:paraId="4C068774">
      <w:pPr>
        <w:widowControl/>
        <w:adjustRightInd w:val="0"/>
        <w:snapToGrid w:val="0"/>
        <w:spacing w:line="360" w:lineRule="auto"/>
        <w:ind w:firstLine="480" w:firstLineChars="200"/>
        <w:rPr>
          <w:rFonts w:ascii="Times New Roman" w:hAnsi="Times New Roman" w:cs="Times New Roman" w:eastAsiaTheme="majorEastAsia"/>
          <w:bCs/>
          <w:color w:val="000000"/>
          <w:kern w:val="0"/>
        </w:rPr>
      </w:pPr>
      <w:r>
        <w:rPr>
          <w:rFonts w:ascii="Times New Roman" w:hAnsi="Times New Roman" w:cs="Times New Roman" w:eastAsiaTheme="majorEastAsia"/>
          <w:bCs/>
          <w:color w:val="000000"/>
          <w:kern w:val="0"/>
          <w:sz w:val="24"/>
        </w:rPr>
        <w:t>上述修订内容在本基金托管协议、更新的招募说明书、更新的基金产品资料概要中一并修改。</w:t>
      </w:r>
    </w:p>
    <w:p w14:paraId="5FCACDD5">
      <w:pPr>
        <w:pStyle w:val="9"/>
        <w:spacing w:before="0" w:beforeAutospacing="0" w:after="0" w:afterAutospacing="0" w:line="360" w:lineRule="auto"/>
        <w:jc w:val="both"/>
        <w:rPr>
          <w:rFonts w:ascii="Times New Roman" w:hAnsi="Times New Roman" w:cs="Times New Roman" w:eastAsiaTheme="majorEastAsia"/>
          <w:color w:val="000000"/>
        </w:rPr>
      </w:pPr>
    </w:p>
    <w:p w14:paraId="02473ADA">
      <w:pPr>
        <w:pStyle w:val="9"/>
        <w:spacing w:before="0" w:beforeAutospacing="0" w:after="0" w:afterAutospacing="0" w:line="360" w:lineRule="auto"/>
        <w:ind w:firstLine="482" w:firstLineChars="200"/>
        <w:jc w:val="both"/>
        <w:rPr>
          <w:rFonts w:ascii="Times New Roman" w:hAnsi="Times New Roman" w:cs="Times New Roman" w:eastAsiaTheme="majorEastAsia"/>
          <w:b/>
          <w:color w:val="000000"/>
        </w:rPr>
      </w:pPr>
      <w:r>
        <w:rPr>
          <w:rFonts w:hint="eastAsia" w:ascii="Times New Roman" w:hAnsi="Times New Roman" w:cs="Times New Roman" w:eastAsiaTheme="majorEastAsia"/>
          <w:b/>
          <w:color w:val="000000"/>
        </w:rPr>
        <w:t>重要提示：</w:t>
      </w:r>
    </w:p>
    <w:p w14:paraId="01A961D7">
      <w:pPr>
        <w:pStyle w:val="9"/>
        <w:spacing w:before="0" w:beforeAutospacing="0" w:after="0" w:afterAutospacing="0" w:line="360" w:lineRule="auto"/>
        <w:ind w:firstLine="480" w:firstLineChars="200"/>
        <w:jc w:val="both"/>
        <w:rPr>
          <w:rFonts w:ascii="Times New Roman" w:hAnsi="Times New Roman" w:cs="Times New Roman" w:eastAsiaTheme="majorEastAsia"/>
          <w:color w:val="000000"/>
        </w:rPr>
      </w:pPr>
      <w:r>
        <w:rPr>
          <w:rFonts w:ascii="Times New Roman" w:hAnsi="Times New Roman" w:cs="Times New Roman" w:eastAsiaTheme="majorEastAsia"/>
          <w:color w:val="000000"/>
        </w:rPr>
        <w:t>1、上述修改对基金份额持有人利益无实质性不利影响，</w:t>
      </w:r>
      <w:r>
        <w:rPr>
          <w:rFonts w:hint="eastAsia" w:ascii="Times New Roman" w:hAnsi="Times New Roman" w:cs="Times New Roman" w:eastAsiaTheme="majorEastAsia"/>
          <w:color w:val="000000"/>
        </w:rPr>
        <w:t>属于基金合同约定的不需召开基金份额持有人大会审议的事项，可由基金管理人和基金托管人协商一致后修改。</w:t>
      </w:r>
    </w:p>
    <w:p w14:paraId="5A1B21C4">
      <w:pPr>
        <w:pStyle w:val="9"/>
        <w:spacing w:before="0" w:beforeAutospacing="0" w:after="0" w:afterAutospacing="0" w:line="360" w:lineRule="auto"/>
        <w:ind w:firstLine="480" w:firstLineChars="200"/>
        <w:jc w:val="both"/>
        <w:rPr>
          <w:rFonts w:ascii="Times New Roman" w:hAnsi="Times New Roman" w:cs="Times New Roman" w:eastAsiaTheme="majorEastAsia"/>
          <w:color w:val="000000"/>
        </w:rPr>
      </w:pPr>
      <w:r>
        <w:rPr>
          <w:rFonts w:ascii="Times New Roman" w:hAnsi="Times New Roman" w:cs="Times New Roman" w:eastAsiaTheme="majorEastAsia"/>
          <w:color w:val="000000"/>
        </w:rPr>
        <w:t>2、本基金管理人将在网站上公布经修改后的</w:t>
      </w:r>
      <w:r>
        <w:rPr>
          <w:rFonts w:hint="eastAsia" w:ascii="Times New Roman" w:hAnsi="Times New Roman" w:cs="Times New Roman" w:eastAsiaTheme="majorEastAsia"/>
          <w:color w:val="000000"/>
          <w:lang w:eastAsia="zh-CN"/>
        </w:rPr>
        <w:t>交银施罗德天利宝货币市场基金</w:t>
      </w:r>
      <w:r>
        <w:rPr>
          <w:rFonts w:ascii="Times New Roman" w:hAnsi="Times New Roman" w:cs="Times New Roman" w:eastAsiaTheme="majorEastAsia"/>
          <w:color w:val="000000"/>
        </w:rPr>
        <w:t>基金合同</w:t>
      </w:r>
      <w:r>
        <w:rPr>
          <w:rFonts w:hint="eastAsia" w:ascii="Times New Roman" w:hAnsi="Times New Roman" w:cs="Times New Roman" w:eastAsiaTheme="majorEastAsia"/>
          <w:color w:val="000000"/>
        </w:rPr>
        <w:t>和托管协议、</w:t>
      </w:r>
      <w:r>
        <w:rPr>
          <w:rFonts w:hint="eastAsia"/>
          <w:bCs/>
        </w:rPr>
        <w:t>招募说明书及基金产品资料概要</w:t>
      </w:r>
      <w:r>
        <w:rPr>
          <w:rFonts w:ascii="Times New Roman" w:hAnsi="Times New Roman" w:cs="Times New Roman" w:eastAsiaTheme="majorEastAsia"/>
          <w:color w:val="000000"/>
        </w:rPr>
        <w:t>。</w:t>
      </w:r>
    </w:p>
    <w:p w14:paraId="5DEB3091">
      <w:pPr>
        <w:pStyle w:val="9"/>
        <w:spacing w:before="0" w:beforeAutospacing="0" w:after="0" w:afterAutospacing="0" w:line="360" w:lineRule="auto"/>
        <w:ind w:firstLine="480" w:firstLineChars="200"/>
        <w:rPr>
          <w:rFonts w:ascii="Times New Roman" w:hAnsi="Times New Roman" w:cs="Times New Roman" w:eastAsiaTheme="majorEastAsia"/>
          <w:color w:val="000000"/>
        </w:rPr>
      </w:pPr>
      <w:r>
        <w:rPr>
          <w:rFonts w:ascii="Times New Roman" w:hAnsi="Times New Roman" w:cs="Times New Roman" w:eastAsiaTheme="majorEastAsia"/>
          <w:color w:val="000000"/>
        </w:rPr>
        <w:t>3、投资者可登录本基金管理人网站（</w:t>
      </w:r>
      <w:r>
        <w:rPr>
          <w:rFonts w:ascii="Times New Roman" w:hAnsi="Times New Roman" w:cs="Times New Roman" w:eastAsiaTheme="majorEastAsia"/>
        </w:rPr>
        <w:t>www.fund001.com）或拨打本基金管</w:t>
      </w:r>
      <w:r>
        <w:rPr>
          <w:rFonts w:ascii="Times New Roman" w:hAnsi="Times New Roman" w:cs="Times New Roman" w:eastAsiaTheme="majorEastAsia"/>
          <w:color w:val="000000"/>
        </w:rPr>
        <w:t>理人的客户服务电话400-700-5000（免长途话费），（021）61055000进行咨询、查询。</w:t>
      </w:r>
    </w:p>
    <w:p w14:paraId="22B305A4">
      <w:pPr>
        <w:pStyle w:val="9"/>
        <w:spacing w:line="360" w:lineRule="auto"/>
        <w:ind w:firstLine="480" w:firstLineChars="200"/>
        <w:rPr>
          <w:rFonts w:ascii="Times New Roman" w:hAnsi="Times New Roman" w:cs="Times New Roman" w:eastAsiaTheme="majorEastAsia"/>
          <w:color w:val="000000"/>
        </w:rPr>
      </w:pPr>
      <w:r>
        <w:rPr>
          <w:rFonts w:ascii="Times New Roman" w:hAnsi="Times New Roman" w:cs="Times New Roman" w:eastAsiaTheme="majorEastAsia"/>
          <w:color w:val="000000"/>
        </w:rPr>
        <w:t>风险提示：本基金管理人承诺以诚实信用、勤勉尽责的原则管理和运用基金财产，但不保证基金一定盈利，也不保证最低收益。基金的过往业绩并不代表其将来表现。投资有风险，敬请投资人认真阅读基金的相关法律文件，并选择适合自身风险承受能力的投资品种进行投资。</w:t>
      </w:r>
    </w:p>
    <w:p w14:paraId="48EC2BAF">
      <w:pPr>
        <w:pStyle w:val="9"/>
        <w:spacing w:before="0" w:beforeAutospacing="0" w:after="0" w:afterAutospacing="0" w:line="360" w:lineRule="auto"/>
        <w:ind w:firstLine="480" w:firstLineChars="200"/>
        <w:rPr>
          <w:rFonts w:ascii="Times New Roman" w:hAnsi="Times New Roman" w:cs="Times New Roman" w:eastAsiaTheme="majorEastAsia"/>
          <w:color w:val="000000"/>
        </w:rPr>
      </w:pPr>
      <w:r>
        <w:rPr>
          <w:rFonts w:ascii="Times New Roman" w:hAnsi="Times New Roman" w:cs="Times New Roman" w:eastAsiaTheme="majorEastAsia"/>
          <w:color w:val="000000"/>
        </w:rPr>
        <w:t>特此公告。</w:t>
      </w:r>
    </w:p>
    <w:p w14:paraId="0C8E6186">
      <w:pPr>
        <w:pStyle w:val="9"/>
        <w:spacing w:before="0" w:beforeAutospacing="0" w:after="0" w:afterAutospacing="0" w:line="360" w:lineRule="auto"/>
        <w:ind w:firstLine="480" w:firstLineChars="200"/>
        <w:rPr>
          <w:rFonts w:ascii="Times New Roman" w:hAnsi="Times New Roman" w:cs="Times New Roman" w:eastAsiaTheme="majorEastAsia"/>
          <w:color w:val="000000"/>
        </w:rPr>
      </w:pPr>
    </w:p>
    <w:p w14:paraId="2754C0E0">
      <w:pPr>
        <w:pStyle w:val="9"/>
        <w:spacing w:line="360" w:lineRule="auto"/>
        <w:jc w:val="right"/>
        <w:rPr>
          <w:rFonts w:ascii="Times New Roman" w:hAnsi="Times New Roman" w:cs="Times New Roman" w:eastAsiaTheme="majorEastAsia"/>
          <w:color w:val="000000"/>
        </w:rPr>
      </w:pPr>
      <w:r>
        <w:rPr>
          <w:rFonts w:ascii="Times New Roman" w:hAnsi="Times New Roman" w:cs="Times New Roman" w:eastAsiaTheme="majorEastAsia"/>
          <w:color w:val="000000"/>
        </w:rPr>
        <w:t>  交银施罗德基金管理有限公司</w:t>
      </w:r>
    </w:p>
    <w:p w14:paraId="79782537">
      <w:pPr>
        <w:pStyle w:val="9"/>
        <w:spacing w:line="360" w:lineRule="auto"/>
        <w:jc w:val="right"/>
        <w:rPr>
          <w:rFonts w:ascii="Times New Roman" w:hAnsi="Times New Roman" w:cs="Times New Roman" w:eastAsiaTheme="majorEastAsia"/>
        </w:rPr>
      </w:pPr>
      <w:r>
        <w:rPr>
          <w:rFonts w:ascii="Times New Roman" w:hAnsi="Times New Roman" w:cs="Times New Roman" w:eastAsiaTheme="majorEastAsia"/>
          <w:color w:val="000000"/>
        </w:rPr>
        <w:t>  二〇二</w:t>
      </w:r>
      <w:r>
        <w:rPr>
          <w:rFonts w:hint="eastAsia" w:ascii="Times New Roman" w:hAnsi="Times New Roman" w:cs="Times New Roman" w:eastAsiaTheme="majorEastAsia"/>
          <w:color w:val="000000"/>
          <w:lang w:val="en-US" w:eastAsia="zh-CN"/>
        </w:rPr>
        <w:t>六</w:t>
      </w:r>
      <w:r>
        <w:rPr>
          <w:rFonts w:ascii="Times New Roman" w:hAnsi="Times New Roman" w:cs="Times New Roman" w:eastAsiaTheme="majorEastAsia"/>
          <w:color w:val="000000"/>
        </w:rPr>
        <w:t>年</w:t>
      </w:r>
      <w:r>
        <w:rPr>
          <w:rFonts w:hint="eastAsia" w:ascii="Times New Roman" w:hAnsi="Times New Roman" w:cs="Times New Roman" w:eastAsiaTheme="majorEastAsia"/>
          <w:color w:val="000000"/>
          <w:lang w:val="en-US" w:eastAsia="zh-CN"/>
        </w:rPr>
        <w:t>九</w:t>
      </w:r>
      <w:r>
        <w:rPr>
          <w:rFonts w:ascii="Times New Roman" w:hAnsi="Times New Roman" w:cs="Times New Roman" w:eastAsiaTheme="majorEastAsia"/>
          <w:color w:val="000000"/>
        </w:rPr>
        <w:t>月</w:t>
      </w:r>
      <w:r>
        <w:rPr>
          <w:rFonts w:hint="eastAsia" w:ascii="Times New Roman" w:hAnsi="Times New Roman" w:cs="Times New Roman" w:eastAsiaTheme="majorEastAsia"/>
          <w:color w:val="000000"/>
          <w:lang w:val="en-US" w:eastAsia="zh-CN"/>
        </w:rPr>
        <w:t>二</w:t>
      </w:r>
      <w:r>
        <w:rPr>
          <w:rFonts w:ascii="Times New Roman" w:hAnsi="Times New Roman" w:cs="Times New Roman" w:eastAsiaTheme="majorEastAsia"/>
          <w:color w:val="000000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87618663"/>
      <w:docPartObj>
        <w:docPartGallery w:val="autotext"/>
      </w:docPartObj>
    </w:sdtPr>
    <w:sdtContent>
      <w:p w14:paraId="217598F2">
        <w:pPr>
          <w:pStyle w:val="7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37793E4D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46"/>
    <w:rsid w:val="000001B1"/>
    <w:rsid w:val="000036BE"/>
    <w:rsid w:val="000068D4"/>
    <w:rsid w:val="00012BFD"/>
    <w:rsid w:val="000202F1"/>
    <w:rsid w:val="000220CE"/>
    <w:rsid w:val="000277DA"/>
    <w:rsid w:val="00030517"/>
    <w:rsid w:val="00031078"/>
    <w:rsid w:val="00034218"/>
    <w:rsid w:val="000458A4"/>
    <w:rsid w:val="00055F04"/>
    <w:rsid w:val="0005794E"/>
    <w:rsid w:val="0006140E"/>
    <w:rsid w:val="00061F8F"/>
    <w:rsid w:val="0006337F"/>
    <w:rsid w:val="00063809"/>
    <w:rsid w:val="00064928"/>
    <w:rsid w:val="0006726F"/>
    <w:rsid w:val="000708CC"/>
    <w:rsid w:val="00072602"/>
    <w:rsid w:val="000748A9"/>
    <w:rsid w:val="000857B7"/>
    <w:rsid w:val="000873ED"/>
    <w:rsid w:val="000910C2"/>
    <w:rsid w:val="00092EB2"/>
    <w:rsid w:val="00094593"/>
    <w:rsid w:val="00097C70"/>
    <w:rsid w:val="000A3905"/>
    <w:rsid w:val="000A474B"/>
    <w:rsid w:val="000B30E8"/>
    <w:rsid w:val="000B4BB5"/>
    <w:rsid w:val="000C3152"/>
    <w:rsid w:val="000C453D"/>
    <w:rsid w:val="000D00C7"/>
    <w:rsid w:val="000D0917"/>
    <w:rsid w:val="000D1EBB"/>
    <w:rsid w:val="000D284F"/>
    <w:rsid w:val="000D3966"/>
    <w:rsid w:val="000D4906"/>
    <w:rsid w:val="000D77E7"/>
    <w:rsid w:val="000D7BDD"/>
    <w:rsid w:val="000E0655"/>
    <w:rsid w:val="000E7512"/>
    <w:rsid w:val="000E77C6"/>
    <w:rsid w:val="000F5D4F"/>
    <w:rsid w:val="000F7AFD"/>
    <w:rsid w:val="00105925"/>
    <w:rsid w:val="00105F43"/>
    <w:rsid w:val="00106181"/>
    <w:rsid w:val="001126EF"/>
    <w:rsid w:val="00116A95"/>
    <w:rsid w:val="00123111"/>
    <w:rsid w:val="00124702"/>
    <w:rsid w:val="00124E75"/>
    <w:rsid w:val="001278EA"/>
    <w:rsid w:val="0013040F"/>
    <w:rsid w:val="00134359"/>
    <w:rsid w:val="001346B4"/>
    <w:rsid w:val="00134CC8"/>
    <w:rsid w:val="00143041"/>
    <w:rsid w:val="001443D3"/>
    <w:rsid w:val="00154213"/>
    <w:rsid w:val="00157ADA"/>
    <w:rsid w:val="001618F5"/>
    <w:rsid w:val="00165A7B"/>
    <w:rsid w:val="00171CB5"/>
    <w:rsid w:val="00180E03"/>
    <w:rsid w:val="00183AA7"/>
    <w:rsid w:val="00184885"/>
    <w:rsid w:val="0018656D"/>
    <w:rsid w:val="00191075"/>
    <w:rsid w:val="0019211D"/>
    <w:rsid w:val="00194AF7"/>
    <w:rsid w:val="00196D78"/>
    <w:rsid w:val="001A017E"/>
    <w:rsid w:val="001A1AD5"/>
    <w:rsid w:val="001A465E"/>
    <w:rsid w:val="001A46D6"/>
    <w:rsid w:val="001A4E85"/>
    <w:rsid w:val="001B3BB5"/>
    <w:rsid w:val="001B40BA"/>
    <w:rsid w:val="001B52BD"/>
    <w:rsid w:val="001B54B6"/>
    <w:rsid w:val="001C2429"/>
    <w:rsid w:val="001C5444"/>
    <w:rsid w:val="001C5A86"/>
    <w:rsid w:val="001D1686"/>
    <w:rsid w:val="001D5BEF"/>
    <w:rsid w:val="001D68B5"/>
    <w:rsid w:val="001D6BA1"/>
    <w:rsid w:val="001E0DBC"/>
    <w:rsid w:val="001E1FE3"/>
    <w:rsid w:val="001E4761"/>
    <w:rsid w:val="001E735D"/>
    <w:rsid w:val="001F2030"/>
    <w:rsid w:val="001F4987"/>
    <w:rsid w:val="001F6A3C"/>
    <w:rsid w:val="001F73DA"/>
    <w:rsid w:val="001F78B4"/>
    <w:rsid w:val="00215388"/>
    <w:rsid w:val="002160EF"/>
    <w:rsid w:val="00221728"/>
    <w:rsid w:val="002226B9"/>
    <w:rsid w:val="00227080"/>
    <w:rsid w:val="00230266"/>
    <w:rsid w:val="002308FC"/>
    <w:rsid w:val="00232DA4"/>
    <w:rsid w:val="00236CAB"/>
    <w:rsid w:val="002375A7"/>
    <w:rsid w:val="002405DC"/>
    <w:rsid w:val="00245008"/>
    <w:rsid w:val="00246885"/>
    <w:rsid w:val="00255441"/>
    <w:rsid w:val="0025749D"/>
    <w:rsid w:val="00261460"/>
    <w:rsid w:val="00267310"/>
    <w:rsid w:val="002708EF"/>
    <w:rsid w:val="00280ECD"/>
    <w:rsid w:val="00290567"/>
    <w:rsid w:val="00292E7A"/>
    <w:rsid w:val="00297699"/>
    <w:rsid w:val="002A0074"/>
    <w:rsid w:val="002A1523"/>
    <w:rsid w:val="002A5FB0"/>
    <w:rsid w:val="002A6F38"/>
    <w:rsid w:val="002A7767"/>
    <w:rsid w:val="002B0FEC"/>
    <w:rsid w:val="002B49C7"/>
    <w:rsid w:val="002B7C2A"/>
    <w:rsid w:val="002C2715"/>
    <w:rsid w:val="002C29FF"/>
    <w:rsid w:val="002D289C"/>
    <w:rsid w:val="002D35CA"/>
    <w:rsid w:val="002D3A5C"/>
    <w:rsid w:val="002F09AC"/>
    <w:rsid w:val="002F0DC9"/>
    <w:rsid w:val="002F1720"/>
    <w:rsid w:val="00303139"/>
    <w:rsid w:val="00305191"/>
    <w:rsid w:val="003068EE"/>
    <w:rsid w:val="00314070"/>
    <w:rsid w:val="003144E1"/>
    <w:rsid w:val="00315CA5"/>
    <w:rsid w:val="003179B9"/>
    <w:rsid w:val="00320090"/>
    <w:rsid w:val="0032403D"/>
    <w:rsid w:val="0032437C"/>
    <w:rsid w:val="0032585B"/>
    <w:rsid w:val="00326D55"/>
    <w:rsid w:val="00333C76"/>
    <w:rsid w:val="00335252"/>
    <w:rsid w:val="00335482"/>
    <w:rsid w:val="00335E45"/>
    <w:rsid w:val="003415CF"/>
    <w:rsid w:val="00341C48"/>
    <w:rsid w:val="0034401E"/>
    <w:rsid w:val="0035120B"/>
    <w:rsid w:val="00352F5F"/>
    <w:rsid w:val="0035725F"/>
    <w:rsid w:val="00357B02"/>
    <w:rsid w:val="00365213"/>
    <w:rsid w:val="00370707"/>
    <w:rsid w:val="00370D0A"/>
    <w:rsid w:val="00374829"/>
    <w:rsid w:val="00377E18"/>
    <w:rsid w:val="00380DDF"/>
    <w:rsid w:val="0038243B"/>
    <w:rsid w:val="00387972"/>
    <w:rsid w:val="0039059A"/>
    <w:rsid w:val="003919E2"/>
    <w:rsid w:val="00393B3F"/>
    <w:rsid w:val="003A3CAD"/>
    <w:rsid w:val="003B03C9"/>
    <w:rsid w:val="003B19AF"/>
    <w:rsid w:val="003B2A4C"/>
    <w:rsid w:val="003B4E5B"/>
    <w:rsid w:val="003B56B1"/>
    <w:rsid w:val="003C1D89"/>
    <w:rsid w:val="003D0ABE"/>
    <w:rsid w:val="003E08D2"/>
    <w:rsid w:val="003F13F0"/>
    <w:rsid w:val="003F1BF6"/>
    <w:rsid w:val="003F2891"/>
    <w:rsid w:val="004000FD"/>
    <w:rsid w:val="00413954"/>
    <w:rsid w:val="00414740"/>
    <w:rsid w:val="00416BF0"/>
    <w:rsid w:val="00424B4B"/>
    <w:rsid w:val="00431A29"/>
    <w:rsid w:val="0043285A"/>
    <w:rsid w:val="0043744B"/>
    <w:rsid w:val="00441ADF"/>
    <w:rsid w:val="0044463C"/>
    <w:rsid w:val="00451B45"/>
    <w:rsid w:val="004578F5"/>
    <w:rsid w:val="00457ADE"/>
    <w:rsid w:val="0046104D"/>
    <w:rsid w:val="004621C1"/>
    <w:rsid w:val="004650B4"/>
    <w:rsid w:val="0047240A"/>
    <w:rsid w:val="004727F4"/>
    <w:rsid w:val="0047420B"/>
    <w:rsid w:val="0047470B"/>
    <w:rsid w:val="00480A4D"/>
    <w:rsid w:val="00480D08"/>
    <w:rsid w:val="0048674F"/>
    <w:rsid w:val="004920EA"/>
    <w:rsid w:val="00495473"/>
    <w:rsid w:val="00496C7D"/>
    <w:rsid w:val="00496E28"/>
    <w:rsid w:val="004A0364"/>
    <w:rsid w:val="004A3EB7"/>
    <w:rsid w:val="004A4C49"/>
    <w:rsid w:val="004A78B9"/>
    <w:rsid w:val="004B134F"/>
    <w:rsid w:val="004B1FED"/>
    <w:rsid w:val="004B3E49"/>
    <w:rsid w:val="004B5BC6"/>
    <w:rsid w:val="004B69B2"/>
    <w:rsid w:val="004B6E26"/>
    <w:rsid w:val="004B7183"/>
    <w:rsid w:val="004C04FB"/>
    <w:rsid w:val="004C66DD"/>
    <w:rsid w:val="004C7E97"/>
    <w:rsid w:val="004D05DD"/>
    <w:rsid w:val="004D11AD"/>
    <w:rsid w:val="004D23C4"/>
    <w:rsid w:val="004D4E4E"/>
    <w:rsid w:val="004D756A"/>
    <w:rsid w:val="004E2AF7"/>
    <w:rsid w:val="004E6EC2"/>
    <w:rsid w:val="004F2B6D"/>
    <w:rsid w:val="004F4396"/>
    <w:rsid w:val="004F6469"/>
    <w:rsid w:val="004F6830"/>
    <w:rsid w:val="00506E2C"/>
    <w:rsid w:val="0051068E"/>
    <w:rsid w:val="0051110A"/>
    <w:rsid w:val="00511711"/>
    <w:rsid w:val="00511B61"/>
    <w:rsid w:val="00512939"/>
    <w:rsid w:val="00512D08"/>
    <w:rsid w:val="005139AA"/>
    <w:rsid w:val="0051696F"/>
    <w:rsid w:val="00521D1E"/>
    <w:rsid w:val="005234EC"/>
    <w:rsid w:val="00523E72"/>
    <w:rsid w:val="00526BD0"/>
    <w:rsid w:val="00527244"/>
    <w:rsid w:val="00534D44"/>
    <w:rsid w:val="005402E4"/>
    <w:rsid w:val="00543FBA"/>
    <w:rsid w:val="00544C71"/>
    <w:rsid w:val="005505DF"/>
    <w:rsid w:val="00551CE4"/>
    <w:rsid w:val="00552487"/>
    <w:rsid w:val="00552F32"/>
    <w:rsid w:val="0055311F"/>
    <w:rsid w:val="00561449"/>
    <w:rsid w:val="0056521B"/>
    <w:rsid w:val="00565CEB"/>
    <w:rsid w:val="00566B1C"/>
    <w:rsid w:val="0057142B"/>
    <w:rsid w:val="0057280D"/>
    <w:rsid w:val="00574297"/>
    <w:rsid w:val="0057774E"/>
    <w:rsid w:val="005828E6"/>
    <w:rsid w:val="00583B5E"/>
    <w:rsid w:val="00587071"/>
    <w:rsid w:val="005876E1"/>
    <w:rsid w:val="00590980"/>
    <w:rsid w:val="005926A3"/>
    <w:rsid w:val="00592E50"/>
    <w:rsid w:val="00593181"/>
    <w:rsid w:val="005A1702"/>
    <w:rsid w:val="005A1D7A"/>
    <w:rsid w:val="005A4570"/>
    <w:rsid w:val="005A7965"/>
    <w:rsid w:val="005B0773"/>
    <w:rsid w:val="005B0E95"/>
    <w:rsid w:val="005B5654"/>
    <w:rsid w:val="005C031A"/>
    <w:rsid w:val="005C2812"/>
    <w:rsid w:val="005C34D0"/>
    <w:rsid w:val="005C4CDB"/>
    <w:rsid w:val="005D1CBA"/>
    <w:rsid w:val="005D2042"/>
    <w:rsid w:val="005D2876"/>
    <w:rsid w:val="005D4C3B"/>
    <w:rsid w:val="005E0D07"/>
    <w:rsid w:val="005E4E12"/>
    <w:rsid w:val="005E6C59"/>
    <w:rsid w:val="005F13D6"/>
    <w:rsid w:val="005F2AF7"/>
    <w:rsid w:val="005F7E18"/>
    <w:rsid w:val="0060060C"/>
    <w:rsid w:val="0062023F"/>
    <w:rsid w:val="00622E1C"/>
    <w:rsid w:val="00630CF3"/>
    <w:rsid w:val="00631FC4"/>
    <w:rsid w:val="00635225"/>
    <w:rsid w:val="00640D91"/>
    <w:rsid w:val="006413CB"/>
    <w:rsid w:val="006423EE"/>
    <w:rsid w:val="00643583"/>
    <w:rsid w:val="00643BE7"/>
    <w:rsid w:val="00646F97"/>
    <w:rsid w:val="006531BC"/>
    <w:rsid w:val="00653BDA"/>
    <w:rsid w:val="00656E00"/>
    <w:rsid w:val="006607B8"/>
    <w:rsid w:val="00660E52"/>
    <w:rsid w:val="006627D1"/>
    <w:rsid w:val="00662937"/>
    <w:rsid w:val="0066340A"/>
    <w:rsid w:val="00666432"/>
    <w:rsid w:val="006674AE"/>
    <w:rsid w:val="00667F9F"/>
    <w:rsid w:val="0067022A"/>
    <w:rsid w:val="00671D42"/>
    <w:rsid w:val="0067458E"/>
    <w:rsid w:val="00682068"/>
    <w:rsid w:val="0068381E"/>
    <w:rsid w:val="006878E4"/>
    <w:rsid w:val="006905C5"/>
    <w:rsid w:val="00692C89"/>
    <w:rsid w:val="00696384"/>
    <w:rsid w:val="00696762"/>
    <w:rsid w:val="00696AC2"/>
    <w:rsid w:val="006A012B"/>
    <w:rsid w:val="006A1BCB"/>
    <w:rsid w:val="006A2614"/>
    <w:rsid w:val="006A3C1D"/>
    <w:rsid w:val="006A6198"/>
    <w:rsid w:val="006A7BC8"/>
    <w:rsid w:val="006B429D"/>
    <w:rsid w:val="006B62F0"/>
    <w:rsid w:val="006C20FB"/>
    <w:rsid w:val="006C2149"/>
    <w:rsid w:val="006C2819"/>
    <w:rsid w:val="006C64C9"/>
    <w:rsid w:val="006C74EB"/>
    <w:rsid w:val="006D5D9E"/>
    <w:rsid w:val="006F49B6"/>
    <w:rsid w:val="00701717"/>
    <w:rsid w:val="00701CBF"/>
    <w:rsid w:val="00703B67"/>
    <w:rsid w:val="0070524C"/>
    <w:rsid w:val="0071144D"/>
    <w:rsid w:val="00712776"/>
    <w:rsid w:val="00712D98"/>
    <w:rsid w:val="00713CC8"/>
    <w:rsid w:val="00717189"/>
    <w:rsid w:val="00720BF6"/>
    <w:rsid w:val="00722154"/>
    <w:rsid w:val="00723FA5"/>
    <w:rsid w:val="007248C7"/>
    <w:rsid w:val="00724B97"/>
    <w:rsid w:val="007339C7"/>
    <w:rsid w:val="0073563B"/>
    <w:rsid w:val="00735789"/>
    <w:rsid w:val="00737256"/>
    <w:rsid w:val="00737CA6"/>
    <w:rsid w:val="007426CB"/>
    <w:rsid w:val="007519DB"/>
    <w:rsid w:val="00751E2D"/>
    <w:rsid w:val="00751F60"/>
    <w:rsid w:val="00753FDD"/>
    <w:rsid w:val="0076454E"/>
    <w:rsid w:val="00764D33"/>
    <w:rsid w:val="00765E78"/>
    <w:rsid w:val="00765F04"/>
    <w:rsid w:val="0076603A"/>
    <w:rsid w:val="00770880"/>
    <w:rsid w:val="00771C26"/>
    <w:rsid w:val="00772AEA"/>
    <w:rsid w:val="007767F0"/>
    <w:rsid w:val="00780004"/>
    <w:rsid w:val="007805D6"/>
    <w:rsid w:val="00783A06"/>
    <w:rsid w:val="00784907"/>
    <w:rsid w:val="007873D3"/>
    <w:rsid w:val="00793B59"/>
    <w:rsid w:val="00797C2E"/>
    <w:rsid w:val="007A340D"/>
    <w:rsid w:val="007A57D1"/>
    <w:rsid w:val="007B138F"/>
    <w:rsid w:val="007B385D"/>
    <w:rsid w:val="007C0CC2"/>
    <w:rsid w:val="007C234F"/>
    <w:rsid w:val="007E0BE6"/>
    <w:rsid w:val="007E3956"/>
    <w:rsid w:val="007E5DAC"/>
    <w:rsid w:val="007F2052"/>
    <w:rsid w:val="007F32D7"/>
    <w:rsid w:val="007F4A23"/>
    <w:rsid w:val="008163E0"/>
    <w:rsid w:val="0082335E"/>
    <w:rsid w:val="00825504"/>
    <w:rsid w:val="0083006A"/>
    <w:rsid w:val="0083208A"/>
    <w:rsid w:val="008345DC"/>
    <w:rsid w:val="00843C9D"/>
    <w:rsid w:val="00853791"/>
    <w:rsid w:val="008539B9"/>
    <w:rsid w:val="00854726"/>
    <w:rsid w:val="00856C32"/>
    <w:rsid w:val="0086018E"/>
    <w:rsid w:val="0086045F"/>
    <w:rsid w:val="0087001C"/>
    <w:rsid w:val="008747DB"/>
    <w:rsid w:val="008756B2"/>
    <w:rsid w:val="008777F8"/>
    <w:rsid w:val="0088314E"/>
    <w:rsid w:val="008867E3"/>
    <w:rsid w:val="008913C6"/>
    <w:rsid w:val="00893F10"/>
    <w:rsid w:val="0089532B"/>
    <w:rsid w:val="008A13F1"/>
    <w:rsid w:val="008A3596"/>
    <w:rsid w:val="008B09A3"/>
    <w:rsid w:val="008B12DA"/>
    <w:rsid w:val="008C1BA3"/>
    <w:rsid w:val="008C3678"/>
    <w:rsid w:val="008D08F5"/>
    <w:rsid w:val="008D3272"/>
    <w:rsid w:val="008D33B8"/>
    <w:rsid w:val="008D5B1A"/>
    <w:rsid w:val="008E3B48"/>
    <w:rsid w:val="008E4757"/>
    <w:rsid w:val="008E510E"/>
    <w:rsid w:val="008E55B0"/>
    <w:rsid w:val="008E5B4F"/>
    <w:rsid w:val="008E798C"/>
    <w:rsid w:val="008F0850"/>
    <w:rsid w:val="008F71CF"/>
    <w:rsid w:val="00900090"/>
    <w:rsid w:val="00902C56"/>
    <w:rsid w:val="00911785"/>
    <w:rsid w:val="0091518A"/>
    <w:rsid w:val="009153F6"/>
    <w:rsid w:val="00921275"/>
    <w:rsid w:val="0092433F"/>
    <w:rsid w:val="00924724"/>
    <w:rsid w:val="009260BE"/>
    <w:rsid w:val="009269AF"/>
    <w:rsid w:val="00937E41"/>
    <w:rsid w:val="0094140C"/>
    <w:rsid w:val="00943D9D"/>
    <w:rsid w:val="009518D0"/>
    <w:rsid w:val="00952868"/>
    <w:rsid w:val="00970432"/>
    <w:rsid w:val="00970875"/>
    <w:rsid w:val="00970BC0"/>
    <w:rsid w:val="00971B7E"/>
    <w:rsid w:val="009762B9"/>
    <w:rsid w:val="00982A1B"/>
    <w:rsid w:val="00986C22"/>
    <w:rsid w:val="0098777C"/>
    <w:rsid w:val="0099093A"/>
    <w:rsid w:val="00992E9A"/>
    <w:rsid w:val="009A32CD"/>
    <w:rsid w:val="009A4855"/>
    <w:rsid w:val="009A7AEE"/>
    <w:rsid w:val="009B0DC3"/>
    <w:rsid w:val="009C18D0"/>
    <w:rsid w:val="009D07E4"/>
    <w:rsid w:val="009E3192"/>
    <w:rsid w:val="009E6919"/>
    <w:rsid w:val="009E6992"/>
    <w:rsid w:val="009E7DA1"/>
    <w:rsid w:val="009F17C6"/>
    <w:rsid w:val="00A03552"/>
    <w:rsid w:val="00A04E49"/>
    <w:rsid w:val="00A0648A"/>
    <w:rsid w:val="00A07DA5"/>
    <w:rsid w:val="00A127CC"/>
    <w:rsid w:val="00A207AF"/>
    <w:rsid w:val="00A21B18"/>
    <w:rsid w:val="00A246F8"/>
    <w:rsid w:val="00A247EA"/>
    <w:rsid w:val="00A24CEC"/>
    <w:rsid w:val="00A27A85"/>
    <w:rsid w:val="00A27BCC"/>
    <w:rsid w:val="00A338E7"/>
    <w:rsid w:val="00A36094"/>
    <w:rsid w:val="00A40AA4"/>
    <w:rsid w:val="00A40C80"/>
    <w:rsid w:val="00A4149A"/>
    <w:rsid w:val="00A41D50"/>
    <w:rsid w:val="00A42A8E"/>
    <w:rsid w:val="00A43C8D"/>
    <w:rsid w:val="00A477F0"/>
    <w:rsid w:val="00A50C6D"/>
    <w:rsid w:val="00A51600"/>
    <w:rsid w:val="00A536F3"/>
    <w:rsid w:val="00A548DA"/>
    <w:rsid w:val="00A55FAE"/>
    <w:rsid w:val="00A560F2"/>
    <w:rsid w:val="00A57543"/>
    <w:rsid w:val="00A61226"/>
    <w:rsid w:val="00A6550E"/>
    <w:rsid w:val="00A65DE7"/>
    <w:rsid w:val="00A73E90"/>
    <w:rsid w:val="00A743D8"/>
    <w:rsid w:val="00A76382"/>
    <w:rsid w:val="00A7643A"/>
    <w:rsid w:val="00A95A4B"/>
    <w:rsid w:val="00AA2AF8"/>
    <w:rsid w:val="00AA55D1"/>
    <w:rsid w:val="00AA6BFA"/>
    <w:rsid w:val="00AB2F05"/>
    <w:rsid w:val="00AB4703"/>
    <w:rsid w:val="00AB713A"/>
    <w:rsid w:val="00AB7284"/>
    <w:rsid w:val="00AC2AC0"/>
    <w:rsid w:val="00AC4346"/>
    <w:rsid w:val="00AD490D"/>
    <w:rsid w:val="00AD69AA"/>
    <w:rsid w:val="00B00B8E"/>
    <w:rsid w:val="00B04921"/>
    <w:rsid w:val="00B063E7"/>
    <w:rsid w:val="00B11669"/>
    <w:rsid w:val="00B128C1"/>
    <w:rsid w:val="00B22167"/>
    <w:rsid w:val="00B221C5"/>
    <w:rsid w:val="00B2556D"/>
    <w:rsid w:val="00B3747E"/>
    <w:rsid w:val="00B40DDD"/>
    <w:rsid w:val="00B41DA1"/>
    <w:rsid w:val="00B44167"/>
    <w:rsid w:val="00B54B6A"/>
    <w:rsid w:val="00B5546A"/>
    <w:rsid w:val="00B55A93"/>
    <w:rsid w:val="00B5637A"/>
    <w:rsid w:val="00B56772"/>
    <w:rsid w:val="00B56CDE"/>
    <w:rsid w:val="00B574D0"/>
    <w:rsid w:val="00B657A4"/>
    <w:rsid w:val="00B7286B"/>
    <w:rsid w:val="00B73E48"/>
    <w:rsid w:val="00B76046"/>
    <w:rsid w:val="00B8047E"/>
    <w:rsid w:val="00B84BC8"/>
    <w:rsid w:val="00B90092"/>
    <w:rsid w:val="00B97E46"/>
    <w:rsid w:val="00BB1BA5"/>
    <w:rsid w:val="00BB2067"/>
    <w:rsid w:val="00BB4E10"/>
    <w:rsid w:val="00BC021F"/>
    <w:rsid w:val="00BC535A"/>
    <w:rsid w:val="00BD208B"/>
    <w:rsid w:val="00BD63CF"/>
    <w:rsid w:val="00BE1BED"/>
    <w:rsid w:val="00BE67A5"/>
    <w:rsid w:val="00BF1D0F"/>
    <w:rsid w:val="00BF3594"/>
    <w:rsid w:val="00BF35FB"/>
    <w:rsid w:val="00BF3768"/>
    <w:rsid w:val="00BF7A0B"/>
    <w:rsid w:val="00C01730"/>
    <w:rsid w:val="00C02027"/>
    <w:rsid w:val="00C021CA"/>
    <w:rsid w:val="00C03283"/>
    <w:rsid w:val="00C034CB"/>
    <w:rsid w:val="00C05537"/>
    <w:rsid w:val="00C101B0"/>
    <w:rsid w:val="00C12E52"/>
    <w:rsid w:val="00C1585B"/>
    <w:rsid w:val="00C23710"/>
    <w:rsid w:val="00C24746"/>
    <w:rsid w:val="00C25FE4"/>
    <w:rsid w:val="00C32540"/>
    <w:rsid w:val="00C3640C"/>
    <w:rsid w:val="00C42401"/>
    <w:rsid w:val="00C448F4"/>
    <w:rsid w:val="00C45024"/>
    <w:rsid w:val="00C479F6"/>
    <w:rsid w:val="00C47CE1"/>
    <w:rsid w:val="00C52778"/>
    <w:rsid w:val="00C643C3"/>
    <w:rsid w:val="00C8308E"/>
    <w:rsid w:val="00C83D95"/>
    <w:rsid w:val="00C8693F"/>
    <w:rsid w:val="00C937B9"/>
    <w:rsid w:val="00C93C94"/>
    <w:rsid w:val="00C95769"/>
    <w:rsid w:val="00CA01C6"/>
    <w:rsid w:val="00CA1758"/>
    <w:rsid w:val="00CA211E"/>
    <w:rsid w:val="00CA2797"/>
    <w:rsid w:val="00CA4087"/>
    <w:rsid w:val="00CA5E73"/>
    <w:rsid w:val="00CA73B3"/>
    <w:rsid w:val="00CB0D8B"/>
    <w:rsid w:val="00CC0FF4"/>
    <w:rsid w:val="00CC103C"/>
    <w:rsid w:val="00CC2FF7"/>
    <w:rsid w:val="00CC77B2"/>
    <w:rsid w:val="00CD1067"/>
    <w:rsid w:val="00CD4503"/>
    <w:rsid w:val="00CD521B"/>
    <w:rsid w:val="00CD7D2A"/>
    <w:rsid w:val="00CE246E"/>
    <w:rsid w:val="00CE2C69"/>
    <w:rsid w:val="00CE3AB5"/>
    <w:rsid w:val="00CE3B06"/>
    <w:rsid w:val="00D0065F"/>
    <w:rsid w:val="00D017A6"/>
    <w:rsid w:val="00D05701"/>
    <w:rsid w:val="00D12A9B"/>
    <w:rsid w:val="00D1672F"/>
    <w:rsid w:val="00D17B52"/>
    <w:rsid w:val="00D264E6"/>
    <w:rsid w:val="00D32F58"/>
    <w:rsid w:val="00D333B3"/>
    <w:rsid w:val="00D33C0B"/>
    <w:rsid w:val="00D340B4"/>
    <w:rsid w:val="00D361CE"/>
    <w:rsid w:val="00D430C1"/>
    <w:rsid w:val="00D433F5"/>
    <w:rsid w:val="00D4370C"/>
    <w:rsid w:val="00D60C56"/>
    <w:rsid w:val="00D63AAE"/>
    <w:rsid w:val="00D651D5"/>
    <w:rsid w:val="00D66384"/>
    <w:rsid w:val="00D6675A"/>
    <w:rsid w:val="00D66E36"/>
    <w:rsid w:val="00D73B93"/>
    <w:rsid w:val="00D75630"/>
    <w:rsid w:val="00D8101D"/>
    <w:rsid w:val="00D82225"/>
    <w:rsid w:val="00D82B4E"/>
    <w:rsid w:val="00D840BE"/>
    <w:rsid w:val="00D859A0"/>
    <w:rsid w:val="00D85A41"/>
    <w:rsid w:val="00D85E06"/>
    <w:rsid w:val="00D90AED"/>
    <w:rsid w:val="00D90F47"/>
    <w:rsid w:val="00D93410"/>
    <w:rsid w:val="00DA1170"/>
    <w:rsid w:val="00DA163D"/>
    <w:rsid w:val="00DA3E68"/>
    <w:rsid w:val="00DB077C"/>
    <w:rsid w:val="00DB2E2E"/>
    <w:rsid w:val="00DC058F"/>
    <w:rsid w:val="00DC314F"/>
    <w:rsid w:val="00DC6C35"/>
    <w:rsid w:val="00DD01E2"/>
    <w:rsid w:val="00DD104D"/>
    <w:rsid w:val="00DD5A3F"/>
    <w:rsid w:val="00DE1FEE"/>
    <w:rsid w:val="00DE37A0"/>
    <w:rsid w:val="00DE3CC6"/>
    <w:rsid w:val="00DF0AC7"/>
    <w:rsid w:val="00DF7E57"/>
    <w:rsid w:val="00E03438"/>
    <w:rsid w:val="00E0547E"/>
    <w:rsid w:val="00E06E33"/>
    <w:rsid w:val="00E07E77"/>
    <w:rsid w:val="00E14AAF"/>
    <w:rsid w:val="00E16769"/>
    <w:rsid w:val="00E172ED"/>
    <w:rsid w:val="00E21C02"/>
    <w:rsid w:val="00E24F81"/>
    <w:rsid w:val="00E25008"/>
    <w:rsid w:val="00E26CCF"/>
    <w:rsid w:val="00E307C8"/>
    <w:rsid w:val="00E3135B"/>
    <w:rsid w:val="00E33314"/>
    <w:rsid w:val="00E359EA"/>
    <w:rsid w:val="00E37A65"/>
    <w:rsid w:val="00E407E4"/>
    <w:rsid w:val="00E432C9"/>
    <w:rsid w:val="00E43B75"/>
    <w:rsid w:val="00E44E54"/>
    <w:rsid w:val="00E506A2"/>
    <w:rsid w:val="00E52F6E"/>
    <w:rsid w:val="00E5377B"/>
    <w:rsid w:val="00E6079F"/>
    <w:rsid w:val="00E620A7"/>
    <w:rsid w:val="00E7211D"/>
    <w:rsid w:val="00E73EE8"/>
    <w:rsid w:val="00E746EF"/>
    <w:rsid w:val="00E77765"/>
    <w:rsid w:val="00E802D0"/>
    <w:rsid w:val="00E81ADC"/>
    <w:rsid w:val="00E92A3C"/>
    <w:rsid w:val="00E97ADE"/>
    <w:rsid w:val="00EA5D98"/>
    <w:rsid w:val="00EB4847"/>
    <w:rsid w:val="00EB5DEA"/>
    <w:rsid w:val="00EB7781"/>
    <w:rsid w:val="00EC159D"/>
    <w:rsid w:val="00EC294E"/>
    <w:rsid w:val="00EC2D7F"/>
    <w:rsid w:val="00ED1C9B"/>
    <w:rsid w:val="00ED2D75"/>
    <w:rsid w:val="00ED6703"/>
    <w:rsid w:val="00EE049E"/>
    <w:rsid w:val="00EE2DCD"/>
    <w:rsid w:val="00EE2F36"/>
    <w:rsid w:val="00EE6F50"/>
    <w:rsid w:val="00EF4017"/>
    <w:rsid w:val="00EF5335"/>
    <w:rsid w:val="00F02245"/>
    <w:rsid w:val="00F03DEE"/>
    <w:rsid w:val="00F07E60"/>
    <w:rsid w:val="00F10752"/>
    <w:rsid w:val="00F159FE"/>
    <w:rsid w:val="00F2465A"/>
    <w:rsid w:val="00F26475"/>
    <w:rsid w:val="00F2798C"/>
    <w:rsid w:val="00F27C3B"/>
    <w:rsid w:val="00F332E6"/>
    <w:rsid w:val="00F4620B"/>
    <w:rsid w:val="00F55003"/>
    <w:rsid w:val="00F57D67"/>
    <w:rsid w:val="00F60823"/>
    <w:rsid w:val="00F622A2"/>
    <w:rsid w:val="00F65073"/>
    <w:rsid w:val="00F65920"/>
    <w:rsid w:val="00F72B4C"/>
    <w:rsid w:val="00F73885"/>
    <w:rsid w:val="00F74533"/>
    <w:rsid w:val="00F7540C"/>
    <w:rsid w:val="00F7740E"/>
    <w:rsid w:val="00F77714"/>
    <w:rsid w:val="00F81507"/>
    <w:rsid w:val="00F85C7B"/>
    <w:rsid w:val="00FA1839"/>
    <w:rsid w:val="00FA45F2"/>
    <w:rsid w:val="00FA55BF"/>
    <w:rsid w:val="00FB280B"/>
    <w:rsid w:val="00FB3110"/>
    <w:rsid w:val="00FB4613"/>
    <w:rsid w:val="00FB74AF"/>
    <w:rsid w:val="00FC3A51"/>
    <w:rsid w:val="00FD1CE8"/>
    <w:rsid w:val="00FD5846"/>
    <w:rsid w:val="00FF21E0"/>
    <w:rsid w:val="00FF61DF"/>
    <w:rsid w:val="00FF701D"/>
    <w:rsid w:val="00FF7F32"/>
    <w:rsid w:val="09133FD0"/>
    <w:rsid w:val="0F3B0B07"/>
    <w:rsid w:val="1E733953"/>
    <w:rsid w:val="29153247"/>
    <w:rsid w:val="2BE61149"/>
    <w:rsid w:val="2F2E5EA6"/>
    <w:rsid w:val="36326950"/>
    <w:rsid w:val="3B3333A9"/>
    <w:rsid w:val="6DCB2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1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annotation text"/>
    <w:basedOn w:val="1"/>
    <w:link w:val="18"/>
    <w:unhideWhenUsed/>
    <w:qFormat/>
    <w:uiPriority w:val="0"/>
    <w:pPr>
      <w:jc w:val="left"/>
    </w:p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annotation subject"/>
    <w:basedOn w:val="5"/>
    <w:next w:val="5"/>
    <w:link w:val="19"/>
    <w:semiHidden/>
    <w:unhideWhenUsed/>
    <w:qFormat/>
    <w:uiPriority w:val="99"/>
    <w:rPr>
      <w:b/>
      <w:bCs/>
    </w:rPr>
  </w:style>
  <w:style w:type="character" w:styleId="13">
    <w:name w:val="Hyperlink"/>
    <w:qFormat/>
    <w:uiPriority w:val="99"/>
    <w:rPr>
      <w:color w:val="0000FF"/>
      <w:u w:val="single"/>
    </w:rPr>
  </w:style>
  <w:style w:type="character" w:styleId="14">
    <w:name w:val="annotation reference"/>
    <w:basedOn w:val="12"/>
    <w:unhideWhenUsed/>
    <w:qFormat/>
    <w:uiPriority w:val="0"/>
    <w:rPr>
      <w:sz w:val="21"/>
      <w:szCs w:val="21"/>
    </w:rPr>
  </w:style>
  <w:style w:type="character" w:customStyle="1" w:styleId="15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6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7">
    <w:name w:val="批注框文本 字符"/>
    <w:basedOn w:val="12"/>
    <w:link w:val="6"/>
    <w:semiHidden/>
    <w:qFormat/>
    <w:uiPriority w:val="99"/>
    <w:rPr>
      <w:sz w:val="18"/>
      <w:szCs w:val="18"/>
    </w:rPr>
  </w:style>
  <w:style w:type="character" w:customStyle="1" w:styleId="18">
    <w:name w:val="批注文字 字符"/>
    <w:basedOn w:val="12"/>
    <w:link w:val="5"/>
    <w:semiHidden/>
    <w:qFormat/>
    <w:uiPriority w:val="99"/>
  </w:style>
  <w:style w:type="character" w:customStyle="1" w:styleId="19">
    <w:name w:val="批注主题 字符"/>
    <w:basedOn w:val="18"/>
    <w:link w:val="10"/>
    <w:semiHidden/>
    <w:qFormat/>
    <w:uiPriority w:val="99"/>
    <w:rPr>
      <w:b/>
      <w:bCs/>
    </w:rPr>
  </w:style>
  <w:style w:type="paragraph" w:customStyle="1" w:styleId="20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1">
    <w:name w:val="文档结构图 字符"/>
    <w:basedOn w:val="12"/>
    <w:link w:val="4"/>
    <w:semiHidden/>
    <w:qFormat/>
    <w:uiPriority w:val="99"/>
    <w:rPr>
      <w:rFonts w:ascii="宋体" w:eastAsia="宋体"/>
      <w:sz w:val="18"/>
      <w:szCs w:val="18"/>
    </w:rPr>
  </w:style>
  <w:style w:type="paragraph" w:customStyle="1" w:styleId="22">
    <w:name w:val="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3">
    <w:name w:val="项目"/>
    <w:basedOn w:val="3"/>
    <w:qFormat/>
    <w:uiPriority w:val="0"/>
    <w:pPr>
      <w:snapToGrid w:val="0"/>
      <w:spacing w:before="120" w:after="120" w:line="360" w:lineRule="auto"/>
    </w:pPr>
    <w:rPr>
      <w:rFonts w:ascii="Times New Roman" w:hAnsi="Times New Roman" w:eastAsia="楷体_GB2312" w:cs="Times New Roman"/>
      <w:b w:val="0"/>
      <w:sz w:val="24"/>
      <w:szCs w:val="20"/>
    </w:rPr>
  </w:style>
  <w:style w:type="character" w:customStyle="1" w:styleId="24">
    <w:name w:val="标题 4 字符"/>
    <w:basedOn w:val="12"/>
    <w:link w:val="3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25">
    <w:name w:val="List Paragraph"/>
    <w:basedOn w:val="1"/>
    <w:qFormat/>
    <w:uiPriority w:val="34"/>
    <w:pPr>
      <w:ind w:firstLine="420" w:firstLineChars="200"/>
    </w:p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kern w:val="0"/>
      <w:sz w:val="24"/>
      <w:szCs w:val="24"/>
      <w:lang w:val="en-US" w:eastAsia="zh-CN" w:bidi="ar-SA"/>
    </w:rPr>
  </w:style>
  <w:style w:type="paragraph" w:customStyle="1" w:styleId="27">
    <w:name w:val="默认段落字体 Para Char Char Char Char Char Char"/>
    <w:basedOn w:val="1"/>
    <w:autoRedefine/>
    <w:qFormat/>
    <w:uiPriority w:val="0"/>
    <w:pPr>
      <w:tabs>
        <w:tab w:val="left" w:pos="840"/>
      </w:tabs>
      <w:ind w:left="840" w:hanging="360"/>
    </w:pPr>
    <w:rPr>
      <w:rFonts w:ascii="Times New Roman" w:hAnsi="Times New Roman" w:eastAsia="宋体" w:cs="Times New Roman"/>
      <w:sz w:val="24"/>
      <w:szCs w:val="24"/>
    </w:rPr>
  </w:style>
  <w:style w:type="character" w:customStyle="1" w:styleId="28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44B7B4-5311-4D34-974F-F5FB2FBC063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</Company>
  <Pages>2</Pages>
  <Words>235</Words>
  <Characters>1344</Characters>
  <Lines>11</Lines>
  <Paragraphs>3</Paragraphs>
  <TotalTime>7</TotalTime>
  <ScaleCrop>false</ScaleCrop>
  <LinksUpToDate>false</LinksUpToDate>
  <CharactersWithSpaces>1576</CharactersWithSpaces>
  <Application>WPS Office_12.8.2.19823_F1E327BC-269C-435d-A152-05C5408002CA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2025-08-14T02:45:00Z</dcterms:created>
  <dc:creator>yfjiang.may</dc:creator>
  <cp:lastModifiedBy>陈尚清</cp:lastModifiedBy>
  <cp:lastPrinted>2018-06-27T05:58:00Z</cp:lastPrinted>
  <dcterms:modified xsi:type="dcterms:W3CDTF">2026-09-01T01:59:40Z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2052-12.8.2.19823</vt:lpwstr>
  </property>
  <property fmtid="{D5CDD505-2E9C-101B-9397-08002B2CF9AE}" pid="3" name="ICV">
    <vt:lpwstr>95C1805ABFAD4AF6967D97F465B4F971_12</vt:lpwstr>
  </property>
</Properties>
</file>