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FC0" w:rsidRPr="00EB07BC" w:rsidRDefault="00301680">
      <w:pPr>
        <w:rPr>
          <w:sz w:val="32"/>
        </w:rPr>
      </w:pPr>
    </w:p>
    <w:p w:rsidR="00C92FC0" w:rsidRPr="00EB07BC" w:rsidRDefault="00301680">
      <w:pPr>
        <w:rPr>
          <w:sz w:val="32"/>
        </w:rPr>
      </w:pPr>
    </w:p>
    <w:p w:rsidR="00C92FC0" w:rsidRPr="00EB07BC" w:rsidRDefault="00301680">
      <w:pPr>
        <w:rPr>
          <w:sz w:val="32"/>
        </w:rPr>
      </w:pPr>
    </w:p>
    <w:p w:rsidR="002F6AF2" w:rsidRDefault="002F6AF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F6AF2" w:rsidRDefault="002F6AF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F6AF2" w:rsidRDefault="002F6AF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F6AF2" w:rsidRDefault="00677079">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交银施罗德中证海外中国互联网指数型证券投资基金</w:t>
      </w:r>
      <w:r>
        <w:rPr>
          <w:rFonts w:ascii="Times New Roman" w:hAnsi="Times New Roman"/>
          <w:b/>
          <w:spacing w:val="2"/>
          <w:w w:val="99"/>
          <w:kern w:val="0"/>
          <w:position w:val="-4"/>
          <w:sz w:val="44"/>
          <w:szCs w:val="44"/>
        </w:rPr>
        <w:t>(LOF)</w:t>
      </w:r>
    </w:p>
    <w:p w:rsidR="002F6AF2" w:rsidRDefault="00677079">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2F6AF2" w:rsidRDefault="002F6AF2">
      <w:pPr>
        <w:snapToGrid w:val="0"/>
        <w:spacing w:line="360" w:lineRule="auto"/>
        <w:jc w:val="center"/>
        <w:rPr>
          <w:rFonts w:ascii="宋体" w:hAnsi="宋体"/>
          <w:b/>
          <w:sz w:val="30"/>
          <w:szCs w:val="30"/>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67707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2F6AF2" w:rsidRDefault="0067707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677079">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w:t>
      </w:r>
      <w:r w:rsidR="00885DEE">
        <w:rPr>
          <w:rFonts w:ascii="Times New Roman" w:hAnsi="Times New Roman" w:hint="eastAsia"/>
          <w:b/>
          <w:spacing w:val="2"/>
          <w:w w:val="99"/>
          <w:kern w:val="0"/>
          <w:sz w:val="28"/>
          <w:szCs w:val="32"/>
        </w:rPr>
        <w:t>八</w:t>
      </w:r>
      <w:r>
        <w:rPr>
          <w:rFonts w:ascii="Times New Roman" w:hAnsi="Times New Roman"/>
          <w:b/>
          <w:spacing w:val="2"/>
          <w:w w:val="99"/>
          <w:kern w:val="0"/>
          <w:sz w:val="28"/>
          <w:szCs w:val="32"/>
        </w:rPr>
        <w:t>月</w:t>
      </w:r>
    </w:p>
    <w:p w:rsidR="002F6AF2" w:rsidRDefault="002F6AF2">
      <w:pPr>
        <w:autoSpaceDE w:val="0"/>
        <w:autoSpaceDN w:val="0"/>
        <w:adjustRightInd w:val="0"/>
        <w:snapToGrid w:val="0"/>
        <w:spacing w:line="360" w:lineRule="auto"/>
        <w:ind w:left="1347" w:rightChars="6" w:right="13"/>
        <w:rPr>
          <w:rFonts w:ascii="宋体" w:hAnsi="宋体"/>
          <w:kern w:val="0"/>
          <w:sz w:val="32"/>
          <w:szCs w:val="32"/>
        </w:rPr>
        <w:sectPr w:rsidR="002F6AF2">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2F6AF2" w:rsidRDefault="00677079">
      <w:pPr>
        <w:pStyle w:val="1"/>
        <w:snapToGrid w:val="0"/>
        <w:spacing w:beforeLines="0" w:before="240" w:after="240"/>
        <w:rPr>
          <w:rFonts w:ascii="宋体" w:hAnsi="宋体"/>
          <w:kern w:val="0"/>
        </w:rPr>
      </w:pPr>
      <w:bookmarkStart w:id="0" w:name="_Toc324920538"/>
      <w:bookmarkStart w:id="1" w:name="_Toc496884613"/>
      <w:bookmarkStart w:id="2" w:name="_Toc227915008"/>
      <w:r>
        <w:rPr>
          <w:rFonts w:ascii="Times New Roman" w:hAnsi="Times New Roman"/>
          <w:kern w:val="0"/>
        </w:rPr>
        <w:lastRenderedPageBreak/>
        <w:t>重要提示</w:t>
      </w:r>
      <w:bookmarkEnd w:id="0"/>
      <w:bookmarkEnd w:id="1"/>
      <w:bookmarkEnd w:id="2"/>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交银施罗德中证海外中国互联网指数型证券投资基金（</w:t>
      </w:r>
      <w:r>
        <w:rPr>
          <w:rFonts w:ascii="Times New Roman" w:hAnsi="Times New Roman"/>
          <w:kern w:val="0"/>
          <w:sz w:val="24"/>
        </w:rPr>
        <w:t>LOF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25</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2015</w:t>
      </w:r>
      <w:r>
        <w:rPr>
          <w:rFonts w:ascii="Times New Roman" w:hAnsi="Times New Roman"/>
          <w:kern w:val="0"/>
          <w:sz w:val="24"/>
        </w:rPr>
        <w:t>】</w:t>
      </w:r>
      <w:r>
        <w:rPr>
          <w:rFonts w:ascii="Times New Roman" w:hAnsi="Times New Roman"/>
          <w:kern w:val="0"/>
          <w:sz w:val="24"/>
        </w:rPr>
        <w:t>429</w:t>
      </w:r>
      <w:r>
        <w:rPr>
          <w:rFonts w:ascii="Times New Roman" w:hAnsi="Times New Roman"/>
          <w:kern w:val="0"/>
          <w:sz w:val="24"/>
        </w:rPr>
        <w:t>号文核准募集。本基金基金合同于</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中国证监会不对基金的投资价值及市场前景等作出实质性判断或者保证。</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境外证券市场，基金净值会因为境外证券市场波动等因素产生波动。投资人在投资本基金前，需全面认识本基金产品的风险收益特征和产品特性，充分考虑自身的风险承受能力，自主判断基金的投资价值，理性判断市场，对投资本基金的意愿、时机、数量等投资行为作出独立决策。投资人根据所持有份额享受基金的收益，但同时也需承担相应的投资风险。</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作为境外投资产品，投资本基金可能遇到境外投资产品风险，包括海外市场风险、汇率风险、法律及政治管制风险、政治风险、税务风险、会计核算风险等；作为开放式基金，投资本基金可能遇到的风险包括：因受到经济因素、政治因素、投资心理和交易制度等各种因素的影响而引起的市场风险，基金管理人在基金管理实施过程中产生的基金管理风险，流动性风险，交易对手违约风险，交易结算风险，操作或技术风险，投资本基金特有的其他风险等等；投资本基金特有的风险主要包括指数化投资风险和基金运作的特有风险，其中指数化投资风险主要包括：标的指数回报与股票市场平均回报偏离的风险、标的指数波动的风险、基金投资组合回报与标的指数回报偏离的风险、标的指数变更的风险、跟踪误差控制未达约定目标的风险、指数编制机构停止服务的风险、成份股停牌的风险等；基金运作的特有风险主要包括：上市交易风险、基金份额的折</w:t>
      </w:r>
      <w:r>
        <w:rPr>
          <w:rFonts w:ascii="Times New Roman" w:hAnsi="Times New Roman"/>
          <w:kern w:val="0"/>
          <w:sz w:val="24"/>
        </w:rPr>
        <w:t>/</w:t>
      </w:r>
      <w:r>
        <w:rPr>
          <w:rFonts w:ascii="Times New Roman" w:hAnsi="Times New Roman"/>
          <w:kern w:val="0"/>
          <w:sz w:val="24"/>
        </w:rPr>
        <w:t>溢价交易风险、基金合同提前终止风险、金融模型风险、衍生品投资风险、证券借贷和正</w:t>
      </w:r>
      <w:r>
        <w:rPr>
          <w:rFonts w:ascii="Times New Roman" w:hAnsi="Times New Roman"/>
          <w:kern w:val="0"/>
          <w:sz w:val="24"/>
        </w:rPr>
        <w:lastRenderedPageBreak/>
        <w:t>回购／逆回购风险等。</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股票型基金，其预期风险与预期收益高于混合型基金、债券型基金和货币市场基金，属于承担较高预期风险、预期收益较高的证券投资基金品种。同时本基金为指数型基金，具有与标的指数相似的风险收益特征。</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本基金为指数基金，投资者投资于本基金面临跟踪误差控制未达约定目标、指数编制机构停止服务、成份券停牌等潜在风险。</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本基金标的指数为中证海外中国互联网指数。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1</w:t>
      </w:r>
      <w:r>
        <w:rPr>
          <w:rFonts w:ascii="Times New Roman" w:hAnsi="Times New Roman"/>
          <w:kern w:val="0"/>
          <w:sz w:val="24"/>
        </w:rPr>
        <w:t>、选样空间</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香港市场：同中证香港</w:t>
      </w:r>
      <w:r>
        <w:rPr>
          <w:rFonts w:ascii="Times New Roman" w:hAnsi="Times New Roman"/>
          <w:kern w:val="0"/>
          <w:sz w:val="24"/>
        </w:rPr>
        <w:t xml:space="preserve"> 300 </w:t>
      </w:r>
      <w:r>
        <w:rPr>
          <w:rFonts w:ascii="Times New Roman" w:hAnsi="Times New Roman"/>
          <w:kern w:val="0"/>
          <w:sz w:val="24"/>
        </w:rPr>
        <w:t>指数的样本空间且满足以下条件之一的中国内地公司证券：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注册地在中国内地；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公司营运中心在中国内地；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公司主营业务收入</w:t>
      </w:r>
      <w:r>
        <w:rPr>
          <w:rFonts w:ascii="Times New Roman" w:hAnsi="Times New Roman"/>
          <w:kern w:val="0"/>
          <w:sz w:val="24"/>
        </w:rPr>
        <w:t>50%</w:t>
      </w:r>
      <w:r>
        <w:rPr>
          <w:rFonts w:ascii="Times New Roman" w:hAnsi="Times New Roman"/>
          <w:kern w:val="0"/>
          <w:sz w:val="24"/>
        </w:rPr>
        <w:t>以上来自中国内地。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其他市场：以其他证券交易所为主要上市地、上市交易时间超过</w:t>
      </w:r>
      <w:r>
        <w:rPr>
          <w:rFonts w:ascii="Times New Roman" w:hAnsi="Times New Roman"/>
          <w:kern w:val="0"/>
          <w:sz w:val="24"/>
        </w:rPr>
        <w:t>3</w:t>
      </w:r>
      <w:r>
        <w:rPr>
          <w:rFonts w:ascii="Times New Roman" w:hAnsi="Times New Roman"/>
          <w:kern w:val="0"/>
          <w:sz w:val="24"/>
        </w:rPr>
        <w:t>个月（除非该证券发行市值超过</w:t>
      </w:r>
      <w:r>
        <w:rPr>
          <w:rFonts w:ascii="Times New Roman" w:hAnsi="Times New Roman"/>
          <w:kern w:val="0"/>
          <w:sz w:val="24"/>
        </w:rPr>
        <w:t>30</w:t>
      </w:r>
      <w:r>
        <w:rPr>
          <w:rFonts w:ascii="Times New Roman" w:hAnsi="Times New Roman"/>
          <w:kern w:val="0"/>
          <w:sz w:val="24"/>
        </w:rPr>
        <w:t>亿美元）且满足以下条件之一的中国内地公司证券：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注册地在中国内地；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公司营运中心在中国内地；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公司主营业务收入</w:t>
      </w:r>
      <w:r>
        <w:rPr>
          <w:rFonts w:ascii="Times New Roman" w:hAnsi="Times New Roman"/>
          <w:kern w:val="0"/>
          <w:sz w:val="24"/>
        </w:rPr>
        <w:t>50%</w:t>
      </w:r>
      <w:r>
        <w:rPr>
          <w:rFonts w:ascii="Times New Roman" w:hAnsi="Times New Roman"/>
          <w:kern w:val="0"/>
          <w:sz w:val="24"/>
        </w:rPr>
        <w:t>以上来自中国内地。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、可投资性筛选</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）流动性要求：过去一年日均成交金额不低于</w:t>
      </w:r>
      <w:r>
        <w:rPr>
          <w:rFonts w:ascii="Times New Roman" w:hAnsi="Times New Roman"/>
          <w:kern w:val="0"/>
          <w:sz w:val="24"/>
        </w:rPr>
        <w:t xml:space="preserve"> 300 </w:t>
      </w:r>
      <w:r>
        <w:rPr>
          <w:rFonts w:ascii="Times New Roman" w:hAnsi="Times New Roman"/>
          <w:kern w:val="0"/>
          <w:sz w:val="24"/>
        </w:rPr>
        <w:t>万美元；</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）市值要求：过去一年日均总市值不低于</w:t>
      </w:r>
      <w:r>
        <w:rPr>
          <w:rFonts w:ascii="Times New Roman" w:hAnsi="Times New Roman"/>
          <w:kern w:val="0"/>
          <w:sz w:val="24"/>
        </w:rPr>
        <w:t xml:space="preserve"> 20 </w:t>
      </w:r>
      <w:r>
        <w:rPr>
          <w:rFonts w:ascii="Times New Roman" w:hAnsi="Times New Roman"/>
          <w:kern w:val="0"/>
          <w:sz w:val="24"/>
        </w:rPr>
        <w:t>亿美元。</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3</w:t>
      </w:r>
      <w:r>
        <w:rPr>
          <w:rFonts w:ascii="Times New Roman" w:hAnsi="Times New Roman"/>
          <w:kern w:val="0"/>
          <w:sz w:val="24"/>
        </w:rPr>
        <w:t>、选样方法</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）对样本空间内剩余证券，选取符合以下条件之一的公司证券作为待选样本：</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互联网软件：开发与销售互联网软件的公司；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家庭娱乐软件：开发主要在家中使用的家庭娱乐软件和教育软件的公司；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互联网零售：主要通过互联网提供零售服务的公司；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互联网服务：主要通过互联网提供各类服务的公司；</w:t>
      </w:r>
    </w:p>
    <w:p w:rsidR="002F6AF2" w:rsidRDefault="00677079">
      <w:pPr>
        <w:autoSpaceDE w:val="0"/>
        <w:autoSpaceDN w:val="0"/>
        <w:adjustRightInd w:val="0"/>
        <w:snapToGrid w:val="0"/>
        <w:spacing w:line="360" w:lineRule="auto"/>
        <w:ind w:leftChars="50" w:left="105" w:firstLineChars="200" w:firstLine="480"/>
        <w:rPr>
          <w:rFonts w:ascii="Times New Roman" w:hAnsi="Times New Roman"/>
          <w:kern w:val="0"/>
          <w:sz w:val="24"/>
        </w:rPr>
      </w:pPr>
      <w:r>
        <w:rPr>
          <w:rFonts w:ascii="Times New Roman" w:hAnsi="Times New Roman"/>
          <w:kern w:val="0"/>
          <w:sz w:val="24"/>
        </w:rPr>
        <w:t>■</w:t>
      </w:r>
      <w:r>
        <w:rPr>
          <w:rFonts w:ascii="Times New Roman" w:hAnsi="Times New Roman"/>
          <w:kern w:val="0"/>
          <w:sz w:val="24"/>
        </w:rPr>
        <w:t>移动互联网：开发与销售移动互联网软件或提供移动互联网服务的公司。</w:t>
      </w:r>
    </w:p>
    <w:p w:rsidR="00885DEE" w:rsidRDefault="00885DEE" w:rsidP="00885DE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sidRPr="00885DEE">
        <w:rPr>
          <w:rFonts w:ascii="宋体" w:hAnsi="宋体" w:hint="eastAsia"/>
          <w:kern w:val="0"/>
          <w:sz w:val="24"/>
        </w:rPr>
        <w:t>数字基础设施：为互联网智能化提供算力、数据、模型或应用支持的公</w:t>
      </w:r>
      <w:r w:rsidRPr="00885DEE">
        <w:rPr>
          <w:rFonts w:ascii="宋体" w:hAnsi="宋体" w:hint="eastAsia"/>
          <w:kern w:val="0"/>
          <w:sz w:val="24"/>
        </w:rPr>
        <w:lastRenderedPageBreak/>
        <w:t>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）将上述待选样本作为指数样本。其中，若同一家公司的国外市场证券和香港市场证券同时入选，则优先纳入香港市场证券。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4</w:t>
      </w:r>
      <w:r>
        <w:rPr>
          <w:rFonts w:ascii="Times New Roman" w:hAnsi="Times New Roman"/>
          <w:kern w:val="0"/>
          <w:sz w:val="24"/>
        </w:rPr>
        <w:t>、指数计算</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指数的计算公式为：</w:t>
      </w:r>
    </w:p>
    <w:p w:rsidR="002F6AF2" w:rsidRDefault="005E5F40">
      <w:pPr>
        <w:autoSpaceDE w:val="0"/>
        <w:autoSpaceDN w:val="0"/>
        <w:adjustRightInd w:val="0"/>
        <w:snapToGrid w:val="0"/>
        <w:spacing w:line="360" w:lineRule="auto"/>
        <w:ind w:leftChars="50" w:left="105" w:firstLineChars="200" w:firstLine="480"/>
        <w:rPr>
          <w:rFonts w:ascii="宋体" w:hAnsi="宋体"/>
          <w:kern w:val="0"/>
          <w:sz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5.5pt;height:94.5pt">
            <v:imagedata r:id="rId14" o:title="1521256610242020828"/>
          </v:shape>
        </w:pic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其中，调整市值＝</w:t>
      </w:r>
      <w:r>
        <w:rPr>
          <w:rFonts w:ascii="Times New Roman" w:hAnsi="Times New Roman"/>
          <w:kern w:val="0"/>
          <w:sz w:val="24"/>
        </w:rPr>
        <w:t>∑(</w:t>
      </w:r>
      <w:r>
        <w:rPr>
          <w:rFonts w:ascii="Times New Roman" w:hAnsi="Times New Roman"/>
          <w:kern w:val="0"/>
          <w:sz w:val="24"/>
        </w:rPr>
        <w:t>证券价格</w:t>
      </w:r>
      <w:r>
        <w:rPr>
          <w:rFonts w:ascii="Times New Roman" w:hAnsi="Times New Roman"/>
          <w:kern w:val="0"/>
          <w:sz w:val="24"/>
        </w:rPr>
        <w:t>×</w:t>
      </w:r>
      <w:r>
        <w:rPr>
          <w:rFonts w:ascii="Times New Roman" w:hAnsi="Times New Roman"/>
          <w:kern w:val="0"/>
          <w:sz w:val="24"/>
        </w:rPr>
        <w:t>调整股本数</w:t>
      </w:r>
      <w:r>
        <w:rPr>
          <w:rFonts w:ascii="Times New Roman" w:hAnsi="Times New Roman"/>
          <w:kern w:val="0"/>
          <w:sz w:val="24"/>
        </w:rPr>
        <w:t>×</w:t>
      </w:r>
      <w:r>
        <w:rPr>
          <w:rFonts w:ascii="Times New Roman" w:hAnsi="Times New Roman"/>
          <w:kern w:val="0"/>
          <w:sz w:val="24"/>
        </w:rPr>
        <w:t>权重因子</w:t>
      </w:r>
      <w:r>
        <w:rPr>
          <w:rFonts w:ascii="Times New Roman" w:hAnsi="Times New Roman"/>
          <w:kern w:val="0"/>
          <w:sz w:val="24"/>
        </w:rPr>
        <w:t>×</w:t>
      </w:r>
      <w:r>
        <w:rPr>
          <w:rFonts w:ascii="Times New Roman" w:hAnsi="Times New Roman"/>
          <w:kern w:val="0"/>
          <w:sz w:val="24"/>
        </w:rPr>
        <w:t>汇率</w:t>
      </w:r>
      <w:r>
        <w:rPr>
          <w:rFonts w:ascii="Times New Roman" w:hAnsi="Times New Roman"/>
          <w:kern w:val="0"/>
          <w:sz w:val="24"/>
        </w:rPr>
        <w:t>)</w:t>
      </w:r>
      <w:r>
        <w:rPr>
          <w:rFonts w:ascii="Times New Roman" w:hAnsi="Times New Roman"/>
          <w:kern w:val="0"/>
          <w:sz w:val="24"/>
        </w:rPr>
        <w:t>。权重因子介于</w:t>
      </w:r>
      <w:r>
        <w:rPr>
          <w:rFonts w:ascii="Times New Roman" w:hAnsi="Times New Roman"/>
          <w:kern w:val="0"/>
          <w:sz w:val="24"/>
        </w:rPr>
        <w:t>0</w:t>
      </w:r>
      <w:r>
        <w:rPr>
          <w:rFonts w:ascii="Times New Roman" w:hAnsi="Times New Roman"/>
          <w:kern w:val="0"/>
          <w:sz w:val="24"/>
        </w:rPr>
        <w:t>和</w:t>
      </w:r>
      <w:r>
        <w:rPr>
          <w:rFonts w:ascii="Times New Roman" w:hAnsi="Times New Roman"/>
          <w:kern w:val="0"/>
          <w:sz w:val="24"/>
        </w:rPr>
        <w:t>1</w:t>
      </w:r>
      <w:r>
        <w:rPr>
          <w:rFonts w:ascii="Times New Roman" w:hAnsi="Times New Roman"/>
          <w:kern w:val="0"/>
          <w:sz w:val="24"/>
        </w:rPr>
        <w:t>之间，以使单个样本权重不超过</w:t>
      </w:r>
      <w:r>
        <w:rPr>
          <w:rFonts w:ascii="Times New Roman" w:hAnsi="Times New Roman"/>
          <w:kern w:val="0"/>
          <w:sz w:val="24"/>
        </w:rPr>
        <w:t xml:space="preserve"> 10%</w:t>
      </w:r>
      <w:r>
        <w:rPr>
          <w:rFonts w:ascii="Times New Roman" w:hAnsi="Times New Roman"/>
          <w:kern w:val="0"/>
          <w:sz w:val="24"/>
        </w:rPr>
        <w:t>，前五大样本权重合计不超过</w:t>
      </w:r>
      <w:r>
        <w:rPr>
          <w:rFonts w:ascii="Times New Roman" w:hAnsi="Times New Roman"/>
          <w:kern w:val="0"/>
          <w:sz w:val="24"/>
        </w:rPr>
        <w:t xml:space="preserve"> 40%</w:t>
      </w:r>
      <w:r>
        <w:rPr>
          <w:rFonts w:ascii="Times New Roman" w:hAnsi="Times New Roman"/>
          <w:kern w:val="0"/>
          <w:sz w:val="24"/>
        </w:rPr>
        <w:t>。</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有关标的指数具体编制方案及成份股信息详见中证指数有限公司官方网站，网址：</w:t>
      </w:r>
      <w:r>
        <w:rPr>
          <w:rFonts w:ascii="Times New Roman" w:hAnsi="Times New Roman"/>
          <w:kern w:val="0"/>
          <w:sz w:val="24"/>
        </w:rPr>
        <w:t>www.csindex.com.cn</w:t>
      </w:r>
      <w:r>
        <w:rPr>
          <w:rFonts w:ascii="Times New Roman" w:hAnsi="Times New Roman"/>
          <w:kern w:val="0"/>
          <w:sz w:val="24"/>
        </w:rPr>
        <w:t>。</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2F6AF2" w:rsidRDefault="005B00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hint="eastAsia"/>
          <w:kern w:val="0"/>
          <w:sz w:val="24"/>
        </w:rPr>
        <w:t>本次更新招募说明书主要对指数编制方案进行了相应更新，更新生效日为</w:t>
      </w:r>
      <w:r w:rsidR="00A6789A">
        <w:rPr>
          <w:rFonts w:ascii="Times New Roman" w:hAnsi="Times New Roman"/>
          <w:kern w:val="0"/>
          <w:sz w:val="24"/>
        </w:rPr>
        <w:t>2026</w:t>
      </w:r>
      <w:r>
        <w:rPr>
          <w:rFonts w:ascii="Times New Roman" w:hAnsi="Times New Roman" w:hint="eastAsia"/>
          <w:kern w:val="0"/>
          <w:sz w:val="24"/>
        </w:rPr>
        <w:t>年</w:t>
      </w:r>
      <w:r w:rsidR="00A6789A">
        <w:rPr>
          <w:rFonts w:ascii="Times New Roman" w:hAnsi="Times New Roman" w:hint="eastAsia"/>
          <w:kern w:val="0"/>
          <w:sz w:val="24"/>
        </w:rPr>
        <w:t>8</w:t>
      </w:r>
      <w:r>
        <w:rPr>
          <w:rFonts w:ascii="Times New Roman" w:hAnsi="Times New Roman" w:hint="eastAsia"/>
          <w:kern w:val="0"/>
          <w:sz w:val="24"/>
        </w:rPr>
        <w:t>月</w:t>
      </w:r>
      <w:r w:rsidR="00A6789A">
        <w:rPr>
          <w:rFonts w:ascii="Times New Roman" w:hAnsi="Times New Roman" w:hint="eastAsia"/>
          <w:kern w:val="0"/>
          <w:sz w:val="24"/>
        </w:rPr>
        <w:t>2</w:t>
      </w:r>
      <w:r w:rsidR="00A6789A">
        <w:rPr>
          <w:rFonts w:ascii="Times New Roman" w:hAnsi="Times New Roman"/>
          <w:kern w:val="0"/>
          <w:sz w:val="24"/>
        </w:rPr>
        <w:t>6</w:t>
      </w:r>
      <w:r>
        <w:rPr>
          <w:rFonts w:ascii="Times New Roman" w:hAnsi="Times New Roman" w:hint="eastAsia"/>
          <w:kern w:val="0"/>
          <w:sz w:val="24"/>
        </w:rPr>
        <w:t>日，除非另有说明，</w:t>
      </w:r>
      <w:r w:rsidR="00677079">
        <w:rPr>
          <w:rFonts w:ascii="Times New Roman" w:hAnsi="Times New Roman"/>
          <w:kern w:val="0"/>
          <w:sz w:val="24"/>
        </w:rPr>
        <w:t>本招募说明书</w:t>
      </w:r>
      <w:r w:rsidR="0043040C">
        <w:rPr>
          <w:rFonts w:ascii="Times New Roman" w:hAnsi="Times New Roman" w:hint="eastAsia"/>
          <w:kern w:val="0"/>
          <w:sz w:val="24"/>
        </w:rPr>
        <w:t>其他</w:t>
      </w:r>
      <w:r w:rsidR="00677079">
        <w:rPr>
          <w:rFonts w:ascii="Times New Roman" w:hAnsi="Times New Roman"/>
          <w:kern w:val="0"/>
          <w:sz w:val="24"/>
        </w:rPr>
        <w:t>所载内容截止日为</w:t>
      </w:r>
      <w:r w:rsidR="00677079">
        <w:rPr>
          <w:rFonts w:ascii="Times New Roman" w:hAnsi="Times New Roman"/>
          <w:kern w:val="0"/>
          <w:sz w:val="24"/>
        </w:rPr>
        <w:t>2026</w:t>
      </w:r>
      <w:r w:rsidR="00677079">
        <w:rPr>
          <w:rFonts w:ascii="Times New Roman" w:hAnsi="Times New Roman"/>
          <w:kern w:val="0"/>
          <w:sz w:val="24"/>
        </w:rPr>
        <w:t>年</w:t>
      </w:r>
      <w:r w:rsidR="00677079">
        <w:rPr>
          <w:rFonts w:ascii="Times New Roman" w:hAnsi="Times New Roman"/>
          <w:kern w:val="0"/>
          <w:sz w:val="24"/>
        </w:rPr>
        <w:t>04</w:t>
      </w:r>
      <w:r w:rsidR="00677079">
        <w:rPr>
          <w:rFonts w:ascii="Times New Roman" w:hAnsi="Times New Roman"/>
          <w:kern w:val="0"/>
          <w:sz w:val="24"/>
        </w:rPr>
        <w:t>月</w:t>
      </w:r>
      <w:r w:rsidR="00677079">
        <w:rPr>
          <w:rFonts w:ascii="Times New Roman" w:hAnsi="Times New Roman"/>
          <w:kern w:val="0"/>
          <w:sz w:val="24"/>
        </w:rPr>
        <w:t>21</w:t>
      </w:r>
      <w:r w:rsidR="00677079">
        <w:rPr>
          <w:rFonts w:ascii="Times New Roman" w:hAnsi="Times New Roman"/>
          <w:kern w:val="0"/>
          <w:sz w:val="24"/>
        </w:rPr>
        <w:t>日，有关财务数据和净值表现截止日为</w:t>
      </w:r>
      <w:r w:rsidR="00677079">
        <w:rPr>
          <w:rFonts w:ascii="Times New Roman" w:hAnsi="Times New Roman"/>
          <w:kern w:val="0"/>
          <w:sz w:val="24"/>
        </w:rPr>
        <w:t>2026</w:t>
      </w:r>
      <w:r w:rsidR="00677079">
        <w:rPr>
          <w:rFonts w:ascii="Times New Roman" w:hAnsi="Times New Roman"/>
          <w:kern w:val="0"/>
          <w:sz w:val="24"/>
        </w:rPr>
        <w:t>年</w:t>
      </w:r>
      <w:r w:rsidR="00677079">
        <w:rPr>
          <w:rFonts w:ascii="Times New Roman" w:hAnsi="Times New Roman"/>
          <w:kern w:val="0"/>
          <w:sz w:val="24"/>
        </w:rPr>
        <w:t>03</w:t>
      </w:r>
      <w:r w:rsidR="00677079">
        <w:rPr>
          <w:rFonts w:ascii="Times New Roman" w:hAnsi="Times New Roman"/>
          <w:kern w:val="0"/>
          <w:sz w:val="24"/>
        </w:rPr>
        <w:t>月</w:t>
      </w:r>
      <w:r w:rsidR="00677079">
        <w:rPr>
          <w:rFonts w:ascii="Times New Roman" w:hAnsi="Times New Roman"/>
          <w:kern w:val="0"/>
          <w:sz w:val="24"/>
        </w:rPr>
        <w:t>31</w:t>
      </w:r>
      <w:r w:rsidR="00677079">
        <w:rPr>
          <w:rFonts w:ascii="Times New Roman" w:hAnsi="Times New Roman"/>
          <w:kern w:val="0"/>
          <w:sz w:val="24"/>
        </w:rPr>
        <w:t>日，财务和业绩表现数据未经审计。</w:t>
      </w:r>
    </w:p>
    <w:p w:rsidR="002F6AF2" w:rsidRDefault="002F6AF2">
      <w:pPr>
        <w:autoSpaceDE w:val="0"/>
        <w:autoSpaceDN w:val="0"/>
        <w:adjustRightInd w:val="0"/>
        <w:snapToGrid w:val="0"/>
        <w:spacing w:before="51" w:line="360" w:lineRule="auto"/>
        <w:ind w:left="120" w:rightChars="6" w:right="13" w:firstLine="480"/>
        <w:rPr>
          <w:rFonts w:ascii="宋体" w:hAnsi="宋体"/>
          <w:kern w:val="0"/>
          <w:szCs w:val="24"/>
        </w:rPr>
        <w:sectPr w:rsidR="002F6AF2">
          <w:headerReference w:type="default" r:id="rId15"/>
          <w:pgSz w:w="11920" w:h="16840"/>
          <w:pgMar w:top="1440" w:right="1680" w:bottom="280" w:left="1680" w:header="0" w:footer="1073" w:gutter="0"/>
          <w:pgNumType w:start="1"/>
          <w:cols w:space="720"/>
        </w:sectPr>
      </w:pPr>
    </w:p>
    <w:p w:rsidR="00CA6C16" w:rsidRPr="00CA6C16" w:rsidRDefault="00677079" w:rsidP="00CA6C16">
      <w:pPr>
        <w:pStyle w:val="af3"/>
        <w:snapToGrid w:val="0"/>
        <w:spacing w:after="240" w:line="360" w:lineRule="auto"/>
        <w:jc w:val="center"/>
        <w:rPr>
          <w:rFonts w:ascii="宋体" w:hAnsi="宋体"/>
          <w:noProof/>
          <w:sz w:val="24"/>
        </w:rPr>
      </w:pPr>
      <w:r w:rsidRPr="00CA6C16">
        <w:rPr>
          <w:rFonts w:ascii="宋体" w:hAnsi="宋体"/>
          <w:color w:val="000000"/>
          <w:position w:val="-4"/>
          <w:sz w:val="24"/>
          <w:szCs w:val="30"/>
        </w:rPr>
        <w:lastRenderedPageBreak/>
        <w:t>目</w:t>
      </w:r>
      <w:r w:rsidRPr="00CA6C16">
        <w:rPr>
          <w:rFonts w:ascii="宋体" w:hAnsi="宋体"/>
          <w:color w:val="000000"/>
          <w:position w:val="-4"/>
          <w:sz w:val="24"/>
          <w:szCs w:val="30"/>
        </w:rPr>
        <w:tab/>
        <w:t>录</w:t>
      </w:r>
      <w:r w:rsidR="00CA6C16" w:rsidRPr="00CA6C16">
        <w:rPr>
          <w:rFonts w:ascii="宋体" w:hAnsi="宋体"/>
          <w:color w:val="000000"/>
          <w:position w:val="-4"/>
          <w:sz w:val="24"/>
          <w:szCs w:val="30"/>
        </w:rPr>
        <w:fldChar w:fldCharType="begin"/>
      </w:r>
      <w:r w:rsidR="00CA6C16" w:rsidRPr="00CA6C16">
        <w:rPr>
          <w:rFonts w:ascii="宋体" w:hAnsi="宋体"/>
          <w:color w:val="000000"/>
          <w:position w:val="-4"/>
          <w:sz w:val="24"/>
          <w:szCs w:val="30"/>
        </w:rPr>
        <w:instrText xml:space="preserve"> TOC \o "1-3" \f - \h \t "-1" </w:instrText>
      </w:r>
      <w:r w:rsidR="00CA6C16" w:rsidRPr="00CA6C16">
        <w:rPr>
          <w:rFonts w:ascii="宋体" w:hAnsi="宋体"/>
          <w:color w:val="000000"/>
          <w:position w:val="-4"/>
          <w:sz w:val="24"/>
          <w:szCs w:val="30"/>
        </w:rPr>
        <w:fldChar w:fldCharType="separate"/>
      </w:r>
    </w:p>
    <w:p w:rsidR="00CA6C16" w:rsidRPr="00AB1301" w:rsidRDefault="00301680" w:rsidP="00CA6C16">
      <w:pPr>
        <w:pStyle w:val="11"/>
        <w:tabs>
          <w:tab w:val="right" w:leader="dot" w:pos="8550"/>
        </w:tabs>
        <w:spacing w:line="360" w:lineRule="auto"/>
        <w:rPr>
          <w:rFonts w:ascii="宋体" w:hAnsi="宋体"/>
          <w:noProof/>
          <w:sz w:val="24"/>
        </w:rPr>
      </w:pPr>
      <w:hyperlink w:anchor="_Toc227915008" w:history="1">
        <w:r w:rsidR="00CA6C16" w:rsidRPr="00CA6C16">
          <w:rPr>
            <w:rStyle w:val="af0"/>
            <w:rFonts w:ascii="宋体" w:hAnsi="宋体" w:hint="eastAsia"/>
            <w:noProof/>
            <w:kern w:val="0"/>
            <w:sz w:val="24"/>
          </w:rPr>
          <w:t>重要提示</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_Toc227915008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1</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09" w:history="1">
        <w:r w:rsidR="00CA6C16" w:rsidRPr="00CA6C16">
          <w:rPr>
            <w:rStyle w:val="af0"/>
            <w:rFonts w:ascii="宋体" w:hAnsi="宋体" w:hint="eastAsia"/>
            <w:noProof/>
            <w:sz w:val="24"/>
          </w:rPr>
          <w:t>一、绪言</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_Toc227915009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5</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10" w:history="1">
        <w:r w:rsidR="00CA6C16" w:rsidRPr="00CA6C16">
          <w:rPr>
            <w:rStyle w:val="af0"/>
            <w:rFonts w:ascii="宋体" w:hAnsi="宋体" w:hint="eastAsia"/>
            <w:noProof/>
            <w:sz w:val="24"/>
          </w:rPr>
          <w:t>二、释义</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_Toc227915010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6</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11" w:history="1">
        <w:r w:rsidR="00CA6C16" w:rsidRPr="00CA6C16">
          <w:rPr>
            <w:rStyle w:val="af0"/>
            <w:rFonts w:ascii="宋体" w:hAnsi="宋体" w:hint="eastAsia"/>
            <w:noProof/>
            <w:sz w:val="24"/>
          </w:rPr>
          <w:t>三、风险揭示</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_Toc227915011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12</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12" w:history="1">
        <w:r w:rsidR="00CA6C16" w:rsidRPr="00CA6C16">
          <w:rPr>
            <w:rStyle w:val="af0"/>
            <w:rFonts w:ascii="宋体" w:hAnsi="宋体" w:hint="eastAsia"/>
            <w:noProof/>
            <w:sz w:val="24"/>
          </w:rPr>
          <w:t>四、基金的投资</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_Toc227915012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22</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13" w:history="1">
        <w:r w:rsidR="00CA6C16" w:rsidRPr="00CA6C16">
          <w:rPr>
            <w:rStyle w:val="af0"/>
            <w:rFonts w:ascii="宋体" w:hAnsi="宋体" w:hint="eastAsia"/>
            <w:noProof/>
            <w:sz w:val="24"/>
          </w:rPr>
          <w:t>五、基金的业绩</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_Toc227915013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35</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14" w:history="1">
        <w:r w:rsidR="00CA6C16" w:rsidRPr="00CA6C16">
          <w:rPr>
            <w:rStyle w:val="af0"/>
            <w:rFonts w:ascii="宋体" w:hAnsi="宋体" w:hint="eastAsia"/>
            <w:noProof/>
            <w:sz w:val="24"/>
          </w:rPr>
          <w:t>六、基金管理人</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_Toc227915014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38</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15" w:history="1">
        <w:r w:rsidR="00CA6C16" w:rsidRPr="00CA6C16">
          <w:rPr>
            <w:rStyle w:val="af0"/>
            <w:rFonts w:ascii="宋体" w:hAnsi="宋体" w:hint="eastAsia"/>
            <w:noProof/>
            <w:sz w:val="24"/>
          </w:rPr>
          <w:t>七、基金的募集</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_Toc227915015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47</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16" w:history="1">
        <w:r w:rsidR="00CA6C16" w:rsidRPr="00CA6C16">
          <w:rPr>
            <w:rStyle w:val="af0"/>
            <w:rFonts w:ascii="宋体" w:hAnsi="宋体" w:hint="eastAsia"/>
            <w:noProof/>
            <w:sz w:val="24"/>
          </w:rPr>
          <w:t>八、基金合同的生效</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_Toc227915016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48</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17" w:history="1">
        <w:r w:rsidR="00CA6C16" w:rsidRPr="00CA6C16">
          <w:rPr>
            <w:rStyle w:val="af0"/>
            <w:rFonts w:ascii="宋体" w:hAnsi="宋体" w:hint="eastAsia"/>
            <w:noProof/>
            <w:sz w:val="24"/>
          </w:rPr>
          <w:t>九、基金份额的上市交易</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_Toc227915017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49</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18" w:history="1">
        <w:r w:rsidR="00CA6C16" w:rsidRPr="00CA6C16">
          <w:rPr>
            <w:rStyle w:val="af0"/>
            <w:rFonts w:ascii="宋体" w:hAnsi="宋体" w:hint="eastAsia"/>
            <w:noProof/>
            <w:sz w:val="24"/>
          </w:rPr>
          <w:t>十、基金份额的申购与赎回</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_Toc227915018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51</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19" w:history="1">
        <w:r w:rsidR="00CA6C16" w:rsidRPr="00CA6C16">
          <w:rPr>
            <w:rStyle w:val="af0"/>
            <w:rFonts w:ascii="宋体" w:hAnsi="宋体" w:hint="eastAsia"/>
            <w:noProof/>
            <w:sz w:val="24"/>
          </w:rPr>
          <w:t>十一、基金的费用与税收</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_Toc227915019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68</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20" w:history="1">
        <w:r w:rsidR="00CA6C16" w:rsidRPr="00CA6C16">
          <w:rPr>
            <w:rStyle w:val="af0"/>
            <w:rFonts w:ascii="宋体" w:hAnsi="宋体" w:hint="eastAsia"/>
            <w:noProof/>
            <w:sz w:val="24"/>
          </w:rPr>
          <w:t>十二、基金的财产</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_Toc227915020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71</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21" w:history="1">
        <w:r w:rsidR="00CA6C16" w:rsidRPr="00CA6C16">
          <w:rPr>
            <w:rStyle w:val="af0"/>
            <w:rFonts w:ascii="宋体" w:hAnsi="宋体" w:hint="eastAsia"/>
            <w:noProof/>
            <w:sz w:val="24"/>
          </w:rPr>
          <w:t>十三、基金资产的估值</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_Toc227915021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72</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22" w:history="1">
        <w:r w:rsidR="00CA6C16" w:rsidRPr="00CA6C16">
          <w:rPr>
            <w:rStyle w:val="af0"/>
            <w:rFonts w:ascii="宋体" w:hAnsi="宋体" w:hint="eastAsia"/>
            <w:noProof/>
            <w:sz w:val="24"/>
          </w:rPr>
          <w:t>十四、基金收益与分配</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_Toc227915022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78</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23" w:history="1">
        <w:r w:rsidR="00CA6C16" w:rsidRPr="00CA6C16">
          <w:rPr>
            <w:rStyle w:val="af0"/>
            <w:rFonts w:ascii="宋体" w:hAnsi="宋体" w:hint="eastAsia"/>
            <w:noProof/>
            <w:sz w:val="24"/>
          </w:rPr>
          <w:t>十五、基金的会计与审计</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_Toc227915023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80</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24" w:history="1">
        <w:r w:rsidR="00CA6C16" w:rsidRPr="00CA6C16">
          <w:rPr>
            <w:rStyle w:val="af0"/>
            <w:rFonts w:ascii="宋体" w:hAnsi="宋体" w:hint="eastAsia"/>
            <w:noProof/>
            <w:sz w:val="24"/>
          </w:rPr>
          <w:t>十六、基金的信息披露</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_Toc227915024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81</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25" w:history="1">
        <w:r w:rsidR="00CA6C16" w:rsidRPr="00CA6C16">
          <w:rPr>
            <w:rStyle w:val="af0"/>
            <w:rFonts w:ascii="宋体" w:hAnsi="宋体" w:hint="eastAsia"/>
            <w:noProof/>
            <w:sz w:val="24"/>
          </w:rPr>
          <w:t>十七、基金合同的变更、终止与基金财产的清算</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_Toc227915025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87</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26" w:history="1">
        <w:r w:rsidR="00CA6C16" w:rsidRPr="00CA6C16">
          <w:rPr>
            <w:rStyle w:val="af0"/>
            <w:rFonts w:ascii="宋体" w:hAnsi="宋体" w:hint="eastAsia"/>
            <w:noProof/>
            <w:sz w:val="24"/>
          </w:rPr>
          <w:t>十八、基金托管人</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_Toc227915026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89</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27" w:history="1">
        <w:r w:rsidR="00CA6C16" w:rsidRPr="00CA6C16">
          <w:rPr>
            <w:rStyle w:val="af0"/>
            <w:rFonts w:ascii="宋体" w:hAnsi="宋体" w:hint="eastAsia"/>
            <w:noProof/>
            <w:sz w:val="24"/>
          </w:rPr>
          <w:t>十九、境外托管人</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_Toc227915027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92</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28" w:history="1">
        <w:r w:rsidR="00CA6C16" w:rsidRPr="00CA6C16">
          <w:rPr>
            <w:rStyle w:val="af0"/>
            <w:rFonts w:ascii="宋体" w:hAnsi="宋体" w:hint="eastAsia"/>
            <w:noProof/>
            <w:sz w:val="24"/>
          </w:rPr>
          <w:t>二十、相关服务机构</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_Toc227915028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94</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29" w:history="1">
        <w:r w:rsidR="00CA6C16" w:rsidRPr="00CA6C16">
          <w:rPr>
            <w:rStyle w:val="af0"/>
            <w:rFonts w:ascii="宋体" w:hAnsi="宋体" w:hint="eastAsia"/>
            <w:noProof/>
            <w:sz w:val="24"/>
          </w:rPr>
          <w:t>二十一、基金合同内容摘要</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_Toc227915029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127</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30" w:history="1">
        <w:r w:rsidR="00CA6C16" w:rsidRPr="00CA6C16">
          <w:rPr>
            <w:rStyle w:val="af0"/>
            <w:rFonts w:ascii="宋体" w:hAnsi="宋体" w:hint="eastAsia"/>
            <w:noProof/>
            <w:sz w:val="24"/>
          </w:rPr>
          <w:t>二十二、托管协议的内容摘要</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_Toc227915030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144</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31" w:history="1">
        <w:r w:rsidR="00CA6C16" w:rsidRPr="00CA6C16">
          <w:rPr>
            <w:rStyle w:val="af0"/>
            <w:rFonts w:ascii="宋体" w:hAnsi="宋体" w:hint="eastAsia"/>
            <w:noProof/>
            <w:sz w:val="24"/>
          </w:rPr>
          <w:t>二十三、对基金份额持有人的服务</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_Toc227915031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157</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32" w:history="1">
        <w:r w:rsidR="00CA6C16" w:rsidRPr="00CA6C16">
          <w:rPr>
            <w:rStyle w:val="af0"/>
            <w:rFonts w:ascii="宋体" w:hAnsi="宋体" w:hint="eastAsia"/>
            <w:noProof/>
            <w:sz w:val="24"/>
          </w:rPr>
          <w:t>二十四、其他应披露事项</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_Toc227915032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159</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33" w:history="1">
        <w:r w:rsidR="00CA6C16" w:rsidRPr="00CA6C16">
          <w:rPr>
            <w:rStyle w:val="af0"/>
            <w:rFonts w:ascii="宋体" w:hAnsi="宋体" w:hint="eastAsia"/>
            <w:noProof/>
            <w:sz w:val="24"/>
          </w:rPr>
          <w:t>二十五、招募说明书的存放及查阅方式</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_Toc227915033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162</w:t>
        </w:r>
        <w:r w:rsidR="00CA6C16" w:rsidRPr="00CA6C16">
          <w:rPr>
            <w:rFonts w:ascii="宋体" w:hAnsi="宋体"/>
            <w:noProof/>
            <w:sz w:val="24"/>
          </w:rPr>
          <w:fldChar w:fldCharType="end"/>
        </w:r>
      </w:hyperlink>
    </w:p>
    <w:p w:rsidR="00CA6C16" w:rsidRPr="00AB1301" w:rsidRDefault="00301680" w:rsidP="00CA6C16">
      <w:pPr>
        <w:pStyle w:val="11"/>
        <w:tabs>
          <w:tab w:val="right" w:leader="dot" w:pos="8550"/>
        </w:tabs>
        <w:spacing w:line="360" w:lineRule="auto"/>
        <w:rPr>
          <w:rFonts w:ascii="宋体" w:hAnsi="宋体"/>
          <w:noProof/>
          <w:sz w:val="24"/>
        </w:rPr>
      </w:pPr>
      <w:hyperlink w:anchor="_Toc227915034" w:history="1">
        <w:r w:rsidR="00CA6C16" w:rsidRPr="00CA6C16">
          <w:rPr>
            <w:rStyle w:val="af0"/>
            <w:rFonts w:ascii="宋体" w:hAnsi="宋体" w:hint="eastAsia"/>
            <w:noProof/>
            <w:sz w:val="24"/>
          </w:rPr>
          <w:t>二十六、备查文件</w:t>
        </w:r>
        <w:r w:rsidR="00CA6C16" w:rsidRPr="00CA6C16">
          <w:rPr>
            <w:rFonts w:ascii="宋体" w:hAnsi="宋体"/>
            <w:noProof/>
            <w:sz w:val="24"/>
          </w:rPr>
          <w:tab/>
        </w:r>
        <w:r w:rsidR="00CA6C16" w:rsidRPr="00CA6C16">
          <w:rPr>
            <w:rFonts w:ascii="宋体" w:hAnsi="宋体"/>
            <w:noProof/>
            <w:sz w:val="24"/>
          </w:rPr>
          <w:fldChar w:fldCharType="begin"/>
        </w:r>
        <w:r w:rsidR="00CA6C16" w:rsidRPr="00CA6C16">
          <w:rPr>
            <w:rFonts w:ascii="宋体" w:hAnsi="宋体"/>
            <w:noProof/>
            <w:sz w:val="24"/>
          </w:rPr>
          <w:instrText xml:space="preserve"> PAGEREF _Toc227915034 \h </w:instrText>
        </w:r>
        <w:r w:rsidR="00CA6C16" w:rsidRPr="00CA6C16">
          <w:rPr>
            <w:rFonts w:ascii="宋体" w:hAnsi="宋体"/>
            <w:noProof/>
            <w:sz w:val="24"/>
          </w:rPr>
        </w:r>
        <w:r w:rsidR="00CA6C16" w:rsidRPr="00CA6C16">
          <w:rPr>
            <w:rFonts w:ascii="宋体" w:hAnsi="宋体"/>
            <w:noProof/>
            <w:sz w:val="24"/>
          </w:rPr>
          <w:fldChar w:fldCharType="separate"/>
        </w:r>
        <w:r w:rsidR="008C4E01">
          <w:rPr>
            <w:rFonts w:ascii="宋体" w:hAnsi="宋体"/>
            <w:noProof/>
            <w:sz w:val="24"/>
          </w:rPr>
          <w:t>163</w:t>
        </w:r>
        <w:r w:rsidR="00CA6C16" w:rsidRPr="00CA6C16">
          <w:rPr>
            <w:rFonts w:ascii="宋体" w:hAnsi="宋体"/>
            <w:noProof/>
            <w:sz w:val="24"/>
          </w:rPr>
          <w:fldChar w:fldCharType="end"/>
        </w:r>
      </w:hyperlink>
    </w:p>
    <w:p w:rsidR="002F6AF2" w:rsidRPr="00CA6C16" w:rsidRDefault="00CA6C16" w:rsidP="00CA6C16">
      <w:pPr>
        <w:pStyle w:val="af3"/>
        <w:snapToGrid w:val="0"/>
        <w:spacing w:after="240" w:line="360" w:lineRule="auto"/>
        <w:jc w:val="center"/>
        <w:rPr>
          <w:rFonts w:ascii="宋体" w:hAnsi="宋体"/>
          <w:color w:val="000000"/>
          <w:sz w:val="24"/>
        </w:rPr>
      </w:pPr>
      <w:r w:rsidRPr="00CA6C16">
        <w:rPr>
          <w:rFonts w:ascii="宋体" w:hAnsi="宋体"/>
          <w:color w:val="000000"/>
          <w:position w:val="-4"/>
          <w:sz w:val="24"/>
          <w:szCs w:val="30"/>
        </w:rPr>
        <w:lastRenderedPageBreak/>
        <w:fldChar w:fldCharType="end"/>
      </w:r>
    </w:p>
    <w:p w:rsidR="002F6AF2" w:rsidRDefault="00677079">
      <w:pPr>
        <w:pStyle w:val="1"/>
        <w:snapToGrid w:val="0"/>
        <w:spacing w:beforeLines="0" w:before="240" w:after="240"/>
        <w:rPr>
          <w:rFonts w:ascii="宋体" w:hAnsi="宋体"/>
          <w:szCs w:val="30"/>
        </w:rPr>
      </w:pPr>
      <w:bookmarkStart w:id="3" w:name="_Toc227915009"/>
      <w:r>
        <w:rPr>
          <w:rFonts w:ascii="Times New Roman" w:hAnsi="Times New Roman"/>
          <w:sz w:val="30"/>
        </w:rPr>
        <w:t>一、绪言</w:t>
      </w:r>
      <w:bookmarkEnd w:id="3"/>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证海外中国互联网指数型证券投资基金（LOF）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合格境内机构投资者境外证券投资管理试行办法》（以下简称“《试行办法》”）、《公开募集开放式证券投资基金流动性风险管理规定》（以下简称“《流动性规定》”）、《公开募集证券投资基金运作指引第3号——指数基金指引》（以下简称“《指数基金指引》”）和其他相关法律法规的规定以及《交银施罗德中证海外中国互联网指数型证券投资基金（LOF）基金合同》（以下简称“基金合同”）编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w:t>
      </w:r>
      <w:bookmarkStart w:id="4" w:name="_GoBack"/>
      <w:bookmarkEnd w:id="4"/>
      <w:r>
        <w:rPr>
          <w:rFonts w:ascii="宋体" w:hAnsi="宋体"/>
          <w:sz w:val="24"/>
        </w:rPr>
        <w:t>基金合同编写，并经中国证监会核准。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5" w:name="_Toc227915010"/>
      <w:r>
        <w:rPr>
          <w:rFonts w:ascii="Times New Roman" w:hAnsi="Times New Roman"/>
          <w:sz w:val="30"/>
        </w:rPr>
        <w:t>二、释义</w:t>
      </w:r>
      <w:bookmarkEnd w:id="5"/>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1、基金或本基金：指交银施罗德中证海外中国互联网指数型证券投资基金（LOF）</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4、境外托管人：指符合法律法规规定的条件，根据基金托管人与其签订的合同，为本基金提供境外资产托管服务的境外金融机构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5、基金合同或《基金合同》：指《交银施罗德中证海外中国互联网指数型证券投资基金（LOF）基金合同》及对基金合同的任何有效修订和补充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6、托管协议：指基金管理人与基金托管人就本基金签订之《交银施罗德中证海外中国互联网指数型证券投资基金（LOF）托管协议》及对该托管协议的任何有效修订和补充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7、招募说明书或《招募说明书》或本招募说明书：指《交银施罗德中证海外中国互联网指数型证券投资基金（LOF）招募说明书》及其更新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8、基金产品资料概要：指《交银施罗德中证海外中国互联网指数型证券投资基金（LOF）基金产品资料概要》及其更新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9、基金份额发售公告：指《交银施罗德中证海外中国互联网指数型证券投资基金（LOF）基金份额发售公告》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10、上市交易公告书：指《交银施罗德中证海外中国互联网指数型证券投资基金（LOF）上市交易公告书》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11、法律法规：指中国现行有效并公布实施的法律、行政法规、规范性文件、司法解释、行政规章以及其他对基金合同当事人有约束力的决定、决议、通知等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13、《销售办法》：指中国证监会2013年3月15日颁布、同年6月1日实施的《证</w:t>
      </w:r>
      <w:r>
        <w:rPr>
          <w:rFonts w:ascii="宋体" w:hAnsi="宋体"/>
          <w:sz w:val="24"/>
        </w:rPr>
        <w:lastRenderedPageBreak/>
        <w:t>券投资基金销售管理办法》及颁布机关对其不时做出的修订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14、《信息披露办法》：指中国证监会2019年7月26日颁布、同年9月1日实施的《公开募集证券投资基金信息披露管理办法》及颁布机关对其不时做出的修订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15、《运作办法》：指中国证监会2014年7月7日颁布、同年8月8日实施的《公开募集证券投资基金运作管理办法》及颁布机关对其不时做出的修订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16、《试行办法》：指中国证监会2007年6月18日颁布、同年7月5日实施的《合格境内机构投资者境外证券投资管理试行办法》及颁布机关对其不时做出的修订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17、《通知》：指中国证监会2007年6月18日颁布、同年7月5日实施的《关于实施&lt;合格境内机构投资者境外证券投资管理试行办法&gt;有关问题的通知》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18、《流动性规定》：指中国证监会2017年8月31日颁布、同年10月1日实施的《公开募集开放式证券投资基金流动性风险管理规定》及颁布机关对其不时做出的修订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19、《指数基金指引》：指中国证监会2021年1月22日颁布、同年2月1日实施的《公开募集证券投资基金运作指引第3号——指数基金指引》及颁布机关对其不时做出的修订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20、中国证监会：指中国证券监督管理委员会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21、银行业监督管理机构：指中国人民银行和/或中国银行业监督管理委员会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22、外管局：指国家外汇管理局或其授权的派出机构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23、基金合同当事人：指受基金合同约束，根据基金合同享有权利并承担义务的法律主体，包括基金管理人、基金托管人和基金份额持有人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24、个人投资者：指依据有关法律法规规定可投资于证券投资基金的自然人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25、机构投资者：指依法可以投资证券投资基金的、在中华人民共和国境内合法登记并存续或经有关政府部门批准设立并存续的企业法人、事业法人、社会团体或其他组织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26、合格境外机构投资者：指符合《合格境外机构投资者境内证券投资管理办法》及相关法律法规规定可以投资于在中国境内依法募集的证券投资基金的中国境外的机构投资者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27、投资人或投资者：指个人投资者、机构投资者和合格境外机构投资者以及法律法规或中国证监会允许购买证券投资基金的其他投资人的合称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28、基金份额持有人：指依基金合同和招募说明书合法取得基金份额的投资人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29、基金销售业务：指基金管理人或销售机构宣传推介基金，发售基金份额，办理基金份额的申购、赎回、转换、转托管、定期定额投资及上市交易等业务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30、直销机构：指交银施罗德基金管理有限公司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销售机构：指交银施罗德基金管理有限公司以及符合《销售办法》和中国证监会规定的其他条件，取得基金销售业务资格并与基金管理人签订了基金销售服务协议，办理基金销售业务的机构以及可通过深圳证券交易所交易系统办理基金销售业务的会员单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32、会员单位：指深圳证券交易所会员单位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场外：指不通过深圳证券交易所交易系统，而通过直销机构和其它场外销售机构的柜台系统或其他交易系统办理基金份额认购、申购和赎回等业务的场所。通过该等场所办理基金份额的认购、申购和赎回也称为场外认购、场外申购和场外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场内：指通过深圳证券交易所内具有相应业务资格的会员单位利用深圳证券交易所交易系统办理基金份额认购、申购、赎回和上市交易等业务的场所。通过该等场所办理基金份额的认购、申购和赎回也称为场内认购、场内申购和场内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35、标的指数：指中证海外中国互联网指数（人民币）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36、注册登记系统：指中国证券登记结算有限责任公司开放式基金登记结算系统，通过场外认购、申购的基金份额登记在注册登记系统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37、证券登记结算系统：指中国证券登记结算有限责任公司深圳分公司证券登记结算系统，通过场内认购、申购的基金份额和买入的基金份额登记在证券登记结算系统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38、场外份额：指登记在注册登记系统下的基金份额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39、场内份额：指登记在证券登记结算系统下的基金份额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41、登记机构：指办理登记业务的机构。基金的登记机构为交银施罗德基金管理有限公司或接受交银施罗德基金管理有限公司委托代为办理登记业务的机构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42、开放式基金账户：指投资者通过场外销售机构在中国证券登记结算有限责任公司注册的开放式基金账户，基金投资者办理场外认购、场外申购和场外赎回等</w:t>
      </w:r>
      <w:r>
        <w:rPr>
          <w:rFonts w:ascii="宋体" w:hAnsi="宋体"/>
          <w:sz w:val="24"/>
        </w:rPr>
        <w:lastRenderedPageBreak/>
        <w:t>业务时需具有开放式基金账户，记录在该账户下的基金份额登记在登记机构的注册登记系统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深圳证券账户：指在中国证券登记结算有限责任公司开设的深圳证券交易所人民币普通股票账户或证券投资基金账户。基金投资者通过深圳证券交易所交易系统办理基金交易、场内认购、场内申购和场内赎回等业务时需持有深圳证券账户，记录在该账户下的基金份额登记在登记机构的证券登记结算系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44、基金交易账户：指销售机构为投资人开立的、记录投资人通过该销售机构办理认购、申购、赎回、交易、转换、转托管及定期定额投资等业务而引起的基金份额变动及结余情况的账户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45、基金合同生效日：指基金募集达到法律法规规定及基金合同规定的条件，基金管理人向中国证监会办理基金备案手续完毕，并获得中国证监会书面确认的日期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46、基金合同终止日：指基金合同规定的基金合同终止事由出现后，基金财产清算完毕，清算结果报中国证监会备案并予以公告的日期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47、基金募集期：指自基金份额发售之日起至发售结束之日止的期间，最长不得超过3个月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48、存续期：指基金合同生效至终止之间的不定期期限</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49、工作日：指上海证券交易所、深圳证券交易所的正常交易日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50、T日：指销售机构在规定时间受理投资人申购、赎回或其他业务申请的开放日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51、T+n日：指自T日起第n个工作日(不包含T日)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52、开放日：指为投资人办理基金份额申购、赎回或其他业务的工作日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53、开放时间：指开放日基金接受申购、赎回或其他交易的时间段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54、《业务规则》：指本基金管理人、深圳证券交易所、中国证券登记结算有限责任公司及销售机构的相关业务规则及其不时做出的修订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55、认购：指在基金募集期内，投资人根据基金合同和招募说明书的规定申请购买基金份额的行为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56、申购：指基金合同生效后，投资人根据基金合同和招募说明书的规定申请购买基金份额的行为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57、赎回：指基金合同生效后，基金份额持有人按基金合同和招募说明书规定</w:t>
      </w:r>
      <w:r>
        <w:rPr>
          <w:rFonts w:ascii="宋体" w:hAnsi="宋体"/>
          <w:sz w:val="24"/>
        </w:rPr>
        <w:lastRenderedPageBreak/>
        <w:t>的条件要求将基金份额兑换为现金的行为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58、上市交易：指基金合同生效后，投资人通过场内会员单位以集中竞价的方式买卖基金份额的行为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59、基金转换：指基金份额持有人按照基金合同和基金管理人届时有效公告规定的条件，申请将其持有基金管理人管理的、某一基金的基金份额转换为基金管理人管理的其他基金基金份额的行为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60、转托管：指基金份额持有人在本基金的不同销售机构之间实施的变更所持基金份额销售机构的操作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61、系统内转托管：指基金份额持有人将持有的基金份额在注册登记系统内不同销售机构（网点）之间或证券登记结算系统内不同会员单位（交易单元）之间进行转登记的行为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62、跨系统转托管：指基金份额持有人将持有的A类基金份额在注册登记系统和证券登记结算系统间进行转登记的行为。除经基金管理人另行公告，C类基金份额不能进行跨系统转托管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65、元：指人民币元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66、基金收益：指基金投资所得红利、股息、债券利息、买卖证券价差、银行存款利息、已实现的其他合法收入及因运用基金财产带来的成本和费用的节约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67、基金资产总值：指基金拥有的各类有价证券、银行存款本息、基金应收申购款及其他资产的价值总和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68、基金资产净值：指基金资产总值减去基金负债后的价值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69、基金份额净值：指计算日基金资产净值除以计算日基金份额总数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70、基金资产估值：指计算评估基金资产和负债的价值，以确定基金资产净值和基金份额净值的过程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71、销售服务费：指从基金财产中计提的，用于本基金市场推广、销售以及基</w:t>
      </w:r>
      <w:r>
        <w:rPr>
          <w:rFonts w:ascii="宋体" w:hAnsi="宋体"/>
          <w:sz w:val="24"/>
        </w:rPr>
        <w:lastRenderedPageBreak/>
        <w:t>金份额持有人服务的费用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72、A类基金份额：指在投资人申购时收取申购费用且不从本类别基金资产中计提销售服务费的基金份额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73、C类基金份额：指在投资人申购时不收取申购费用，并从本类别基金资产中计提销售服务费的基金份额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75、指定媒介：指中国证监会指定的用以进行信息披露的全国性报刊及指定互联网网站（包括基金管理人网站、基金托管人网站、中国证监会基金电子披露网站）等媒介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76、不可抗力：指基金合同当事人不能预见、不能避免且不能克服的客观事件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77、公司行为信息：本基金持仓证券的发行公司公布的需要在基金净值计算、会计核算时所考虑的重大信息，包括但不限于权益派发、配股、提前赎回等信息</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6" w:name="_Toc227915011"/>
      <w:r>
        <w:rPr>
          <w:rFonts w:ascii="Times New Roman" w:hAnsi="Times New Roman"/>
          <w:sz w:val="30"/>
        </w:rPr>
        <w:t>三、风险揭示</w:t>
      </w:r>
      <w:bookmarkEnd w:id="6"/>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信息披露文件，了解基金的风险收益特征，并根据自身的投资目的、投资期限、投资经验、资产状况等判断基金是否和投资人的风险承受能力相适应，自主判断基金的投资价值，自主做出投资决策，自行承担投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分红等行为导致基金份额净值变化，不会改变基金的风险收益特征，不会降低基金投资风险或提高基金投资收益。以1元初始面值开展基金募集或因分红等行为导致基金份额净值调整至1元初始面值或1元附近，在市场波动等因素的影响下，基金投资仍有可能出现亏损或基金净值仍有可能低于初始面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w:t>
      </w:r>
      <w:r>
        <w:rPr>
          <w:rFonts w:ascii="宋体" w:hAnsi="宋体"/>
          <w:sz w:val="24"/>
        </w:rPr>
        <w:lastRenderedPageBreak/>
        <w:t>不利的影响，都会影响基金运作和收益水平。尤其是在发生巨额赎回时，如果基金资产变现能力差，可能会产生基金仓位调整的困难，导致流动性风险，可能影响基金份额净值。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w:t>
      </w:r>
      <w:r>
        <w:rPr>
          <w:rFonts w:ascii="宋体" w:hAnsi="宋体"/>
          <w:sz w:val="24"/>
        </w:rPr>
        <w:lastRenderedPageBreak/>
        <w:t>为止。如投资人在提交赎回申请时未作明确选择，投资人未能赎回部分作自动延期赎回处理。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巨额赎回业务的场内处理，按照深圳证券交易所及中国证券登记结算有限责任公司的有关规定办理。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（五）交易结算风险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交易结算风险是指基金在投资交易的过程中，因交易对手方无法履行支付义务而使基金资产有遭受损失的可能性。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（六）操作或技术风险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相关当事人在业务各环节操作过程中，因内部控制存在缺陷或者人为因素造成</w:t>
      </w:r>
      <w:r>
        <w:rPr>
          <w:rFonts w:ascii="宋体" w:hAnsi="宋体"/>
          <w:sz w:val="24"/>
        </w:rPr>
        <w:lastRenderedPageBreak/>
        <w:t>操作失误或违反操作规程等原因可能引致风险，例如，越权违规交易、会计部门欺诈、交易错误、IT系统故障等风险。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放式基金的各种交易行为或者后台运作中，可能因为技术系统的故障或者差错而影响交易的正常进行或者导致投资者的利益受到影响。这种技术风险可能来自基金管理人、基金托管人、境外托管人、注册登记机构、销售机构、证券交易所、证券登记结算机构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（七）本基金投资策略所特有的指数化投资风险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1、标的指数回报与股票市场平均回报偏离的风险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标的指数并不能完全代表整个股票市场。标的指数成份股的平均回报率与整个股票市场的平均回报率可能存在偏离。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2、标的指数波动的风险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标的指数成份股的价格可能受到政治因素、经济因素、上市公司经营状况、投资人心理和交易制度等各种因素的影响而波动，导致指数波动，从而使基金收益水平发生变化，产生风险。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3、基金投资组合回报与标的指数回报偏离的风险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以下因素可能使基金投资组合的收益率与标的指数的收益率发生偏离：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（1）由于标的指数调整成份股或变更编制方法，使本基金在相应的组合调整中产生跟踪偏离度与跟踪误差。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（2）由于标的指数成份股发生配股、增发等行为导致成份股在标的指数中的权重发生变化，使本基金在相应的组合调整中产生跟踪偏离度和跟踪误差。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（3）标的指数成份股派发现金红利、新股市值配售收益将导致基金收益率超过标的指数收益率，产生正的跟踪偏离度。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（4）由于标的指数成份股停牌、摘牌或流动性差等原因使本基金无法及时调整投资组合或承担冲击成本而产生跟踪偏离度和跟踪误差。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（5）因法律法规的限制或其他限制，本基金可能不能投资于部分标的指数成分股。在使用替代方法，如投资同行业中相关性较高的股票以替代上述投资受限股票时，会产生一定的跟踪偏离度和跟踪误差。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（6）基金有投资成本、各种费用及税收，而指数编制不考虑费用和税收，这将导致基金收益率落后于标的指数收益率，产生负的跟踪偏离度。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（7）在本基金指数化投资过程中，基金管理人的管理能力，例如跟踪指数的</w:t>
      </w:r>
      <w:r>
        <w:rPr>
          <w:rFonts w:ascii="宋体" w:hAnsi="宋体"/>
          <w:sz w:val="24"/>
        </w:rPr>
        <w:lastRenderedPageBreak/>
        <w:t>水平、技术手段、买入卖出的时机选择等，都会对本基金的收益产生影响，从而影响本基金对标的指数的跟踪程度。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4、标的指数变更的风险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尽管可能性很小，但根据基金合同规定，如出现变更标的指数的情形，本基金将变更标的指数。基于原标的指数的投资政策将会改变，投资组合将随之调整，基金的收益风险特征将与新的标的指数保持一致，投资人须承担此项调整带来的风险与成本。</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5、跟踪误差控制未达约定目标的风险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本基金力争控制本基金日均跟踪偏离度的绝对值不超过0.5%，年跟踪误差不超过5%。但因标的指数编制规则调整或其他因素可能导致跟踪误差超过上述范围，本基金净值表现与指数价格走势可能发生较大偏离。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6、指数编制机构停止服务的风险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投资人将面临更换基金标的指数、转换运作方式，与其他基金合并或者终止基金合同等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7、成份股停牌的风险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标的指数成份股可能因各种原因临时或长期停牌，发生成份股停牌时可能面临如下风险：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（1）基金可能因无法及时调整投资组合而导致跟踪偏离度和跟踪误差扩大。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（2）若成份股停牌时间较长，在约定时间内仍未能及时买入或卖出的，由此可能影响投资者的投资损益并使基金产生跟踪偏离度和跟踪误差。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且指数编制机构暂未作出调整的，基金管理人应当按照持有人利益优先的原则，履行内部决策程序后及时对相关成份股进行调整，可能影响投资者的投资损益并使基金产生跟踪偏离度和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（八）境外投资风险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1、海外市场风险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海外市场风险是指由于市场因素如基础利率、汇率、股票价格和商品价格的变化或由于这些市场因素的波动率的变化而引起的证券价格的非预期变化，并产生损失的可能性。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本基金将投资于海外股票市场，因此一方面基金净值会因全球股市的整体变化而出现价格波动。另一方面，各国各地区处于不同的产业经济循环周期之中，这也将对基金的投资绩效产生影响。具体而言，海外股票市场对于负面的特定事件的反映各不相同；各国或地区有其独特的政治因素、法律法规、市场状况、经济发展趋势；并且美国、香港等证券交易市场对每日证券交易价格并无涨跌幅上下限的规定，使得这些国家或地区证券的每日涨跌幅空间相对较大。以上所述因素都可能会带来市场的急剧下跌，从而导致投资风险的增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当汇率发生变动时，将会影响到人民币计价的净资产价值，从而导致基金资产面临潜在风险。汇率的波动也可能加大基金净值的波动，从而对基金业绩产生影响。此外，由于基金运作中的汇率取自汇率发布机构，如果汇率发布机构出现汇率发布时间延迟或是汇率数据错误等情况，可能会对基金运作或者投资者的决策产生不利影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3、法律及政治管制风险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由于各个国家/地区适用不同法律法规的原因，可能导致本基金的某些投资行</w:t>
      </w:r>
      <w:r>
        <w:rPr>
          <w:rFonts w:ascii="宋体" w:hAnsi="宋体"/>
          <w:sz w:val="24"/>
        </w:rPr>
        <w:lastRenderedPageBreak/>
        <w:t>为在部分国家/地区受到限制或合同不能正常执行，从而使得基金资产面临损失的可能性。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4、政治风险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或地区的财政政策、货币政策、产业政策、地区发展政策等宏观政策发生变化，导致市场波动而影响基金收益，也会产生风险，称之为政治风险。例如，外国政府可能会鉴于政治上的优先考虑，改变支付政策；新政府或许会拒绝承担前任政府的债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全球市场为主要的投资地区，因此全球的政治、社会或经济情势的变动（包括天然灾害、战争、暴动或罢工等），都可能对本基金所参与的投资市场或投资产品造成直接或者是间接的负面冲击。本基金将在内部及外部研究机构的支持下，密切关注各国政治、经济和产业政策的变化，适时调整投资策略以应对政治风险的变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5、税务风险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投资各国或地区市场时，因各国、地区税务法律法规的不同，可能会就股息、利息、资本利得等收益向各国、地区税务机构缴纳税金，包括预扣税，该行为可能会使得资产回报受到一定影响。各国、地区的税收法律法规的规定可能变化，或者加以具有追溯力的修订，所以可能须向该等国家或地区缴纳本基金销售、估值或者出售投资当日并未预计的额外税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本基金在投资海外市场时会事先了解清楚各地区的税务法律法规，同时，在境外托管人的协助下，完成投资所在国家或地区的税务扣缴工作。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6、会计核算风险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由于各个国家/地区对上市公司日常经营活动的会计处理、财务报表披露等会计核算标准的规定存在一定差异，可能导致基金经理对公司盈利能力、投资价值的判断产生偏差，从而给本基金投资带来潜在风险。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（九）基金运作的特定风险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1、上市交易风险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后，由于上市期间可能因发生停牌情形导致基金停牌，投资人在停牌期间不能买卖对应上市交易份额，从而产生不能买卖A类基金份额的风险；同时，可能因上市后交易对手不足而产生流动性风险；另外，当本基金A类基金份额存续期内不满足深圳证券交易所规定的上市条件时，本基金A类基金</w:t>
      </w:r>
      <w:r>
        <w:rPr>
          <w:rFonts w:ascii="宋体" w:hAnsi="宋体"/>
          <w:sz w:val="24"/>
        </w:rPr>
        <w:lastRenderedPageBreak/>
        <w:t>份额存在暂停上市或终止上市的可能。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2、基金份额的折/溢价交易风险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本基金A类基金份额上市交易后，由于受市场供求关系的影响，A类基金份额的交易价格与A类基金份额的基金份额净值可能发生偏离而出现折/溢价交易风险。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连续二十个工作日低于1亿元时，基金管理人可向中国证监会报告并履行适当程序后提前终止基金合同，不需召开基金份额持有人大会。若基金管理人未依前述规定提前终止合同的，连续六十个工作日出现基金份额持有人数量不满200人或者基金资产净值低于5000万元情形的，基金管理人应当向中国证监会报告并履行适当程序后提前终止基金合同，不需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4、金融模型风险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运作将采用一定的金融模型进行决策。任何金融模型都是建立在一定理论假设的基础之上，理论假设是对现实情况的高度抽象，这使得金融模型在实际运用当中可能会产生偏差。此外，在实际运作中，可能因市场结构、投资者行为模式等条件发生变动，导致有关模型出现重大偏离的问题，从而引起基金资产损失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5、衍生品投资风险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金融衍生产品具有杠杆效应，价格波动较为剧烈，在市场面临突发事件时，可能会导致投资亏损高于初始投资金额，从而对基金收益带来不利影响。此外，衍生品的交易可能不够活跃，在市场变化时，可能因无法及时找到交易对手或交易对手方压低报价，导致基金资产的额外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本基金投资衍生品不得应用于投机交易目的，会通过控制规模、计算风险价值等手段来有效控制风险。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6、证券借贷和正回购／逆回购风险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借贷、正回购／逆回购的主要风险在于交易对手风险，具体讲，对于证券借贷，作为证券借出方，如果交易对手方（即证券借入方）违约，则基金可能面临到期无法获得证券借贷收入甚至借出证券无法归还的风险，从而导致基金资产发生损失；对于正回购，交易期满时，可能会出现交易对手方未如约卖回已买入证券、未如约支付售出证券产生的所有股息、利息和分红的风险；对于逆回购，交易期满时，可能会出现交易对手方未如约买回已售出证券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（十）本基金法律文件风险收益特征表述与销售机构基金风险评价可能不一致的风险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（十一）其他风险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7" w:name="_Toc227915012"/>
      <w:r>
        <w:rPr>
          <w:rFonts w:ascii="Times New Roman" w:hAnsi="Times New Roman"/>
          <w:sz w:val="30"/>
        </w:rPr>
        <w:t>四、基金的投资</w:t>
      </w:r>
      <w:bookmarkEnd w:id="7"/>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本基金紧密跟踪标的指数，追求跟踪偏离度与跟踪误差最小化。本基金力争控制本基金日均跟踪偏离度的绝对值不超过0. 5%，年跟踪误差不超过5%。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具有良好流动性的金融工具，以中证海外中国互联网指数成份股、备选成份股、与中证海外中国互联网指数相关的公募基金（包括上市交易型基金）为主要投资对象；本基金还可投资全球证券市场中具有良好流动性的其他金融工具，包括已与中国证监会签署双边监管合作谅解备忘录的国家或地区证券市场挂牌交易的其它普通股、优先股等，在已与中国证监会签署双边监管合作谅解备忘录的国家或地区证券监管机构登记注册的其它公募基金，结构性投资产品，远期合约、互换及经中国证监会认可的境外交易所上市交易的权证、期权、期货等金融衍生产品，政府债券(短期政府债券除外)、公司债券、可转换债券等固定收益类证券，银行存款、短期政府债券等货币市场工具以及法律法规或中国证监会允许基金投资的其他金融工具(但须符合中国证监会相关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对中证海外中国互联网指数成份股、备选成份股、与中证海外中国互联网指数相关的公募基金（包括上市交易型基金）的投资比例不低于基金资产的90%，基金保留的现金或投资于到期日在一年以内的政府债券的比例合计不低于基金资产净值的5%，其中现金不包括结算备付金、存出保证金和应收申购款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指数型基金，原则上采用完全复制标的指数的方法跟踪标的指数，即按照中证海外中国互联网指数中的成份股组成及其权重构建股票投资组合，并根据标的指数成份股及其权重的变动进行相应调整。当预期成份股发生调整和成份股发</w:t>
      </w:r>
      <w:r>
        <w:rPr>
          <w:rFonts w:ascii="宋体" w:hAnsi="宋体"/>
          <w:sz w:val="24"/>
        </w:rPr>
        <w:lastRenderedPageBreak/>
        <w:t>生配股、增发、分红等行为时，或因基金的申购和赎回等对本基金跟踪标的指数的效果可能带来影响时，或因某些特殊情况导致成份股流动性不足时，或其他原因导致无法有效复制和跟踪标的指数时，基金管理人可以对投资组合管理进行适当变通和调整，从而使得投资组合紧密地跟踪标的指数，并使跟踪误差控制在限定的范围之内。如因指数编制规则调整或其他因素导致跟踪偏离度和跟踪误差超过上述范围，基金管理人应采取合理措施避免跟踪偏离度、跟踪误差进一步扩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指期货将根据风险管理的原则，以套期保值为目的，主要选择流动性好、交易活跃的股指期货合约。在建仓期或者出现大量净申购或净赎回的情况时，本基金将使用股指期货来进行流动性风险管理。本基金力争利用股指期货的杠杆作用，降低股票仓位频繁调整的交易成本和跟踪误差，达到有效跟踪标的指数的目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（1）本基金投资于中证海外中国互联网指数成份股、备选成份股、与中证海外中国互联网指数相关的公募基金（包括上市交易型基金）的比例不低于基金资产的90%。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同一家银行的存款不得超过基金资产净值的20%，其中银行应当是中资商业银行在境外设立的分行或在最近一个会计年度达到中国证监会认可的信用评级机构评级的境外银行。在基金托管账户的存款可以不受上述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与中国证监会签署双边监管合作谅解备忘录国家或地区以外的其他国家或地区证券市场挂牌交易的证券资产不得超过基金资产净值的10%，其中持有任一国家或地区市场的证券资产不得超过基金资产净值的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（5）本基金持有非流动性资产市值不得超过基金资产净值的10%。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前述非流动性资产是指法律或基金合同规定的流通受限证券以及中国证监会认定的其他资产。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（6）本基金持有境外基金的市值合计不得超过基金资产净值的10%，但持有货币市场基金不受此限制。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（7）本基金管理人管理的全部基金持有任何一只境外基金，不得超过该境外基金总份额的20%。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（8）本基金的金融衍生品全部敞口不得高于基金资产净值的100%。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（9）本基金投资期货支付的初始保证金、投资期权支付或收取的期权费、投资柜台交易衍生品支付的初始费用的总额不得高于基金资产净值的10%。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（10）本基金投资于远期合约、互换等柜台交易金融衍生品，应当符合以下要求：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①所有参与交易的对手方（中资商业银行除外）应当具有不低于中国证监会认可的信用评级机构评级。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②交易对手方应当至少每个工作日对交易进行估值，并且本基金可在任何时候以公允价值终止交易。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③任一交易对手方的市值计价敞口不得超过基金资产净值的20%。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（11）本基金可以参与证券借贷交易，并且应当遵守下列规定：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①所有参与交易的对手方（中资商业银行除外）应当具有中国证监会认可的信用评级机构评级。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②应当采取市值计价制度进行调整以确保担保物市值不低于已借出证券市值的102%。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③借方应当在交易期内及时向本基金支付已借出证券产生的所有股息、利息和分红。一旦借方违约，本基金根据协议和有关法律有权保留和处置担保物以满足索赔需要。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④除中国证监会另有规定外，担保物可以是以下金融工具或品种：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a现金；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b存款证明；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c商业票据；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 政府债券；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 中资商业银行或由不低于中国证监会认可的信用评级机构评级的境外金融机构（作为交易对手方或其关联方的除外）出具的不可撤销信用证。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 本基金有权在任何时候终止证券借贷交易并在正常市场惯例的合理期限内要求归还任一或所有已借出的证券。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⑥本基金管理人对本基金参与证券借贷交易中发生的损失，按照法律法规的规</w:t>
      </w:r>
      <w:r>
        <w:rPr>
          <w:rFonts w:ascii="宋体" w:hAnsi="宋体"/>
          <w:sz w:val="24"/>
        </w:rPr>
        <w:lastRenderedPageBreak/>
        <w:t>定承担相应责任。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 本基金可以根据正常市场惯例参与正回购交易、逆回购交易，并且应当遵守下列规定：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①所有参与正回购交易的对手方（中资商业银行除外）应当具有中国证监会认可的信用评级机构信用评级。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②参与正回购交易，应当采取市值计价制度对卖出收益进行调整以确保现金不低于已售出证券市值的102%。一旦买方违约，本基金根据协议和有关法律有权保留或处置卖出收益以满足索赔需要。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③买方应当在正回购交易期内及时向本基金支付售出证券产生的所有股息、利息和分红。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④参与逆回购交易，应当对购入证券采取市值计价制度进行调整以确保已购入证券市值不低于支付现金的102%。一旦卖方违约，本基金根据协议和有关法律有权保留或处置已购入证券以满足索赔需要。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⑤本基金管理人对本基金参与证券正回购交易、逆回购交易中发生的损失，按照法律法规的规定承担相应责任。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（13）本基金参与证券借贷交易、正回购交易，所有已借出而未归还证券总市值或所有已售出而未回购证券总市值均不得超过本基金总资产的50%。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前述比例限制计算，本基金因参与证券借贷交易、正回购交易而持有的担保物、现金不得计入本基金总资产。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（16）法律法规及中国证监会规定的和《基金合同》约定的其他投资限制。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若基金超过上述（1）、（3）-（7）项投资比例限制，应当在超过比例后</w:t>
      </w:r>
      <w:r>
        <w:rPr>
          <w:rFonts w:ascii="宋体" w:hAnsi="宋体"/>
          <w:sz w:val="24"/>
        </w:rPr>
        <w:lastRenderedPageBreak/>
        <w:t>30个工作日内采用合理的商业措施减仓以符合投资比例限制要求。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基金托管人对基金的投资的监督与检查自基金合同生效之日起开始。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（4）购买不动产；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（5）购买房地产抵押按揭；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（6）购买贵重金属或代表贵重金属的凭证；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（7）购买实物商品；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（8）除应付赎回、交易清算等临时用途以外，借入现金，该临时用途借入现金的比例不得超过基金资产净值的10%；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（9）利用融资购买证券，但投资金融衍生品除外；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（10）参与未持有基础资产的卖空交易；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（11）购买证券用于控制或影响发行该证券的机构或其管理层；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（12）直接投资与实物商品相关的衍生品；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（13）向其基金管理人、基金托管人出资；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（14）从事内幕交易、操纵证券交易价格及其他不正当的证券交易活动；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（15）法律、行政法规和中国证监会规定禁止的其他活动。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如法律、行政法规或监管部门取消上述禁止性规定，如适用于本基金，基金管理人在履行适当程序后，本基金可不受上述规定的限制。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（五）标的指数与业绩比较基准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本基金的业绩比较基准为：中证海外中国互联网指数收益率×95%＋银行活期存款利率（税后）×5%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为中证海外中国互联网指数。中证海外中国互联网指数由中证指数有限公司编制，于2011年9月20日发布，该指数选取海外交易所上市的中国互联网企业组成成分股，反映在在海外交易所上市中国互联网企业的整体走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若基金标的指数发生变更，基金业绩比较基准随之变更，由基金管理人根据标的指数变更情形履行对应适当程序，并在调整实施前依照《信息披露办法》的有关规定在中国证监会指定媒介上刊登公告。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股票型基金，其预期风险与预期收益高于混合型基金、债券型基金和货币市场基金，属于承担较高风险、预期收益较高的证券投资基金品种。同时本基金为指数型基金，具有与标的指数相似的风险收益特征。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（七）基金的融资融券、转融通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本基金可以根据届时有效的有关法律法规和政策的规定进行融资融券、转融</w:t>
      </w:r>
      <w:r>
        <w:rPr>
          <w:rFonts w:ascii="宋体" w:hAnsi="宋体"/>
          <w:sz w:val="24"/>
        </w:rPr>
        <w:lastRenderedPageBreak/>
        <w:t>通。待基金参与融资融券和转融通业务的相关规定颁布后，基金管理人可以在不改变本基金既有投资策略和风险收益特征并在控制风险的前提下，参与融资融券业务以及通过证券金融公司办理转融通业务，以提高投资效率及进行风险管理。届时基金参与融资融券、转融通等业务的风险控制原则、具体参与比例限制、费用收支、信息披露、估值方法及其他相关事项按照中国证监会的规定及其他相关法律法规的要求执行，无需召开基金份额持有人大会决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（八）基金管理人代表基金行使股东及债权人权利的处理原则及方法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（九）投资决策依据和投资流程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1、决策依据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有关法律法规、基金合同和标的指数的相关规定是基金管理人运用基金财产的决策依据。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本基金实行投资决策委员会领导下的基金经理负责制。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投资决策委员会的主要职责是决定有关指数重大调整的应对决策、其他重大组合调整决策以及重大的单项投资决策。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基金经理的主要职责是决定日常指数跟踪维护过程中的组合构建、调整决策。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研究、决策、组合构建、交易、评估及组合维护的有机配合共同构成了本基金的投资管理程序。严格的投资管理程序可以保证投资理念的正确执行，避免重大风险的发生。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（1）研究支持：量化投资部依托公司整体研究平台，整合外部信息以及券商等外部研究力量的研究成果开展指数跟踪、成份股公司行为等相关信息的搜集与分</w:t>
      </w:r>
      <w:r>
        <w:rPr>
          <w:rFonts w:ascii="宋体" w:hAnsi="宋体"/>
          <w:sz w:val="24"/>
        </w:rPr>
        <w:lastRenderedPageBreak/>
        <w:t>析、流动性分析、误差及其归因分析等工作，以作为基金投资决策的重要依据。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（2）投资决策：投资决策委员会定期召开或遇重大事项时召开投资决策会议，决策相关事项。基金经理根据投资决策委员会的决议，每日进行基金投资管理的日常决策。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（3）组合构建：根据标的指数情况，结合研究支持，基金经理构建以目标指数成分股为主的证券组合。在追求跟踪误差和偏离度最小化的前提下，基金经理将采取适当的方法，以降低买入成本、控制投资风险。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（4）交易执行：中央交易室负责具体的交易执行，同时履行一线监控的职责。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绩效评估：量化投资部定期和不定期对基金进行投资绩效评估，并提供相关报告。绩效评估能够确认组合是否实现了投资预期、组合误差的来源及投资策略成功与否，基金经理可以据此检讨投资策略，进而调整投资组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组合监控与调整：基金经理将跟踪标的指数变动，结合成份股基本面情况、成份股公司行为、流动性状况、基金申购和赎回的现金、现券流量情况以及组合投资绩效评估的结果等，采取适当的跟踪技术对投资组合进行监控和调整，密切跟踪标的指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（十）代理投票权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作为基金份额持有人的代理人，应行使所投资股票的投票权。基金管理人将本着维护持有人利益的原则，勤勉尽责的代理基金份额持有人行使投票权。在履行代理投票职责过程中，基金管理人可根据实际操作需要，委托基金托管人或其他专业机构提供代理投票的建议、协助完成代理投票的程序等，基金管理人应对代理机构的行为进行必要的监督，保留投票记录，并承担相应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（十一）证券交易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1．券商的选择标准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（1）资历雄厚，信誉良好；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（2）财务状况良好，经营行为规范；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（3）内部管理规范、严格，具备健全的内控制度（包括但不限于公平交易制度及保密制度），并能满足本基金运作高度保密的要求；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（4）针对本基金需要能及时、定期、全面地提供各方面研究报告及周到的信息服务；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（5）具备本基金运作所需的交易执行能力；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（6）具备本基金运作所需的后台清算执行能力；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（7）能够提供本基金运作、管理所需的其他服务。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2．券商的交易量分配程序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根据中国证监会《关于完善证券投资基金交易席位制度有关问题的通知》中关于“一家基金公司通过一家券商的交易席位买卖证券的年交易佣金，不得超过其当年所有基金买卖证券交易佣金的30％”的规定。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对券商服务的评价主要由以下几个方面组成：</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（1）交易服务能力：包括券商所能够提供的交易方式、所能覆盖的交易市场范围及在该交易市场的交易执行能力、交易前后的交易执行分析评价能力等；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（2）交易执行质量：包括但不限于成交价格、数量是否符合指令要求；交易成本最小化、交易回报的及时性和准确性、公平交易安排以及保密制度的执行情况等；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（3）研究服务水平：包括但不限于研究报告、研究资源及路演服务等质量；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（4）清算协作表现：包括清算、交收服务的及时性和准确性；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（5）其他协作评价。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基金管理人将根据上述标准每季度对券商进行综合评价，并根据评价结果分配基金在各家券商的交易量。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3．其他事项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根据有关规定，在基金定期报告中按规定将所选择的证券经营机构的有关情况、基金通过该证券经营机构买卖证券的成交量、支付的佣金等予以披露，同时将本着维护基金份额持有人的利益的原则，对券商选择和分仓中存在或潜在的利益冲突进行妥善处理，并向中国证监会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（十二）基金投资组合报告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金额（人民币元）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5,793,985,228.46</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90.43</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其中：普通股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4,177,004,857.35</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65.19</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优先股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存托凭证</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1,616,980,371.11</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25.24</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房地产信托凭证</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其中：远期</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期货</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期权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权证</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货币市场工具</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533,095,185.42</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8.32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79,976,075.59</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1.25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6,407,056,489.47</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报告期末在各个国家（地区）证券市场的股票及存托凭证投资分布</w:t>
      </w:r>
    </w:p>
    <w:tbl>
      <w:tblPr>
        <w:tblW w:w="5000" w:type="pct"/>
        <w:tblCellMar>
          <w:left w:w="0" w:type="dxa"/>
          <w:right w:w="0" w:type="dxa"/>
        </w:tblCellMar>
        <w:tblLook w:val="0000" w:firstRow="0" w:lastRow="0" w:firstColumn="0" w:lastColumn="0" w:noHBand="0" w:noVBand="0"/>
      </w:tblPr>
      <w:tblGrid>
        <w:gridCol w:w="1547"/>
        <w:gridCol w:w="4645"/>
        <w:gridCol w:w="2478"/>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国家（地区）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4,177,004,857.35</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65.94</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1,616,980,371.11</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25.53</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5,793,985,228.46</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91.47</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注：1、国家（地区）类别根据其所在的证券交易所确定；　　2、ADR、GDR按照存托凭证本身挂牌的证券交易所确定。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3、报告期末按行业分类的股票及存托凭证投资组合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报告期末指数投资按行业分类的股票及存托凭证投资组合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通讯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3,067,193,970.49</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48.42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非必需消费品</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1,737,608,768.00</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27.43</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必需消费品</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407,109,451.05</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6.43</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120,199,365.94</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1.90</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216,251,509.31</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3.41</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245,622,163.67</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3.88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5,793,985,228.46</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91.47</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注：本报告采用彭博BICS一级分类标准编制。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报告期末积极投资按行业分类的股票及存托凭证投资组合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4、期末按公允价值占基金资产净值比例大小排序的权益投资明细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 报告期末指数投资按公允价值占基金资产净值比例大小排序的前十名股票及存托凭证投资明细</w:t>
      </w:r>
    </w:p>
    <w:tbl>
      <w:tblPr>
        <w:tblW w:w="5000" w:type="pct"/>
        <w:tblCellMar>
          <w:left w:w="0" w:type="dxa"/>
          <w:right w:w="0" w:type="dxa"/>
        </w:tblCellMar>
        <w:tblLook w:val="0000" w:firstRow="0" w:lastRow="0" w:firstColumn="0" w:lastColumn="0" w:noHBand="0" w:noVBand="0"/>
      </w:tblPr>
      <w:tblGrid>
        <w:gridCol w:w="939"/>
        <w:gridCol w:w="1288"/>
        <w:gridCol w:w="592"/>
        <w:gridCol w:w="940"/>
        <w:gridCol w:w="940"/>
        <w:gridCol w:w="940"/>
        <w:gridCol w:w="1010"/>
        <w:gridCol w:w="1573"/>
        <w:gridCol w:w="448"/>
      </w:tblGrid>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公司名称</w:t>
            </w:r>
            <w:r>
              <w:rPr>
                <w:rFonts w:ascii="Times New Roman" w:hAnsi="Times New Roman"/>
                <w:color w:val="000000"/>
                <w:kern w:val="0"/>
                <w:sz w:val="25"/>
                <w:szCs w:val="24"/>
              </w:rPr>
              <w:t>(</w:t>
            </w:r>
            <w:r>
              <w:rPr>
                <w:rFonts w:ascii="Times New Roman" w:hAnsi="Times New Roman"/>
                <w:color w:val="000000"/>
                <w:kern w:val="0"/>
                <w:sz w:val="25"/>
                <w:szCs w:val="24"/>
              </w:rPr>
              <w:t>英文</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公司名称</w:t>
            </w:r>
            <w:r>
              <w:rPr>
                <w:rFonts w:ascii="Times New Roman" w:hAnsi="Times New Roman"/>
                <w:color w:val="000000"/>
                <w:kern w:val="0"/>
                <w:sz w:val="25"/>
                <w:szCs w:val="24"/>
              </w:rPr>
              <w:t>(</w:t>
            </w:r>
            <w:r>
              <w:rPr>
                <w:rFonts w:ascii="Times New Roman" w:hAnsi="Times New Roman"/>
                <w:color w:val="000000"/>
                <w:kern w:val="0"/>
                <w:sz w:val="25"/>
                <w:szCs w:val="24"/>
              </w:rPr>
              <w:t>中文</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所在证券市场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所属国家（地区）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w:t>
            </w:r>
            <w:r>
              <w:rPr>
                <w:rFonts w:ascii="Times New Roman" w:hAnsi="Times New Roman"/>
                <w:color w:val="000000"/>
                <w:kern w:val="0"/>
                <w:sz w:val="25"/>
                <w:szCs w:val="24"/>
              </w:rPr>
              <w:t>(</w:t>
            </w:r>
            <w:r>
              <w:rPr>
                <w:rFonts w:ascii="Times New Roman" w:hAnsi="Times New Roman"/>
                <w:color w:val="000000"/>
                <w:kern w:val="0"/>
                <w:sz w:val="25"/>
                <w:szCs w:val="24"/>
              </w:rPr>
              <w:t>股</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Tencent Holdings Ltd</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700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1,414,100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604,052,079.96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9.54</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PDD Holdings Inc</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拼多多</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PDD US</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720,348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509,303,534.69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8.04</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Alibaba Group Holding Ltd</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9988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4,822,756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506,513,647.62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8.00</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MEITUAN-CLASS B</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3690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5,726,590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419,238,714.93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6.62</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NETEASE INC</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网易股份有限公司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9999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2,261,765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340,346,087.71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5.37</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JD.com Inc</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京东集团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9618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2,697,512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269,499,964.53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4.25</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Baidu Inc</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9888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2,660,520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248,193,506.87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3.92</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KE Holdings Inc</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贝壳控股有限公司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2423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7,343,100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245,622,163.67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3.88</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JD Health International Inc</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京东健康</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6618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5,408,500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224,635,120.61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3.55</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Full Truck Alliance Co Ltd</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满帮集团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YMM US</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3,765,413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216,251,509.31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3.41</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 报告期末积极投资按公允价值占基金资产净值比例大小排序的前五名股票及存托凭证投资明细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5、报告期末按债券信用等级分类的债券投资组合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6、报告期末按公允价值占基金资产净值比例大小排名的前五名债券投资明细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7、报告期末按公允价值占基金资产净值比例大小排名的前十名资产支持证券投资明细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8、报告期末按公允价值占基金资产净值比例大小排名的前五名金融衍生品投资明细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9、报告期末按公允价值占基金资产净值比例大小排序的前十名基金投资明细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w:t>
      </w:r>
      <w:r>
        <w:rPr>
          <w:rFonts w:ascii="宋体" w:hAnsi="宋体"/>
          <w:sz w:val="24"/>
        </w:rPr>
        <w:lastRenderedPageBreak/>
        <w:t>报告编制日前一年内受到公开谴责、处罚的情形披露如下：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2025年12月31日,央行重庆市分行公示渝银罚决字[2025]35号行政处罚决定书，给予美团旗下重庆美团三快小额贷款有限公司56.7万元人民币的罚款行政处罚。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金额（人民币元）</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29,988,566.11</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49,987,509.48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79,976,075.59</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报告期末股票中存在流通受限情况的说明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①报告期末指数投资前十名股票中存在流通受限情况的说明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②报告期末积极投资前五名股票中存在流通受限情况的说明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8" w:name="_Toc227915013"/>
      <w:r>
        <w:rPr>
          <w:rFonts w:ascii="Times New Roman" w:hAnsi="Times New Roman"/>
          <w:sz w:val="30"/>
        </w:rPr>
        <w:t>五、基金的业绩</w:t>
      </w:r>
      <w:bookmarkEnd w:id="8"/>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基金业绩截止日为2026年3月31日，所载财务数据未经审计师审计。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(1)交银中证海外中国互联网指数(LOF)A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-19.04%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-19.03%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18.91%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19.69%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13.63%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13.27%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-7.44%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-6.97%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-5.94%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3.54%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-8.03%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3.62%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-46.55%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2.27%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-48.38%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2.41%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46.71%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48.16%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30.22%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27.77%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2.45%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-25.47%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-31.39%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5.92%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49.25%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64.21%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-14.96%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-8.19%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4.78%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月</w:t>
            </w:r>
            <w:r>
              <w:rPr>
                <w:rFonts w:ascii="Times New Roman" w:hAnsi="Times New Roman"/>
                <w:color w:val="000000"/>
                <w:kern w:val="0"/>
                <w:sz w:val="25"/>
                <w:szCs w:val="24"/>
              </w:rPr>
              <w:t>27</w:t>
            </w:r>
            <w:r>
              <w:rPr>
                <w:rFonts w:ascii="Times New Roman" w:hAnsi="Times New Roman"/>
                <w:color w:val="000000"/>
                <w:kern w:val="0"/>
                <w:sz w:val="25"/>
                <w:szCs w:val="24"/>
              </w:rPr>
              <w:t>日至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-3.30%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-7.61%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4.31%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(2)交银中证海外中国互联网指数(LOF)C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-19.06%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-19.03%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18.80%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19.69%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13.00%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13.27%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2023</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-1.62%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证海外中国互联网指数收益率×95%＋银行活期存款利率（税后）×5%，每日进行再平衡过程。其中中证海外中国互联网指数采用人民币价格，自2020年第三季度报告起追溯调整过往业绩比较基准收益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2F6AF2" w:rsidRDefault="0067707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交银施罗德中证海外中国互联网指数型证券投资基金(LOF)</w:t>
      </w:r>
    </w:p>
    <w:p w:rsidR="002F6AF2" w:rsidRDefault="0067707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(1)交银中证海外中国互联网指数(LOF)A</w:t>
      </w:r>
    </w:p>
    <w:p w:rsidR="002F6AF2" w:rsidRDefault="005E5F40">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358.5pt">
            <v:imagedata r:id="rId16" o:title="1521256610242020828"/>
          </v:shape>
        </w:pic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(2)交银中证海外中国互联网指数(LOF)C</w:t>
      </w:r>
    </w:p>
    <w:p w:rsidR="002F6AF2" w:rsidRDefault="005E5F40">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358.5pt">
            <v:imagedata r:id="rId17" o:title="1521256610242020828"/>
          </v:shape>
        </w:pic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2、本基金自2023年6月12日起，开始销售C类份额，投资者提交的申购申请于2023年6月13日被确认并将有效份额登记在册。</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9" w:name="_Toc227915014"/>
      <w:r>
        <w:rPr>
          <w:rFonts w:ascii="Times New Roman" w:hAnsi="Times New Roman"/>
          <w:sz w:val="30"/>
        </w:rPr>
        <w:t>六、基金管理人</w:t>
      </w:r>
      <w:bookmarkEnd w:id="9"/>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w:t>
      </w:r>
      <w:r w:rsidR="00576DB0">
        <w:rPr>
          <w:rFonts w:ascii="宋体" w:hAnsi="宋体" w:hint="eastAsia"/>
          <w:sz w:val="24"/>
        </w:rPr>
        <w:t>袁庆伟（代任）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2A1994" w:rsidRPr="002A1994" w:rsidRDefault="002A1994" w:rsidP="002A1994">
      <w:pPr>
        <w:autoSpaceDE w:val="0"/>
        <w:autoSpaceDN w:val="0"/>
        <w:adjustRightInd w:val="0"/>
        <w:snapToGrid w:val="0"/>
        <w:spacing w:line="360" w:lineRule="auto"/>
        <w:ind w:firstLineChars="200" w:firstLine="480"/>
        <w:jc w:val="left"/>
        <w:rPr>
          <w:rFonts w:ascii="宋体" w:hAnsi="宋体"/>
          <w:sz w:val="24"/>
        </w:rPr>
      </w:pPr>
      <w:r w:rsidRPr="002A1994">
        <w:rPr>
          <w:rFonts w:ascii="宋体" w:hAnsi="宋体" w:hint="eastAsia"/>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2A1994" w:rsidRPr="002A1994" w:rsidRDefault="002A1994" w:rsidP="002A1994">
      <w:pPr>
        <w:autoSpaceDE w:val="0"/>
        <w:autoSpaceDN w:val="0"/>
        <w:adjustRightInd w:val="0"/>
        <w:snapToGrid w:val="0"/>
        <w:spacing w:line="360" w:lineRule="auto"/>
        <w:ind w:firstLineChars="200" w:firstLine="480"/>
        <w:jc w:val="left"/>
        <w:rPr>
          <w:rFonts w:ascii="宋体" w:hAnsi="宋体"/>
          <w:sz w:val="24"/>
        </w:rPr>
      </w:pPr>
      <w:r w:rsidRPr="002A1994">
        <w:rPr>
          <w:rFonts w:ascii="宋体" w:hAnsi="宋体" w:hint="eastAsia"/>
          <w:sz w:val="24"/>
        </w:rPr>
        <w:lastRenderedPageBreak/>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2A1994" w:rsidRPr="002A1994" w:rsidRDefault="002A1994" w:rsidP="002A1994">
      <w:pPr>
        <w:autoSpaceDE w:val="0"/>
        <w:autoSpaceDN w:val="0"/>
        <w:adjustRightInd w:val="0"/>
        <w:snapToGrid w:val="0"/>
        <w:spacing w:line="360" w:lineRule="auto"/>
        <w:ind w:firstLineChars="200" w:firstLine="480"/>
        <w:jc w:val="left"/>
        <w:rPr>
          <w:rFonts w:ascii="宋体" w:hAnsi="宋体"/>
          <w:sz w:val="24"/>
        </w:rPr>
      </w:pPr>
      <w:r w:rsidRPr="002A1994">
        <w:rPr>
          <w:rFonts w:ascii="宋体" w:hAnsi="宋体" w:hint="eastAsia"/>
          <w:sz w:val="24"/>
        </w:rPr>
        <w:t>Karine Szenberg女士，董事，硕士。现任施罗德投资集团执行副主席、集团执行委员会成员和施罗德投资管理（瑞士）股份有限公司董事会主席。历任施罗德投资法国主管、欧洲主管、全球产品和营销主管等。</w:t>
      </w:r>
    </w:p>
    <w:p w:rsidR="002A1994" w:rsidRPr="002A1994" w:rsidRDefault="002A1994" w:rsidP="002A1994">
      <w:pPr>
        <w:autoSpaceDE w:val="0"/>
        <w:autoSpaceDN w:val="0"/>
        <w:adjustRightInd w:val="0"/>
        <w:snapToGrid w:val="0"/>
        <w:spacing w:line="360" w:lineRule="auto"/>
        <w:ind w:firstLineChars="200" w:firstLine="480"/>
        <w:jc w:val="left"/>
        <w:rPr>
          <w:rFonts w:ascii="宋体" w:hAnsi="宋体"/>
          <w:sz w:val="24"/>
        </w:rPr>
      </w:pPr>
      <w:r w:rsidRPr="002A1994">
        <w:rPr>
          <w:rFonts w:ascii="宋体" w:hAnsi="宋体" w:hint="eastAsia"/>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2A1994" w:rsidRPr="002A1994" w:rsidRDefault="002A1994" w:rsidP="002A1994">
      <w:pPr>
        <w:autoSpaceDE w:val="0"/>
        <w:autoSpaceDN w:val="0"/>
        <w:adjustRightInd w:val="0"/>
        <w:snapToGrid w:val="0"/>
        <w:spacing w:line="360" w:lineRule="auto"/>
        <w:ind w:firstLineChars="200" w:firstLine="480"/>
        <w:jc w:val="left"/>
        <w:rPr>
          <w:rFonts w:ascii="宋体" w:hAnsi="宋体"/>
          <w:sz w:val="24"/>
        </w:rPr>
      </w:pPr>
      <w:r w:rsidRPr="002A1994">
        <w:rPr>
          <w:rFonts w:ascii="宋体" w:hAnsi="宋体" w:hint="eastAsia"/>
          <w:sz w:val="24"/>
        </w:rPr>
        <w:t>单锋先生，独立董事，博士。现任南京大学法学教授职务。历任南京大学法学院助教、讲师、副教授。</w:t>
      </w:r>
    </w:p>
    <w:p w:rsidR="002A1994" w:rsidRPr="002A1994" w:rsidRDefault="002A1994" w:rsidP="002A1994">
      <w:pPr>
        <w:autoSpaceDE w:val="0"/>
        <w:autoSpaceDN w:val="0"/>
        <w:adjustRightInd w:val="0"/>
        <w:snapToGrid w:val="0"/>
        <w:spacing w:line="360" w:lineRule="auto"/>
        <w:ind w:firstLineChars="200" w:firstLine="480"/>
        <w:jc w:val="left"/>
        <w:rPr>
          <w:rFonts w:ascii="宋体" w:hAnsi="宋体"/>
          <w:sz w:val="24"/>
        </w:rPr>
      </w:pPr>
      <w:r w:rsidRPr="002A1994">
        <w:rPr>
          <w:rFonts w:ascii="宋体" w:hAnsi="宋体" w:hint="eastAsia"/>
          <w:sz w:val="24"/>
        </w:rPr>
        <w:t>刘凤元先生，独立董事，博士。现任华东政法大学国际金融法律学院教授，资本市场研究中心主任，兼任多家香港和大陆上市公司（非证券基金经营机构）独立董事。</w:t>
      </w:r>
    </w:p>
    <w:p w:rsidR="002A1994" w:rsidRPr="002A1994" w:rsidRDefault="002A1994" w:rsidP="002A1994">
      <w:pPr>
        <w:autoSpaceDE w:val="0"/>
        <w:autoSpaceDN w:val="0"/>
        <w:adjustRightInd w:val="0"/>
        <w:snapToGrid w:val="0"/>
        <w:spacing w:line="360" w:lineRule="auto"/>
        <w:ind w:firstLineChars="200" w:firstLine="480"/>
        <w:jc w:val="left"/>
        <w:rPr>
          <w:rFonts w:ascii="宋体" w:hAnsi="宋体"/>
          <w:sz w:val="24"/>
        </w:rPr>
      </w:pPr>
      <w:r w:rsidRPr="002A1994">
        <w:rPr>
          <w:rFonts w:ascii="宋体" w:hAnsi="宋体" w:hint="eastAsia"/>
          <w:sz w:val="24"/>
        </w:rPr>
        <w:t>宋若坤女士，独立董事，学士。英格兰及威尔士特许会计师协会和香港会计师公会特许会计师。历任毕马威会计师事务所香港分所审计部副经理，摩根资产管理（香港）亚太区资产管理合规主管等。</w:t>
      </w:r>
    </w:p>
    <w:p w:rsidR="002A1994" w:rsidRPr="002A1994" w:rsidRDefault="002A1994" w:rsidP="002A1994">
      <w:pPr>
        <w:autoSpaceDE w:val="0"/>
        <w:autoSpaceDN w:val="0"/>
        <w:adjustRightInd w:val="0"/>
        <w:snapToGrid w:val="0"/>
        <w:spacing w:line="360" w:lineRule="auto"/>
        <w:ind w:firstLineChars="200" w:firstLine="480"/>
        <w:jc w:val="left"/>
        <w:rPr>
          <w:rFonts w:ascii="宋体" w:hAnsi="宋体"/>
          <w:sz w:val="24"/>
        </w:rPr>
      </w:pPr>
      <w:r w:rsidRPr="002A1994">
        <w:rPr>
          <w:rFonts w:ascii="宋体" w:hAnsi="宋体" w:hint="eastAsia"/>
          <w:sz w:val="24"/>
        </w:rPr>
        <w:t>2、基金管理人高级管理人员</w:t>
      </w:r>
    </w:p>
    <w:p w:rsidR="002A1994" w:rsidRPr="002A1994" w:rsidRDefault="002A1994" w:rsidP="002A1994">
      <w:pPr>
        <w:autoSpaceDE w:val="0"/>
        <w:autoSpaceDN w:val="0"/>
        <w:adjustRightInd w:val="0"/>
        <w:snapToGrid w:val="0"/>
        <w:spacing w:line="360" w:lineRule="auto"/>
        <w:ind w:firstLineChars="200" w:firstLine="480"/>
        <w:jc w:val="left"/>
        <w:rPr>
          <w:rFonts w:ascii="宋体" w:hAnsi="宋体"/>
          <w:sz w:val="24"/>
        </w:rPr>
      </w:pPr>
      <w:r w:rsidRPr="002A1994">
        <w:rPr>
          <w:rFonts w:ascii="宋体" w:hAnsi="宋体" w:hint="eastAsia"/>
          <w:sz w:val="24"/>
        </w:rPr>
        <w:t>袁庆伟女士，总经理。简历同上。</w:t>
      </w:r>
    </w:p>
    <w:p w:rsidR="002A1994" w:rsidRPr="002A1994" w:rsidRDefault="002A1994" w:rsidP="002A1994">
      <w:pPr>
        <w:autoSpaceDE w:val="0"/>
        <w:autoSpaceDN w:val="0"/>
        <w:adjustRightInd w:val="0"/>
        <w:snapToGrid w:val="0"/>
        <w:spacing w:line="360" w:lineRule="auto"/>
        <w:ind w:firstLineChars="200" w:firstLine="480"/>
        <w:jc w:val="left"/>
        <w:rPr>
          <w:rFonts w:ascii="宋体" w:hAnsi="宋体"/>
          <w:sz w:val="24"/>
        </w:rPr>
      </w:pPr>
      <w:r w:rsidRPr="002A1994">
        <w:rPr>
          <w:rFonts w:ascii="宋体" w:hAnsi="宋体" w:hint="eastAsia"/>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2A1994" w:rsidRPr="002A1994" w:rsidRDefault="002A1994" w:rsidP="002A1994">
      <w:pPr>
        <w:autoSpaceDE w:val="0"/>
        <w:autoSpaceDN w:val="0"/>
        <w:adjustRightInd w:val="0"/>
        <w:snapToGrid w:val="0"/>
        <w:spacing w:line="360" w:lineRule="auto"/>
        <w:ind w:firstLineChars="200" w:firstLine="480"/>
        <w:jc w:val="left"/>
        <w:rPr>
          <w:rFonts w:ascii="宋体" w:hAnsi="宋体"/>
          <w:sz w:val="24"/>
        </w:rPr>
      </w:pPr>
      <w:r w:rsidRPr="002A1994">
        <w:rPr>
          <w:rFonts w:ascii="宋体" w:hAnsi="宋体" w:hint="eastAsia"/>
          <w:sz w:val="24"/>
        </w:rPr>
        <w:t>马俊先生，副总经理，硕士。历任交通银行总行投资管理部高级投资分析、副高级经理，交银施罗德基金管理有限公司总裁办公室总经理、研究部副总经理、研究总监、综合管理部总经理。</w:t>
      </w:r>
    </w:p>
    <w:p w:rsidR="002A1994" w:rsidRDefault="002A1994">
      <w:pPr>
        <w:autoSpaceDE w:val="0"/>
        <w:autoSpaceDN w:val="0"/>
        <w:adjustRightInd w:val="0"/>
        <w:snapToGrid w:val="0"/>
        <w:spacing w:line="360" w:lineRule="auto"/>
        <w:ind w:firstLineChars="200" w:firstLine="480"/>
        <w:jc w:val="left"/>
        <w:rPr>
          <w:rFonts w:ascii="宋体" w:hAnsi="宋体"/>
          <w:sz w:val="24"/>
        </w:rPr>
      </w:pPr>
      <w:r w:rsidRPr="002A1994">
        <w:rPr>
          <w:rFonts w:ascii="宋体" w:hAnsi="宋体" w:hint="eastAsia"/>
          <w:sz w:val="24"/>
        </w:rPr>
        <w:t>周云康先生，首席信息官，硕士。历任交通银行柳州分行电脑中心科员、软件开发科长、副经理、经理；交通银行总行信息技术部（电脑部）主管、副处长；交</w:t>
      </w:r>
      <w:r w:rsidRPr="002A1994">
        <w:rPr>
          <w:rFonts w:ascii="宋体" w:hAnsi="宋体" w:hint="eastAsia"/>
          <w:sz w:val="24"/>
        </w:rPr>
        <w:lastRenderedPageBreak/>
        <w:t>通银行总行软件开发中心副高级经理、高级经理；交通银行总行金融科技部高级经理；交通银行总行营运与渠道部副总经理。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基金经理。复旦大学电子工程硕士，17年证券投资行业从业经验。2007年起在瑞士银行香港分行工作。2009年加入交银施罗德基金管理有限公司，曾任投资研究部数量分析师、基金经理助理、量化投资部助理总经理、量化投资部副总经理、多元资产管理副总监，现任量化投资部量化投资副总监、基金经理。曾任上证180公司治理交易型开放式指数证券投资基金(2012年12月27日至2021年04月30日)、深证300价值交易型开放式指数证券投资基金(2012年12月27日至2021年04月30日)、交银施罗德深证300价值交易型开放式指数证券投资基金联接基金(2012年12月27日至2021年04月30日)、交银施罗德沪深300行业分层等权重指数证券投资基金(2012年12月27日至2015年06月30日)、交银施罗德消费新驱动股票型证券投资基金(2012年12月27日至2015年06月30日)、交银施罗德上证180公司治理交易型开放式指数证券投资基金联接基金(2012年12月27日至2021年04月30日)、交银施罗德国证新能源指数证券投资基金（LOF）(2015年03月26日至2021年04月30日)、交银施罗德全球自然资源证券投资基金(2015年04月22日至2017年03月24日)、交银施罗德环球精选价值证券投资基金(2015年04月22日至2017年03月25日)、交银施罗德中证海外中国互联网指数型证券投资基金(LOF)(2015年05月27日至2021年04月30日)、交银施罗德中证互联网金融指数分级证券投资基金(2015年06月26日至2020年11月25日)、交银施罗德中证环境治理指数分级证券投资基金(2015年08月13日至2016年07月18日)、交银施罗德中证环境治理指数型证券投资基金(LOF)(2016年07月19日至2021年04月30日)、交银施罗德致远量化智投策略定期开放混合型证券投资基金(2018年05月18日至2020年07月17日)、交银施罗德创业板50指数型证券投资基金(2019年11月20日至2021年04月30日)、交银施罗德安享稳健养老目标一年持有期混合型基金中基金（FOF）(2021年04月30日至2025年01月22日)、交银施罗德养老目标日期2035三年持有期混合型基金中基金（FOF）(2021年04月30日至2025年01月22日)的基金经理。现任交银施罗德中证海外中国互联网指数型证券投资基金(LOF)(2025年02月27日至今)、交银施罗德上证180公司治理交易型开放式指数证券投资基金联接基金(2025年02月27日至今)、交银施罗德中证红利低波动100指数型证券投资基金(2025年02月27日至今)、交银施罗德创业板50指数型证券投资基金</w:t>
      </w:r>
      <w:r>
        <w:rPr>
          <w:rFonts w:ascii="宋体" w:hAnsi="宋体"/>
          <w:sz w:val="24"/>
        </w:rPr>
        <w:lastRenderedPageBreak/>
        <w:t>(2025年02月27日至今)、上证180公司治理交易型开放式指数证券投资基金(2025年02月27日至今)、交银施罗德中证智选沪深港科技50交易型开放式指数证券投资基金(2025年12月10日至今)、交银施罗德环球精选价值证券投资基金(2026年01月22日至今)</w:t>
      </w:r>
      <w:r w:rsidR="002A1994" w:rsidRPr="002A1994">
        <w:rPr>
          <w:rFonts w:hint="eastAsia"/>
        </w:rPr>
        <w:t xml:space="preserve"> </w:t>
      </w:r>
      <w:r w:rsidR="002A1994" w:rsidRPr="002A1994">
        <w:rPr>
          <w:rFonts w:ascii="宋体" w:hAnsi="宋体" w:hint="eastAsia"/>
          <w:sz w:val="24"/>
        </w:rPr>
        <w:t>、交银施罗德智远量化选股股票型发起式证券投资基金（2026年05月08日至今）、交银施罗德红利量化选股混合型证券投资基金（2026年06月09日至今）的基金经理</w:t>
      </w:r>
      <w:r>
        <w:rPr>
          <w:rFonts w:ascii="宋体" w:hAnsi="宋体"/>
          <w:sz w:val="24"/>
        </w:rPr>
        <w:t>的基金经理。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邵文婷女士:多资产研究部副总监、基金经理。英国诺丁汉大学金融与投资硕士、西南财经大学数学与经济学双学士。10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深证300价值交易型开放式指数证券投资基金(2021年04月30日至今)、上证180公司治理交易型开放式指数证券投资基金(2021年04月30日至今)、交银施罗德创业板50指数型证券投资基金(2021年04月30日至今)、交银施罗德上证180公司治理交易型开放式指数证券投资基金联接基金(2021年04月30日至今)、交银施罗德深证300价值交易型开放式指数证券投资基金联接基金(2021年04月30日至今)、交银施罗德国证新能源指数证券投资基金（LOF）(2021年04月30日至今)、交银施罗德中证环境治理指数型证券投资基金(LOF)(2021年04月30日至今)、交银施罗德中证海外中国互联网指数型证券投资基金(LOF)(2021年04月30日至今)、交银施罗德中证红利低波动100指数型证券投资基金(2024年03月15日至今)、交银施罗德中证A500指数型证券投资基金(2025年01月22日至今)、交银施罗德上证科创板100指数型证券投资基金(2025年02月26日至今)、交银施罗德中证A50指数型证券投资基金(2025年04月02日至今)、交银施罗德恒生港股通创新药精选指数型证券投资基金(2025年08月20日至今)、交银施罗德中证港股通央企红利指数型证券投资基金(2025年10月28日至今)、交银施罗德中证智选沪深港科技50交易型开放式指数证券投资基金(2025年12月10日至今)、交银施罗德中证A500指数增强型发起式证券投资基金(2026年02月10日至今)的基金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蔡铮先生(2015年05月27日至2021年04月30日)。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2A1994" w:rsidRDefault="00677079" w:rsidP="002A1994">
      <w:pPr>
        <w:adjustRightInd w:val="0"/>
        <w:snapToGrid w:val="0"/>
        <w:spacing w:line="360" w:lineRule="auto"/>
        <w:ind w:firstLineChars="200" w:firstLine="480"/>
        <w:jc w:val="left"/>
        <w:rPr>
          <w:sz w:val="24"/>
          <w:szCs w:val="24"/>
        </w:rPr>
      </w:pPr>
      <w:r>
        <w:rPr>
          <w:rFonts w:ascii="宋体" w:hAnsi="宋体"/>
          <w:sz w:val="24"/>
        </w:rPr>
        <w:t>委员：</w:t>
      </w:r>
      <w:r w:rsidR="002A1994">
        <w:rPr>
          <w:rFonts w:hint="eastAsia"/>
          <w:sz w:val="24"/>
          <w:szCs w:val="24"/>
        </w:rPr>
        <w:t>马俊（副总经理）</w:t>
      </w:r>
    </w:p>
    <w:p w:rsidR="002A1994" w:rsidRDefault="002A1994" w:rsidP="002A1994">
      <w:pPr>
        <w:adjustRightInd w:val="0"/>
        <w:snapToGrid w:val="0"/>
        <w:spacing w:line="360" w:lineRule="auto"/>
        <w:ind w:firstLineChars="500" w:firstLine="1200"/>
        <w:rPr>
          <w:sz w:val="24"/>
          <w:szCs w:val="24"/>
        </w:rPr>
      </w:pPr>
      <w:r>
        <w:rPr>
          <w:rFonts w:hint="eastAsia"/>
          <w:sz w:val="24"/>
          <w:szCs w:val="24"/>
        </w:rPr>
        <w:lastRenderedPageBreak/>
        <w:t>迟鑫（权益部总经理兼任跨境投资部总经理）</w:t>
      </w:r>
    </w:p>
    <w:p w:rsidR="002A1994" w:rsidRDefault="002A1994" w:rsidP="002A1994">
      <w:pPr>
        <w:adjustRightInd w:val="0"/>
        <w:snapToGrid w:val="0"/>
        <w:spacing w:line="360" w:lineRule="auto"/>
        <w:ind w:firstLineChars="500" w:firstLine="1200"/>
        <w:rPr>
          <w:sz w:val="24"/>
          <w:szCs w:val="24"/>
        </w:rPr>
      </w:pPr>
      <w:r>
        <w:rPr>
          <w:rFonts w:hint="eastAsia"/>
          <w:sz w:val="24"/>
          <w:szCs w:val="24"/>
        </w:rPr>
        <w:t>王崇（权益投资副总监、权益部一级专家、基金经理）</w:t>
      </w:r>
    </w:p>
    <w:p w:rsidR="002A1994" w:rsidRDefault="002A1994" w:rsidP="002A1994">
      <w:pPr>
        <w:adjustRightInd w:val="0"/>
        <w:snapToGrid w:val="0"/>
        <w:spacing w:line="360" w:lineRule="auto"/>
        <w:ind w:firstLineChars="500" w:firstLine="1200"/>
        <w:rPr>
          <w:sz w:val="24"/>
          <w:szCs w:val="24"/>
        </w:rPr>
      </w:pPr>
      <w:r>
        <w:rPr>
          <w:rFonts w:hint="eastAsia"/>
          <w:sz w:val="24"/>
          <w:szCs w:val="24"/>
        </w:rPr>
        <w:t>于海颖（混合资产投资总监、基金经理）</w:t>
      </w:r>
    </w:p>
    <w:p w:rsidR="002A1994" w:rsidRDefault="002A1994" w:rsidP="002A1994">
      <w:pPr>
        <w:adjustRightInd w:val="0"/>
        <w:snapToGrid w:val="0"/>
        <w:spacing w:line="360" w:lineRule="auto"/>
        <w:ind w:firstLineChars="500" w:firstLine="1200"/>
        <w:rPr>
          <w:sz w:val="24"/>
          <w:szCs w:val="24"/>
        </w:rPr>
      </w:pPr>
      <w:r>
        <w:rPr>
          <w:rFonts w:hint="eastAsia"/>
          <w:sz w:val="24"/>
          <w:szCs w:val="24"/>
        </w:rPr>
        <w:t>黄莹洁（固定收益（公募）投资助理总监、基金经理）</w:t>
      </w:r>
    </w:p>
    <w:p w:rsidR="002A1994" w:rsidRDefault="002A1994" w:rsidP="002A1994">
      <w:pPr>
        <w:adjustRightInd w:val="0"/>
        <w:snapToGrid w:val="0"/>
        <w:spacing w:line="360" w:lineRule="auto"/>
        <w:ind w:firstLineChars="500" w:firstLine="1200"/>
        <w:rPr>
          <w:sz w:val="24"/>
          <w:szCs w:val="24"/>
        </w:rPr>
      </w:pPr>
      <w:r>
        <w:rPr>
          <w:rFonts w:hint="eastAsia"/>
          <w:sz w:val="24"/>
          <w:szCs w:val="24"/>
        </w:rPr>
        <w:t>马韬（研究总监）</w:t>
      </w:r>
    </w:p>
    <w:p w:rsidR="002A1994" w:rsidRDefault="002A1994" w:rsidP="002A1994">
      <w:pPr>
        <w:adjustRightInd w:val="0"/>
        <w:snapToGrid w:val="0"/>
        <w:spacing w:line="360" w:lineRule="auto"/>
        <w:ind w:firstLineChars="500" w:firstLine="1200"/>
        <w:rPr>
          <w:sz w:val="24"/>
          <w:szCs w:val="24"/>
        </w:rPr>
      </w:pPr>
      <w:r>
        <w:rPr>
          <w:rFonts w:hint="eastAsia"/>
          <w:sz w:val="24"/>
          <w:szCs w:val="24"/>
        </w:rPr>
        <w:t>樊继拓（多资产研究部副总经理）</w:t>
      </w:r>
    </w:p>
    <w:p w:rsidR="002F6AF2" w:rsidRDefault="00677079" w:rsidP="002A199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（2）不公平地对待管理的不同基金财产；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公司内部部门和岗位的设置应当体现权责分明、相互制衡。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采取数量化、技术化的风险控制手段，建立数量化的风险管理模型，用以提示指数趋势、行业及个股的风险，以便公司及时采取有效的措施，对风险进行分散、控制和规避，尽可能地减少损失。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0" w:name="_Toc227915015"/>
      <w:r>
        <w:rPr>
          <w:rFonts w:ascii="Times New Roman" w:hAnsi="Times New Roman"/>
          <w:sz w:val="30"/>
        </w:rPr>
        <w:t>七、基金的募集</w:t>
      </w:r>
      <w:bookmarkEnd w:id="10"/>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本基金由基金管理人依照《基金法》、《运作办法》、基金合同及其他有关规定，并经中国证监会2015年3月25日证监许可【2015】429号文核准募集发售。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本基金为契约型开放式股票型基金。基金存续期间为不定期。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本基金自2015年4月30日至2015年 5月21日进行发售，本基金设立募集期共募集788,924,486.89份基金份额，有效认购户数为16,424户。</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1" w:name="_Toc227915016"/>
      <w:r>
        <w:rPr>
          <w:rFonts w:ascii="Times New Roman" w:hAnsi="Times New Roman"/>
          <w:sz w:val="30"/>
        </w:rPr>
        <w:t>八、基金合同的生效</w:t>
      </w:r>
      <w:bookmarkEnd w:id="11"/>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根据有关规定，本基金满足基金合同生效条件，基金合同已于2015年5月27日正式生效。自基金合同生效之日起，本基金管理人正式开始管理本基金。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资产净值低于1亿元的，基金管理人可向中国证监会报告并履行适当程序后提前终止基金合同，不需召开基金份额持有人大会。若基金管理人未依前款规定提前终止合同的，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履行适当程序后提前终止基金合同，不需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2" w:name="_Toc227915017"/>
      <w:r>
        <w:rPr>
          <w:rFonts w:ascii="Times New Roman" w:hAnsi="Times New Roman"/>
          <w:sz w:val="30"/>
        </w:rPr>
        <w:t>九、基金份额的上市交易</w:t>
      </w:r>
      <w:bookmarkEnd w:id="12"/>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基金合同生效后，基金管理人将根据有关规定，申请本基金A类基金份额上市交易。如无特别说明，本部分约定仅适用于本基金A类基金份额。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上市后，登记在证券登记结算系统中的A类基金份额可直接在深圳证券交易所上市；登记在注册登记系统中的A类基金份额可通过办理跨系统转托管业务将基金份额转托管在证券登记结算系统中后，再上市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未来，基金管理人在符合法律法规的情况下也可申请本基金C类基金份额的上市交易，基金管理人可根据需要修改基金合同相关内容，但应在实施日前依照《信息披露办法》的有关规定在指定媒介上公告。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（一）上市交易的地点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本基金A类基金份额的上市交易的地点为深圳证券交易所。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（二）上市交易的时间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本基金A类基金份额于2015年7月10日开始在深圳证券交易所上市交易。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（三）上市交易规则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深圳证券交易所的上市交易需遵循《深圳证券交易所证券投资基金上市规则》、《深圳证券交易所交易规则》、《深圳证券交易所证券投资基金交易和申购赎回实施细则》等有关规定，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1、本基金上市首日的开盘参考价为之前第二个开放日A类基金份额的基金份额净值；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2、本基金实行价格涨跌幅限制，涨跌幅比例限制为10%，自上市首日起实行；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3、本基金买入申报数量为100 份或其整数倍；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4、本基金申报价格最小变动单位为0.001 元人民币；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5、《深圳证券交易所交易规则》、《深圳证券交易所证券投资基金上市规则》、《深圳证券交易所证券投资基金交易和申购赎回实施细则》等其他相关规定。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（四）上市交易的费用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本基金A类基金份额上市交易的费用按照深圳证券交易所有关规定办理。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（五）上市交易的行情揭示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本基金A类基金份额在深圳证券交易所挂牌交易，交易行情通过行情发布系统</w:t>
      </w:r>
      <w:r>
        <w:rPr>
          <w:rFonts w:ascii="宋体" w:hAnsi="宋体"/>
          <w:sz w:val="24"/>
        </w:rPr>
        <w:lastRenderedPageBreak/>
        <w:t>揭示。行情发布系统同时揭示基金之前第二个开放日A类基金份额的基金份额净值。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（六）上市交易的停复牌、暂停上市、恢复上市和终止上市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本基金A类基金份额的停复牌、暂停上市、恢复上市和终止上市按照相关法律法规和深圳证券交易所的相关规定执行。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w:t>
      </w:r>
      <w:r w:rsidRPr="00BB248E">
        <w:rPr>
          <w:rFonts w:ascii="宋体" w:hAnsi="宋体" w:hint="eastAsia"/>
          <w:kern w:val="0"/>
          <w:sz w:val="24"/>
        </w:rPr>
        <w:t>相关法律法规、中国证监会及深圳证券交易所对基金上市交易的规则等相关规定内容进行调整的，基金合同相应予以修改，且此项修改无须召开基金份额持有人大会。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w:t>
      </w:r>
      <w:r w:rsidRPr="00BB248E">
        <w:rPr>
          <w:rFonts w:ascii="宋体" w:hAnsi="宋体" w:hint="eastAsia"/>
          <w:kern w:val="0"/>
          <w:sz w:val="24"/>
        </w:rPr>
        <w:t>若深圳证券交易所、中国证券登记结算有限责任公司增加了基金场内交易的新业务，基金管理人可以在履行适当的程序后为本基金增加办理相应的新业务。</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3" w:name="_Toc227915018"/>
      <w:r>
        <w:rPr>
          <w:rFonts w:ascii="Times New Roman" w:hAnsi="Times New Roman"/>
          <w:sz w:val="30"/>
        </w:rPr>
        <w:t>十、基金份额的申购与赎回</w:t>
      </w:r>
      <w:bookmarkEnd w:id="13"/>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投资者可通过场外和场内两种方式申购与赎回A类基金份额；C类基金份额不上市交易，也不开设场内申购、赎回的方式，投资者只能通过场外方式申购与赎回C类基金份额。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使用开放式基金账户，通过基金管理人的直销机构及其他场外销售机构办理本基金A类基金份额和C类基金份额的场外申购和赎回业务。投资人也可使用深圳证券账户，通过场内销售机构利用深圳证券交易所交易系统办理本基金A类基金份额的场内申购和赎回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个人投资者可以通过基金管理人网上直销交易平台办理开户、本基金的场外申购、赎回、定期定额投资等业务，具体交易细则请参阅基金管理人网站。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2、具有基金销售业务资格、经深圳证券交易所和中国证券登记结算有限责任公司认可的通过深圳证券交易所交易系统办理相关业务的深圳证券交易所会员单位，具体名单详见深圳证券交易所网站。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3、不通过深圳证券交易所交易系统办理相关业务的场外销售机构（除本基金管理人外）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本基金的场外销售机构参见本招募说明书“二十、相关服务机构”章节或拨打本公司客户服务电话进行咨询。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投资人应通过上述销售机构办理基金申购、赎回业务的营业场所或按上述销售机构提供的其他方式进行申购或赎回。本基金管理人可根据情况变更或增减基金场外销售机构，并在管理人网站公示。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本基金投资的主要市场的证券交易所遇节假日休市或暂停交易，或其他特殊情况，基金管理人将视情况对前述开放日及开放时间进行相应的调整，但应在实施日前依照《信息披露办法》的有关规定在指定媒介上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本基金A类基金份额于2015年7月10日起开放申购、赎回业务。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本基金C类基金份额于2023年6月12日起开放场外申购、场外赎回业务。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1、“未知价”原则，即申购、赎回价格以申请日的基金份额净值为基准进行计算；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3、当日的场外申购与赎回申请可以在基金管理人规定的时间以内撤销，但申请经登记机构受理的不得撤销；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4、投资者办理基金份额场外申购、赎回应使用开放式基金账户，办理基金份</w:t>
      </w:r>
      <w:r>
        <w:rPr>
          <w:rFonts w:ascii="宋体" w:hAnsi="宋体"/>
          <w:sz w:val="24"/>
        </w:rPr>
        <w:lastRenderedPageBreak/>
        <w:t>额场内申购、赎回应使用深圳证券账户；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在场外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人通过深圳证券交易所交易系统办理场内申购、赎回业务时，需遵守深圳证券交易所和中国证券登记结算有限责任公司的相关业务规则。若相关法律法规、中国证监会、深圳证券交易所或中国证券登记结算有限责任公司对场内申购、赎回业务规则有新的规定，按新规定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若将来条件许可，在不违反法律法规规定且对基金份额持有人利益无实质性不利影响的情况下，本基金可以接受投资者以人民币以外的其他货币申购、赎回，并经与基金托管人协商一致后相应修改基金合同的必要部分，而无需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场外其他销售机构每个账户单笔申购的最低金额为单笔1元，如果销售机构业务规则规定的最低单笔申购金额高于1元，以该销售机构的规定为准。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场内申购时，每笔申购金额最低为1,000元（含申购费）。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本基金对单个投资人累计持有的基金份额不设上限，但基金管理人可根据境外证券投资额度、基金组合情况等因素，设定申购份额上限和赎回份额上限，以对当日的申购总规模或赎回总规模进行控制。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w:t>
      </w:r>
      <w:r>
        <w:rPr>
          <w:rFonts w:ascii="宋体" w:hAnsi="宋体"/>
          <w:sz w:val="24"/>
        </w:rPr>
        <w:lastRenderedPageBreak/>
        <w:t>份额高于1份，以该销售机构的规定为准。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6、投资人通过深圳证券交易所交易系统办理本基金基金份额的场内申购、赎回业务时，需遵守深圳证券交易所及中国证券登记结算有限责任公司对场内申购、赎回数额限定的相关业务规则。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10日（包括该日）内支付赎回款项，但中国证监会另有规定除外。外管局相关规定变更、本基金所投资市场暂停交易、延迟支付赎回款项或交易清算规则有变更时，赎回款支付时间将相应调整。在发生巨额赎回时，款项的支付办法参照基金合同有关条款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w:t>
      </w:r>
      <w:r>
        <w:rPr>
          <w:rFonts w:ascii="宋体" w:hAnsi="宋体"/>
          <w:sz w:val="24"/>
        </w:rPr>
        <w:lastRenderedPageBreak/>
        <w:t>赎回申请的当天作为申购或赎回申请日（T日），在正常情况下，本基金登记机构在T+2日（包括该日）内对该交易的有效性进行确认。T日提交的有效申请，投资人应在T+3日后（包括该日）及时到销售网点柜台或以销售机构规定的其他方式查询申请的确认情况。若申购不成功，则申购款项退还给投资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（1）投资人T日申购基金成功后，正常情况下，登记机构在T＋2日为投资人增加权益并办理登记手续，投资人自T＋3日起（包括该日）有权赎回该部分基金份额。投资人应及时查询有关申请的确认情况。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（2）投资人T日赎回基金成功后，正常情况下，登记机构在T＋2日为投资人扣除权益并办理相应的登记手续。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本基金A类基金份额的申购费用由申购A类基金份额的投资人承担，不列入基金财产，主要用于本基金的市场推广、销售、登记等各项费用。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本基金A类基金份额（非养老金客户）的场外申购费率如下：</w:t>
      </w:r>
    </w:p>
    <w:tbl>
      <w:tblPr>
        <w:tblW w:w="5000" w:type="pct"/>
        <w:tblCellMar>
          <w:left w:w="0" w:type="dxa"/>
          <w:right w:w="0" w:type="dxa"/>
        </w:tblCellMar>
        <w:tblLook w:val="0000" w:firstRow="0" w:lastRow="0" w:firstColumn="0" w:lastColumn="0" w:noHBand="0" w:noVBand="0"/>
      </w:tblPr>
      <w:tblGrid>
        <w:gridCol w:w="2167"/>
        <w:gridCol w:w="650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类基金份额场外申购费率</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本基金A类基金份额的场内申购费率由场内销售机构参照上表场外申购费率设定。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通过基金管理人直销柜台申购本基金A类基金份额的养老金客户特定场外申购费率如下表：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类基金份额特定场外申购费率</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w:t>
      </w:r>
      <w:r>
        <w:rPr>
          <w:rFonts w:ascii="宋体" w:hAnsi="宋体"/>
          <w:sz w:val="24"/>
        </w:rPr>
        <w:lastRenderedPageBreak/>
        <w:t>告或本基金管理人网站。本基金管理人基金网上直销业务已开通的银行卡及各银行卡交易金额限额请参阅本基金管理人网站。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赎回费用由赎回该类基金份额的基金份额持有人承担，在基金份额持有人赎回基金份额时收取，赎回费总额的25%应归基金财产，其余用于支付登记费和其他必要的手续费。其中，对持续持有期少于7日的基金份额持有人收取不低于1.5%的赎回费并全额计入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本基金A类基金份额的场外赎回费率如下：</w:t>
      </w:r>
    </w:p>
    <w:tbl>
      <w:tblPr>
        <w:tblW w:w="5000" w:type="pct"/>
        <w:tblCellMar>
          <w:left w:w="0" w:type="dxa"/>
          <w:right w:w="0" w:type="dxa"/>
        </w:tblCellMar>
        <w:tblLook w:val="0000" w:firstRow="0" w:lastRow="0" w:firstColumn="0" w:lastColumn="0" w:noHBand="0" w:noVBand="0"/>
      </w:tblPr>
      <w:tblGrid>
        <w:gridCol w:w="2167"/>
        <w:gridCol w:w="650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类基金份额场外赎回费率</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上表中的“年”指的是365个自然日。场外赎回A类基金份额时，其持有期限的计算以中国证券登记结算有限责任公司的相关业务规则为准。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本基金A类基金份额的场内赎回费率如下：</w:t>
      </w:r>
    </w:p>
    <w:tbl>
      <w:tblPr>
        <w:tblW w:w="5000" w:type="pct"/>
        <w:tblCellMar>
          <w:left w:w="0" w:type="dxa"/>
          <w:right w:w="0" w:type="dxa"/>
        </w:tblCellMar>
        <w:tblLook w:val="0000" w:firstRow="0" w:lastRow="0" w:firstColumn="0" w:lastColumn="0" w:noHBand="0" w:noVBand="0"/>
      </w:tblPr>
      <w:tblGrid>
        <w:gridCol w:w="2167"/>
        <w:gridCol w:w="650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类基金份额场内赎回费率</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销售服务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（七）申购和赎回的数额和价格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场外申购份额计算结果按四舍五入方法，保留到小数点后2位，由此产生的收益或损失由基金财产承担，场内申购的基金份额的计算结果采用截位的方式，保留到整数位，剩余部分折回金额返还至投资人资金账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本基金A类基金份额的场外申购和场内申购均采用金额申购的方式，申购份额的计算方式如下：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例一：某投资者（非养老金客户）投资50,000元场外申购本基金A类基金份额，假设申购当日本基金A类基金份额的基金份额净值为1.0400元，申购费率为1.2%，则其可得到的申购份额为：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申购总金额＝50,000元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净申购金额=50,000/（1+1.2%）=49,407.11元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申购费用=50,000-49,407.11=592.89元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申购份额=（50,000-592.89）/1.0400=47,506.84份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即：某投资者（非养老金客户）投资50,000元场外申购本基金A类基金份额，</w:t>
      </w:r>
      <w:r>
        <w:rPr>
          <w:rFonts w:ascii="宋体" w:hAnsi="宋体"/>
          <w:sz w:val="24"/>
        </w:rPr>
        <w:lastRenderedPageBreak/>
        <w:t>假设申购当日A类基金份额净值为1.0400元，则其可得到47,506.84份A类基金份额。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如果该投资者是场内申购，则申购A类基金份额为47,506份，其余0.84份对应金额返回给投资者。退款金额具体计算如下：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实际净申购金额=47,506×1.0400=49,406.24元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对应返还申购金额=50,000-49,406.24-592.89=0.87元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例二：某养老金客户投资50,000元通过基金管理人的直销柜台申购本基金A类基金份额，假设申购当日A类基金份额净值为1.0400元，申购费率为0.24%，则其可得到的申购份额为：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申购总金额＝50,000元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净申购金额=50,000/（1+0.24%）=49,880.29元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申购费用=50,000-49,880.29=119.71元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申购份额=（50,000-119.71）/1.0400=47,961.82份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即：该养老金客户投资50,000元通过基金管理人的直销柜台申购本基金A类基金份额，假设申购当日A类基金份额净值为1.0400元，则其可得到47,961.82份A类基金份额。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赎回和场内赎回均采用份额赎回的方式，赎回金额为按实际确认的A类基金份额或C类基金份额有效赎回份额乘以当日该类基金份额的基金份额净值并扣除相应的费用（如有），赎回金额单位为元，计算结果保留到小数点后两位，第三位四舍五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（1）A类基金份额的赎回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例四：某投资者在场外赎回持有的50,000份A类基金份额，持有期限为1.5年，对应的赎回费率为0.2%，假设赎回当日A类基金份额净值是1.0160元，则其可得到的赎回金额为：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50,000×1.0160×0.2%＝101.60元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50,000×1.0160-101.60＝50,698.40元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即：投资者在场外赎回50,000份本基金A类基金份额，对应的赎回费率为0.2%，假设赎回当日A类基金份额净值是1.0160元，则其可得到的赎回金额为50,698.40元。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例五：某投资者在场内赎回持有的50,000份本基金A类基金份额，持有期限为1.5年，对应的赎回费率固定值为0.5%，假设赎回当日A类基金份额净值是1.0160元，则其可得到的赎回金额为：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50,000×1.0160×0.5%＝254.00元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50,000×1.0160-254.00＝50,546.00元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即：投资者在场内赎回50,000份本基金A类基金份额，对应的赎回费率为0.5%，假设赎回当日A类基金份额净值是1.0160元，则其可得到的赎回金额为50,546.00元。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例六：某投资者赎回100,000份C类基金份额，持有期限为20日，对应的赎回费率为0，假设赎回当日C类基金份额净值是1.0160元，则其可得到的赎回金额为：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赎回金额=100,000×1.0160-0＝101,600.00元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即：投资者赎回100,000份C类基金份额，持有期限为20日，对应的赎回费率为0，假设赎回当日C类基金份额净值是1.0160元，则其可得到的赎回金额为</w:t>
      </w:r>
      <w:r>
        <w:rPr>
          <w:rFonts w:ascii="宋体" w:hAnsi="宋体"/>
          <w:sz w:val="24"/>
        </w:rPr>
        <w:lastRenderedPageBreak/>
        <w:t>101,600.00元。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T+1日收市后计算，并在T＋2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3、基金投资或交易所处的主要市场或外汇市场休市或交易时间非正常停市，可能影响本基金的投资或本基金正常估值时。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4、基金管理人接受某笔或某些申购申请会损害现有基金份额持有人利益时。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5、因基金收益分配、或基金投资组合内某个或某些证券进行权益分派等原因，使基金管理人认为短期内继续接受申购可能会影响或损害现有基金份额持有人利益的。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6、基金资产规模过大，使基金管理人无法找到合适的投资品种，或其他可能对基金业绩产生负面影响，或出现其他损害现有基金份额持有人利益的情形。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7、本基金的资产组合中的重要部分发生暂停交易或其他重大事件，继续接受申购可能会影响或损害其他基金份额持有人利益时。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8、基金管理人、基金托管人、基金销售机构、基金销售支付结算机构或登记机构的异常情况导致基金销售系统、基金销售支付结算机构、基金注册登记系统或基金会计系统无法正常运行。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9、基金资产规模或者份额数量达到了基金管理人规定的上限（基金管理人可根据外管局的审批及市场情况进行调整）。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10、指数编制单位或指数发布机构因异常情况使指数数据无法正常计算、计算错误或发布异常时。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遇基金所投资的主要市场暂停交易致使本基金资产净值10%以上的资产无法交易或估值（资产净值比例以本基金在决定暂停申购或赎回前一个估值日的投资组合为基础计算），本基金亦将决定是否暂停申购或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12、当前一估值日基金资产净值50%以上的资产出现无可参考的活跃市场价格且采用估值技术仍导致公允价值存在重大不确定性时，经与基金托管人协商确认后，基金管理人应当暂停接受基金申购申请。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13、基金管理人接受某笔或者某些申购申请有可能导致单一投资者持有基金份额的比例超过50%，或者变相规避50%集中度的情形。出现上述情形时，基金管理人有权将上述申购申请全部或部分确认失败。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14、法律法规规定、中国证监会认定或基金合同约定的其他情形。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8、9、10、11、12、14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3、基金投资或交易所处的主要市场或外汇市场休市或交易时间非正常停市，可能影响本基金的投资或本基金正常估值时。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4、本基金的资产组合中的重要部分发生暂停交易或其他重大事件，继续接受赎回可能会影响或损害其他基金份额持有人利益时。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5、连续两个或两个以上开放日发生巨额赎回。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w:t>
      </w:r>
      <w:r>
        <w:rPr>
          <w:rFonts w:ascii="宋体" w:hAnsi="宋体"/>
          <w:sz w:val="24"/>
        </w:rPr>
        <w:lastRenderedPageBreak/>
        <w:t>基金会计系统无法正常运行。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7、出现继续接受赎回申请将损害现有基金份额持有人利益的情形时，可暂停接受投资人的赎回申请。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8、指数编制单位或指数发布机构因异常情况使指数数据无法正常计算、计算错误或发布异常时。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10、法律法规规定、中国证监会认定或基金合同约定的其他情形。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若出现上述第5项所述情形，按基金合同的相关条款处理。基金份额持有人在申请场外赎回时可事先选择将当日可能未获受理部分予以撤销。对于场内赎回部分，按照深圳证券交易所及中国证券登记结算有限责任公司的有关规定办理。在暂停赎回的情况消除时，基金管理人应及时恢复赎回业务的办理并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w:t>
      </w:r>
      <w:r>
        <w:rPr>
          <w:rFonts w:ascii="宋体" w:hAnsi="宋体"/>
          <w:sz w:val="24"/>
        </w:rPr>
        <w:lastRenderedPageBreak/>
        <w:t>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巨额赎回业务的场内处理，按照深圳证券交易所及中国证券登记结算有限责任公司的有关规定办理。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（十三）基金份额的转让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（十四）基金的非交易过户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（十五）基金的转托管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基金份额持有人可办理已持有基金份额在不同销售机构之间的转托管，基金销售机构可以按照规定的标准收取转托管费。基金份额的转托管包括系统内转托管和跨系统转托管。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1、基金份额的登记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份额采用分系统登记的原则。场外认购、申购的基金份额，登记在注册登记系统中基金份额持有人的开放式基金账户下；场内认购、申购的基金份额，以及上市交易的基金份额，登记在证券登记结算系统基金份额持有人深圳证券账户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（2）登记在证券登记结算系统中的基金份额，可以在深圳证券交易所上市交易，也可以直接申请场内赎回，或经跨系统转托管至注册登记系统后申请场外赎</w:t>
      </w:r>
      <w:r>
        <w:rPr>
          <w:rFonts w:ascii="宋体" w:hAnsi="宋体"/>
          <w:sz w:val="24"/>
        </w:rPr>
        <w:lastRenderedPageBreak/>
        <w:t>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（3）登记在注册登记系统中的A类基金份额，既可以直接申请场外赎回，也可经跨系统转托管至证券登记结算系统后，在深圳证券交易所上市交易。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2、系统内转托管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（1）系统内转托管是指基金份额持有人将持有的基金份额在注册登记系统内不同销售机构（网点）之间，或在证券登记结算系统内不同会员单位（交易单元）之间进行转登记的行为。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（2）基金份额登记在注册登记系统的基金份额持有人在变更办理基金份额场外赎回业务的销售机构（网点）时，需办理已持有基金份额的系统内转托管。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（3）基金份额登记在证券登记结算系统的基金份额持有人在变更办理基金份额场内赎回的会员单位（交易单元）时，需办理已持有基金份额的系统内转托管。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3、跨系统转托管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（1）跨系统转托管是指基金份额持有人将持有的A类基金份额在注册登记系统和证券登记结算系统之间进行转登记的行为。除经基金管理人另行公告，C类基金份额不能进行跨系统转托管。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（2）本基金跨系统转托管的具体业务按照中国证券登记结算有限责任公司及深圳证券交易所的相关规定办理。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（十六）定期定额投资计划</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2021年8月7日刊登公告自2021年8月9日起开通定期定额投资计划业务，本基金2023年6月8日刊登公告自2023年6月12日起增设C类基金份额并开通C类基金份额的定期定额投资计划业务，具体开通销售机构名单和业务规则参见相关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（十七）基金份额的冻结和解冻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（十八）多币种的申购、赎回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在相关法律法规允许、相应技术条件成熟及与基金托管人达成一致的情况下，可以开通多币种（包括但不限于美元、港币）的申购、赎回业务，不同币种的申购、赎回价格以受理申请当日的对应币种折算净值为基准计算。多币种的申购、赎回业务细则以基金管理人的相关公告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4" w:name="_Toc227915019"/>
      <w:r>
        <w:rPr>
          <w:rFonts w:ascii="Times New Roman" w:hAnsi="Times New Roman"/>
          <w:sz w:val="30"/>
        </w:rPr>
        <w:t>十一、基金的费用与税收</w:t>
      </w:r>
      <w:bookmarkEnd w:id="14"/>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2、基金托管人的托管费（含境外托管人收取的费用）；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3、本基金从C类基金份额的基金财产中计提的销售服务费；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4、基金上市初费及上市年费；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5、《基金合同》生效后与基金相关的信息披露费用；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6、《基金合同》生效后与基金相关的会计师费、律师费和诉讼费；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7、基金份额持有人大会费用；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8、基金的证券交易费用及在境外市场的交易、清算、登记等实际发生的费用（out-of-pocket fees）；</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9、基金的银行汇划费用和外汇兑换交易相关费用；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10、基金的开户费用、账户维护费用；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11、与基金缴纳税款有关的手续费、汇款费及代理费；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12、因基金利益更换境外托管人而进行的资产转移所产生的费用；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13、为应付赎回和交易清算而进行临时借款所发生的费用；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14、代表基金投票或其他与基金投资活动有关的费用；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15、按照国家有关规定和《基金合同》约定，可以在基金财产中列支的其他费用。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本基金的管理费按前一日基金资产净值的1.20%年费率计提。管理费的计算方法如下：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H＝E×1.20%÷当年天数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基金管理费每日计算，逐日累计至每月月末，按月支付，由基金管理人向基金托管人发送基金管理费划款指令，基金托管人复核后于次月前3个工作日内从基金</w:t>
      </w:r>
      <w:r>
        <w:rPr>
          <w:rFonts w:ascii="宋体" w:hAnsi="宋体"/>
          <w:sz w:val="24"/>
        </w:rPr>
        <w:lastRenderedPageBreak/>
        <w:t>财产中一次性支付给基金管理人。若遇法定节假日、公休假或不可抗力致使无法按时支付的，支付日期顺延。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本基金的托管费按前一日基金资产净值的0.25%的年费率计提。托管费的计算方法如下：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H＝E×0.25%÷当年天数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逐日累计至每月月末，按月支付，由基金管理人向基金托管人发送基金托管费划款指令，基金托管人复核后于次月前3个工作日内从基金财产中一次性支取。若遇法定节假日、公休日或不可抗力致使无法按时支付的，支付日期顺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5个工作日内从基金资产中一次性支付给基金管理人，由基金管理人代付给销售机构。若遇法定节假日、休息日或不可抗力致使无法按时支付的，顺延至最近可支付日支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4、上述“（一）基金费用的种类”中第4－15项费用，根据有关法规及相应协议规定，按费用实际支出金额列入当期费用，由基金托管人从基金财产中支付。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2、基金管理人和基金托管人处理与基金运作无关的事项发生的费用；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4、标的指数许可使用费。标的指数许可使用费由基金管理人承担，不得从基金财产中列支；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5、其他根据相关法律法规及中国证监会的有关规定不得列入基金费用的项目。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基金管理人和基金托管人可根据基金发展情况调整基金管理费率、基金托管费率、销售服务费率等相关费率。降低基金管理费率、基金托管费率、销售服务费率，无须召开基金份额持有人大会。基金管理人必须依照有关规定于新的费率实施日前在指定媒介上刊登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本基金运作过程中涉及的各纳税主体，其纳税义务按国家税收法律、法规和境外市场的规定执行。</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5" w:name="_Toc227915020"/>
      <w:r>
        <w:rPr>
          <w:rFonts w:ascii="Times New Roman" w:hAnsi="Times New Roman"/>
          <w:sz w:val="30"/>
        </w:rPr>
        <w:t>十二、基金的财产</w:t>
      </w:r>
      <w:bookmarkEnd w:id="15"/>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境外托管人根据基金财产所在地法律法规、证券交易所规则、市场惯例以及其与基金托管人签订的次托管协议为本基金在境外开立资金账户、证券账户以及投资所需的其他专用账户。开立的基金专用账户与基金管理人、基金托管人、境外托管人、基金销售机构和基金登记机构自有的财产账户以及其他基金财产账户相独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境外托管人和基金销售机构的财产，并由基金托管人保管。基金管理人、基金托管人、境外托管人、基金登记机构和基金销售机构以其自有的财产承担其自身的法律责任，其债权人不得对本基金财产行使请求冻结、扣押或其他权利。除依法律法规和《基金合同》的规定处分外，基金财产不得被处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境外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6" w:name="_Toc227915021"/>
      <w:r>
        <w:rPr>
          <w:rFonts w:ascii="Times New Roman" w:hAnsi="Times New Roman"/>
          <w:sz w:val="30"/>
        </w:rPr>
        <w:t>十三、基金资产的估值</w:t>
      </w:r>
      <w:bookmarkEnd w:id="16"/>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本基金的估值日为基金合同生效后的每个开放日以及国家法律法规规定需要对外披露基金净值的非开放日。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基金所拥有的股票、权证、债券和银行存款本息、应收款项、其它投资等资产及负债。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实行净价交易的债券按估值日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（1）送股、转增股、配股和公开增发的新股，按估值日在证券交易所挂牌的同一股票的估值方法估值；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持有股票而享有的配股权证，从配股除权日起到配股确认日止，若配股权证可以在交易所交易，则按照“1、证券交易所上市的有价证券的估值”中确定的方法进行估值；不能在交易所交易的配股权证，如果收盘价高于配股价，则按收盘价和配股价的差额进行估值，如果收盘价低于或等于配股价，则估值为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非上市证券，采用公允价值进行估值，具体可参照主要做市商或其他权威价格提供机构的报价进行估值；若价格无法通过公开信息取得，参照最近一个交易日可取得的主要做市商或其他权威价格提供机构的报价进行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开放式基金的估值以其在估值日公布的净值进行估值，开放式基金未公布估值日的净值的，以估值日前最新的净值进行估值。若基金价格无法通过公开信息取得，参照最近一个交易日可取得的主要做市商或其他权威价格提供机构的报价进行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6、衍生品估值方法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（1）上市流通衍生品按估值日其所在证券交易所的收盘价估值；估值日无交易的，以最近交易日的收盘价估值。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衍生品按成本价估值，如成本价不能反映公允价值，则采用估值技术确定公允价值；若衍生品价格无法通过公开信息取得，由基金管理人负责从其经纪商处取得，并通过书面方式及时告知基金托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（3）衍生品的估值，可以参照国际会计准则进行。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7、存托凭证估值方法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公开挂牌的存托凭证按其所在证券交易所的最近交易日的收盘价估值。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8、非流动性资产或暂停交易的证券估值方法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对于未上市流通、或流通受限、或暂停交易的证券，应参照上述估值原则进行估值。如果上述估值方法不能客观反映公允价值的，基金管理人可根据具体情况，</w:t>
      </w:r>
      <w:r>
        <w:rPr>
          <w:rFonts w:ascii="宋体" w:hAnsi="宋体"/>
          <w:sz w:val="24"/>
        </w:rPr>
        <w:lastRenderedPageBreak/>
        <w:t>并与基金托管人商定后，按最能反映公允价值的价格估值。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9、外汇汇率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外币资产价值计算中，所涉及人民币对美元的汇率应当以基金估值日中国人民银行或其授权机构公布的人民币汇率为准。涉及到其它币种与人民币之间的汇率，采用估值日国际市场主要信息披露机构提供的其它币种对美元的汇率套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10、税收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会计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11、同一债券同时在两个或两个以上市场交易的，按债券所处的市场分别估值。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12、如有确凿证据表明按上述方法进行估值不能客观反映其公允价值的，基金管理人可根据具体情况与基金托管人商定后，按最能反映公允价值的价格估值。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13、相关法律法规以及监管部门有强制规定的，从其规定。如有新增事项，按法律法规以及监管部门最新规定估值。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1、各类基金份额的基金份额净值是按照计算日该类基金份额的基金资产净值除以计算日该类基金份额的余额数量计算，精确到0.0001元，小数点后第五位四舍五入。国家另有规定的，从其规定。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基金管理人于每个工作日计算前一工作日各类基金份额的基金资产净值及基金份额净值，并按规定公告。如遇特殊情况，经中国证监会同意，可以适当延迟计算或公告。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w:t>
      </w:r>
      <w:r>
        <w:rPr>
          <w:rFonts w:ascii="宋体" w:hAnsi="宋体"/>
          <w:sz w:val="24"/>
        </w:rPr>
        <w:lastRenderedPageBreak/>
        <w:t>给受损方，则受损方应当将其已经获得的赔偿额加上已经获得的不当得利返还的总和超过其实际损失的差额部分支付给估值错误责任方。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1、基金投资或交易所涉及的主要证券交易市场或外汇市场遇法定节假日或因其他原因暂停营业时；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用于基金信息披露的各类基金份额的基金资产净值和基金份额净值由基金管理人负责计算，基金托管人负责进行复核。基金管理人应于每个开放日交易结束后计算前一工作日各类基金份额的基金资产净值和基金份额净值并发送给基金托管人。基金托管人对净值计算结果复核确认后发送给基金管理人，由基金管理人依据基金合同和相关法律法规的规定对基金净值予以公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1、基金管理人或基金托管人按估值方法的第12项进行估值时，所造成的误差不作为基金资产估值错误处理。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3、由于投资涉及不同市场及时区，因时差、通讯或其他非可控的客观原因，在本基金管理人和本基金托管人协商一致的时间点前无法确认的交易，导致的对基金资产净值的影响，不作为基金资产估值错误处理。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不可抗力原因，或由于证券交易所、指数编制机构、证券经纪机构、登记结算公司及其他数据服务机构发送的数据错误等原因，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7" w:name="_Toc227915022"/>
      <w:r>
        <w:rPr>
          <w:rFonts w:ascii="Times New Roman" w:hAnsi="Times New Roman"/>
          <w:sz w:val="30"/>
        </w:rPr>
        <w:t>十四、基金收益与分配</w:t>
      </w:r>
      <w:bookmarkEnd w:id="17"/>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6次，每份基金份额每次分配比例不得低于收益分配基准日每份基金份额可供分配利润的10%，若《基金合同》生效不满3个月可不进行收益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场外投资者可选择现金红利或将现金红利自动转为相应类别的基金份额进行再投资；若投资者不选择，本基金默认的收益分配方式是现金分红。基金份额持有人可对其持有的场外A类基金份额和C类基金份额分别选择不同的收益分配方式；场内基金份额收益分配方式只能为现金分红；场内基金份额具体收益分配程序等有关事项遵循深圳证券交易所及登记机构的相关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w:t>
      </w:r>
      <w:r>
        <w:rPr>
          <w:rFonts w:ascii="宋体" w:hAnsi="宋体"/>
          <w:sz w:val="24"/>
        </w:rPr>
        <w:lastRenderedPageBreak/>
        <w:t>露办法》的有关规定在指定媒介公告。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8" w:name="_Toc227915023"/>
      <w:r>
        <w:rPr>
          <w:rFonts w:ascii="Times New Roman" w:hAnsi="Times New Roman"/>
          <w:sz w:val="30"/>
        </w:rPr>
        <w:t>十五、基金的会计与审计</w:t>
      </w:r>
      <w:bookmarkEnd w:id="18"/>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9" w:name="_Toc227915024"/>
      <w:r>
        <w:rPr>
          <w:rFonts w:ascii="Times New Roman" w:hAnsi="Times New Roman"/>
          <w:sz w:val="30"/>
        </w:rPr>
        <w:t>十六、基金的信息披露</w:t>
      </w:r>
      <w:bookmarkEnd w:id="19"/>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本基金的信息披露应符合《基金法》、《运作办法》、《信息披露办法》、《流动性规定》、《基金合同》及其他有关规定。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人民币、美元等主要外汇币种计算并披露净值及相关信息。涉及币种之间转换的，应当披露汇率数据来源，并保持一致性。如果出现改变，应当予以披露并说明改变的理由。人民币对主要外汇的汇率应当以报告期末最后一个估值日中国人民银行或其授权机构公布的人民币汇率中间价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w:t>
      </w:r>
      <w:r>
        <w:rPr>
          <w:rFonts w:ascii="宋体" w:hAnsi="宋体"/>
          <w:sz w:val="24"/>
        </w:rPr>
        <w:lastRenderedPageBreak/>
        <w:t>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核准后，基金管理人在基金份额发售的3日前，将基金招募说明书、《基金合同》摘要登载在指定报刊和网站上；基金管理人、基金托管人应当将《基金合同》、基金托管协议登载在网站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基金管理人应当就基金份额发售的具体事宜编制基金份额发售公告，并在披露招募说明书的当日登载于指定报刊和网站上。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基金管理人应当在收到中国证监会确认文件的次日在指定报刊和网站上登载《基金合同》生效公告。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4、上市交易公告书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本基金获准在深圳证券交易所上市交易的，基金管理人应当在基金份额上市交易3个工作日前，将上市交易公告书登载在指定报刊和网站上。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5、基金净值信息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2个工作日内，通过指定网站、基金销售机构网站或者营业网点分别披露开放日的A类基金份额和C类基金份额所对应的基金份额净值和基金份额累计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基金管理人应当在不晚于半年度和年度最后一日后的2个工作日内，在指定网站披露半年度和年度最后一日A类基金份额和C类基金份额所对应的基金份额净值和基金份额累计净值。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6、基金份额申购、赎回价格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7、基金定期报告，包括基金年度报告、基金中期报告和基金季度报告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w:t>
      </w:r>
      <w:r>
        <w:rPr>
          <w:rFonts w:ascii="宋体" w:hAnsi="宋体"/>
          <w:sz w:val="24"/>
        </w:rPr>
        <w:lastRenderedPageBreak/>
        <w:t>份额变化情况及本基金的特有风险，中国证监会认定的特殊情形除外。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8、临时报告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（4）更换基金管理人、基金托管人、境外托管人、基金份额登记机构，基金改聘会计师事务所；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（6）基金管理人、基金托管人、境外托管人的法定名称、住所发生变更；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w:t>
      </w:r>
      <w:r>
        <w:rPr>
          <w:rFonts w:ascii="宋体" w:hAnsi="宋体"/>
          <w:sz w:val="24"/>
        </w:rPr>
        <w:lastRenderedPageBreak/>
        <w:t>或者从事其他重大关联交易事项，但中国证监会另有规定的除外；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（23）本基金停复牌、暂停上市、恢复上市或终止上市；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（24）开通多币种销售业务；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（25）基金变更标的指数；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9、澄清公告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基金上市交易的证券交易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10、基金份额持有人大会决议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11、中国证监会规定的其他信息。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w:t>
      </w:r>
      <w:r>
        <w:rPr>
          <w:rFonts w:ascii="宋体" w:hAnsi="宋体"/>
          <w:sz w:val="24"/>
        </w:rPr>
        <w:lastRenderedPageBreak/>
        <w:t>级管理人员负责管理信息披露事务。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基金管理人、基金托管人应当在指定报刊中选择一家披露信息的报刊。基金管理人、基金托管人应当向中国证监会基金电子披露网站报送拟披露的基金信息，并保证相关报送信息的真实、准确、完整、及时。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报刊和网站上披露信息外，还可以根据需要在其他公共媒介披露信息，但是其他公共媒介不得早于指定媒介和基金上市交易的证券交易所网站披露信息，并且在不同媒介上披露同一信息的内容应当一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为基金信息披露义务人公开披露的基金信息出具审计报告、法律意见书的专业机构，应当制作工作底稿，并将相关档案至少保存到《基金合同》终止后十 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依法必须披露的信息发布后，基金管理人、基金托管人应当按照相关法律法规规定将信息置备于各自住所、基金上市交易的证券交易所网站，供社会公众查阅、复制。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w:t>
      </w:r>
      <w:r w:rsidRPr="00BB248E">
        <w:rPr>
          <w:rFonts w:ascii="宋体" w:hAnsi="宋体" w:hint="eastAsia"/>
          <w:kern w:val="0"/>
          <w:sz w:val="24"/>
        </w:rPr>
        <w:t>本基金信息披露事项以法律法规规定及本章节约定的内容为准。</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0" w:name="_Toc227915025"/>
      <w:r>
        <w:rPr>
          <w:rFonts w:ascii="Times New Roman" w:hAnsi="Times New Roman"/>
          <w:sz w:val="30"/>
        </w:rPr>
        <w:t>十七、基金合同的变更、终止与基金财产的清算</w:t>
      </w:r>
      <w:bookmarkEnd w:id="20"/>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2、关于《基金合同》变更的基金份额持有人大会决议自生效后方可执行，并自决议生效后2日内在指定媒介公告。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w:t>
      </w:r>
      <w:r>
        <w:rPr>
          <w:rFonts w:ascii="宋体" w:hAnsi="宋体"/>
          <w:sz w:val="24"/>
        </w:rPr>
        <w:lastRenderedPageBreak/>
        <w:t>估价、变现和分配。基金财产清算小组可以依法进行必要的民事活动。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1" w:name="_Toc227915026"/>
      <w:r>
        <w:rPr>
          <w:rFonts w:ascii="Times New Roman" w:hAnsi="Times New Roman"/>
          <w:sz w:val="30"/>
        </w:rPr>
        <w:t>十八、基金托管人</w:t>
      </w:r>
      <w:bookmarkEnd w:id="21"/>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w:t>
      </w:r>
      <w:r>
        <w:rPr>
          <w:rFonts w:ascii="宋体" w:hAnsi="宋体"/>
          <w:sz w:val="24"/>
        </w:rPr>
        <w:lastRenderedPageBreak/>
        <w:t>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w:t>
      </w:r>
      <w:r>
        <w:rPr>
          <w:rFonts w:ascii="宋体" w:hAnsi="宋体"/>
          <w:sz w:val="24"/>
        </w:rPr>
        <w:lastRenderedPageBreak/>
        <w:t>守法经营、规范运作、严格监察，确保业务的稳健运行，保证基金财产的安全完整，确保有关信息的真实、准确、完整、及时，保护基金份额持有人的合法权益。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2" w:name="_Toc227915027"/>
      <w:r>
        <w:rPr>
          <w:rFonts w:ascii="Times New Roman" w:hAnsi="Times New Roman"/>
          <w:sz w:val="30"/>
        </w:rPr>
        <w:t>十九、境外托管人</w:t>
      </w:r>
      <w:bookmarkEnd w:id="22"/>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（一）境外托管人基本情况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名称：摩根大通银行（JPMorgan Chase Bank, National Association）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注册地址：1111 Polaris Parkway, Columbus, Ohio 43240, U.S.A.</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办公地址：383 Madison Avenue, New York, NY 10179-0001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法定代表人：James Dimon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成立时间：1799年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总资产（截止2023年12月31日）：3.88万亿美元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实收资本（截止2023年12月31日）：1,214亿美元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托管资产规模（截止2023年12月31日）：32.4万亿美元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信用等级：穆迪评级Aa2（高级信用债券）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全球领先的金融服务公司，摩根大通拥有3.88万亿美元资产，在超过60个国家经营。在投资银行业务、消费者金融服务、小企业和商业银行业务、金融交易处理、资产管理和私募股权投资基金等方面，摩根大通均为业界领导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摩根大通自1946年开始为其美国客户提供托管服务。之后为响应客户投资海外的要求，该公司在1974年率先开展了一种综合性的服务–全球托管。此后，摩根大通继续扩展服务，以满足不断变化的客户需要。通过提供优质服务和创新的产品，摩根大通始终保持其领先地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作为全球托管行业的领先者，摩根大通托管资产达32.4万亿美元（截至2023年12月31日），为全世界最大的机构投资者提供创新的托管、基金会计和服务以及证券服务。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摩根大通是一家真正的全球机构，在超过60个国家有实体运作。与很多竞争对手不同之处在于，摩根大通还可为客户提供市场领先的投资银行服务，包括外汇交易、全球期货与期权清算、股权及股权挂钩产品以及固定收益投资的交易与研究。同时，在资产负债表内和表外的现金和流动性方面，我们也有很强的解决方案能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此外，摩根大通还是亚太地区全球托管的先行者之一，其历史可以追溯到1974年，在亚太地区15个国家/地区均有客户：日本、澳大利亚、文莱、中国大陆、中</w:t>
      </w:r>
      <w:r>
        <w:rPr>
          <w:rFonts w:ascii="宋体" w:hAnsi="宋体"/>
          <w:sz w:val="24"/>
        </w:rPr>
        <w:lastRenderedPageBreak/>
        <w:t>国香港、印度、马来西亚、新西兰、新加坡、韩国、中国台湾、菲律宾、泰国、东帝汶和越南。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（二）境外托管人的职责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1、安全保管基金的境外资产，及时办理清算、交割事宜。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2、准时将公司行为信息通知基金管理人和/或基金托管人，确保基金及时收取所有应得收入。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3、其他由基金托管人委托其履行的职责。</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3" w:name="_Toc227915028"/>
      <w:r>
        <w:rPr>
          <w:rFonts w:ascii="Times New Roman" w:hAnsi="Times New Roman"/>
          <w:sz w:val="30"/>
        </w:rPr>
        <w:t>二十、相关服务机构</w:t>
      </w:r>
      <w:bookmarkEnd w:id="23"/>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w:t>
      </w:r>
      <w:r w:rsidR="000743DC">
        <w:rPr>
          <w:rFonts w:ascii="宋体" w:hAnsi="宋体" w:hint="eastAsia"/>
          <w:sz w:val="24"/>
        </w:rPr>
        <w:t>袁庆伟（代任）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（2）名称：厦门银行股份有限公司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（3）名称：中国农业银行股份有限公司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（4）名称：东莞农村商业银行股份有限公司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网址：www.cmbchina.com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（6）名称：东吴证券股份有限公司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（7）名称：平安银行股份有限公司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（8）名称：中国邮政储蓄银行股份有限公司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（9）名称：交通银行股份有限公司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电话：（021）58781234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（11）名称：宁波银行股份有限公司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（12）名称：光大证券股份有限公司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网址：www.ebscn.com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（13）名称：五矿证券有限公司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公司客服电话：400180028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（14）名称：财通证券股份有限公司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（15）名称：兴业证券股份有限公司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（16）名称：长城国瑞证券有限公司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传真：0592-5162590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（17）名称：长江证券股份有限公司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（18）名称：西南证券股份有限公司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（19）名称：信达证券股份有限公司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网址：www.cindasc.com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（20）名称：长城证券有限责任公司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（21）名称：中国国际金融股份有限公司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（22）名称：中泰证券股份有限公司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（23）名称：申万宏源西部证券有限公司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电话：（010）88085858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（24）名称：中国银河证券股份有限公司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（25）名称：申万宏源证券有限公司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（26）名称：国都证券股份有限公司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（27）名称：平安证券股份有限公司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法定代表人：杨宇翔</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（28）名称：华龙证券股份有限公司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（29）名称：方正证券股份有限公司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（30）名称：西部证券股份有限公司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（31）名称：国信证券股份有限公司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（32）名称：山西证券股份有限公司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（33）名称：第一创业证券股份有限公司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（34）名称：国金证券股份有限公司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办公地址：成都市东城根上街95号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（35）名称：东方财富证券股份有限公司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（36）名称：招商证券股份有限公司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（37）名称：国新证券股份有限公司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传真：（010）58568062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（38）名称：国联民生证券股份有限公司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（39）名称：中信建投证券股份有限公司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（40）名称：国元证券股份有限公司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（41）名称：华西证券股份有限公司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住所：四川省成都市高新区天府二街198号华西证券大厦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（42）名称：国投证券股份有限公司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（43）名称：浙商证券股份有限公司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（44）名称：东莞证券股份有限公司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（45）名称：华福证券股份有限公司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（46）名称：华泰证券股份有限公司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（47）名称：华宝证券股份有限公司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（48）名称：中信证券（山东）有限责任公司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住所：青岛市崂山区深圳路222号1号楼2001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（49）名称：中信证券股份有限公司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（50）名称：中信证券华南股份有限公司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（51）名称：国泰海通证券股份有限公司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联系人：邵亚杰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（52）名称：海通证券股份有限公司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（53）名称：广发证券股份有限公司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（54）名称：中航证券有限公司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（55）名称：中国中金财富证券有限公司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（56）名称：北京广源达信基金销售有限公司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（57）名称：天相投资顾问有限公司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（58）名称：深圳市新兰德证券投资咨询有限公司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法定代表人：陈操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（59）名称：济安财富（北京）基金销售有限公司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（60）名称：大连网金基金销售有限公司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（61）名称：阳光人寿保险股份有限公司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联系人：王超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（62）名称：玄元保险代理有限公司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（63）名称：京东肯特瑞基金销售有限公司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（64）名称：上海大智慧基金销售有限公司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（65）名称：和耕传承基金销售有限公司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（66）名称：腾安基金销售（深圳）有限公司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（67）名称：珠海盈米基金销售有限公司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（68）名称：上海华夏财富投资管理有限公司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北京市西城区金融大街33号通泰大厦B座8层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（69）名称：北京度小满基金销售有限公司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（70）名称：南京苏宁基金销售有限公司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（71）名称：嘉实财富管理有限公司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 010-85097302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（72）名称：北京汇成基金销售有限公司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（73）名称：上海利得基金销售有限公司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（74）名称：北京虹点基金销售有限公司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网址：www.hongdianfund.com/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（75）名称：上海挖财基金销售有限公司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（76）名称：万家财富基金销售（天津）有限公司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（77）名称：上海万得基金销售有限公司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（78）名称：格上富信投资顾问有限公司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住所：北京市朝阳区东三环北路19号楼701内09室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（79）名称：深圳市金斧子基金销售有限公司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（80）名称：北京雪球基金销售有限公司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（81）名称：北京新浪仓石基金销售有限公司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w:t>
      </w:r>
      <w:r>
        <w:rPr>
          <w:rFonts w:ascii="宋体" w:hAnsi="宋体"/>
          <w:sz w:val="24"/>
        </w:rPr>
        <w:lastRenderedPageBreak/>
        <w:t>新浪总部科研楼5层518室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（82）名称：中证金牛（北京）基金销售有限公司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（83）名称：上海证达通基金销售有限公司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（84）名称：北京创金启富基金销售有限公司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魏素清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（85）名称：奕丰基金销售有限公司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（86）名称：上海天天基金销售有限公司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（87）名称：和讯信息科技有限公司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网址：http://licaike.hexun.com/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（88）名称：诺亚正行基金销售有限公司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（89）名称：上海好买基金销售有限公司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（90）名称：上海长量基金销售有限公司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（91）名称：深圳众禄基金销售股份有限公司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法定代表人：薛峰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（92）名称：上海基煜基金销售有限公司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（93）名称：浙江同花顺基金销售有限公司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（94）名称：宜信普泽（北京）基金销售有限公司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（95）名称：上海联泰基金销售有限公司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（96）名称：泛华普益基金销售有限公司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（97）名称：北京展恒基金销售股份有限公司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网址：www.myfund.com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（98）名称：博时财富基金销售有限公司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（99）名称：上海中欧财富基金销售有限公司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（100）名称：深圳前海微众银行股份有限公司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（101）名称：上海陆金所基金销售有限公司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住所：上海市浦东新区陆家嘴环路1333号14楼09单元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（102）名称：中信期货有限公司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（103）名称：中国人寿保险股份有限公司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（104）名称：蚂蚁（杭州）基金销售有限公司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传真：（0571）26698533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（105）名称：海南有知有行基金销售有限公司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注册地址：海南省海口市龙华区中海国际中心-1705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办公地址：海南省海口市龙华区中海国际中心-1705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法定代表人：孟岩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联系电话：0898-36313308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联系人：陈善枫</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:0898-36313308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网址：https://youzhiyouxing.com/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（四）审计基金财产的会计师事务所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4" w:name="_Toc227915029"/>
      <w:r>
        <w:rPr>
          <w:rFonts w:ascii="Times New Roman" w:hAnsi="Times New Roman"/>
          <w:sz w:val="30"/>
        </w:rPr>
        <w:t>二十一、基金合同内容摘要</w:t>
      </w:r>
      <w:bookmarkEnd w:id="24"/>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16）在符合有关法律、法规的前提下，制定和调整有关基金认购、申购、赎回、转换、上市交易和非交易过户等业务规则；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5）委托境外证券服务机构代理买卖证券的，应当严格履行受信责任，并按照有关规定对投资交易的流程、信息披露、记录保存进行管理；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6）与境外证券服务机构之间的证券交易和研究服务安排，应当严符合相关法律法规的规定；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7）进行境外证券投资，应当遵守当地监管机构、交易场所的有关法律法规规定；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8）建立健全内部风险控制、监察与稽核、财务管理及人事管理等制度，保证所管理的基金财产和基金管理人的财产相互独立，对所管理的不同基金分别管理，分别记账，进行证券投资；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9）除依据《基金法》、《基金合同》及其他有关规定外，不得利用基金财产为自己及任何第三人谋取利益，不得委托第三人运作基金财产；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10）依法接受基金托管人的监督；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11）采取适当合理的措施使计算基金份额认购、申购、赎回和注销价格的方法符合《基金合同》等法律文件的规定，按有关规定计算并公告基金净值信息，确定基金份额申购、赎回的价格；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12）进行基金会计核算并编制基金财务会计报告；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13）编制季度报告、中期报告和年度报告；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14）严格按照《基金法》、《基金合同》及其他有关规定，履行信息披露及报告</w:t>
      </w:r>
      <w:r>
        <w:rPr>
          <w:rFonts w:ascii="宋体" w:hAnsi="宋体"/>
          <w:sz w:val="24"/>
        </w:rPr>
        <w:lastRenderedPageBreak/>
        <w:t>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15）保守基金商业秘密，不泄露基金投资计划、投资意向等。除《基金法》、《基金合同》及其他有关规定另有规定外，在基金信息公开披露前应予保密，不向他人泄露；</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16）按《基金合同》的约定确定基金收益分配方案，及时向基金份额持有人分配基金收益；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17）按规定受理申购与赎回申请，及时、足额支付赎回款项；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18）依据《基金法》、《基金合同》及其他有关规定召集基金份额持有人大会或配合基金托管人、基金份额持有人依法召集基金份额持有人大会；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19）按规定保存基金财产管理业务活动的会计账册、报表、记录和其他相关资料15年以上；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21）组织并参加基金财产清算小组，参与基金财产的保管、清理、估价、变现和分配；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22）面临解散、依法被撤销或者被依法宣告破产时，及时报告中国证监会并通知基金托管人；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23）因违反《基金合同》导致基金财产的损失或损害基金份额持有人合法权益时，应当承担赔偿责任，其赔偿责任不因其退任而免除；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24）监督基金托管人按法律法规和《基金合同》规定履行自己的义务，基金托管人违反《基金合同》造成基金财产损失时，基金管理人应为基金份额持有人利益向基金托管人追偿；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25）当基金管理人将其义务委托第三方处理时，应当对第三方处理有关基金事务的行为承担责任；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26）以基金管理人名义，代表基金份额持有人利益行使诉讼权利或实施其他法律行为；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28）执行生效的基金份额持有人大会的决议；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29）建立并保存基金份额持有人名册；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30）法律法规及中国证监会、外管局规定的和《基金合同》约定的其他义务。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4）选择、更换或撤销境外托管人；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5）根据相关市场规则，为基金开设资金账户、证券账户等投资所需账户、为基金办理证券交易资金清算；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6）提议召开或召集基金份额持有人大会；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7）在基金管理人更换时，提名新的基金管理人；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8）法律法规及中国证监会规定的和《基金合同》约定的其他权利。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5）确保基金按照有关法律法规、基金合同约定的投资目标和限制进行管理；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6）保管由基金管理人代表基金签订的与基金有关的重大合同及有关凭证；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7）按规定开设基金财产的资金账户和证券账户等投资所需账户，按照《基金合同》的约定，根据基金管理人的投资指令，及时办理清算、交割事宜；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8）保守基金商业秘密，除《基金法》、《基金合同》及其他有关规定另有规定外，在基金信息公开披露前予以保密，不得向他人泄露；</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9）确保基金份额净值按照有关法律法规、基金合同规定的方法进行计算；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10）确保基金按照有关法律法规、基金合同的规定进行申购、认购、赎回等日常交易；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11）复核、审查基金管理人计算的基金资产净值、各类基金份额净值、基金份额申购、赎回价格；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12）确保基金根据有关法律法规、基金合同确定并实施收益分配方案；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13）按照有关法律法规、基金合同的规定以受托人名义或其指定的代理人名义登记资产；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14）办理与基金托管业务活动有关的信息披露事项；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16）保存本基金的资金汇出、汇入、兑换、收汇、付汇、资金往来、委托及成交记录等相关资料，其保存的时间应当不少于20年；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17）保存基金托管业务活动的记录、账册、报表和其他相关资料15年以上；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18）建立并保存基金份额持有人名册；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19）按规定制作相关账册并与基金管理人核对；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20）依据基金管理人的指令或有关规定向基金份额持有人支付基金收益和赎回款项；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21）依据《基金法》、《基金合同》及其他有关规定，召集基金份额持有人大会或配合基金管理人、基金份额持有人依法召集基金份额持有人大会；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22）按照法律法规和《基金合同》的规定监督基金管理人的投资运作；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23）参加基金财产清算小组，参与基金财产的保管、清理、估价、变现和分</w:t>
      </w:r>
      <w:r>
        <w:rPr>
          <w:rFonts w:ascii="宋体" w:hAnsi="宋体"/>
          <w:sz w:val="24"/>
        </w:rPr>
        <w:lastRenderedPageBreak/>
        <w:t>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24）面临解散、依法被撤销或者被依法宣告破产时，及时报告中国证监会和银行业监督管理机构，并通知基金管理人；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25）因违反《基金合同》导致基金财产损失时，应承担赔偿责任，其赔偿责任不因其退任而免除；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26）按规定监督基金管理人按法律法规和《基金合同》规定履行自己的义务，基金管理人因违反《基金合同》造成基金财产损失时，应为基金份额持有人利益向基金管理人追偿；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27）执行生效的基金份额持有人大会的决议；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对基金的境外财产，基金托管人可授权境外托管人代为履行其承担的职责。境外托管人依据基金财产投资地法律法规、监管要求、证券交易所规则、市场惯例以及其与基金托管人之间的次托管协议持有、保管基金财产，并履行资金清算等职责。境外托管人在履行职责过程中，因本身过错、疏忽原因而导致基金财产受损的，基金托管人承担相应责任；在决定境外托管人是否有过错、疏忽等不当行为时，应根据基金托管人与境外托管人之间的协议的适用法律及当地法律法规和市场惯例决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29）保护基金份额持有人利益，按照规定对基金日常投资行为和资金汇出入情况实施监督，如发现投资指令或资金汇出入违法、违规，应当及时向中国证监会、外管局报告；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30）安全保护基金财产，准时将公司行为信息通知基金管理人，确保基金及时收取所有应得收入；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31）按照法律法规的规定向中国证监会和外管局报告基金管理人境外投资情况，并按相关规定进行国际收支申报；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32）办理本基金的有关结汇、售汇、收汇、付汇和人民币资金结算业务；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33）法律法规及中国证监会、外管局规定的和《基金合同》约定的其他义务。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同一类别的每份基金份额具有同等的合法权益。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9）遵守基金管理人、基金托管人、深圳证券交易所、销售机构和登记机构的相关交易及业务规则；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w:t>
      </w:r>
      <w:r>
        <w:rPr>
          <w:rFonts w:ascii="宋体" w:hAnsi="宋体"/>
          <w:sz w:val="24"/>
        </w:rPr>
        <w:lastRenderedPageBreak/>
        <w:t>充，并保证其真实性；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1）终止《基金合同》，法律法规、基金合同和中国证监会另有规定的除外；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3）更换基金托管人，但因涉及本基金与其他基金合并的除外；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4）转换基金运作方式，法律法规和中国证监会另有规定的除外；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5）提高基金管理人、基金托管人的报酬标准或提高销售服务费率，但法律法规要求提高该等报酬标准或提高销售服务费率的除外；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7）本基金与其他基金的合并，法律法规、基金合同和中国证监会另有规定的除外；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8）变更基金投资目标、范围或策略，法律法规和中国证监会另有规定的除外；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9）变更基金份额持有人大会程序，法律法规、基金合同和中国证监会另有规定的除外；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11）终止基金份额上市，但因基金不再具备上市条件而被深圳证券交易所终止上市的、以及基金合同另有约定的除外；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12）单独或合计持有本基金总份额10%以上（含10%）基金份额的基金份额持有人（以基金管理人收到提议当日的基金份额计算，下同）就同一事项书面要求召开基金份额持有人大会；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13）对基金合同当事人权利和义务产生重大影响的其他事项；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14）法律法规、《基金合同》或中国证监会规定的其他应当召开基金份额持有人大会的事项。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1）调低基金管理费、基金托管费和其他应由本基金或基金份额持有人承担的</w:t>
      </w:r>
      <w:r>
        <w:rPr>
          <w:rFonts w:ascii="宋体" w:hAnsi="宋体"/>
          <w:sz w:val="24"/>
        </w:rPr>
        <w:lastRenderedPageBreak/>
        <w:t>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3）在法律法规和《基金合同》规定的范围内调整本基金的申购费率、调低赎回费率或销售服务费率、在对现有基金份额持有人利益无实质性不利影响的前提下变更或增加收费方式；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4）调整基金份额类别设置、对基金份额分类办法及规则进行调整；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5）根据基金管理人与标的指数供应商签订的相应指数使用许可协议变更标的指数许可使用费费率和计费方式；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6）在不违反法律法规规定且对现有基金份额持有人利益无实质性不利影响的情况下，增加、减少或调整基金销售币种；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7）因相应的法律法规、深圳证券交易所或登记机构的相关业务规则发生变动而应当对《基金合同》进行修改；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8）对《基金合同》的修改对基金份额持有人利益无实质性不利影响或修改不涉及《基金合同》当事人权利义务关系发生重大变化；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9）在法律法规允许的情况下基金推出新业务或服务；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10）变更标的指数对基金投资范围和投资策略无实质性影响（包括但不限于指数编制单位变更、指数更名等事项）；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11）基金管理人、登记机构、深圳证券交易所、销售机构在法律法规规定的范围内调整有关基金认购、申购、赎回、转换、非交易过户、转托管、上市交易等业务的规则；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12）本基金根据基金合同的约定进行基金合并的；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13）按照法律法规和《基金合同》规定不需召开基金份额持有人大会的以外的其他情形。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w:t>
      </w:r>
      <w:r>
        <w:rPr>
          <w:rFonts w:ascii="宋体" w:hAnsi="宋体"/>
          <w:sz w:val="24"/>
        </w:rPr>
        <w:lastRenderedPageBreak/>
        <w:t>开；基金管理人决定不召集，基金托管人仍认为有必要召开的，应当由基金托管人自行召集，并自出具书面决定之日起60日内召开并告知基金管理人，基金管理人应当配合；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1）会议召集人按《基金合同》约定公布会议通知后，在2个工作日内连续公布相关提示性公告；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基金份额持有人大会的召集人发出召集会议的通知后，对原有提案的修改应当在基金份额持有人大会召开前及时公告。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基金份额持有人大会采取记名方式进行投票表决。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w:t>
      </w:r>
      <w:r>
        <w:rPr>
          <w:rFonts w:ascii="宋体" w:hAnsi="宋体"/>
          <w:sz w:val="24"/>
        </w:rPr>
        <w:lastRenderedPageBreak/>
        <w:t>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另有规定的，凡是直接引用法律法规的部分，如将来法律法规修改导致相关内容被取消或变更的，基金管理人提前公告后，可直接对本部分内容进行修改和调整，无需召开基金份额持有人大会审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（2）关于《基金合同》变更的基金份额持有人大会决议自生效后方可执行，并自决议生效后2日内在指定媒介公告。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（5）《基金合同》约定的其他情形；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律师费由败诉方承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5" w:name="_Toc227915030"/>
      <w:r>
        <w:rPr>
          <w:rFonts w:ascii="Times New Roman" w:hAnsi="Times New Roman"/>
          <w:sz w:val="30"/>
        </w:rPr>
        <w:t>二十二、托管协议的内容摘要</w:t>
      </w:r>
      <w:bookmarkEnd w:id="25"/>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联系人：李芳菲</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联系电话：010-68121510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 算；办理票据承兑与贴现；发行金融债券；代理发行、代理兑付、承销政府债券；买卖政府债券、金融债券；从事同业拆借；买卖、代理买卖外汇；结汇、售汇；从事银</w:t>
      </w:r>
      <w:r>
        <w:rPr>
          <w:rFonts w:ascii="宋体" w:hAnsi="宋体"/>
          <w:sz w:val="24"/>
        </w:rPr>
        <w:lastRenderedPageBreak/>
        <w:t>行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 券投资托管业务；代理开放式基金业务；电话银行、手机银行、网上银行业务；金融衍生产品交易业务；经国务院银行业监督管理机构等监管部门批准的其他业务。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1、基金托管人根据有关法律法规的规定及基金合同中实际可以监控事项的约定，建立相关的技术系统，对基金管理人的投资运作进行监督。主要包括以下方面：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（1）对基金的投资范围、投资对象进行监督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具有良好流动性的金融工具，以中证海外中国互联网指数成份股、备选成份股、与中证海外中国互联网指数相关的公募基金（包括上市交易型基金）为主要投资对象；本基金还可投资全球证券市场中具有良好流动性的其他金融工具，包括已与中国证监会签署双边监管合作谅解备忘录的国家或地区证券市场挂牌交易的其它普通股、优先股等，在已与中国证监会签署双边监管合作谅解备忘录的国家或地区证券监管机构登记注册的其它公募基金，结构性投资产品，远期合约、互换及经中国证监会认可的境外交易所上市交易的权证、期权、期货等金融衍生产品，政府债券(短期政府债券除外)、公司债券、可转换债券等固定收益类证券，银行存款、短期政府债券等货币市场工具以及法律法规或中国证监会允许基金投资的其他金融工具(但须符合中国证监会相关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对中证海外中国互联网指数成份股、备选成份股、与中证海外中国互联网指数相关的公募基金（包括上市交易型基金）的投资比例不低于基金资产的90%，基金保留的现金或投资于到期日在一年以内的政府债券</w:t>
      </w:r>
      <w:r>
        <w:rPr>
          <w:rFonts w:ascii="宋体" w:hAnsi="宋体"/>
          <w:sz w:val="24"/>
        </w:rPr>
        <w:lastRenderedPageBreak/>
        <w:t>的比例合计不低于基金资产净值的5%，其中现金不包括结算备付金、存出保证金和应收申购款等。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将拟投资的股票库等各投资品种的具体范围提供给基金托管人。基金管理人可以根据实际情况的变化，对各投资品种的具体范围予以更新和调整，并通知基金托管人。基金托管人根据上述投资范围对基金的投资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（2）对基金投融资比例进行监督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1）本基金投资于中证海外中国互联网指数成份股、备选成份股、与中证海外中国互联网指数相关的公募基金（包括上市交易型基金）的比例不低于基金资产的90%。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同一家银行的存款不得超过基金资产净值的20%，其中银行应当是中资商业银行在境外设立的分行或在最近一个会计年度达到中国证监会认可的信用评级机构评级的境外银行。在基金托管账户的存款可以不受上述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与中国证监会签署双边监管合作谅解备忘录国家或地区以外的其他国家或地区证券市场挂牌交易的证券资产不得超过基金资产净值的10%，其中持有任一国家或地区市场的证券资产不得超过基金资产净值的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5）本基金持有非流动性资产市值不得超过基金资产净值的10%。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前述非流动性资产是指法律或基金合同规定的流通受限证券以及中国证监会认定的其他资产。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6）本基金持有境外基金的市值合计不得超过基金资产净值的10%，但持有货币市场基金不受此限制。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7）本基金管理人管理的全部基金持有任何一只境外基金，不得超过该境外基金总份额的20%。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8）本基金的金融衍生品全部敞口不得高于基金资产净值的100%。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9）本基金投资期货支付的初始保证金、投资期权支付或收取的期权费、投资柜台交易衍生品支付的初始费用的总额不得高于基金资产净值的10%。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10）本基金投资于远期合约、互换等柜台交易金融衍生品，应当符合以下要</w:t>
      </w:r>
      <w:r>
        <w:rPr>
          <w:rFonts w:ascii="宋体" w:hAnsi="宋体"/>
          <w:sz w:val="24"/>
        </w:rPr>
        <w:lastRenderedPageBreak/>
        <w:t>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①所有参与交易的对手方（中资商业银行除外）应当具有不低于中国证监会认可的信用评级机构评级。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②交易对手方应当至少每个工作日对交易进行估值，并且本基金可在任何时候以公允价值终止交易。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③任一交易对手方的市值计价敞口不得超过基金资产净值的20%。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11）本基金可以参与证券借贷交易，并且应当遵守下列规定：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①所有参与交易的对手方（中资商业银行除外）应当具有中国证监会认可的信用评级机构评级。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②应当采取市值计价制度进行调整以确保担保物市值不低于已借出证券市值的102%。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③借方应当在交易期内及时向本基金支付已借出证券产生的所有股息、利息和分红。一旦借方违约，本基金根据协议和有关法律有权保留和处置担保物以满足索赔需要。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④除中国证监会另有规定外，担保物可以是以下金融工具或品种：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a现金；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b存款证明；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c商业票据；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 政府债券；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 中资商业银行或由不低于中国证监会认可的信用评级机构评级的境外金融机构（作为交易对手方或其关联方的除外）出具的不可撤销信用证。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 本基金有权在任何时候终止证券借贷交易并在正常市场惯例的合理期限内要求归还任一或所有已借出的证券。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⑥本基金管理人对本基金参与证券借贷交易中发生的损失，按照法律法规的规定承担相应责任。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 本基金可以根据正常市场惯例参与正回购交易、逆回购交易，并且应当遵守下列规定：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①所有参与正回购交易的对手方（中资商业银行除外）应当具有中国证监会认可的信用评级机构信用评级。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②参与正回购交易，应当采取市值计价制度对卖出收益进行调整以确保现金不</w:t>
      </w:r>
      <w:r>
        <w:rPr>
          <w:rFonts w:ascii="宋体" w:hAnsi="宋体"/>
          <w:sz w:val="24"/>
        </w:rPr>
        <w:lastRenderedPageBreak/>
        <w:t>低于已售出证券市值的102%。一旦买方违约，本基金根据协议和有关法律有权保留或处置卖出收益以满足索赔需要。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③买方应当在正回购交易期内及时向本基金支付售出证券产生的所有股息、利息和分红。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④参与逆回购交易，应当对购入证券采取市值计价制度进行调整以确保已购入证券市值不低于支付现金的102%。一旦卖方违约，本基金根据协议和有关法律有权保留或处置已购入证券以满足索赔需要。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⑤本基金管理人对本基金参与证券正回购交易、逆回购交易中发生的损失，按照法律法规的规定承担相应责任。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13）本基金参与证券借贷交易、正回购交易，所有已借出而未归还证券总市值或所有已售出而未回购证券总市值均不得超过本基金总资产的50%。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前述比例限制计算，本基金因参与证券借贷交易、正回购交易而持有的担保物、现金不得计入本基金总资产。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16）法律法规及中国证监会规定的和《基金合同》约定的其他投资限制。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若基金超过上述1）、3）-7）项投资比例限制，应当在超过比例后30个工作日内采用合理的商业措施减仓以符合投资比例限制要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（3）根据基金合同及本协议对投资禁止行为的约定对基金投资禁止行为进行</w:t>
      </w:r>
      <w:r>
        <w:rPr>
          <w:rFonts w:ascii="宋体" w:hAnsi="宋体"/>
          <w:sz w:val="24"/>
        </w:rPr>
        <w:lastRenderedPageBreak/>
        <w:t>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向基金托管人提供其回购交易及监督所需的其他投资品种的交易对手库，交易对手库由信用等级符合《通知》要求的交易对手组成。基金托管人只对进行金融衍生品、证券借贷、回购交易之交易对手作出监督。监督范围并不包括一般证券买卖之券商。基金管理人可以根据实际情况的变化，及时对交易对手库予以更新和调整，并通知基金托管人。基金管理人进行金融衍生品、证券借贷、回购交易时，交易对手应符合交易对手库的范围。基金托管人对交易对手是否符合交易对手库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如投资银行存款，基金管理人应根据法律法规的规定及基金合同的约定，事先确定符合条件的所有存款银行的名单，并及时提供给基金托管人，基金托管人据以对基金投资银行存款的交易对手是否符合上述名单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（6）对法律法规规定及基金合同中实际可以监控事项约定的基金投资的其他方面进行监督。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业务复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违规行为，应及时通知基金管理人，由基金管理人限期纠正；基金管理人收到通知后应及时进行核对确认并回函；在限期内，基金托管人有权对通知事项进行复查，如基金管理人未予纠正，基金托管人应报告中国证监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积极配合和协助基金托管人的监督和核查，包括但不限于：在规定时间内答复基金托管人并改正违规或违约行为，就基金托管人的疑义进行解释或举证，对基金托管人按照法规要求需向中国证监会报送基金监督报告的，基金管理人应积极配合提供相关数据资料和制度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5、基金托管人对投资管理人对基金财产的投资运作于估值日结束且相关数据齐备后，进行交易后的投资监控和报告。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的投资监督报告的准确性和完整性受限于基金管理人及其他中介机构提供的数据和信息，基金托管人对这些机构的信息的准确性和完整性不作任何担保、暗示或表示，并对这些机构的信息的准确性和完整性所引起的损失不负任</w:t>
      </w:r>
      <w:r>
        <w:rPr>
          <w:rFonts w:ascii="宋体" w:hAnsi="宋体"/>
          <w:sz w:val="24"/>
        </w:rPr>
        <w:lastRenderedPageBreak/>
        <w:t>何责任。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7、基金托管人对基金管理人的投资行为(包括但不限于其投资策略及决定)及其投资回报不承担任何责任。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本协议的有效期内，在不违反公平、合理原则以及不妨碍基金托管人遵守相关法律法规及其行业监管要求的基础上，基金管理人有权对基金托管人履行本协议的情况进行必要的核查，核查事项包括但不限于基金托管人安全保管基金财产、开设基金财产的资金账户和证券账户、复核基金管理人计算的基金资产净值和各类基金份额净值、根据基金管理人指令办理清算交收、相关信息披露和监督基金投资运作等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无正当理由未执行或延迟执行基金管理人资金划拨指令、泄露基金投资信息等违反法律法规、基金合同及本协议有关规定时，应及时以书面形式通知基金托管人限期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3、基金托管人应积极配合基金管理人的核查行为，包括但不限于：提交相关资料以供基金管理人核查托管财产的完整性和真实性，在规定时间内答复基金管理人并改正。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（1）基金财产应独立于基金管理人、基金托管人和境外托管人的固有财产。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（2）基金托管人应安全保管基金财产，未经基金管理人的合法合规指令或法律法规、基金合同及本协议另有规定，不得自行运用、处分、分配基金的任何财产。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（3）基金托管人按照规定开设基金财产的所有资金账户和证券账户。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（5）基金托管人可将基金财产安全保管和办理与基金财产过户有关的手续等</w:t>
      </w:r>
      <w:r>
        <w:rPr>
          <w:rFonts w:ascii="宋体" w:hAnsi="宋体"/>
          <w:sz w:val="24"/>
        </w:rPr>
        <w:lastRenderedPageBreak/>
        <w:t>职责委托给第三方机构履行。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（6）现金账户中的现金由基金托管人或其境外托管人以银行身份持有。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（7）托管人或其境外托管人按照有关市场的适用法律、法规和市场惯例，支付现金、办理证券登记等托管业务。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非根据基金管理人书面同意，基金托管人自身，并应确保境外托管人不得在任何基金财产上设立任何担保权利，包括但不限于抵押、质押等，但根据有关适用法律的规定因基金投资而产生的担保权利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（1）基金募集期间的资金应存于基金管理人开立的“基金募集专户”。该账户由基金管理人或基金管理人委托的登记机构开立并管理。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合同及其他有关规定后，基金管理人应在规定时间内，聘请具有从事证券相关业务资格的会计师事务所进行验资，出具验资报告。出具的验资报告由参加验资的2名或2名以上中国注册会计师签字方为有效。验资完成后，基金管理人应将属于基金财产的全部资金划入基金托管人开立并指定的基金托管银行账户中，并确保划入的资金与验资确认金额相一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（3）若基金募集期限届满，未能达到基金合同及其他有关规定的生效条件，由基金管理人按规定办理退款等事宜。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（1）基金托管人应负责本基金的银行账户的开设和管理。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本基金的名义开设本基金的托管账户。本基金的银行预留印鉴由基金托管人保管和使用。本基金的一切货币收支活动，包括但不限于投资、支付赎回金额、支付基金收益、收取申购款，均需通过本基金的托管账户进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托管账户的开立和使用，限于满足开展本基金业务的需要。基金托管人、境外托管人和基金管理人、境外投资顾问均不得假借本基金的名义开立其他任何银行账户；亦不得使用本基金的银行账户进行本基金业务以外的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（4）基金资金结算账户的开立和管理应符合账户所在国或地区监管理机构的有关规定。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（1）基金托管人在基金所投资市场的交易所或登记结算机构或境外基金托管</w:t>
      </w:r>
      <w:r>
        <w:rPr>
          <w:rFonts w:ascii="宋体" w:hAnsi="宋体"/>
          <w:sz w:val="24"/>
        </w:rPr>
        <w:lastRenderedPageBreak/>
        <w:t>人处，按照该交易所或登记结算机构的业务规则开立证券账户。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以及各自委托代理人均不得出借擅自转让基金的任何证券账户，亦不得使用基金的任何账户进行本基金业务以外的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（3）基金证券账户的开立和证券账户相关证明文件的保管由基金托管人负责，账户资产的管理和运用由基金管理人负责。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（4）基金证券账户的开立和管理应符合账户所在国或地区有关法律的规定。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5、其他账户的开立和管理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（1）因业务发展需要而开立的其他账户，可以根据投资市场所在国家或地区法律法规和基金合同的规定由基金托管人负责进行开立。新账户按有关规则使用并管理。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（2）投资市场所在国家或地区法律法规等有关规定对相关账户的开立和管理另有规定的，从其规定办理。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6、基金财产投资的有关有价凭证等的保管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价凭证等的保管按照实物证券相关规定办理。属于基金托管人及其境外托管人实际有效控制下的实物证券在基金托管人保管期间的损坏、灭失，由此产生的责任应由基金托管人承担，但基金托管人对其及境外托管人以外机构实际有效控制的有价凭证不承担保管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7、与基金财产有关的重大合同的保管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按照法律法规保管由基金管理人代表基金签署的与基金有关的重大合同及有关凭证。基金管理人代表基金签署有关重大合同后应在收到合同正本后30日内将一份正本的原件提交给基金托管人。除另有规定外，基金管理人或其委托的第三方机构在代表基金签署与基金财产有关的重大合同时一般应保证有两份以上的正本，以便基金管理人和基金托管人至少各持有一份正本原件。重大合同由基金管理人与基金托管人按规定各自保管至少15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计算日该类基金份额的基金资产净值除以计算日该类基金份额的余额数量后得到的数值。基金份额净值的计算，精确到0.0001元，小数点后第五位四舍五入，由此产生的误差计入基金财产。国家另有规定的，</w:t>
      </w:r>
      <w:r>
        <w:rPr>
          <w:rFonts w:ascii="宋体" w:hAnsi="宋体"/>
          <w:sz w:val="24"/>
        </w:rPr>
        <w:lastRenderedPageBreak/>
        <w:t>从其规定。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基金管理人于每工作日计算前一工作日各类基金份额的基金资产净值及基金份额净值，并按规定公告。如遇特殊情况，经中国证监会同意，可以适当延迟计算或公告。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1、复核程序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进行估值，估值原则应符合基金合同、《证券投资基金会计核算业务指引》及其他法律法规的规定。每个工作日在约定时间之前，基金管理人将前一日的基金估值结果以双方确认的形式报送基金托管人。基金托管人应在收到上述估值结果后进行复核，并在当日约定时间之前以双方确认的方式将复核结果传送给基金管理人，由基金管理人定期对外公布。基金月末、年中和年末估值复核与基金会计账目的核对同时进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相关法律法规或基金合同规定的估值方法不能客观反映基金财产公允价值时，基金管理人可根据具体情况，并与基金托管人商定后，按最能反映公允价值的价格估值，由此造成的误差不作为基金资产估值错误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3、基金管理人、基金托管人发现基金估值违反基金合同订明的估值方法、程序以及相关法律法规的规定或者未能充分维护基金份额持有人利益时，双方应及时进行协商和纠正。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基金财产的估值导致基金份额净值小数点后四位内（含第四位)发生差错时，视为基金份额净值估值错误。当基金份额净值出现错误时，基金管理人应当立即予以纠正，并采取合理的措施防止损失进一步扩大；错误偏差达到基金份额净值的0.25%时，基金管理人应通报基金托管人并向中国证监会备案；当错误偏差达到基金份额净值的0.5%时，基金管理人应当公告，并报中国证监会备案。如法律法规或监管机关对前述内容另有规定的，按其规定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果基金托管人的复核结果与基金管理人的计算结果存在偏差并且偏差在合理的范围内，基金份额净值以基金管理人的计算结果为准，基金管理费、基金托管费和销售服务费也应以基金管理人的净值计算结果计提。若由此造成的基金财产或者投资者损失，由管理人承担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由于基金管理人对外公布的任何基金净值数据错误，导致该基金财产或基金份额持有人的实际损失，基金管理人应对此承担责任。若基金托管人计算的净值数据正确，则基金托管人对该损失不承担责任；若基金托管人计算的净值数据也不</w:t>
      </w:r>
      <w:r>
        <w:rPr>
          <w:rFonts w:ascii="宋体" w:hAnsi="宋体"/>
          <w:sz w:val="24"/>
        </w:rPr>
        <w:lastRenderedPageBreak/>
        <w:t>正确，则基金托管人也应承担部分未正确履行复核义务的责任。如果上述错误造成了基金财产或基金份额持有人的不当得利，且基金管理人及基金托管人已各自承担了赔偿责任，则基金管理人应负责向不当得利之主体主张返还不当得利。如果返还金额不足以弥补基金管理人和基金托管人已承担的赔偿金额，则双方按照各自赔偿金额的比例对返还金额进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由于不可抗力原因，或由于证券交易所、指数编制机构、证券经纪机构、登记结算公司及其他数据服务机构发送的数据错误等原因，基金管理人和基金托管人虽然已经采取必要、适当、合理的措施进行检查，但是未能发现该错误而造成的基金财产估值错误，基金管理人、基金托管人免除赔偿责任。但基金管理人、基金托管人应积极采取必要的措施减轻或消除由此造成的影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8、如果基金托管人的复核结果与基金管理人的计算结果存在差异，且双方经协商未能达成一致，基金管理人可以按照其对基金份额净值的计算结果对外予以公布，基金托管人可以将相关情况报中国证监会备案。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于因税收规定调整或其他原因导致基金实际交纳税金与基金按照权责发生制进行估值的应交税金有差异的，相关估值调整不作为基金资产估值错误处理。但是，对于其中因基金管理人、基金托管人、境外托管人或基金管理人委托的税务顾问（称为“责任人”）业务操作不当、疏忽或者故意违约等行为导致基金实际税收负担（含罚金等）与估值有所差异的，该等差异应由责任人负责赔偿，基金管理人和基金托管人应代表基金利益进行追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10、由于投资涉及不同市场及时区，因时差、通讯或其他非可控的客观原因，在本基金管理人和本基金托管人协商一致的时间点前无法确认的交易，导致的对基金资产净值的影响，不作为基金资产估值错误处理。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1、基金份额持有人名册的内容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基金份额持有人名册的内容包括但不限于基金份额持有人的名称和持有的基金份额。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基金份额持有人名册包括但不限于以下几类：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（1）基金募集期结束时的基金份额持有人名册；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（2）基金权益登记日的基金份额持有人名册；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（3）基金份额持有人大会权益登记日的基金份额持有人名册；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（4）每半年度最后一个交易日的基金份额持有人名册。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2、基金份额持有人名册的提供与保管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登记机构根据基金管理人的指令编制和保管，基金管理人和基金托管人应分别保管与各自职责相关的基金份额持有人名册，保存期不少于15年。如不能妥善保管，则按相关法规承担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和年度报告前，基金管理人应将基金份额持有人名册等有关资料送交基金托管人，不得无故拒绝或延误提供，并保证其的真实性、准确性和完整性。基金托管人对基金份额持有人名册负有保密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解决，如经友好协商未能解决的，任何一方有权将争议提交中国国际经济贸易仲裁委员会，根据中国国际经济贸易仲裁委员会届时有效的仲裁规则进行仲裁，仲裁地点为北京市。仲裁裁决是终局的，对双方当事人均有约束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争议处理期间，双方当事人应各自继续履行基金合同和本托管协议规定的义务，维护基金份额持有人的合法权益。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1、托管协议的修改程序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本协议经双方当事人协商一致，可以书面形式对协议进行修改。修改后的新协议，其内容不得与基金合同的规定有任何冲突。基金托管协议的变更报中国证监会备案。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（2）本基金更换基金托管人；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（3）本基金更换基金管理人；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（4）基金托管人解散、依法被撤销、破产或由其他基金托管人接管基金资产；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（5）基金管理人解散、依法被撤销、破产或由其他基金管理人接管基金管理权；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（6）发生《基金法》、《运作办法》、《试行办法》或其他法律法规规定的终止事项。</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6" w:name="_Toc227915031"/>
      <w:r>
        <w:rPr>
          <w:rFonts w:ascii="Times New Roman" w:hAnsi="Times New Roman"/>
          <w:sz w:val="30"/>
        </w:rPr>
        <w:t>二十三、对基金份额持有人的服务</w:t>
      </w:r>
      <w:bookmarkEnd w:id="26"/>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1、每次交易结束后，投资人可在T+3个工作日后通过销售机构的网点查询和打印确认单；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本基金管理人已开通基金网上直销服务，个人投资者可以直接通过本基金管理人的网上直销交易平台办理开户和本基金场外份额的申购、赎回、定期定额投资等业务。 通过网上直销交易平台办理本基金A类基金份额申购业务的个人投资者将享受申购费率的优惠，其他费率标准不变。具体优惠费率请参见公司网站列示的网上直销交易平台申购费率表或相关公告。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投资人如果想查询基金份额净值、相关公告、基金产品与服务等信息，请拨打本基金管理人客户服务电话（400-700-5000，021-61055000）或登录本基金管理人网站（www.fund001.com）进行咨询、查询。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在条件成熟时，本基金管理人可通过销售机构为投资人提供基金转换业务服务，具体实施方法另行公告。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投资者也可登录基金管理人网站，直接提出有关本基金的问题和建议。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w:t>
      </w:r>
      <w:r w:rsidRPr="00BB248E">
        <w:rPr>
          <w:rFonts w:ascii="宋体" w:hAnsi="宋体" w:hint="eastAsia"/>
          <w:kern w:val="0"/>
          <w:sz w:val="24"/>
        </w:rPr>
        <w:t>如本招募说明书存在任何您/贵机构无法理解的内容，可通过上述方式联系基金管理人。请确保投资前，您/贵机构已经全面理解了本招募说明书。</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7" w:name="_Toc227915032"/>
      <w:r>
        <w:rPr>
          <w:rFonts w:ascii="Times New Roman" w:hAnsi="Times New Roman"/>
          <w:sz w:val="30"/>
        </w:rPr>
        <w:t>二十四、其他应披露事项</w:t>
      </w:r>
      <w:bookmarkEnd w:id="27"/>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2025-05-21</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2025-06-16</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2025-06-27</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2025-10-27</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交银施罗德基金管理有限公司关于终止方正中期期货有限公司办理相关销售业务的公告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2025-11-14</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2025-11-25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2026-01-16</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2026-03-31</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8" w:name="_Toc227915033"/>
      <w:r>
        <w:rPr>
          <w:rFonts w:ascii="Times New Roman" w:hAnsi="Times New Roman"/>
          <w:sz w:val="30"/>
        </w:rPr>
        <w:t>二十五、招募说明书的存放及查阅方式</w:t>
      </w:r>
      <w:bookmarkEnd w:id="28"/>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9" w:name="_Toc227915034"/>
      <w:r>
        <w:rPr>
          <w:rFonts w:ascii="Times New Roman" w:hAnsi="Times New Roman"/>
          <w:sz w:val="30"/>
        </w:rPr>
        <w:t>二十六、备查文件</w:t>
      </w:r>
      <w:bookmarkEnd w:id="29"/>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（一）中国证监会核准交银施罗德中证海外中国互联网指数型证券投资基金（LOF）募集的文件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（二）《交银施罗德中证海外中国互联网指数型证券投资基金（LOF）基金合同》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（三）《交银施罗德中证海外中国互联网指数型证券投资基金（LOF）托管协议》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（六）关于申请募集交银施罗德中证海外中国互联网指数型证券投资基金(LOF)的法律意见书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（七）中国证监会要求的其他文件</w:t>
      </w:r>
    </w:p>
    <w:sectPr w:rsidR="002F6AF2">
      <w:footerReference w:type="default" r:id="rId18"/>
      <w:pgSz w:w="11920" w:h="16840"/>
      <w:pgMar w:top="1360" w:right="1580" w:bottom="280" w:left="1680" w:header="0" w:footer="11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680" w:rsidRDefault="00301680">
      <w:r>
        <w:separator/>
      </w:r>
    </w:p>
  </w:endnote>
  <w:endnote w:type="continuationSeparator" w:id="0">
    <w:p w:rsidR="00301680" w:rsidRDefault="00301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AF2" w:rsidRDefault="002F6AF2">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AF2" w:rsidRDefault="00301680">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mso-position-horizontal-relative:page;mso-position-vertical-relative:page;mso-width-relative:page;mso-height-relative:page" o:allowincell="f" filled="f" stroked="f">
          <v:textbox inset="0,0,0,0">
            <w:txbxContent>
              <w:p w:rsidR="002F6AF2" w:rsidRDefault="0067707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C4E01">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AF2" w:rsidRDefault="002F6AF2">
    <w:pPr>
      <w:pStyle w:val="ac"/>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AF2" w:rsidRDefault="00301680">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1;mso-position-horizontal-relative:page;mso-position-vertical-relative:page;mso-width-relative:page;mso-height-relative:page" o:allowincell="f" filled="f" stroked="f">
          <v:textbox inset="0,0,0,0">
            <w:txbxContent>
              <w:p w:rsidR="002F6AF2" w:rsidRDefault="0067707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C4E01">
                  <w:rPr>
                    <w:rFonts w:ascii="Times New Roman" w:hAnsi="Times New Roman"/>
                    <w:noProof/>
                    <w:kern w:val="0"/>
                    <w:sz w:val="18"/>
                    <w:szCs w:val="18"/>
                  </w:rPr>
                  <w:t>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680" w:rsidRDefault="00301680">
      <w:r>
        <w:separator/>
      </w:r>
    </w:p>
  </w:footnote>
  <w:footnote w:type="continuationSeparator" w:id="0">
    <w:p w:rsidR="00301680" w:rsidRDefault="003016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AF2" w:rsidRDefault="002F6AF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AF2" w:rsidRDefault="00677079">
    <w:pPr>
      <w:pStyle w:val="a3"/>
      <w:jc w:val="right"/>
      <w:rPr>
        <w:rFonts w:ascii="宋体" w:hAnsi="宋体"/>
      </w:rPr>
    </w:pPr>
    <w:r>
      <w:rPr>
        <w:rFonts w:ascii="宋体" w:hAnsi="宋体" w:hint="eastAsia"/>
      </w:rPr>
      <w:t>交银施罗德中证海外中国互联网指数型证券投资基金(LOF)招募说明书更新</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AF2" w:rsidRDefault="002F6AF2">
    <w:pPr>
      <w:pStyle w:val="11"/>
      <w:jc w:val="right"/>
    </w:pPr>
  </w:p>
  <w:p w:rsidR="002F6AF2" w:rsidRDefault="002F6AF2">
    <w:pPr>
      <w:pStyle w:val="11"/>
      <w:jc w:val="right"/>
    </w:pPr>
  </w:p>
  <w:p w:rsidR="002F6AF2" w:rsidRDefault="002F6AF2">
    <w:pPr>
      <w:pStyle w:val="a3"/>
      <w:jc w:val="right"/>
    </w:pPr>
  </w:p>
  <w:p w:rsidR="002F6AF2" w:rsidRDefault="00677079">
    <w:pPr>
      <w:pStyle w:val="a3"/>
      <w:jc w:val="right"/>
      <w:rPr>
        <w:rFonts w:ascii="宋体" w:hAnsi="宋体"/>
      </w:rPr>
    </w:pPr>
    <w:r>
      <w:rPr>
        <w:rFonts w:ascii="宋体" w:hAnsi="宋体" w:hint="eastAsia"/>
      </w:rPr>
      <w:t>交银施罗德中证海外中国互联网指数型证券投资基金(LOF)招募说明书更新</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AF2" w:rsidRDefault="002F6AF2">
    <w:pPr>
      <w:pStyle w:val="a3"/>
      <w:jc w:val="right"/>
    </w:pPr>
  </w:p>
  <w:p w:rsidR="002F6AF2" w:rsidRDefault="002F6AF2">
    <w:pPr>
      <w:pStyle w:val="a3"/>
      <w:jc w:val="right"/>
    </w:pPr>
  </w:p>
  <w:p w:rsidR="002F6AF2" w:rsidRDefault="002F6AF2">
    <w:pPr>
      <w:pStyle w:val="a3"/>
      <w:jc w:val="right"/>
    </w:pPr>
  </w:p>
  <w:p w:rsidR="002F6AF2" w:rsidRDefault="00677079">
    <w:pPr>
      <w:pStyle w:val="a3"/>
      <w:jc w:val="right"/>
      <w:rPr>
        <w:rFonts w:ascii="宋体" w:hAnsi="宋体"/>
      </w:rPr>
    </w:pPr>
    <w:r>
      <w:rPr>
        <w:rFonts w:ascii="宋体" w:hAnsi="宋体" w:hint="eastAsia"/>
      </w:rPr>
      <w:t>交银施罗德中证海外中国互联网指数型证券投资基金(LOF)招募说明书更新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trackRevisions/>
  <w:doNotTrackMoves/>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69"/>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43DC"/>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994"/>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AF2"/>
    <w:rsid w:val="002F6DE8"/>
    <w:rsid w:val="002F74D8"/>
    <w:rsid w:val="002F7C72"/>
    <w:rsid w:val="002F7EDC"/>
    <w:rsid w:val="003003A8"/>
    <w:rsid w:val="0030091B"/>
    <w:rsid w:val="00301680"/>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27066"/>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040C"/>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6DB0"/>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00CC"/>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E5F40"/>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079"/>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6963"/>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7324D"/>
    <w:rsid w:val="008806CC"/>
    <w:rsid w:val="008849E6"/>
    <w:rsid w:val="0088513E"/>
    <w:rsid w:val="00885DEE"/>
    <w:rsid w:val="00886300"/>
    <w:rsid w:val="0089099F"/>
    <w:rsid w:val="00890AAF"/>
    <w:rsid w:val="00892F7A"/>
    <w:rsid w:val="00894CEB"/>
    <w:rsid w:val="00896A62"/>
    <w:rsid w:val="00897B88"/>
    <w:rsid w:val="008A113D"/>
    <w:rsid w:val="008A3CF4"/>
    <w:rsid w:val="008A678B"/>
    <w:rsid w:val="008B0034"/>
    <w:rsid w:val="008B0702"/>
    <w:rsid w:val="008B2397"/>
    <w:rsid w:val="008B33B5"/>
    <w:rsid w:val="008B3CD6"/>
    <w:rsid w:val="008B6003"/>
    <w:rsid w:val="008B691D"/>
    <w:rsid w:val="008C4D11"/>
    <w:rsid w:val="008C4E0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6789A"/>
    <w:rsid w:val="00A7001C"/>
    <w:rsid w:val="00A70A43"/>
    <w:rsid w:val="00A75807"/>
    <w:rsid w:val="00A77913"/>
    <w:rsid w:val="00A8209D"/>
    <w:rsid w:val="00A82740"/>
    <w:rsid w:val="00A860C9"/>
    <w:rsid w:val="00A9137F"/>
    <w:rsid w:val="00A9483B"/>
    <w:rsid w:val="00A94F2C"/>
    <w:rsid w:val="00A972E1"/>
    <w:rsid w:val="00AA3F8C"/>
    <w:rsid w:val="00AA6E6B"/>
    <w:rsid w:val="00AB1301"/>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97106"/>
    <w:rsid w:val="00CA1947"/>
    <w:rsid w:val="00CA1C91"/>
    <w:rsid w:val="00CA323D"/>
    <w:rsid w:val="00CA54A0"/>
    <w:rsid w:val="00CA6C16"/>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443"/>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1ED5"/>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9"/>
    <o:shapelayout v:ext="edit">
      <o:idmap v:ext="edit" data="1"/>
    </o:shapelayout>
  </w:shapeDefaults>
  <w:decimalSymbol w:val="."/>
  <w:listSeparator w:val=","/>
  <w15:docId w15:val="{71898EE1-1685-4B75-A556-4C4CCFA67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0"/>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pBdr>
        <w:bottom w:val="single" w:sz="6" w:space="1" w:color="auto"/>
      </w:pBdr>
      <w:tabs>
        <w:tab w:val="center" w:pos="4153"/>
        <w:tab w:val="right" w:pos="8306"/>
      </w:tabs>
      <w:snapToGrid w:val="0"/>
      <w:jc w:val="center"/>
    </w:pPr>
    <w:rPr>
      <w:kern w:val="0"/>
      <w:sz w:val="18"/>
      <w:szCs w:val="18"/>
    </w:rPr>
  </w:style>
  <w:style w:type="paragraph" w:styleId="a5">
    <w:name w:val="annotation subject"/>
    <w:basedOn w:val="a6"/>
    <w:next w:val="a6"/>
    <w:link w:val="a7"/>
    <w:uiPriority w:val="99"/>
    <w:unhideWhenUsed/>
    <w:rPr>
      <w:b/>
      <w:bCs/>
    </w:rPr>
  </w:style>
  <w:style w:type="paragraph" w:styleId="a6">
    <w:name w:val="annotation text"/>
    <w:basedOn w:val="a"/>
    <w:link w:val="a8"/>
    <w:unhideWhenUsed/>
    <w:pPr>
      <w:jc w:val="left"/>
    </w:pPr>
  </w:style>
  <w:style w:type="paragraph" w:styleId="a9">
    <w:name w:val="Document Map"/>
    <w:basedOn w:val="a"/>
    <w:link w:val="aa"/>
    <w:uiPriority w:val="99"/>
    <w:unhideWhenUsed/>
    <w:rPr>
      <w:rFonts w:ascii="宋体"/>
      <w:sz w:val="18"/>
      <w:szCs w:val="18"/>
    </w:rPr>
  </w:style>
  <w:style w:type="paragraph" w:styleId="ab">
    <w:name w:val="Balloon Text"/>
    <w:basedOn w:val="a"/>
    <w:semiHidden/>
    <w:rPr>
      <w:sz w:val="18"/>
      <w:szCs w:val="18"/>
    </w:rPr>
  </w:style>
  <w:style w:type="paragraph" w:styleId="ac">
    <w:name w:val="footer"/>
    <w:basedOn w:val="a"/>
    <w:link w:val="ad"/>
    <w:uiPriority w:val="99"/>
    <w:unhideWhenUsed/>
    <w:pPr>
      <w:tabs>
        <w:tab w:val="center" w:pos="4153"/>
        <w:tab w:val="right" w:pos="8306"/>
      </w:tabs>
      <w:snapToGrid w:val="0"/>
      <w:jc w:val="left"/>
    </w:pPr>
    <w:rPr>
      <w:kern w:val="0"/>
      <w:sz w:val="18"/>
      <w:szCs w:val="18"/>
    </w:rPr>
  </w:style>
  <w:style w:type="paragraph" w:styleId="11">
    <w:name w:val="toc 1"/>
    <w:basedOn w:val="a"/>
    <w:next w:val="a"/>
    <w:uiPriority w:val="39"/>
    <w:unhideWhenUsed/>
  </w:style>
  <w:style w:type="paragraph" w:styleId="ae">
    <w:name w:val="Subtitle"/>
    <w:basedOn w:val="a"/>
    <w:next w:val="a"/>
    <w:link w:val="af"/>
    <w:qFormat/>
    <w:pPr>
      <w:spacing w:before="240" w:after="60" w:line="312" w:lineRule="auto"/>
      <w:jc w:val="center"/>
      <w:outlineLvl w:val="1"/>
    </w:pPr>
    <w:rPr>
      <w:rFonts w:ascii="Cambria" w:hAnsi="Cambria"/>
      <w:b/>
      <w:bCs/>
      <w:kern w:val="28"/>
      <w:sz w:val="32"/>
      <w:szCs w:val="32"/>
    </w:rPr>
  </w:style>
  <w:style w:type="paragraph" w:styleId="21">
    <w:name w:val="toc 2"/>
    <w:basedOn w:val="a"/>
    <w:next w:val="a"/>
    <w:uiPriority w:val="39"/>
    <w:unhideWhenUsed/>
    <w:pPr>
      <w:ind w:leftChars="200" w:left="480"/>
    </w:pPr>
  </w:style>
  <w:style w:type="character" w:styleId="af0">
    <w:name w:val="Hyperlink"/>
    <w:uiPriority w:val="99"/>
    <w:unhideWhenUsed/>
    <w:rPr>
      <w:color w:val="0000FF"/>
      <w:u w:val="single"/>
    </w:rPr>
  </w:style>
  <w:style w:type="character" w:styleId="af1">
    <w:name w:val="annotation reference"/>
    <w:unhideWhenUsed/>
    <w:rPr>
      <w:sz w:val="21"/>
      <w:szCs w:val="21"/>
    </w:rPr>
  </w:style>
  <w:style w:type="table" w:styleId="af2">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f3">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e"/>
    <w:next w:val="4"/>
    <w:qFormat/>
    <w:pPr>
      <w:keepNext/>
      <w:keepLines/>
      <w:numPr>
        <w:ilvl w:val="5"/>
        <w:numId w:val="1"/>
      </w:numPr>
      <w:ind w:left="0" w:firstLine="0"/>
      <w:jc w:val="left"/>
    </w:pPr>
    <w:rPr>
      <w:bCs w:val="0"/>
      <w:sz w:val="24"/>
    </w:rPr>
  </w:style>
  <w:style w:type="paragraph" w:customStyle="1" w:styleId="af4">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e"/>
    <w:next w:val="4"/>
    <w:qFormat/>
    <w:pPr>
      <w:keepNext/>
      <w:keepLines/>
      <w:numPr>
        <w:ilvl w:val="1"/>
        <w:numId w:val="1"/>
      </w:numPr>
      <w:jc w:val="left"/>
    </w:pPr>
    <w:rPr>
      <w:bCs w:val="0"/>
      <w:sz w:val="24"/>
    </w:rPr>
  </w:style>
  <w:style w:type="paragraph" w:customStyle="1" w:styleId="XBRLTitle3">
    <w:name w:val="XBRLTitle3"/>
    <w:basedOn w:val="ae"/>
    <w:next w:val="4"/>
    <w:qFormat/>
    <w:pPr>
      <w:keepNext/>
      <w:keepLines/>
      <w:numPr>
        <w:ilvl w:val="2"/>
        <w:numId w:val="1"/>
      </w:numPr>
      <w:ind w:left="0" w:firstLine="0"/>
      <w:jc w:val="left"/>
    </w:pPr>
    <w:rPr>
      <w:bCs w:val="0"/>
      <w:sz w:val="24"/>
    </w:rPr>
  </w:style>
  <w:style w:type="paragraph" w:customStyle="1" w:styleId="XBRLTitle5">
    <w:name w:val="XBRLTitle5"/>
    <w:basedOn w:val="ae"/>
    <w:next w:val="4"/>
    <w:qFormat/>
    <w:pPr>
      <w:keepNext/>
      <w:keepLines/>
      <w:numPr>
        <w:ilvl w:val="4"/>
        <w:numId w:val="1"/>
      </w:numPr>
      <w:ind w:left="0" w:firstLine="0"/>
      <w:jc w:val="left"/>
    </w:pPr>
    <w:rPr>
      <w:bCs w:val="0"/>
      <w:sz w:val="24"/>
    </w:rPr>
  </w:style>
  <w:style w:type="paragraph" w:customStyle="1" w:styleId="XBRLTitle4">
    <w:name w:val="XBRLTitle4"/>
    <w:basedOn w:val="ae"/>
    <w:next w:val="4"/>
    <w:qFormat/>
    <w:pPr>
      <w:keepNext/>
      <w:keepLines/>
      <w:numPr>
        <w:ilvl w:val="3"/>
        <w:numId w:val="1"/>
      </w:numPr>
      <w:ind w:left="0" w:firstLine="0"/>
      <w:jc w:val="left"/>
    </w:pPr>
    <w:rPr>
      <w:bCs w:val="0"/>
      <w:sz w:val="24"/>
    </w:rPr>
  </w:style>
  <w:style w:type="character" w:customStyle="1" w:styleId="Char1">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a8">
    <w:name w:val="批注文字 字符"/>
    <w:link w:val="a6"/>
    <w:rPr>
      <w:kern w:val="2"/>
      <w:sz w:val="21"/>
      <w:szCs w:val="22"/>
    </w:rPr>
  </w:style>
  <w:style w:type="character" w:customStyle="1" w:styleId="a7">
    <w:name w:val="批注主题 字符"/>
    <w:link w:val="a5"/>
    <w:uiPriority w:val="99"/>
    <w:semiHidden/>
    <w:rPr>
      <w:b/>
      <w:bCs/>
      <w:kern w:val="2"/>
      <w:sz w:val="21"/>
      <w:szCs w:val="22"/>
    </w:rPr>
  </w:style>
  <w:style w:type="character" w:customStyle="1" w:styleId="a4">
    <w:name w:val="页眉 字符"/>
    <w:link w:val="a3"/>
    <w:uiPriority w:val="99"/>
    <w:rPr>
      <w:sz w:val="18"/>
      <w:szCs w:val="18"/>
    </w:rPr>
  </w:style>
  <w:style w:type="character" w:customStyle="1" w:styleId="af">
    <w:name w:val="副标题 字符"/>
    <w:link w:val="ae"/>
    <w:rPr>
      <w:rFonts w:ascii="Cambria" w:hAnsi="Cambria" w:cs="Times New Roman"/>
      <w:b/>
      <w:bCs/>
      <w:kern w:val="28"/>
      <w:sz w:val="32"/>
      <w:szCs w:val="32"/>
    </w:rPr>
  </w:style>
  <w:style w:type="character" w:customStyle="1" w:styleId="aa">
    <w:name w:val="文档结构图 字符"/>
    <w:link w:val="a9"/>
    <w:uiPriority w:val="99"/>
    <w:semiHidden/>
    <w:rPr>
      <w:rFonts w:ascii="宋体"/>
      <w:kern w:val="2"/>
      <w:sz w:val="18"/>
      <w:szCs w:val="18"/>
    </w:rPr>
  </w:style>
  <w:style w:type="character" w:customStyle="1" w:styleId="ad">
    <w:name w:val="页脚 字符"/>
    <w:link w:val="ac"/>
    <w:uiPriority w:val="99"/>
    <w:rPr>
      <w:sz w:val="18"/>
      <w:szCs w:val="18"/>
    </w:rPr>
  </w:style>
  <w:style w:type="character" w:customStyle="1" w:styleId="20">
    <w:name w:val="标题 2 字符"/>
    <w:link w:val="2"/>
    <w:uiPriority w:val="9"/>
    <w:semiHidden/>
    <w:rPr>
      <w:rFonts w:ascii="Cambria" w:eastAsia="宋体" w:hAnsi="Cambria" w:cs="Times New Roman"/>
      <w:b/>
      <w:bCs/>
      <w:kern w:val="2"/>
      <w:sz w:val="32"/>
      <w:szCs w:val="32"/>
    </w:rPr>
  </w:style>
  <w:style w:type="character" w:customStyle="1" w:styleId="40">
    <w:name w:val="标题 4 字符"/>
    <w:link w:val="4"/>
    <w:uiPriority w:val="9"/>
    <w:semiHidden/>
    <w:rPr>
      <w:rFonts w:ascii="Cambria" w:eastAsia="宋体" w:hAnsi="Cambria" w:cs="Times New Roman"/>
      <w:b/>
      <w:bCs/>
      <w:kern w:val="2"/>
      <w:sz w:val="28"/>
      <w:szCs w:val="28"/>
    </w:rPr>
  </w:style>
  <w:style w:type="character" w:customStyle="1" w:styleId="10">
    <w:name w:val="标题 1 字符"/>
    <w:link w:val="1"/>
    <w:uiPriority w:val="9"/>
    <w:rPr>
      <w:b/>
      <w:bCs/>
      <w:kern w:val="44"/>
      <w:sz w:val="28"/>
      <w:szCs w:val="44"/>
    </w:rPr>
  </w:style>
  <w:style w:type="paragraph" w:styleId="af5">
    <w:name w:val="Revision"/>
    <w:hidden/>
    <w:uiPriority w:val="99"/>
    <w:semiHidden/>
    <w:rsid w:val="005E5F40"/>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740891">
      <w:bodyDiv w:val="1"/>
      <w:marLeft w:val="0"/>
      <w:marRight w:val="0"/>
      <w:marTop w:val="0"/>
      <w:marBottom w:val="0"/>
      <w:divBdr>
        <w:top w:val="none" w:sz="0" w:space="0" w:color="auto"/>
        <w:left w:val="none" w:sz="0" w:space="0" w:color="auto"/>
        <w:bottom w:val="none" w:sz="0" w:space="0" w:color="auto"/>
        <w:right w:val="none" w:sz="0" w:space="0" w:color="auto"/>
      </w:divBdr>
      <w:divsChild>
        <w:div w:id="85669932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164</Pages>
  <Words>16816</Words>
  <Characters>95852</Characters>
  <Application>Microsoft Office Word</Application>
  <DocSecurity>0</DocSecurity>
  <Lines>798</Lines>
  <Paragraphs>224</Paragraphs>
  <ScaleCrop>false</ScaleCrop>
  <Company>Microsoft</Company>
  <LinksUpToDate>false</LinksUpToDate>
  <CharactersWithSpaces>112444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张婕茹</cp:lastModifiedBy>
  <cp:revision>22</cp:revision>
  <cp:lastPrinted>2013-02-18T03:10:00Z</cp:lastPrinted>
  <dcterms:created xsi:type="dcterms:W3CDTF">2026-04-24T01:23:00Z</dcterms:created>
  <dcterms:modified xsi:type="dcterms:W3CDTF">2026-08-20T08:03:00Z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