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E7086">
      <w:pPr>
        <w:spacing w:before="50" w:after="50" w:line="360" w:lineRule="auto"/>
        <w:jc w:val="center"/>
        <w:outlineLvl w:val="0"/>
        <w:rPr>
          <w:rFonts w:cs="宋体"/>
          <w:b/>
          <w:bCs/>
          <w:sz w:val="28"/>
          <w:szCs w:val="28"/>
        </w:rPr>
      </w:pPr>
      <w:r>
        <w:rPr>
          <w:rFonts w:hint="eastAsia" w:cs="宋体"/>
          <w:b/>
          <w:bCs/>
          <w:sz w:val="28"/>
          <w:szCs w:val="28"/>
        </w:rPr>
        <w:t>交银施罗德基金管理有限公司关于增加</w:t>
      </w:r>
      <w:r>
        <w:rPr>
          <w:rFonts w:hint="eastAsia" w:cs="宋体"/>
          <w:b/>
          <w:bCs/>
          <w:sz w:val="28"/>
          <w:szCs w:val="28"/>
          <w:lang w:eastAsia="zh-CN"/>
        </w:rPr>
        <w:t>交银施罗德港股消费混合型证券投资基金（QDII）</w:t>
      </w:r>
      <w:r>
        <w:rPr>
          <w:rFonts w:hint="eastAsia" w:cs="宋体"/>
          <w:b/>
          <w:bCs/>
          <w:sz w:val="28"/>
          <w:szCs w:val="28"/>
        </w:rPr>
        <w:t>销售机构的公告</w:t>
      </w:r>
    </w:p>
    <w:p w14:paraId="63653CAC">
      <w:pPr>
        <w:spacing w:before="50" w:after="50" w:line="360" w:lineRule="auto"/>
        <w:ind w:firstLine="562" w:firstLineChars="200"/>
        <w:jc w:val="center"/>
        <w:rPr>
          <w:b/>
          <w:bCs/>
          <w:sz w:val="28"/>
          <w:szCs w:val="28"/>
        </w:rPr>
      </w:pPr>
    </w:p>
    <w:p w14:paraId="23FFCA74">
      <w:pPr>
        <w:adjustRightInd w:val="0"/>
        <w:snapToGrid w:val="0"/>
        <w:spacing w:line="360" w:lineRule="auto"/>
        <w:ind w:firstLine="480" w:firstLineChars="200"/>
        <w:rPr>
          <w:bCs/>
          <w:sz w:val="24"/>
          <w:szCs w:val="24"/>
        </w:rPr>
      </w:pPr>
      <w:r>
        <w:rPr>
          <w:bCs/>
          <w:sz w:val="24"/>
          <w:szCs w:val="24"/>
        </w:rPr>
        <w:t>根据交银施罗德基金管理有限公司（以下简称</w:t>
      </w:r>
      <w:r>
        <w:rPr>
          <w:rFonts w:hint="eastAsia"/>
          <w:bCs/>
          <w:sz w:val="24"/>
          <w:szCs w:val="24"/>
          <w:lang w:eastAsia="zh-CN"/>
        </w:rPr>
        <w:t>“</w:t>
      </w:r>
      <w:r>
        <w:rPr>
          <w:bCs/>
          <w:sz w:val="24"/>
          <w:szCs w:val="24"/>
        </w:rPr>
        <w:t>本</w:t>
      </w:r>
      <w:r>
        <w:rPr>
          <w:rFonts w:hint="eastAsia"/>
          <w:bCs/>
          <w:sz w:val="24"/>
          <w:szCs w:val="24"/>
        </w:rPr>
        <w:t>公司</w:t>
      </w:r>
      <w:r>
        <w:rPr>
          <w:rFonts w:hint="eastAsia"/>
          <w:bCs/>
          <w:sz w:val="24"/>
          <w:szCs w:val="24"/>
          <w:lang w:eastAsia="zh-CN"/>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12</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Pr>
          <w:rFonts w:hint="eastAsia"/>
          <w:bCs/>
          <w:sz w:val="24"/>
          <w:szCs w:val="24"/>
          <w:lang w:eastAsia="zh-CN"/>
        </w:rPr>
        <w:t>交银施罗德港股消费混合型证券投资基金（QDII）</w:t>
      </w:r>
      <w:r>
        <w:rPr>
          <w:rFonts w:hint="eastAsia"/>
          <w:bCs/>
          <w:sz w:val="24"/>
          <w:szCs w:val="24"/>
        </w:rPr>
        <w:t>（A类基金份额基金代码：02</w:t>
      </w:r>
      <w:r>
        <w:rPr>
          <w:rFonts w:hint="eastAsia"/>
          <w:bCs/>
          <w:sz w:val="24"/>
          <w:szCs w:val="24"/>
          <w:lang w:val="en-US" w:eastAsia="zh-CN"/>
        </w:rPr>
        <w:t>7450</w:t>
      </w:r>
      <w:r>
        <w:rPr>
          <w:rFonts w:hint="eastAsia"/>
          <w:bCs/>
          <w:sz w:val="24"/>
          <w:szCs w:val="24"/>
        </w:rPr>
        <w:t>；基金简称：交银港股消费混合（QDII）A；</w:t>
      </w:r>
      <w:r>
        <w:rPr>
          <w:rFonts w:hint="eastAsia"/>
          <w:sz w:val="24"/>
        </w:rPr>
        <w:t>C类基金份额基金代码：02</w:t>
      </w:r>
      <w:r>
        <w:rPr>
          <w:rFonts w:hint="eastAsia"/>
          <w:sz w:val="24"/>
          <w:lang w:val="en-US" w:eastAsia="zh-CN"/>
        </w:rPr>
        <w:t>7451</w:t>
      </w:r>
      <w:r>
        <w:rPr>
          <w:rFonts w:hint="eastAsia"/>
          <w:sz w:val="24"/>
        </w:rPr>
        <w:t>；基金简称：</w:t>
      </w:r>
      <w:r>
        <w:rPr>
          <w:rFonts w:hint="eastAsia"/>
          <w:bCs/>
          <w:sz w:val="24"/>
          <w:szCs w:val="24"/>
        </w:rPr>
        <w:t>交银港股消费混合（QDII）</w:t>
      </w:r>
      <w:r>
        <w:rPr>
          <w:rFonts w:hint="eastAsia"/>
          <w:sz w:val="24"/>
        </w:rPr>
        <w:t>C</w:t>
      </w:r>
      <w:r>
        <w:rPr>
          <w:rFonts w:hint="eastAsia"/>
          <w:bCs/>
          <w:sz w:val="24"/>
          <w:szCs w:val="24"/>
        </w:rPr>
        <w:t>）</w:t>
      </w:r>
      <w:r>
        <w:rPr>
          <w:bCs/>
          <w:sz w:val="24"/>
          <w:szCs w:val="24"/>
        </w:rPr>
        <w:t>的销售机构</w:t>
      </w:r>
      <w:r>
        <w:rPr>
          <w:rFonts w:hint="eastAsia"/>
          <w:bCs/>
          <w:sz w:val="24"/>
          <w:szCs w:val="24"/>
        </w:rPr>
        <w:t>。</w:t>
      </w:r>
    </w:p>
    <w:p w14:paraId="2C8ED2C2">
      <w:pPr>
        <w:adjustRightInd w:val="0"/>
        <w:snapToGrid w:val="0"/>
        <w:spacing w:line="360" w:lineRule="auto"/>
        <w:ind w:firstLine="480" w:firstLineChars="200"/>
        <w:rPr>
          <w:bCs/>
          <w:sz w:val="24"/>
          <w:szCs w:val="24"/>
        </w:rPr>
      </w:pPr>
    </w:p>
    <w:p w14:paraId="574D465C">
      <w:pPr>
        <w:spacing w:line="360" w:lineRule="auto"/>
        <w:ind w:firstLine="480" w:firstLineChars="200"/>
        <w:outlineLvl w:val="0"/>
        <w:rPr>
          <w:kern w:val="0"/>
          <w:sz w:val="24"/>
          <w:szCs w:val="24"/>
        </w:rPr>
      </w:pPr>
      <w:r>
        <w:rPr>
          <w:rFonts w:hint="eastAsia"/>
          <w:kern w:val="0"/>
          <w:sz w:val="24"/>
          <w:szCs w:val="24"/>
        </w:rPr>
        <w:t>一、业务范围</w:t>
      </w:r>
    </w:p>
    <w:p w14:paraId="06C27BCA">
      <w:pPr>
        <w:spacing w:line="360" w:lineRule="auto"/>
        <w:ind w:firstLine="480" w:firstLineChars="20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12</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Pr>
          <w:rFonts w:hint="eastAsia"/>
          <w:bCs/>
          <w:sz w:val="24"/>
          <w:szCs w:val="24"/>
          <w:lang w:eastAsia="zh-CN"/>
        </w:rPr>
        <w:t>交银施罗德港股消费混合型证券投资基金（QDII）</w:t>
      </w:r>
      <w:r>
        <w:rPr>
          <w:rFonts w:hint="eastAsia"/>
          <w:kern w:val="0"/>
          <w:sz w:val="24"/>
          <w:szCs w:val="24"/>
        </w:rPr>
        <w:t>的认购等业务。</w:t>
      </w:r>
    </w:p>
    <w:p w14:paraId="2D852873">
      <w:pPr>
        <w:spacing w:line="360" w:lineRule="auto"/>
        <w:ind w:firstLine="480" w:firstLineChars="200"/>
        <w:rPr>
          <w:sz w:val="24"/>
          <w:szCs w:val="24"/>
        </w:rPr>
      </w:pPr>
      <w:r>
        <w:rPr>
          <w:rFonts w:hint="eastAsia"/>
          <w:bCs/>
          <w:sz w:val="24"/>
          <w:szCs w:val="24"/>
          <w:lang w:eastAsia="zh-CN"/>
        </w:rPr>
        <w:t>交银施罗德港股消费混合型证券投资基金（QDII）</w:t>
      </w:r>
      <w:r>
        <w:rPr>
          <w:rFonts w:hint="eastAsia"/>
          <w:sz w:val="24"/>
          <w:szCs w:val="24"/>
        </w:rPr>
        <w:t>的认购</w:t>
      </w:r>
      <w:r>
        <w:rPr>
          <w:sz w:val="24"/>
          <w:szCs w:val="24"/>
        </w:rPr>
        <w:t>费率及相关业务规则请详见该基金相关法律文件及本公司发布的最新业务公告。在遵守基金合同及招募说明书的前提下，</w:t>
      </w:r>
      <w:r>
        <w:rPr>
          <w:color w:val="000000"/>
          <w:sz w:val="24"/>
          <w:szCs w:val="24"/>
        </w:rPr>
        <w:t>销售机构办理各项基金销售</w:t>
      </w:r>
      <w:r>
        <w:rPr>
          <w:sz w:val="24"/>
          <w:szCs w:val="24"/>
        </w:rPr>
        <w:t>业务</w:t>
      </w:r>
      <w:r>
        <w:rPr>
          <w:color w:val="000000"/>
          <w:sz w:val="24"/>
          <w:szCs w:val="24"/>
        </w:rPr>
        <w:t>的具体时间、流程以销售机构及网点的安排和规定为准。</w:t>
      </w:r>
    </w:p>
    <w:p w14:paraId="653AB6DA">
      <w:pPr>
        <w:adjustRightInd w:val="0"/>
        <w:snapToGrid w:val="0"/>
        <w:spacing w:line="360" w:lineRule="auto"/>
        <w:ind w:firstLine="480" w:firstLineChars="200"/>
        <w:rPr>
          <w:bCs/>
          <w:sz w:val="24"/>
          <w:szCs w:val="24"/>
        </w:rPr>
      </w:pPr>
    </w:p>
    <w:p w14:paraId="096E3439">
      <w:pPr>
        <w:adjustRightInd/>
        <w:snapToGrid/>
        <w:spacing w:line="360" w:lineRule="auto"/>
        <w:ind w:firstLine="482" w:firstLineChars="200"/>
        <w:outlineLvl w:val="0"/>
        <w:rPr>
          <w:rFonts w:hint="eastAsia"/>
          <w:b/>
          <w:bCs/>
          <w:kern w:val="0"/>
          <w:sz w:val="24"/>
          <w:szCs w:val="24"/>
        </w:rPr>
      </w:pPr>
      <w:r>
        <w:rPr>
          <w:rFonts w:hint="eastAsia"/>
          <w:b/>
          <w:bCs/>
          <w:kern w:val="0"/>
          <w:sz w:val="24"/>
          <w:szCs w:val="24"/>
        </w:rPr>
        <w:t>重要提示：</w:t>
      </w:r>
    </w:p>
    <w:p w14:paraId="45DA776E">
      <w:pPr>
        <w:adjustRightInd w:val="0"/>
        <w:snapToGrid w:val="0"/>
        <w:spacing w:line="360" w:lineRule="auto"/>
        <w:ind w:firstLine="480" w:firstLineChars="200"/>
        <w:rPr>
          <w:bCs/>
          <w:sz w:val="24"/>
          <w:szCs w:val="24"/>
        </w:rPr>
      </w:pPr>
      <w:r>
        <w:rPr>
          <w:bCs/>
          <w:sz w:val="24"/>
          <w:szCs w:val="24"/>
        </w:rPr>
        <w:t>1、本</w:t>
      </w:r>
      <w:r>
        <w:rPr>
          <w:rFonts w:hint="eastAsia"/>
          <w:bCs/>
          <w:sz w:val="24"/>
          <w:szCs w:val="24"/>
        </w:rPr>
        <w:t>公司</w:t>
      </w:r>
      <w:r>
        <w:rPr>
          <w:bCs/>
          <w:sz w:val="24"/>
          <w:szCs w:val="24"/>
        </w:rPr>
        <w:t>于</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bCs/>
          <w:sz w:val="24"/>
          <w:szCs w:val="24"/>
        </w:rPr>
        <w:t>发布公告，</w:t>
      </w:r>
      <w:r>
        <w:rPr>
          <w:rFonts w:hint="eastAsia"/>
          <w:bCs/>
          <w:sz w:val="24"/>
          <w:szCs w:val="24"/>
          <w:lang w:eastAsia="zh-CN"/>
        </w:rPr>
        <w:t>交银施罗德港股消费混合型证券投资基金（QDII）</w:t>
      </w:r>
      <w:r>
        <w:rPr>
          <w:bCs/>
          <w:sz w:val="24"/>
          <w:szCs w:val="24"/>
        </w:rPr>
        <w:t>自</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日起至2026年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14</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sz w:val="24"/>
        </w:rPr>
        <w:t>在本公司网站（www.fund001.com）和中国证监会基金电子披露网站（http://eid.csrc.gov.cn/fund）披露</w:t>
      </w:r>
      <w:r>
        <w:rPr>
          <w:sz w:val="24"/>
        </w:rPr>
        <w:t>的</w:t>
      </w:r>
      <w:r>
        <w:rPr>
          <w:rFonts w:hint="eastAsia"/>
          <w:bCs/>
          <w:sz w:val="24"/>
          <w:szCs w:val="24"/>
          <w:lang w:eastAsia="zh-CN"/>
        </w:rPr>
        <w:t>交银施罗德港股消费混合型证券投资基金（QDII）</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14:paraId="12829D8D">
      <w:pPr>
        <w:adjustRightInd w:val="0"/>
        <w:snapToGrid w:val="0"/>
        <w:spacing w:line="360" w:lineRule="auto"/>
        <w:ind w:firstLine="480" w:firstLineChars="200"/>
        <w:rPr>
          <w:bCs/>
          <w:sz w:val="24"/>
          <w:szCs w:val="24"/>
        </w:rPr>
      </w:pPr>
      <w:r>
        <w:rPr>
          <w:bCs/>
          <w:sz w:val="24"/>
          <w:szCs w:val="24"/>
        </w:rPr>
        <w:t>2、</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、基金合同及其摘要、托管协议同时发布在本公司网站（www.fund001.com）。投资人亦可通过本公司网站下载基金申请表格和了解基金募集相关事宜。</w:t>
      </w:r>
    </w:p>
    <w:p w14:paraId="31EAB14F">
      <w:pPr>
        <w:adjustRightInd w:val="0"/>
        <w:snapToGrid w:val="0"/>
        <w:spacing w:line="360" w:lineRule="auto"/>
        <w:ind w:firstLine="480" w:firstLineChars="200"/>
        <w:rPr>
          <w:bCs/>
          <w:sz w:val="24"/>
          <w:szCs w:val="24"/>
        </w:rPr>
      </w:pPr>
      <w:r>
        <w:rPr>
          <w:kern w:val="0"/>
          <w:sz w:val="24"/>
        </w:rPr>
        <w:t>3</w:t>
      </w:r>
      <w:r>
        <w:rPr>
          <w:rFonts w:hAnsi="宋体"/>
          <w:kern w:val="0"/>
          <w:sz w:val="24"/>
        </w:rPr>
        <w:t>、本基金销售渠道为基金管理人</w:t>
      </w:r>
      <w:r>
        <w:rPr>
          <w:rFonts w:hint="eastAsia" w:hAnsi="宋体"/>
          <w:kern w:val="0"/>
          <w:sz w:val="24"/>
        </w:rPr>
        <w:t>直销</w:t>
      </w:r>
      <w:r>
        <w:rPr>
          <w:rFonts w:hAnsi="宋体"/>
          <w:kern w:val="0"/>
          <w:sz w:val="24"/>
        </w:rPr>
        <w:t>柜台及其网上</w:t>
      </w:r>
      <w:r>
        <w:rPr>
          <w:rFonts w:hint="eastAsia" w:hAnsi="宋体"/>
          <w:kern w:val="0"/>
          <w:sz w:val="24"/>
        </w:rPr>
        <w:t>直销</w:t>
      </w:r>
      <w:r>
        <w:rPr>
          <w:rFonts w:hAnsi="宋体"/>
          <w:kern w:val="0"/>
          <w:sz w:val="24"/>
        </w:rPr>
        <w:t>交易平台和</w:t>
      </w:r>
      <w:r>
        <w:rPr>
          <w:rFonts w:hint="eastAsia" w:hAnsi="宋体"/>
          <w:kern w:val="0"/>
          <w:sz w:val="24"/>
        </w:rPr>
        <w:t>除基金管理人之外的其他</w:t>
      </w:r>
      <w:r>
        <w:rPr>
          <w:rFonts w:hAnsi="宋体"/>
          <w:kern w:val="0"/>
          <w:sz w:val="24"/>
        </w:rPr>
        <w:t>销售机构。</w:t>
      </w:r>
    </w:p>
    <w:p w14:paraId="1AB1A8B7">
      <w:pPr>
        <w:adjustRightInd w:val="0"/>
        <w:snapToGrid w:val="0"/>
        <w:spacing w:line="360" w:lineRule="auto"/>
        <w:ind w:firstLine="480" w:firstLineChars="200"/>
        <w:rPr>
          <w:bCs/>
          <w:sz w:val="24"/>
          <w:szCs w:val="24"/>
        </w:rPr>
      </w:pPr>
      <w:r>
        <w:rPr>
          <w:bCs/>
          <w:sz w:val="24"/>
          <w:szCs w:val="24"/>
        </w:rPr>
        <w:t>4、</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14:paraId="619461E5">
      <w:pPr>
        <w:adjustRightInd w:val="0"/>
        <w:snapToGrid w:val="0"/>
        <w:spacing w:line="360" w:lineRule="auto"/>
        <w:ind w:firstLine="480" w:firstLineChars="20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14:paraId="19F8ACA3">
      <w:pPr>
        <w:adjustRightInd w:val="0"/>
        <w:snapToGrid w:val="0"/>
        <w:spacing w:line="360" w:lineRule="auto"/>
        <w:ind w:firstLine="480" w:firstLineChars="200"/>
        <w:rPr>
          <w:bCs/>
          <w:sz w:val="24"/>
          <w:szCs w:val="24"/>
        </w:rPr>
      </w:pPr>
    </w:p>
    <w:p w14:paraId="1E93E70D">
      <w:pPr>
        <w:adjustRightInd w:val="0"/>
        <w:snapToGrid w:val="0"/>
        <w:spacing w:line="360" w:lineRule="auto"/>
        <w:ind w:firstLine="480" w:firstLineChars="200"/>
        <w:outlineLvl w:val="0"/>
        <w:rPr>
          <w:bCs/>
          <w:sz w:val="24"/>
          <w:szCs w:val="24"/>
        </w:rPr>
      </w:pPr>
      <w:r>
        <w:rPr>
          <w:rFonts w:hint="eastAsia"/>
          <w:bCs/>
          <w:sz w:val="24"/>
          <w:szCs w:val="24"/>
        </w:rPr>
        <w:t>二</w:t>
      </w:r>
      <w:r>
        <w:rPr>
          <w:bCs/>
          <w:sz w:val="24"/>
          <w:szCs w:val="24"/>
        </w:rPr>
        <w:t>、投资人可通</w:t>
      </w:r>
      <w:bookmarkStart w:id="0" w:name="_GoBack"/>
      <w:bookmarkEnd w:id="0"/>
      <w:r>
        <w:rPr>
          <w:bCs/>
          <w:sz w:val="24"/>
          <w:szCs w:val="24"/>
        </w:rPr>
        <w:t>过以下途径咨询有关详情：</w:t>
      </w:r>
    </w:p>
    <w:p w14:paraId="741249CC">
      <w:pPr>
        <w:adjustRightInd w:val="0"/>
        <w:snapToGrid w:val="0"/>
        <w:spacing w:line="360" w:lineRule="auto"/>
        <w:ind w:firstLine="480" w:firstLineChars="200"/>
        <w:rPr>
          <w:rFonts w:hint="default"/>
          <w:bCs/>
          <w:sz w:val="24"/>
          <w:szCs w:val="24"/>
        </w:rPr>
      </w:pPr>
      <w:r>
        <w:rPr>
          <w:rFonts w:hint="default"/>
          <w:bCs/>
          <w:sz w:val="24"/>
          <w:szCs w:val="24"/>
        </w:rPr>
        <w:t>国泰海通证券股份有限公司</w:t>
      </w:r>
    </w:p>
    <w:p w14:paraId="655078F6">
      <w:pPr>
        <w:adjustRightInd w:val="0"/>
        <w:snapToGrid w:val="0"/>
        <w:spacing w:line="360" w:lineRule="auto"/>
        <w:ind w:firstLine="480" w:firstLineChars="200"/>
        <w:rPr>
          <w:rFonts w:hint="default"/>
          <w:bCs/>
          <w:sz w:val="24"/>
          <w:szCs w:val="24"/>
        </w:rPr>
      </w:pPr>
      <w:r>
        <w:rPr>
          <w:rFonts w:hint="default"/>
          <w:bCs/>
          <w:sz w:val="24"/>
          <w:szCs w:val="24"/>
        </w:rPr>
        <w:t>客户服务电话：95521 / 4008888666</w:t>
      </w:r>
    </w:p>
    <w:p w14:paraId="1E819260">
      <w:pPr>
        <w:adjustRightInd w:val="0"/>
        <w:snapToGrid w:val="0"/>
        <w:spacing w:line="360" w:lineRule="auto"/>
        <w:ind w:firstLine="480" w:firstLineChars="200"/>
        <w:rPr>
          <w:rFonts w:hint="default"/>
          <w:bCs/>
          <w:sz w:val="24"/>
          <w:szCs w:val="24"/>
        </w:rPr>
      </w:pPr>
      <w:r>
        <w:rPr>
          <w:rFonts w:hint="default"/>
          <w:bCs/>
          <w:sz w:val="24"/>
          <w:szCs w:val="24"/>
        </w:rPr>
        <w:t>网址：</w:t>
      </w:r>
      <w:r>
        <w:rPr>
          <w:rFonts w:hint="default"/>
          <w:bCs/>
          <w:sz w:val="24"/>
          <w:szCs w:val="24"/>
        </w:rPr>
        <w:fldChar w:fldCharType="begin"/>
      </w:r>
      <w:r>
        <w:rPr>
          <w:rFonts w:hint="default"/>
          <w:bCs/>
          <w:sz w:val="24"/>
          <w:szCs w:val="24"/>
        </w:rPr>
        <w:instrText xml:space="preserve"> HYPERLINK "http://www.gtht.com" </w:instrText>
      </w:r>
      <w:r>
        <w:rPr>
          <w:rFonts w:hint="default"/>
          <w:bCs/>
          <w:sz w:val="24"/>
          <w:szCs w:val="24"/>
        </w:rPr>
        <w:fldChar w:fldCharType="separate"/>
      </w:r>
      <w:r>
        <w:rPr>
          <w:rFonts w:hint="default"/>
          <w:bCs/>
          <w:sz w:val="24"/>
          <w:szCs w:val="24"/>
        </w:rPr>
        <w:t>www.gtht.com</w:t>
      </w:r>
      <w:r>
        <w:rPr>
          <w:rFonts w:hint="default"/>
          <w:bCs/>
          <w:sz w:val="24"/>
          <w:szCs w:val="24"/>
        </w:rPr>
        <w:fldChar w:fldCharType="end"/>
      </w:r>
    </w:p>
    <w:p w14:paraId="6C67C592">
      <w:pPr>
        <w:adjustRightInd w:val="0"/>
        <w:snapToGrid w:val="0"/>
        <w:spacing w:line="360" w:lineRule="auto"/>
        <w:ind w:firstLine="480" w:firstLineChars="200"/>
        <w:rPr>
          <w:rFonts w:hint="default" w:eastAsia="宋体"/>
          <w:bCs/>
          <w:sz w:val="24"/>
          <w:szCs w:val="24"/>
          <w:lang w:eastAsia="zh-CN"/>
        </w:rPr>
      </w:pPr>
    </w:p>
    <w:p w14:paraId="63E2E25D">
      <w:pPr>
        <w:adjustRightInd w:val="0"/>
        <w:snapToGrid w:val="0"/>
        <w:spacing w:line="360" w:lineRule="auto"/>
        <w:ind w:firstLine="480" w:firstLineChars="200"/>
        <w:rPr>
          <w:bCs/>
          <w:sz w:val="24"/>
          <w:szCs w:val="24"/>
        </w:rPr>
      </w:pPr>
      <w:r>
        <w:rPr>
          <w:bCs/>
          <w:sz w:val="24"/>
          <w:szCs w:val="24"/>
        </w:rPr>
        <w:t>风险提示：</w:t>
      </w:r>
    </w:p>
    <w:p w14:paraId="0E749912">
      <w:pPr>
        <w:adjustRightInd w:val="0"/>
        <w:snapToGrid w:val="0"/>
        <w:spacing w:line="360" w:lineRule="auto"/>
        <w:ind w:firstLine="480" w:firstLineChars="200"/>
        <w:rPr>
          <w:bCs/>
          <w:sz w:val="24"/>
          <w:szCs w:val="24"/>
        </w:rPr>
      </w:pPr>
      <w:r>
        <w:rPr>
          <w:bCs/>
          <w:sz w:val="24"/>
          <w:szCs w:val="24"/>
        </w:rPr>
        <w:t>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r>
        <w:rPr>
          <w:bCs/>
          <w:sz w:val="24"/>
          <w:szCs w:val="24"/>
        </w:rPr>
        <w:br w:type="textWrapping"/>
      </w:r>
    </w:p>
    <w:p w14:paraId="71258DC1">
      <w:pPr>
        <w:adjustRightInd w:val="0"/>
        <w:snapToGrid w:val="0"/>
        <w:spacing w:line="360" w:lineRule="auto"/>
        <w:ind w:firstLine="480" w:firstLineChars="200"/>
        <w:rPr>
          <w:bCs/>
          <w:sz w:val="24"/>
          <w:szCs w:val="24"/>
        </w:rPr>
      </w:pPr>
      <w:r>
        <w:rPr>
          <w:bCs/>
          <w:sz w:val="24"/>
          <w:szCs w:val="24"/>
        </w:rPr>
        <w:t>特此公告。</w:t>
      </w:r>
    </w:p>
    <w:p w14:paraId="5EABC7AB">
      <w:pPr>
        <w:adjustRightInd w:val="0"/>
        <w:snapToGrid w:val="0"/>
        <w:spacing w:line="360" w:lineRule="auto"/>
        <w:rPr>
          <w:bCs/>
          <w:sz w:val="24"/>
          <w:szCs w:val="24"/>
        </w:rPr>
      </w:pPr>
    </w:p>
    <w:p w14:paraId="21429E62">
      <w:pPr>
        <w:adjustRightInd w:val="0"/>
        <w:snapToGrid w:val="0"/>
        <w:spacing w:line="360" w:lineRule="auto"/>
        <w:ind w:firstLine="480" w:firstLineChars="200"/>
        <w:jc w:val="right"/>
        <w:rPr>
          <w:bCs/>
          <w:sz w:val="24"/>
          <w:szCs w:val="24"/>
        </w:rPr>
      </w:pPr>
      <w:r>
        <w:rPr>
          <w:bCs/>
          <w:sz w:val="24"/>
          <w:szCs w:val="24"/>
        </w:rPr>
        <w:t>交银施罗德基金管理有限公司</w:t>
      </w:r>
    </w:p>
    <w:p w14:paraId="5D31E37A">
      <w:pPr>
        <w:adjustRightInd w:val="0"/>
        <w:snapToGrid w:val="0"/>
        <w:spacing w:line="360" w:lineRule="auto"/>
        <w:ind w:firstLine="480" w:firstLineChars="200"/>
        <w:jc w:val="right"/>
        <w:rPr>
          <w:sz w:val="24"/>
        </w:rPr>
      </w:pPr>
      <w:r>
        <w:rPr>
          <w:bCs/>
          <w:sz w:val="24"/>
          <w:szCs w:val="24"/>
        </w:rPr>
        <w:t>二〇二</w:t>
      </w:r>
      <w:r>
        <w:rPr>
          <w:rFonts w:hint="eastAsia"/>
          <w:bCs/>
          <w:sz w:val="24"/>
          <w:szCs w:val="24"/>
        </w:rPr>
        <w:t>六</w:t>
      </w:r>
      <w:r>
        <w:rPr>
          <w:bCs/>
          <w:sz w:val="24"/>
          <w:szCs w:val="24"/>
        </w:rPr>
        <w:t>年</w:t>
      </w:r>
      <w:r>
        <w:rPr>
          <w:rFonts w:hint="eastAsia"/>
          <w:bCs/>
          <w:sz w:val="24"/>
          <w:szCs w:val="24"/>
          <w:lang w:val="en-US" w:eastAsia="zh-CN"/>
        </w:rPr>
        <w:t>八</w:t>
      </w:r>
      <w:r>
        <w:rPr>
          <w:bCs/>
          <w:sz w:val="24"/>
          <w:szCs w:val="24"/>
        </w:rPr>
        <w:t>月</w:t>
      </w:r>
      <w:r>
        <w:rPr>
          <w:rFonts w:hint="eastAsia"/>
          <w:bCs/>
          <w:sz w:val="24"/>
          <w:szCs w:val="24"/>
          <w:lang w:val="en-US" w:eastAsia="zh-CN"/>
        </w:rPr>
        <w:t>十一</w:t>
      </w:r>
      <w:r>
        <w:rPr>
          <w:bCs/>
          <w:sz w:val="24"/>
          <w:szCs w:val="24"/>
        </w:rPr>
        <w:t>日</w:t>
      </w:r>
    </w:p>
    <w:sectPr>
      <w:headerReference r:id="rId3" w:type="default"/>
      <w:footerReference r:id="rId4" w:type="default"/>
      <w:pgSz w:w="11906" w:h="16838"/>
      <w:pgMar w:top="2193"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等线"/>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F6E9">
    <w:pPr>
      <w:pStyle w:val="22"/>
      <w:jc w:val="center"/>
    </w:pPr>
    <w:r>
      <w:fldChar w:fldCharType="begin"/>
    </w:r>
    <w:r>
      <w:instrText xml:space="preserve"> PAGE   \* MERGEFORMAT </w:instrText>
    </w:r>
    <w:r>
      <w:fldChar w:fldCharType="separate"/>
    </w:r>
    <w:r>
      <w:rPr>
        <w:lang w:val="zh-CN"/>
      </w:rPr>
      <w:t>1</w:t>
    </w:r>
    <w:r>
      <w:fldChar w:fldCharType="end"/>
    </w:r>
  </w:p>
  <w:p w14:paraId="73418596">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30AD">
    <w:pPr>
      <w:pStyle w:val="23"/>
      <w:pBdr>
        <w:bottom w:val="none" w:color="auto" w:sz="0" w:space="0"/>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402E"/>
    <w:rsid w:val="00EA425C"/>
    <w:rsid w:val="00EA4655"/>
    <w:rsid w:val="00EA6460"/>
    <w:rsid w:val="00EA6E10"/>
    <w:rsid w:val="00EA70B2"/>
    <w:rsid w:val="00EA7369"/>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A897349"/>
    <w:rsid w:val="0C9A14BB"/>
    <w:rsid w:val="0E6226D5"/>
    <w:rsid w:val="0F1A6AE2"/>
    <w:rsid w:val="0F711EEB"/>
    <w:rsid w:val="154500F5"/>
    <w:rsid w:val="181C2A9C"/>
    <w:rsid w:val="18C34F8A"/>
    <w:rsid w:val="1FCF5B93"/>
    <w:rsid w:val="20F118B7"/>
    <w:rsid w:val="271E1753"/>
    <w:rsid w:val="2C272416"/>
    <w:rsid w:val="2EE950A7"/>
    <w:rsid w:val="2FDD3F15"/>
    <w:rsid w:val="30FD4CCD"/>
    <w:rsid w:val="36445DA8"/>
    <w:rsid w:val="364862A2"/>
    <w:rsid w:val="3E20566B"/>
    <w:rsid w:val="4C8C4A32"/>
    <w:rsid w:val="4DCF53C1"/>
    <w:rsid w:val="4E2F3158"/>
    <w:rsid w:val="54AA2998"/>
    <w:rsid w:val="54C15C18"/>
    <w:rsid w:val="566249E3"/>
    <w:rsid w:val="5BEA08B3"/>
    <w:rsid w:val="5DB62D7A"/>
    <w:rsid w:val="6B2549B1"/>
    <w:rsid w:val="6B2F4085"/>
    <w:rsid w:val="6DA47593"/>
    <w:rsid w:val="6EE75E08"/>
    <w:rsid w:val="75A510E0"/>
    <w:rsid w:val="789116DE"/>
    <w:rsid w:val="7A213771"/>
    <w:rsid w:val="7AD56F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3"/>
    <w:qFormat/>
    <w:uiPriority w:val="99"/>
    <w:pPr>
      <w:keepNext/>
      <w:keepLines/>
      <w:spacing w:beforeLines="50" w:afterLines="50" w:line="360" w:lineRule="auto"/>
      <w:jc w:val="center"/>
      <w:outlineLvl w:val="0"/>
    </w:pPr>
    <w:rPr>
      <w:rFonts w:ascii="宋体" w:hAnsi="宋体" w:cs="宋体"/>
      <w:b/>
      <w:bCs/>
      <w:kern w:val="44"/>
      <w:sz w:val="24"/>
      <w:szCs w:val="24"/>
    </w:rPr>
  </w:style>
  <w:style w:type="paragraph" w:styleId="3">
    <w:name w:val="heading 2"/>
    <w:basedOn w:val="1"/>
    <w:next w:val="4"/>
    <w:link w:val="44"/>
    <w:qFormat/>
    <w:uiPriority w:val="99"/>
    <w:pPr>
      <w:keepNext/>
      <w:keepLines/>
      <w:spacing w:beforeLines="50" w:afterLines="50" w:line="360" w:lineRule="auto"/>
      <w:outlineLvl w:val="1"/>
    </w:pPr>
    <w:rPr>
      <w:rFonts w:ascii="宋体" w:hAnsi="宋体" w:eastAsia="黑体" w:cs="宋体"/>
      <w:b/>
      <w:bCs/>
      <w:sz w:val="24"/>
      <w:szCs w:val="24"/>
    </w:rPr>
  </w:style>
  <w:style w:type="paragraph" w:styleId="5">
    <w:name w:val="heading 3"/>
    <w:basedOn w:val="1"/>
    <w:next w:val="4"/>
    <w:link w:val="45"/>
    <w:qFormat/>
    <w:uiPriority w:val="99"/>
    <w:pPr>
      <w:keepNext/>
      <w:keepLines/>
      <w:spacing w:line="360" w:lineRule="auto"/>
      <w:outlineLvl w:val="2"/>
    </w:pPr>
    <w:rPr>
      <w:b/>
      <w:bCs/>
      <w:sz w:val="24"/>
      <w:szCs w:val="24"/>
    </w:rPr>
  </w:style>
  <w:style w:type="paragraph" w:styleId="6">
    <w:name w:val="heading 4"/>
    <w:basedOn w:val="1"/>
    <w:next w:val="4"/>
    <w:link w:val="46"/>
    <w:qFormat/>
    <w:uiPriority w:val="99"/>
    <w:pPr>
      <w:keepNext/>
      <w:keepLines/>
      <w:spacing w:line="360" w:lineRule="auto"/>
      <w:outlineLvl w:val="3"/>
    </w:pPr>
    <w:rPr>
      <w:rFonts w:ascii="Arial" w:hAnsi="Arial" w:eastAsia="黑体" w:cs="Arial"/>
      <w:b/>
      <w:bCs/>
      <w:sz w:val="24"/>
      <w:szCs w:val="24"/>
    </w:rPr>
  </w:style>
  <w:style w:type="paragraph" w:styleId="7">
    <w:name w:val="heading 5"/>
    <w:basedOn w:val="8"/>
    <w:next w:val="8"/>
    <w:link w:val="47"/>
    <w:qFormat/>
    <w:uiPriority w:val="99"/>
    <w:pPr>
      <w:snapToGrid w:val="0"/>
      <w:spacing w:after="0" w:line="360" w:lineRule="auto"/>
      <w:outlineLvl w:val="4"/>
    </w:pPr>
    <w:rPr>
      <w:rFonts w:eastAsia="楷体_GB2312"/>
      <w:sz w:val="24"/>
      <w:szCs w:val="24"/>
    </w:rPr>
  </w:style>
  <w:style w:type="paragraph" w:styleId="9">
    <w:name w:val="heading 6"/>
    <w:basedOn w:val="1"/>
    <w:next w:val="8"/>
    <w:link w:val="48"/>
    <w:qFormat/>
    <w:uiPriority w:val="99"/>
    <w:pPr>
      <w:snapToGrid w:val="0"/>
      <w:spacing w:before="60" w:after="60" w:line="360" w:lineRule="auto"/>
      <w:outlineLvl w:val="5"/>
    </w:pPr>
    <w:rPr>
      <w:rFonts w:eastAsia="楷体_GB2312"/>
      <w:sz w:val="24"/>
      <w:szCs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spacing w:line="360" w:lineRule="auto"/>
      <w:ind w:firstLine="420"/>
    </w:pPr>
    <w:rPr>
      <w:sz w:val="24"/>
      <w:szCs w:val="24"/>
    </w:rPr>
  </w:style>
  <w:style w:type="paragraph" w:styleId="8">
    <w:name w:val="Body Text"/>
    <w:basedOn w:val="1"/>
    <w:link w:val="49"/>
    <w:qFormat/>
    <w:uiPriority w:val="99"/>
    <w:pPr>
      <w:spacing w:after="120"/>
    </w:pPr>
  </w:style>
  <w:style w:type="paragraph" w:styleId="10">
    <w:name w:val="toc 7"/>
    <w:basedOn w:val="1"/>
    <w:next w:val="1"/>
    <w:semiHidden/>
    <w:qFormat/>
    <w:uiPriority w:val="99"/>
    <w:pPr>
      <w:ind w:left="1260"/>
      <w:jc w:val="left"/>
    </w:pPr>
  </w:style>
  <w:style w:type="paragraph" w:styleId="11">
    <w:name w:val="Document Map"/>
    <w:basedOn w:val="1"/>
    <w:link w:val="80"/>
    <w:semiHidden/>
    <w:unhideWhenUsed/>
    <w:qFormat/>
    <w:uiPriority w:val="99"/>
    <w:rPr>
      <w:rFonts w:ascii="宋体"/>
      <w:sz w:val="18"/>
      <w:szCs w:val="18"/>
    </w:rPr>
  </w:style>
  <w:style w:type="paragraph" w:styleId="12">
    <w:name w:val="annotation text"/>
    <w:basedOn w:val="1"/>
    <w:link w:val="62"/>
    <w:semiHidden/>
    <w:qFormat/>
    <w:uiPriority w:val="99"/>
    <w:pPr>
      <w:jc w:val="left"/>
    </w:pPr>
  </w:style>
  <w:style w:type="paragraph" w:styleId="13">
    <w:name w:val="Body Text Indent"/>
    <w:basedOn w:val="1"/>
    <w:link w:val="58"/>
    <w:qFormat/>
    <w:uiPriority w:val="99"/>
    <w:pPr>
      <w:spacing w:before="50" w:after="50" w:line="360" w:lineRule="auto"/>
      <w:ind w:left="1260" w:leftChars="600" w:firstLine="420" w:firstLineChars="175"/>
    </w:pPr>
    <w:rPr>
      <w:rFonts w:ascii="宋体" w:hAnsi="宋体" w:cs="宋体"/>
      <w:sz w:val="24"/>
      <w:szCs w:val="24"/>
    </w:rPr>
  </w:style>
  <w:style w:type="paragraph" w:styleId="14">
    <w:name w:val="Block Text"/>
    <w:basedOn w:val="1"/>
    <w:qFormat/>
    <w:uiPriority w:val="99"/>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15">
    <w:name w:val="toc 5"/>
    <w:basedOn w:val="1"/>
    <w:next w:val="1"/>
    <w:semiHidden/>
    <w:qFormat/>
    <w:uiPriority w:val="99"/>
    <w:pPr>
      <w:ind w:left="840"/>
      <w:jc w:val="left"/>
    </w:pPr>
  </w:style>
  <w:style w:type="paragraph" w:styleId="16">
    <w:name w:val="toc 3"/>
    <w:basedOn w:val="1"/>
    <w:next w:val="1"/>
    <w:semiHidden/>
    <w:qFormat/>
    <w:uiPriority w:val="99"/>
    <w:pPr>
      <w:ind w:left="420"/>
      <w:jc w:val="left"/>
    </w:pPr>
    <w:rPr>
      <w:i/>
      <w:iCs/>
    </w:rPr>
  </w:style>
  <w:style w:type="paragraph" w:styleId="17">
    <w:name w:val="Plain Text"/>
    <w:basedOn w:val="1"/>
    <w:link w:val="55"/>
    <w:qFormat/>
    <w:uiPriority w:val="99"/>
    <w:rPr>
      <w:rFonts w:ascii="宋体" w:hAnsi="Courier New" w:cs="宋体"/>
      <w:sz w:val="16"/>
      <w:szCs w:val="16"/>
    </w:rPr>
  </w:style>
  <w:style w:type="paragraph" w:styleId="18">
    <w:name w:val="toc 8"/>
    <w:basedOn w:val="1"/>
    <w:next w:val="1"/>
    <w:semiHidden/>
    <w:qFormat/>
    <w:uiPriority w:val="99"/>
    <w:pPr>
      <w:ind w:left="1470"/>
      <w:jc w:val="left"/>
    </w:pPr>
  </w:style>
  <w:style w:type="paragraph" w:styleId="19">
    <w:name w:val="Date"/>
    <w:basedOn w:val="1"/>
    <w:next w:val="1"/>
    <w:link w:val="64"/>
    <w:qFormat/>
    <w:uiPriority w:val="99"/>
    <w:pPr>
      <w:ind w:left="100" w:leftChars="2500"/>
    </w:pPr>
  </w:style>
  <w:style w:type="paragraph" w:styleId="20">
    <w:name w:val="Body Text Indent 2"/>
    <w:basedOn w:val="1"/>
    <w:link w:val="52"/>
    <w:qFormat/>
    <w:uiPriority w:val="99"/>
    <w:pPr>
      <w:spacing w:before="50" w:after="50" w:line="360" w:lineRule="auto"/>
      <w:ind w:firstLine="420"/>
    </w:pPr>
    <w:rPr>
      <w:rFonts w:ascii="宋体" w:hAnsi="宋体" w:cs="宋体"/>
      <w:color w:val="0000FF"/>
      <w:sz w:val="24"/>
      <w:szCs w:val="24"/>
    </w:rPr>
  </w:style>
  <w:style w:type="paragraph" w:styleId="21">
    <w:name w:val="Balloon Text"/>
    <w:basedOn w:val="1"/>
    <w:link w:val="60"/>
    <w:semiHidden/>
    <w:qFormat/>
    <w:uiPriority w:val="99"/>
    <w:rPr>
      <w:sz w:val="18"/>
      <w:szCs w:val="18"/>
    </w:rPr>
  </w:style>
  <w:style w:type="paragraph" w:styleId="22">
    <w:name w:val="footer"/>
    <w:basedOn w:val="1"/>
    <w:link w:val="54"/>
    <w:qFormat/>
    <w:uiPriority w:val="99"/>
    <w:pPr>
      <w:tabs>
        <w:tab w:val="center" w:pos="4153"/>
        <w:tab w:val="right" w:pos="8306"/>
      </w:tabs>
      <w:snapToGrid w:val="0"/>
      <w:jc w:val="left"/>
    </w:pPr>
    <w:rPr>
      <w:sz w:val="18"/>
      <w:szCs w:val="18"/>
    </w:rPr>
  </w:style>
  <w:style w:type="paragraph" w:styleId="23">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pPr>
      <w:tabs>
        <w:tab w:val="right" w:leader="dot" w:pos="8296"/>
      </w:tabs>
      <w:spacing w:before="120" w:after="120"/>
      <w:jc w:val="left"/>
    </w:pPr>
    <w:rPr>
      <w:rFonts w:eastAsia="黑体"/>
      <w:b/>
      <w:bCs/>
      <w:caps/>
      <w:sz w:val="32"/>
      <w:szCs w:val="32"/>
    </w:rPr>
  </w:style>
  <w:style w:type="paragraph" w:styleId="25">
    <w:name w:val="toc 4"/>
    <w:basedOn w:val="1"/>
    <w:next w:val="1"/>
    <w:semiHidden/>
    <w:qFormat/>
    <w:uiPriority w:val="99"/>
    <w:pPr>
      <w:ind w:left="630"/>
      <w:jc w:val="left"/>
    </w:pPr>
  </w:style>
  <w:style w:type="paragraph" w:styleId="26">
    <w:name w:val="footnote text"/>
    <w:basedOn w:val="1"/>
    <w:link w:val="56"/>
    <w:semiHidden/>
    <w:qFormat/>
    <w:uiPriority w:val="99"/>
    <w:pPr>
      <w:snapToGrid w:val="0"/>
      <w:jc w:val="left"/>
    </w:pPr>
    <w:rPr>
      <w:sz w:val="18"/>
      <w:szCs w:val="18"/>
    </w:rPr>
  </w:style>
  <w:style w:type="paragraph" w:styleId="27">
    <w:name w:val="toc 6"/>
    <w:basedOn w:val="1"/>
    <w:next w:val="1"/>
    <w:semiHidden/>
    <w:qFormat/>
    <w:uiPriority w:val="99"/>
    <w:pPr>
      <w:ind w:left="1050"/>
      <w:jc w:val="left"/>
    </w:pPr>
  </w:style>
  <w:style w:type="paragraph" w:styleId="28">
    <w:name w:val="Body Text Indent 3"/>
    <w:basedOn w:val="1"/>
    <w:link w:val="59"/>
    <w:qFormat/>
    <w:uiPriority w:val="99"/>
    <w:pPr>
      <w:spacing w:before="50" w:after="50" w:line="360" w:lineRule="auto"/>
      <w:ind w:left="1260" w:leftChars="600" w:firstLine="480" w:firstLineChars="200"/>
    </w:pPr>
    <w:rPr>
      <w:rFonts w:ascii="宋体" w:hAnsi="宋体" w:cs="宋体"/>
      <w:sz w:val="24"/>
      <w:szCs w:val="24"/>
    </w:rPr>
  </w:style>
  <w:style w:type="paragraph" w:styleId="29">
    <w:name w:val="toc 2"/>
    <w:basedOn w:val="1"/>
    <w:next w:val="1"/>
    <w:semiHidden/>
    <w:qFormat/>
    <w:uiPriority w:val="99"/>
    <w:pPr>
      <w:ind w:left="210"/>
      <w:jc w:val="left"/>
    </w:pPr>
    <w:rPr>
      <w:smallCaps/>
    </w:rPr>
  </w:style>
  <w:style w:type="paragraph" w:styleId="30">
    <w:name w:val="toc 9"/>
    <w:basedOn w:val="1"/>
    <w:next w:val="1"/>
    <w:semiHidden/>
    <w:qFormat/>
    <w:uiPriority w:val="99"/>
    <w:pPr>
      <w:ind w:left="1680"/>
      <w:jc w:val="left"/>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2"/>
    <w:next w:val="12"/>
    <w:link w:val="63"/>
    <w:semiHidden/>
    <w:qFormat/>
    <w:uiPriority w:val="99"/>
    <w:rPr>
      <w:b/>
      <w:bCs/>
    </w:rPr>
  </w:style>
  <w:style w:type="paragraph" w:styleId="33">
    <w:name w:val="Body Text First Indent"/>
    <w:basedOn w:val="8"/>
    <w:link w:val="57"/>
    <w:qFormat/>
    <w:uiPriority w:val="99"/>
    <w:pPr>
      <w:spacing w:line="300" w:lineRule="auto"/>
      <w:ind w:firstLine="425" w:firstLineChars="15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99"/>
    <w:rPr>
      <w:b/>
      <w:bCs/>
    </w:rPr>
  </w:style>
  <w:style w:type="character" w:styleId="38">
    <w:name w:val="page number"/>
    <w:basedOn w:val="36"/>
    <w:qFormat/>
    <w:uiPriority w:val="99"/>
  </w:style>
  <w:style w:type="character" w:styleId="39">
    <w:name w:val="FollowedHyperlink"/>
    <w:qFormat/>
    <w:uiPriority w:val="99"/>
    <w:rPr>
      <w:color w:val="800080"/>
      <w:u w:val="single"/>
    </w:rPr>
  </w:style>
  <w:style w:type="character" w:styleId="40">
    <w:name w:val="Hyperlink"/>
    <w:qFormat/>
    <w:uiPriority w:val="99"/>
    <w:rPr>
      <w:color w:val="0000FF"/>
      <w:u w:val="single"/>
    </w:rPr>
  </w:style>
  <w:style w:type="character" w:styleId="41">
    <w:name w:val="annotation reference"/>
    <w:semiHidden/>
    <w:qFormat/>
    <w:uiPriority w:val="99"/>
    <w:rPr>
      <w:sz w:val="21"/>
      <w:szCs w:val="21"/>
    </w:rPr>
  </w:style>
  <w:style w:type="character" w:styleId="42">
    <w:name w:val="footnote reference"/>
    <w:semiHidden/>
    <w:qFormat/>
    <w:uiPriority w:val="99"/>
    <w:rPr>
      <w:vertAlign w:val="superscript"/>
    </w:rPr>
  </w:style>
  <w:style w:type="character" w:customStyle="1" w:styleId="43">
    <w:name w:val="标题 1 字符"/>
    <w:link w:val="2"/>
    <w:qFormat/>
    <w:uiPriority w:val="9"/>
    <w:rPr>
      <w:b/>
      <w:bCs/>
      <w:kern w:val="44"/>
      <w:sz w:val="44"/>
      <w:szCs w:val="44"/>
    </w:rPr>
  </w:style>
  <w:style w:type="character" w:customStyle="1" w:styleId="44">
    <w:name w:val="标题 2 字符"/>
    <w:link w:val="3"/>
    <w:semiHidden/>
    <w:qFormat/>
    <w:uiPriority w:val="9"/>
    <w:rPr>
      <w:rFonts w:ascii="Cambria" w:hAnsi="Cambria" w:eastAsia="宋体" w:cs="Times New Roman"/>
      <w:b/>
      <w:bCs/>
      <w:sz w:val="32"/>
      <w:szCs w:val="32"/>
    </w:rPr>
  </w:style>
  <w:style w:type="character" w:customStyle="1" w:styleId="45">
    <w:name w:val="标题 3 字符"/>
    <w:link w:val="5"/>
    <w:semiHidden/>
    <w:qFormat/>
    <w:uiPriority w:val="9"/>
    <w:rPr>
      <w:b/>
      <w:bCs/>
      <w:sz w:val="32"/>
      <w:szCs w:val="32"/>
    </w:rPr>
  </w:style>
  <w:style w:type="character" w:customStyle="1" w:styleId="46">
    <w:name w:val="标题 4 字符"/>
    <w:link w:val="6"/>
    <w:qFormat/>
    <w:locked/>
    <w:uiPriority w:val="99"/>
    <w:rPr>
      <w:rFonts w:ascii="Arial" w:hAnsi="Arial" w:eastAsia="黑体" w:cs="Arial"/>
      <w:b/>
      <w:bCs/>
      <w:kern w:val="2"/>
      <w:sz w:val="24"/>
      <w:szCs w:val="24"/>
    </w:rPr>
  </w:style>
  <w:style w:type="character" w:customStyle="1" w:styleId="47">
    <w:name w:val="标题 5 字符"/>
    <w:link w:val="7"/>
    <w:semiHidden/>
    <w:qFormat/>
    <w:uiPriority w:val="9"/>
    <w:rPr>
      <w:b/>
      <w:bCs/>
      <w:sz w:val="28"/>
      <w:szCs w:val="28"/>
    </w:rPr>
  </w:style>
  <w:style w:type="character" w:customStyle="1" w:styleId="48">
    <w:name w:val="标题 6 字符"/>
    <w:link w:val="9"/>
    <w:semiHidden/>
    <w:qFormat/>
    <w:uiPriority w:val="9"/>
    <w:rPr>
      <w:rFonts w:ascii="Cambria" w:hAnsi="Cambria" w:eastAsia="宋体" w:cs="Times New Roman"/>
      <w:b/>
      <w:bCs/>
      <w:sz w:val="24"/>
      <w:szCs w:val="24"/>
    </w:rPr>
  </w:style>
  <w:style w:type="character" w:customStyle="1" w:styleId="49">
    <w:name w:val="正文文本 字符"/>
    <w:link w:val="8"/>
    <w:semiHidden/>
    <w:qFormat/>
    <w:uiPriority w:val="99"/>
    <w:rPr>
      <w:szCs w:val="21"/>
    </w:rPr>
  </w:style>
  <w:style w:type="paragraph" w:customStyle="1" w:styleId="50">
    <w:name w:val="ccidsiTemplate"/>
    <w:basedOn w:val="1"/>
    <w:qFormat/>
    <w:uiPriority w:val="99"/>
    <w:pPr>
      <w:spacing w:line="360" w:lineRule="auto"/>
    </w:pPr>
    <w:rPr>
      <w:sz w:val="24"/>
      <w:szCs w:val="24"/>
    </w:rPr>
  </w:style>
  <w:style w:type="character" w:customStyle="1" w:styleId="51">
    <w:name w:val="big1"/>
    <w:qFormat/>
    <w:uiPriority w:val="99"/>
    <w:rPr>
      <w:spacing w:val="360"/>
      <w:sz w:val="22"/>
      <w:szCs w:val="22"/>
    </w:rPr>
  </w:style>
  <w:style w:type="character" w:customStyle="1" w:styleId="52">
    <w:name w:val="正文文本缩进 2 字符"/>
    <w:link w:val="20"/>
    <w:semiHidden/>
    <w:qFormat/>
    <w:uiPriority w:val="99"/>
    <w:rPr>
      <w:szCs w:val="21"/>
    </w:rPr>
  </w:style>
  <w:style w:type="character" w:customStyle="1" w:styleId="53">
    <w:name w:val="页眉 字符"/>
    <w:link w:val="23"/>
    <w:qFormat/>
    <w:uiPriority w:val="99"/>
    <w:rPr>
      <w:kern w:val="2"/>
      <w:sz w:val="18"/>
      <w:szCs w:val="18"/>
    </w:rPr>
  </w:style>
  <w:style w:type="character" w:customStyle="1" w:styleId="54">
    <w:name w:val="页脚 字符"/>
    <w:link w:val="22"/>
    <w:qFormat/>
    <w:locked/>
    <w:uiPriority w:val="99"/>
    <w:rPr>
      <w:kern w:val="2"/>
      <w:sz w:val="18"/>
      <w:szCs w:val="18"/>
    </w:rPr>
  </w:style>
  <w:style w:type="character" w:customStyle="1" w:styleId="55">
    <w:name w:val="纯文本 字符"/>
    <w:link w:val="17"/>
    <w:qFormat/>
    <w:locked/>
    <w:uiPriority w:val="99"/>
    <w:rPr>
      <w:rFonts w:ascii="宋体" w:hAnsi="Courier New" w:cs="宋体"/>
      <w:kern w:val="2"/>
      <w:sz w:val="16"/>
      <w:szCs w:val="16"/>
    </w:rPr>
  </w:style>
  <w:style w:type="character" w:customStyle="1" w:styleId="56">
    <w:name w:val="脚注文本 字符"/>
    <w:link w:val="26"/>
    <w:semiHidden/>
    <w:qFormat/>
    <w:locked/>
    <w:uiPriority w:val="99"/>
    <w:rPr>
      <w:kern w:val="2"/>
      <w:sz w:val="18"/>
      <w:szCs w:val="18"/>
    </w:rPr>
  </w:style>
  <w:style w:type="character" w:customStyle="1" w:styleId="57">
    <w:name w:val="正文首行缩进 字符"/>
    <w:link w:val="33"/>
    <w:semiHidden/>
    <w:qFormat/>
    <w:uiPriority w:val="99"/>
    <w:rPr>
      <w:szCs w:val="21"/>
    </w:rPr>
  </w:style>
  <w:style w:type="character" w:customStyle="1" w:styleId="58">
    <w:name w:val="正文文本缩进 字符"/>
    <w:link w:val="13"/>
    <w:semiHidden/>
    <w:qFormat/>
    <w:uiPriority w:val="99"/>
    <w:rPr>
      <w:szCs w:val="21"/>
    </w:rPr>
  </w:style>
  <w:style w:type="character" w:customStyle="1" w:styleId="59">
    <w:name w:val="正文文本缩进 3 字符"/>
    <w:link w:val="28"/>
    <w:semiHidden/>
    <w:qFormat/>
    <w:uiPriority w:val="99"/>
    <w:rPr>
      <w:sz w:val="16"/>
      <w:szCs w:val="16"/>
    </w:rPr>
  </w:style>
  <w:style w:type="character" w:customStyle="1" w:styleId="60">
    <w:name w:val="批注框文本 字符"/>
    <w:link w:val="21"/>
    <w:semiHidden/>
    <w:qFormat/>
    <w:uiPriority w:val="99"/>
    <w:rPr>
      <w:sz w:val="0"/>
      <w:szCs w:val="0"/>
    </w:rPr>
  </w:style>
  <w:style w:type="character" w:customStyle="1" w:styleId="61">
    <w:name w:val="ten51"/>
    <w:qFormat/>
    <w:uiPriority w:val="99"/>
    <w:rPr>
      <w:sz w:val="21"/>
      <w:szCs w:val="21"/>
    </w:rPr>
  </w:style>
  <w:style w:type="character" w:customStyle="1" w:styleId="62">
    <w:name w:val="批注文字 字符"/>
    <w:link w:val="12"/>
    <w:qFormat/>
    <w:locked/>
    <w:uiPriority w:val="99"/>
    <w:rPr>
      <w:kern w:val="2"/>
      <w:sz w:val="24"/>
      <w:szCs w:val="24"/>
    </w:rPr>
  </w:style>
  <w:style w:type="character" w:customStyle="1" w:styleId="63">
    <w:name w:val="批注主题 字符"/>
    <w:link w:val="32"/>
    <w:semiHidden/>
    <w:qFormat/>
    <w:uiPriority w:val="99"/>
    <w:rPr>
      <w:b/>
      <w:bCs/>
      <w:kern w:val="2"/>
      <w:sz w:val="24"/>
      <w:szCs w:val="21"/>
    </w:rPr>
  </w:style>
  <w:style w:type="character" w:customStyle="1" w:styleId="64">
    <w:name w:val="日期 字符"/>
    <w:link w:val="19"/>
    <w:semiHidden/>
    <w:qFormat/>
    <w:uiPriority w:val="99"/>
    <w:rPr>
      <w:szCs w:val="21"/>
    </w:rPr>
  </w:style>
  <w:style w:type="paragraph" w:customStyle="1" w:styleId="65">
    <w:name w:val="Char Char Char Char Char Char Char Char Char1 Char Char Char Char Char Char Char"/>
    <w:basedOn w:val="1"/>
    <w:qFormat/>
    <w:uiPriority w:val="99"/>
    <w:pPr>
      <w:tabs>
        <w:tab w:val="left" w:pos="840"/>
      </w:tabs>
      <w:ind w:left="840" w:hanging="360"/>
    </w:pPr>
    <w:rPr>
      <w:sz w:val="24"/>
      <w:szCs w:val="24"/>
    </w:rPr>
  </w:style>
  <w:style w:type="paragraph" w:customStyle="1" w:styleId="66">
    <w:name w:val="Char Char Char Char Char Char Char"/>
    <w:basedOn w:val="1"/>
    <w:qFormat/>
    <w:uiPriority w:val="99"/>
    <w:pPr>
      <w:tabs>
        <w:tab w:val="left" w:pos="840"/>
      </w:tabs>
      <w:ind w:left="840" w:hanging="360"/>
    </w:pPr>
    <w:rPr>
      <w:sz w:val="24"/>
      <w:szCs w:val="24"/>
    </w:rPr>
  </w:style>
  <w:style w:type="paragraph" w:customStyle="1" w:styleId="67">
    <w:name w:val="Char"/>
    <w:basedOn w:val="1"/>
    <w:qFormat/>
    <w:uiPriority w:val="99"/>
  </w:style>
  <w:style w:type="paragraph" w:customStyle="1" w:styleId="68">
    <w:name w:val="默认段落字体 Para Char"/>
    <w:basedOn w:val="1"/>
    <w:qFormat/>
    <w:uiPriority w:val="99"/>
    <w:pPr>
      <w:tabs>
        <w:tab w:val="left" w:pos="840"/>
      </w:tabs>
      <w:ind w:left="840" w:hanging="420"/>
    </w:pPr>
    <w:rPr>
      <w:sz w:val="24"/>
      <w:szCs w:val="24"/>
    </w:rPr>
  </w:style>
  <w:style w:type="paragraph" w:customStyle="1" w:styleId="69">
    <w:name w:val="Char Char Char Char1 Char Char Char"/>
    <w:basedOn w:val="1"/>
    <w:qFormat/>
    <w:uiPriority w:val="99"/>
  </w:style>
  <w:style w:type="paragraph" w:customStyle="1" w:styleId="70">
    <w:name w:val="Char Char Char Char Char"/>
    <w:basedOn w:val="1"/>
    <w:qFormat/>
    <w:uiPriority w:val="99"/>
    <w:pPr>
      <w:tabs>
        <w:tab w:val="left" w:pos="840"/>
      </w:tabs>
      <w:ind w:left="840" w:hanging="360"/>
    </w:pPr>
    <w:rPr>
      <w:sz w:val="24"/>
      <w:szCs w:val="24"/>
    </w:rPr>
  </w:style>
  <w:style w:type="paragraph" w:customStyle="1" w:styleId="71">
    <w:name w:val="Char Char"/>
    <w:basedOn w:val="1"/>
    <w:qFormat/>
    <w:uiPriority w:val="99"/>
    <w:pPr>
      <w:tabs>
        <w:tab w:val="left" w:pos="840"/>
      </w:tabs>
      <w:ind w:left="840" w:hanging="360"/>
    </w:pPr>
    <w:rPr>
      <w:sz w:val="24"/>
      <w:szCs w:val="24"/>
    </w:rPr>
  </w:style>
  <w:style w:type="paragraph" w:customStyle="1" w:styleId="72">
    <w:name w:val="默认段落字体 Para Char Char Char Char Char Char"/>
    <w:basedOn w:val="1"/>
    <w:qFormat/>
    <w:uiPriority w:val="99"/>
    <w:pPr>
      <w:tabs>
        <w:tab w:val="left" w:pos="840"/>
      </w:tabs>
      <w:ind w:left="840" w:hanging="360"/>
    </w:pPr>
    <w:rPr>
      <w:sz w:val="24"/>
      <w:szCs w:val="24"/>
    </w:rPr>
  </w:style>
  <w:style w:type="paragraph" w:customStyle="1" w:styleId="73">
    <w:name w:val="Char Char Char Char Char Char Char Char Char1 Char Char Char Char"/>
    <w:basedOn w:val="1"/>
    <w:qFormat/>
    <w:uiPriority w:val="99"/>
    <w:pPr>
      <w:tabs>
        <w:tab w:val="left" w:pos="840"/>
      </w:tabs>
      <w:ind w:left="840" w:hanging="360"/>
    </w:pPr>
    <w:rPr>
      <w:sz w:val="24"/>
      <w:szCs w:val="24"/>
    </w:rPr>
  </w:style>
  <w:style w:type="paragraph" w:customStyle="1" w:styleId="74">
    <w:name w:val="1 Char"/>
    <w:basedOn w:val="1"/>
    <w:semiHidden/>
    <w:qFormat/>
    <w:uiPriority w:val="99"/>
    <w:pPr>
      <w:tabs>
        <w:tab w:val="left" w:pos="360"/>
      </w:tabs>
    </w:pPr>
    <w:rPr>
      <w:sz w:val="24"/>
      <w:szCs w:val="24"/>
    </w:rPr>
  </w:style>
  <w:style w:type="paragraph" w:customStyle="1" w:styleId="75">
    <w:name w:val="Char Char Char"/>
    <w:basedOn w:val="1"/>
    <w:qFormat/>
    <w:uiPriority w:val="99"/>
  </w:style>
  <w:style w:type="paragraph" w:customStyle="1" w:styleId="76">
    <w:name w:val="Char1 Char Char Char Char Char Char"/>
    <w:basedOn w:val="1"/>
    <w:qFormat/>
    <w:uiPriority w:val="99"/>
  </w:style>
  <w:style w:type="paragraph" w:customStyle="1" w:styleId="77">
    <w:name w:val="c_"/>
    <w:qFormat/>
    <w:uiPriority w:val="99"/>
    <w:pPr>
      <w:widowControl w:val="0"/>
      <w:autoSpaceDE w:val="0"/>
      <w:autoSpaceDN w:val="0"/>
      <w:adjustRightInd w:val="0"/>
      <w:jc w:val="both"/>
    </w:pPr>
    <w:rPr>
      <w:rFonts w:ascii="五" w:hAnsi="Times New Roman" w:eastAsia="五" w:cs="五"/>
      <w:sz w:val="24"/>
      <w:szCs w:val="24"/>
      <w:lang w:val="en-US" w:eastAsia="zh-CN" w:bidi="ar-SA"/>
    </w:rPr>
  </w:style>
  <w:style w:type="paragraph" w:customStyle="1" w:styleId="78">
    <w:name w:val="修订1"/>
    <w:hidden/>
    <w:semiHidden/>
    <w:qFormat/>
    <w:uiPriority w:val="99"/>
    <w:rPr>
      <w:rFonts w:ascii="Times New Roman" w:hAnsi="Times New Roman" w:eastAsia="宋体" w:cs="Times New Roman"/>
      <w:kern w:val="2"/>
      <w:sz w:val="21"/>
      <w:szCs w:val="21"/>
      <w:lang w:val="en-US" w:eastAsia="zh-CN" w:bidi="ar-SA"/>
    </w:rPr>
  </w:style>
  <w:style w:type="paragraph" w:styleId="79">
    <w:name w:val="List Paragraph"/>
    <w:basedOn w:val="1"/>
    <w:qFormat/>
    <w:uiPriority w:val="34"/>
    <w:pPr>
      <w:ind w:firstLine="420" w:firstLineChars="200"/>
    </w:pPr>
  </w:style>
  <w:style w:type="character" w:customStyle="1" w:styleId="80">
    <w:name w:val="文档结构图 字符"/>
    <w:link w:val="11"/>
    <w:semiHidden/>
    <w:qFormat/>
    <w:uiPriority w:val="99"/>
    <w:rPr>
      <w:rFonts w:ascii="宋体"/>
      <w:kern w:val="2"/>
      <w:sz w:val="18"/>
      <w:szCs w:val="18"/>
    </w:rPr>
  </w:style>
  <w:style w:type="character" w:customStyle="1" w:styleId="81">
    <w:name w:val="txtcontent11"/>
    <w:qFormat/>
    <w:uiPriority w:val="0"/>
    <w:rPr>
      <w:rFonts w:hint="default" w:ascii="Times New Roman" w:hAnsi="Times New Roman" w:cs="Times New Roman"/>
      <w:color w:val="000000"/>
    </w:rPr>
  </w:style>
  <w:style w:type="paragraph" w:customStyle="1" w:styleId="82">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83">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373B-7B2E-42A7-A693-F6166591406C}">
  <ds:schemaRefs/>
</ds:datastoreItem>
</file>

<file path=docProps/app.xml><?xml version="1.0" encoding="utf-8"?>
<Properties xmlns="http://schemas.openxmlformats.org/officeDocument/2006/extended-properties" xmlns:vt="http://schemas.openxmlformats.org/officeDocument/2006/docPropsVTypes">
  <Template>Normal</Template>
  <Company>jysld</Company>
  <Pages>2</Pages>
  <Words>241</Words>
  <Characters>1380</Characters>
  <Lines>11</Lines>
  <Paragraphs>3</Paragraphs>
  <TotalTime>2</TotalTime>
  <ScaleCrop>false</ScaleCrop>
  <LinksUpToDate>false</LinksUpToDate>
  <CharactersWithSpaces>1618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2025-12-29T08:58:00Z</dcterms:created>
  <dc:creator>xzwang</dc:creator>
  <cp:lastModifiedBy>刘晨晨</cp:lastModifiedBy>
  <cp:lastPrinted>2015-04-27T09:59:00Z</cp:lastPrinted>
  <dcterms:modified xsi:type="dcterms:W3CDTF">2026-08-10T01:38:47Z</dcterms:modified>
  <dc:title>募集方案</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54E18BAECBD34E96AE39090292EC8D65_13</vt:lpwstr>
  </property>
</Properties>
</file>