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AF5F3">
      <w:pPr>
        <w:widowControl/>
        <w:jc w:val="center"/>
        <w:rPr>
          <w:rFonts w:eastAsiaTheme="minorEastAsia"/>
          <w:b/>
          <w:kern w:val="0"/>
          <w:sz w:val="30"/>
          <w:szCs w:val="30"/>
        </w:rPr>
      </w:pPr>
      <w:bookmarkStart w:id="4" w:name="_GoBack"/>
      <w:bookmarkEnd w:id="4"/>
      <w:r>
        <w:rPr>
          <w:rFonts w:hint="eastAsia" w:eastAsiaTheme="minorEastAsia"/>
          <w:b/>
          <w:kern w:val="0"/>
          <w:sz w:val="30"/>
          <w:szCs w:val="30"/>
        </w:rPr>
        <w:t>交银施罗德基金管理有限公司关于交银施罗德中证红利低波动100指数型证券投资基金暂停及</w:t>
      </w:r>
      <w:r>
        <w:rPr>
          <w:rFonts w:eastAsiaTheme="minorEastAsia"/>
          <w:b/>
          <w:kern w:val="0"/>
          <w:sz w:val="30"/>
          <w:szCs w:val="30"/>
        </w:rPr>
        <w:t>恢复</w:t>
      </w:r>
      <w:r>
        <w:rPr>
          <w:rFonts w:hint="eastAsia" w:eastAsiaTheme="minorEastAsia"/>
          <w:b/>
          <w:kern w:val="0"/>
          <w:sz w:val="30"/>
          <w:szCs w:val="30"/>
        </w:rPr>
        <w:t>大额申购</w:t>
      </w:r>
      <w:r>
        <w:rPr>
          <w:rFonts w:hint="eastAsia" w:eastAsia="宋体"/>
          <w:b/>
          <w:bCs/>
          <w:color w:val="000000"/>
          <w:sz w:val="30"/>
          <w:szCs w:val="30"/>
        </w:rPr>
        <w:t>（转换转入、定期定额投资）</w:t>
      </w:r>
      <w:r>
        <w:rPr>
          <w:rFonts w:hint="eastAsia" w:eastAsiaTheme="minorEastAsia"/>
          <w:b/>
          <w:kern w:val="0"/>
          <w:sz w:val="30"/>
          <w:szCs w:val="30"/>
        </w:rPr>
        <w:t>业务的公告</w:t>
      </w:r>
    </w:p>
    <w:p w14:paraId="769D7B8A">
      <w:pPr>
        <w:spacing w:line="560" w:lineRule="exact"/>
        <w:jc w:val="center"/>
        <w:rPr>
          <w:rFonts w:eastAsiaTheme="minorEastAsia"/>
          <w:color w:val="000000"/>
          <w:sz w:val="24"/>
          <w:szCs w:val="24"/>
        </w:rPr>
      </w:pPr>
      <w:r>
        <w:rPr>
          <w:rFonts w:eastAsiaTheme="minorEastAsia"/>
          <w:color w:val="000000"/>
          <w:sz w:val="24"/>
          <w:szCs w:val="24"/>
        </w:rPr>
        <w:t>公告送出日期：</w:t>
      </w:r>
      <w:r>
        <w:rPr>
          <w:rFonts w:hint="eastAsia" w:eastAsiaTheme="minorEastAsia"/>
          <w:bCs/>
          <w:sz w:val="24"/>
          <w:szCs w:val="24"/>
        </w:rPr>
        <w:t>20</w:t>
      </w:r>
      <w:r>
        <w:rPr>
          <w:rFonts w:eastAsiaTheme="minorEastAsia"/>
          <w:bCs/>
          <w:sz w:val="24"/>
          <w:szCs w:val="24"/>
        </w:rPr>
        <w:t>26</w:t>
      </w:r>
      <w:r>
        <w:rPr>
          <w:rFonts w:hint="eastAsia" w:eastAsiaTheme="minorEastAsia"/>
          <w:bCs/>
          <w:sz w:val="24"/>
          <w:szCs w:val="24"/>
        </w:rPr>
        <w:t>年</w:t>
      </w:r>
      <w:r>
        <w:rPr>
          <w:rFonts w:hint="eastAsia" w:eastAsiaTheme="minorEastAsia"/>
          <w:bCs/>
          <w:sz w:val="24"/>
          <w:szCs w:val="24"/>
          <w:lang w:val="en-US" w:eastAsia="zh-CN"/>
        </w:rPr>
        <w:t>8</w:t>
      </w:r>
      <w:r>
        <w:rPr>
          <w:rFonts w:hint="eastAsia" w:eastAsiaTheme="minorEastAsia"/>
          <w:bCs/>
          <w:sz w:val="24"/>
          <w:szCs w:val="24"/>
        </w:rPr>
        <w:t>月</w:t>
      </w:r>
      <w:r>
        <w:rPr>
          <w:rFonts w:hint="eastAsia" w:eastAsiaTheme="minorEastAsia"/>
          <w:bCs/>
          <w:sz w:val="24"/>
          <w:szCs w:val="24"/>
          <w:lang w:val="en-US" w:eastAsia="zh-CN"/>
        </w:rPr>
        <w:t>7</w:t>
      </w:r>
      <w:r>
        <w:rPr>
          <w:rFonts w:hint="eastAsia" w:eastAsiaTheme="minorEastAsia"/>
          <w:bCs/>
          <w:sz w:val="24"/>
          <w:szCs w:val="24"/>
        </w:rPr>
        <w:t>日</w:t>
      </w:r>
    </w:p>
    <w:p w14:paraId="035878A7">
      <w:pPr>
        <w:pStyle w:val="3"/>
        <w:spacing w:line="560" w:lineRule="exact"/>
        <w:rPr>
          <w:rFonts w:ascii="Times New Roman" w:hAnsi="Times New Roman" w:eastAsiaTheme="minorEastAsia"/>
          <w:bCs w:val="0"/>
          <w:color w:val="000000"/>
          <w:sz w:val="24"/>
          <w:szCs w:val="24"/>
        </w:rPr>
      </w:pPr>
      <w:bookmarkStart w:id="0" w:name="_Toc275961405"/>
      <w:r>
        <w:rPr>
          <w:rFonts w:ascii="Times New Roman" w:hAnsi="Times New Roman" w:eastAsiaTheme="minorEastAsia"/>
          <w:bCs w:val="0"/>
          <w:color w:val="000000"/>
          <w:sz w:val="24"/>
          <w:szCs w:val="24"/>
        </w:rPr>
        <w:t>1 公告基本信息</w:t>
      </w:r>
      <w:bookmarkEnd w:id="0"/>
    </w:p>
    <w:tbl>
      <w:tblPr>
        <w:tblStyle w:val="10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3030"/>
        <w:gridCol w:w="2909"/>
      </w:tblGrid>
      <w:tr w14:paraId="65BF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</w:tcPr>
          <w:p w14:paraId="2EBA1B71">
            <w:pPr>
              <w:rPr>
                <w:rFonts w:eastAsiaTheme="minorEastAsia"/>
                <w:color w:val="000000"/>
                <w:sz w:val="24"/>
                <w:szCs w:val="24"/>
                <w:highlight w:val="cyan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基金名称</w:t>
            </w:r>
          </w:p>
        </w:tc>
        <w:tc>
          <w:tcPr>
            <w:tcW w:w="3485" w:type="pct"/>
            <w:gridSpan w:val="2"/>
            <w:vAlign w:val="center"/>
          </w:tcPr>
          <w:p w14:paraId="07894FB7">
            <w:pPr>
              <w:snapToGri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交银施罗德中证红利低波动100指数型证券投资基金</w:t>
            </w:r>
          </w:p>
        </w:tc>
      </w:tr>
      <w:tr w14:paraId="24FC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</w:tcPr>
          <w:p w14:paraId="769F87B3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基金简称</w:t>
            </w:r>
          </w:p>
        </w:tc>
        <w:tc>
          <w:tcPr>
            <w:tcW w:w="3485" w:type="pct"/>
            <w:gridSpan w:val="2"/>
            <w:vAlign w:val="center"/>
          </w:tcPr>
          <w:p w14:paraId="50C8736E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交银</w:t>
            </w:r>
            <w:r>
              <w:rPr>
                <w:rFonts w:eastAsiaTheme="minorEastAsia"/>
                <w:sz w:val="24"/>
                <w:szCs w:val="24"/>
              </w:rPr>
              <w:t>中证红利低波动100指数</w:t>
            </w:r>
          </w:p>
        </w:tc>
      </w:tr>
      <w:tr w14:paraId="49878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Align w:val="center"/>
          </w:tcPr>
          <w:p w14:paraId="3C3156E9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基金主代码</w:t>
            </w:r>
          </w:p>
        </w:tc>
        <w:tc>
          <w:tcPr>
            <w:tcW w:w="3485" w:type="pct"/>
            <w:gridSpan w:val="2"/>
            <w:vAlign w:val="center"/>
          </w:tcPr>
          <w:p w14:paraId="50E4D35F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</w:rPr>
              <w:t>020156</w:t>
            </w:r>
          </w:p>
        </w:tc>
      </w:tr>
      <w:tr w14:paraId="1BAD6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</w:tcPr>
          <w:p w14:paraId="263CBA76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基金管理人名称</w:t>
            </w:r>
          </w:p>
        </w:tc>
        <w:tc>
          <w:tcPr>
            <w:tcW w:w="3485" w:type="pct"/>
            <w:gridSpan w:val="2"/>
            <w:vAlign w:val="center"/>
          </w:tcPr>
          <w:p w14:paraId="7027937B">
            <w:pPr>
              <w:snapToGri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交银施罗德基金管理有限公司</w:t>
            </w:r>
          </w:p>
        </w:tc>
      </w:tr>
      <w:tr w14:paraId="4461F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</w:tcPr>
          <w:p w14:paraId="4E84B21C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公告依据</w:t>
            </w:r>
          </w:p>
        </w:tc>
        <w:tc>
          <w:tcPr>
            <w:tcW w:w="3485" w:type="pct"/>
            <w:gridSpan w:val="2"/>
            <w:vAlign w:val="center"/>
          </w:tcPr>
          <w:p w14:paraId="0C906527">
            <w:pPr>
              <w:snapToGrid w:val="0"/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《交银施罗德中证红利低波动100指数型证券投资基金基金合同》、《交银施罗德中证红利低波动100指数型证券投资基金招募说明书》等</w:t>
            </w:r>
          </w:p>
        </w:tc>
      </w:tr>
      <w:tr w14:paraId="0CB29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Merge w:val="restart"/>
            <w:vAlign w:val="center"/>
          </w:tcPr>
          <w:p w14:paraId="1093561B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暂停相关业务的起始日、金额及原因说明</w:t>
            </w:r>
          </w:p>
        </w:tc>
        <w:tc>
          <w:tcPr>
            <w:tcW w:w="1778" w:type="pct"/>
            <w:vAlign w:val="center"/>
          </w:tcPr>
          <w:p w14:paraId="217A596E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暂停大额申购起始日</w:t>
            </w:r>
          </w:p>
        </w:tc>
        <w:tc>
          <w:tcPr>
            <w:tcW w:w="1707" w:type="pct"/>
            <w:vAlign w:val="center"/>
          </w:tcPr>
          <w:p w14:paraId="1F57225B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2026年8月10日</w:t>
            </w:r>
          </w:p>
        </w:tc>
      </w:tr>
      <w:tr w14:paraId="4D05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515" w:type="pct"/>
            <w:vMerge w:val="continue"/>
          </w:tcPr>
          <w:p w14:paraId="51BC40B4"/>
        </w:tc>
        <w:tc>
          <w:tcPr>
            <w:tcW w:w="1778" w:type="pct"/>
            <w:vAlign w:val="center"/>
          </w:tcPr>
          <w:p w14:paraId="033013F9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暂停大额转换转入起始日</w:t>
            </w:r>
          </w:p>
        </w:tc>
        <w:tc>
          <w:tcPr>
            <w:tcW w:w="1707" w:type="pct"/>
            <w:vAlign w:val="center"/>
          </w:tcPr>
          <w:p w14:paraId="68C3296C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2026年8月10日</w:t>
            </w:r>
          </w:p>
        </w:tc>
      </w:tr>
      <w:tr w14:paraId="2EE1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515" w:type="pct"/>
            <w:vMerge w:val="continue"/>
          </w:tcPr>
          <w:p w14:paraId="718F75B1"/>
        </w:tc>
        <w:tc>
          <w:tcPr>
            <w:tcW w:w="1778" w:type="pct"/>
            <w:vAlign w:val="center"/>
          </w:tcPr>
          <w:p w14:paraId="764F8B17">
            <w:pPr>
              <w:rPr>
                <w:sz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暂停大额</w:t>
            </w:r>
            <w:bookmarkStart w:id="1" w:name="OLE_LINK23"/>
            <w:r>
              <w:rPr>
                <w:rFonts w:hint="eastAsia" w:eastAsiaTheme="minorEastAsia"/>
                <w:color w:val="000000"/>
                <w:sz w:val="24"/>
                <w:szCs w:val="24"/>
              </w:rPr>
              <w:t>定期定额投资</w:t>
            </w:r>
            <w:bookmarkEnd w:id="1"/>
            <w:r>
              <w:rPr>
                <w:rFonts w:hint="eastAsia" w:eastAsiaTheme="minorEastAsia"/>
                <w:color w:val="000000"/>
                <w:sz w:val="24"/>
                <w:szCs w:val="24"/>
              </w:rPr>
              <w:t>起始日</w:t>
            </w:r>
          </w:p>
        </w:tc>
        <w:tc>
          <w:tcPr>
            <w:tcW w:w="1707" w:type="pct"/>
            <w:vAlign w:val="center"/>
          </w:tcPr>
          <w:p w14:paraId="492E358A">
            <w:pPr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2026年8月10日</w:t>
            </w:r>
          </w:p>
        </w:tc>
      </w:tr>
      <w:tr w14:paraId="60720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Merge w:val="continue"/>
          </w:tcPr>
          <w:p w14:paraId="5077F0AD"/>
        </w:tc>
        <w:tc>
          <w:tcPr>
            <w:tcW w:w="1778" w:type="pct"/>
            <w:vAlign w:val="center"/>
          </w:tcPr>
          <w:p w14:paraId="2BC302C0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限制</w:t>
            </w:r>
            <w:r>
              <w:rPr>
                <w:rFonts w:hint="eastAsia" w:eastAsiaTheme="minorEastAsia"/>
                <w:color w:val="000000"/>
                <w:sz w:val="24"/>
                <w:szCs w:val="24"/>
              </w:rPr>
              <w:t>大额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申购金额（单位：</w:t>
            </w:r>
            <w:r>
              <w:rPr>
                <w:rFonts w:hint="eastAsia" w:eastAsiaTheme="minor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 xml:space="preserve"> ）</w:t>
            </w:r>
          </w:p>
        </w:tc>
        <w:tc>
          <w:tcPr>
            <w:tcW w:w="1707" w:type="pct"/>
            <w:vAlign w:val="center"/>
          </w:tcPr>
          <w:p w14:paraId="4175A27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kern w:val="0"/>
                <w:sz w:val="24"/>
                <w:szCs w:val="24"/>
              </w:rPr>
              <w:t>1,000,000</w:t>
            </w:r>
          </w:p>
        </w:tc>
      </w:tr>
      <w:tr w14:paraId="217FB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515" w:type="pct"/>
            <w:vMerge w:val="continue"/>
          </w:tcPr>
          <w:p w14:paraId="4CA87380"/>
        </w:tc>
        <w:tc>
          <w:tcPr>
            <w:tcW w:w="1778" w:type="pct"/>
            <w:vAlign w:val="center"/>
          </w:tcPr>
          <w:p w14:paraId="23E77758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限制大额转换转入金额（单位：元）</w:t>
            </w:r>
          </w:p>
        </w:tc>
        <w:tc>
          <w:tcPr>
            <w:tcW w:w="1707" w:type="pct"/>
            <w:vAlign w:val="center"/>
          </w:tcPr>
          <w:p w14:paraId="74FD8877">
            <w:pPr>
              <w:rPr>
                <w:rFonts w:eastAsiaTheme="minorEastAsia"/>
                <w:kern w:val="0"/>
                <w:sz w:val="24"/>
                <w:szCs w:val="24"/>
              </w:rPr>
            </w:pPr>
            <w:r>
              <w:rPr>
                <w:sz w:val="24"/>
              </w:rPr>
              <w:t>1,000,000</w:t>
            </w:r>
          </w:p>
        </w:tc>
      </w:tr>
      <w:tr w14:paraId="34B79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515" w:type="pct"/>
            <w:vMerge w:val="continue"/>
          </w:tcPr>
          <w:p w14:paraId="57C4429A">
            <w:bookmarkStart w:id="2" w:name="_Hlk456039400"/>
          </w:p>
        </w:tc>
        <w:tc>
          <w:tcPr>
            <w:tcW w:w="1778" w:type="pct"/>
            <w:vAlign w:val="center"/>
          </w:tcPr>
          <w:p w14:paraId="647E35EF">
            <w:pPr>
              <w:rPr>
                <w:sz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限制大额定期定额投资金额（单位：元）</w:t>
            </w:r>
          </w:p>
        </w:tc>
        <w:tc>
          <w:tcPr>
            <w:tcW w:w="1707" w:type="pct"/>
            <w:vAlign w:val="center"/>
          </w:tcPr>
          <w:p w14:paraId="0B74FF8B">
            <w:pPr>
              <w:rPr>
                <w:sz w:val="24"/>
              </w:rPr>
            </w:pPr>
            <w:r>
              <w:rPr>
                <w:rFonts w:eastAsiaTheme="minorEastAsia"/>
                <w:kern w:val="0"/>
                <w:sz w:val="24"/>
                <w:szCs w:val="24"/>
              </w:rPr>
              <w:t>1,000,000</w:t>
            </w:r>
          </w:p>
        </w:tc>
      </w:tr>
      <w:bookmarkEnd w:id="2"/>
      <w:tr w14:paraId="34EF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Merge w:val="continue"/>
          </w:tcPr>
          <w:p w14:paraId="791A7B82"/>
        </w:tc>
        <w:tc>
          <w:tcPr>
            <w:tcW w:w="1778" w:type="pct"/>
            <w:vAlign w:val="center"/>
          </w:tcPr>
          <w:p w14:paraId="3DBCD05D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暂停大额申购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（转换转入、定期定额投资）业务</w:t>
            </w:r>
            <w:r>
              <w:rPr>
                <w:rFonts w:eastAsiaTheme="minorEastAsia"/>
                <w:color w:val="000000"/>
                <w:sz w:val="24"/>
                <w:szCs w:val="24"/>
              </w:rPr>
              <w:t>的原因说明</w:t>
            </w:r>
          </w:p>
        </w:tc>
        <w:tc>
          <w:tcPr>
            <w:tcW w:w="1707" w:type="pct"/>
            <w:vAlign w:val="center"/>
          </w:tcPr>
          <w:p w14:paraId="5C48C31C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为保护基金份额持有人的利益</w:t>
            </w:r>
          </w:p>
        </w:tc>
      </w:tr>
      <w:tr w14:paraId="58722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Align w:val="center"/>
          </w:tcPr>
          <w:p w14:paraId="4F481D1B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下属分级基金的基金简称</w:t>
            </w:r>
          </w:p>
        </w:tc>
        <w:tc>
          <w:tcPr>
            <w:tcW w:w="1778" w:type="pct"/>
            <w:vAlign w:val="center"/>
          </w:tcPr>
          <w:p w14:paraId="7639B525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交银</w:t>
            </w:r>
            <w:r>
              <w:rPr>
                <w:rFonts w:eastAsiaTheme="minorEastAsia"/>
                <w:sz w:val="24"/>
                <w:szCs w:val="24"/>
              </w:rPr>
              <w:t xml:space="preserve">中证红利低波动100指数A </w:t>
            </w:r>
          </w:p>
        </w:tc>
        <w:tc>
          <w:tcPr>
            <w:tcW w:w="1707" w:type="pct"/>
            <w:vAlign w:val="center"/>
          </w:tcPr>
          <w:p w14:paraId="2B00E0D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交银</w:t>
            </w:r>
            <w:r>
              <w:rPr>
                <w:rFonts w:eastAsiaTheme="minorEastAsia"/>
                <w:sz w:val="24"/>
                <w:szCs w:val="24"/>
              </w:rPr>
              <w:t xml:space="preserve">中证红利低波动100指数C </w:t>
            </w:r>
          </w:p>
        </w:tc>
      </w:tr>
      <w:tr w14:paraId="48D88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  <w:vAlign w:val="center"/>
          </w:tcPr>
          <w:p w14:paraId="402F188F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下属分级基金的交易代码</w:t>
            </w:r>
          </w:p>
        </w:tc>
        <w:tc>
          <w:tcPr>
            <w:tcW w:w="1778" w:type="pct"/>
            <w:vAlign w:val="center"/>
          </w:tcPr>
          <w:p w14:paraId="7FA6198E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020156</w:t>
            </w:r>
          </w:p>
        </w:tc>
        <w:tc>
          <w:tcPr>
            <w:tcW w:w="1707" w:type="pct"/>
            <w:vAlign w:val="center"/>
          </w:tcPr>
          <w:p w14:paraId="7CB7329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020157</w:t>
            </w:r>
          </w:p>
        </w:tc>
      </w:tr>
      <w:tr w14:paraId="1C29F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pct"/>
          </w:tcPr>
          <w:p w14:paraId="51D597F8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该分级基金是否暂停大额申购</w:t>
            </w: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（转换转入、定期定额投资）业务</w:t>
            </w:r>
          </w:p>
        </w:tc>
        <w:tc>
          <w:tcPr>
            <w:tcW w:w="1778" w:type="pct"/>
            <w:vAlign w:val="center"/>
          </w:tcPr>
          <w:p w14:paraId="2EEBD486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是</w:t>
            </w:r>
          </w:p>
        </w:tc>
        <w:tc>
          <w:tcPr>
            <w:tcW w:w="1707" w:type="pct"/>
            <w:vAlign w:val="center"/>
          </w:tcPr>
          <w:p w14:paraId="5D3771F9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eastAsiaTheme="minorEastAsia"/>
                <w:sz w:val="24"/>
                <w:szCs w:val="24"/>
              </w:rPr>
              <w:t>是</w:t>
            </w:r>
          </w:p>
        </w:tc>
      </w:tr>
    </w:tbl>
    <w:p w14:paraId="15273CE9">
      <w:pPr>
        <w:spacing w:line="360" w:lineRule="auto"/>
        <w:rPr>
          <w:rFonts w:eastAsia="宋体"/>
          <w:color w:val="000000"/>
          <w:sz w:val="24"/>
        </w:rPr>
      </w:pPr>
      <w:bookmarkStart w:id="3" w:name="_Toc275961406"/>
      <w:r>
        <w:rPr>
          <w:rFonts w:hint="eastAsia" w:eastAsia="宋体"/>
          <w:color w:val="000000"/>
          <w:sz w:val="24"/>
        </w:rPr>
        <w:t>注：对于当日单个基金账户单笔或多笔累计申购、转换转入及定期定额投资的金额（本基金各类基金份额的申请金额予以合计）超过人民币100万元（不含）的申请，本基金管理人有权拒绝。</w:t>
      </w:r>
    </w:p>
    <w:p w14:paraId="21A372D2">
      <w:pPr>
        <w:pStyle w:val="3"/>
        <w:spacing w:line="560" w:lineRule="exact"/>
        <w:rPr>
          <w:rFonts w:ascii="Times New Roman" w:hAnsi="Times New Roman" w:eastAsiaTheme="minorEastAsia"/>
          <w:bCs w:val="0"/>
          <w:color w:val="000000"/>
          <w:sz w:val="24"/>
          <w:szCs w:val="24"/>
        </w:rPr>
      </w:pPr>
      <w:r>
        <w:rPr>
          <w:rFonts w:ascii="Times New Roman" w:hAnsi="Times New Roman" w:eastAsiaTheme="minorEastAsia"/>
          <w:bCs w:val="0"/>
          <w:color w:val="000000"/>
          <w:sz w:val="24"/>
          <w:szCs w:val="24"/>
        </w:rPr>
        <w:t>2其他需要提示的事项</w:t>
      </w:r>
      <w:bookmarkEnd w:id="3"/>
    </w:p>
    <w:p w14:paraId="3D6A9886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  <w:r>
        <w:rPr>
          <w:rFonts w:eastAsia="宋体"/>
          <w:sz w:val="24"/>
        </w:rPr>
        <w:t>1</w:t>
      </w:r>
      <w:r>
        <w:rPr>
          <w:rFonts w:hint="eastAsia" w:eastAsia="宋体"/>
          <w:sz w:val="24"/>
        </w:rPr>
        <w:t>、</w:t>
      </w:r>
      <w:r>
        <w:rPr>
          <w:rFonts w:hint="eastAsia" w:eastAsia="宋体"/>
          <w:color w:val="000000"/>
          <w:sz w:val="24"/>
        </w:rPr>
        <w:t>在本基金上述暂停大额申购</w:t>
      </w:r>
      <w:r>
        <w:rPr>
          <w:rFonts w:hint="eastAsia" w:eastAsia="宋体"/>
          <w:color w:val="000000"/>
          <w:sz w:val="24"/>
          <w:szCs w:val="24"/>
        </w:rPr>
        <w:t>（转换转入、定期定额投资）</w:t>
      </w:r>
      <w:r>
        <w:rPr>
          <w:rFonts w:hint="eastAsia" w:eastAsia="宋体"/>
          <w:color w:val="000000"/>
          <w:sz w:val="24"/>
        </w:rPr>
        <w:t>业务期间，本基金的赎回（转换转出）业务正常进行。</w:t>
      </w:r>
    </w:p>
    <w:p w14:paraId="268633ED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  <w:r>
        <w:rPr>
          <w:rFonts w:eastAsia="宋体"/>
          <w:color w:val="000000"/>
          <w:sz w:val="24"/>
        </w:rPr>
        <w:t>2</w:t>
      </w:r>
      <w:r>
        <w:rPr>
          <w:rFonts w:hint="eastAsia" w:eastAsia="宋体"/>
          <w:color w:val="000000"/>
          <w:sz w:val="24"/>
        </w:rPr>
        <w:t>、自</w:t>
      </w:r>
      <w:r>
        <w:rPr>
          <w:rFonts w:eastAsiaTheme="minorEastAsia"/>
          <w:kern w:val="0"/>
          <w:sz w:val="24"/>
          <w:szCs w:val="24"/>
        </w:rPr>
        <w:t>2026</w:t>
      </w:r>
      <w:r>
        <w:rPr>
          <w:rFonts w:hint="eastAsia" w:eastAsiaTheme="minorEastAsia"/>
          <w:kern w:val="0"/>
          <w:sz w:val="24"/>
          <w:szCs w:val="24"/>
        </w:rPr>
        <w:t>年</w:t>
      </w:r>
      <w:r>
        <w:rPr>
          <w:rFonts w:hint="eastAsia" w:eastAsiaTheme="minorEastAsia"/>
          <w:kern w:val="0"/>
          <w:sz w:val="24"/>
          <w:szCs w:val="24"/>
          <w:lang w:val="en-US" w:eastAsia="zh-CN"/>
        </w:rPr>
        <w:t>8</w:t>
      </w:r>
      <w:r>
        <w:rPr>
          <w:rFonts w:hint="eastAsia" w:eastAsiaTheme="minorEastAsia"/>
          <w:kern w:val="0"/>
          <w:sz w:val="24"/>
          <w:szCs w:val="24"/>
        </w:rPr>
        <w:t>月</w:t>
      </w:r>
      <w:r>
        <w:rPr>
          <w:rFonts w:hint="eastAsia" w:eastAsiaTheme="minorEastAsia"/>
          <w:kern w:val="0"/>
          <w:sz w:val="24"/>
          <w:szCs w:val="24"/>
          <w:lang w:val="en-US" w:eastAsia="zh-CN"/>
        </w:rPr>
        <w:t>13</w:t>
      </w:r>
      <w:r>
        <w:rPr>
          <w:rFonts w:hint="eastAsia" w:eastAsiaTheme="minorEastAsia"/>
          <w:kern w:val="0"/>
          <w:sz w:val="24"/>
          <w:szCs w:val="24"/>
        </w:rPr>
        <w:t>日</w:t>
      </w:r>
      <w:r>
        <w:rPr>
          <w:rFonts w:hint="eastAsia" w:eastAsia="宋体"/>
          <w:color w:val="000000"/>
          <w:sz w:val="24"/>
        </w:rPr>
        <w:t>起，本基金将恢复办理大额申购</w:t>
      </w:r>
      <w:r>
        <w:rPr>
          <w:rFonts w:hint="eastAsia" w:eastAsia="宋体"/>
          <w:color w:val="000000"/>
          <w:sz w:val="24"/>
          <w:szCs w:val="24"/>
        </w:rPr>
        <w:t>（转换转入、定期定额投资）</w:t>
      </w:r>
      <w:r>
        <w:rPr>
          <w:rFonts w:hint="eastAsia" w:eastAsia="宋体"/>
          <w:color w:val="000000"/>
          <w:sz w:val="24"/>
        </w:rPr>
        <w:t>业务，届时不再另行公告。</w:t>
      </w:r>
    </w:p>
    <w:p w14:paraId="7DD68A59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  <w:r>
        <w:rPr>
          <w:rFonts w:eastAsia="宋体"/>
          <w:color w:val="000000"/>
          <w:sz w:val="24"/>
        </w:rPr>
        <w:t>3</w:t>
      </w:r>
      <w:r>
        <w:rPr>
          <w:rFonts w:hint="eastAsia" w:eastAsia="宋体"/>
          <w:color w:val="000000"/>
          <w:sz w:val="24"/>
        </w:rPr>
        <w:t>、</w:t>
      </w:r>
      <w:r>
        <w:rPr>
          <w:rFonts w:hint="eastAsia" w:eastAsia="宋体"/>
          <w:sz w:val="24"/>
          <w:szCs w:val="24"/>
        </w:rPr>
        <w:t>投资者可以通过本基金管理人网站（</w:t>
      </w:r>
      <w:r>
        <w:rPr>
          <w:rFonts w:eastAsia="宋体"/>
          <w:sz w:val="24"/>
          <w:szCs w:val="24"/>
        </w:rPr>
        <w:t>www.fund001.com</w:t>
      </w:r>
      <w:r>
        <w:rPr>
          <w:rFonts w:hint="eastAsia" w:eastAsia="宋体"/>
          <w:sz w:val="24"/>
          <w:szCs w:val="24"/>
        </w:rPr>
        <w:t>）或客户服务电话</w:t>
      </w:r>
      <w:r>
        <w:rPr>
          <w:rFonts w:eastAsia="宋体"/>
          <w:sz w:val="24"/>
          <w:szCs w:val="24"/>
        </w:rPr>
        <w:t>400-700-5000</w:t>
      </w:r>
      <w:r>
        <w:rPr>
          <w:rFonts w:hint="eastAsia" w:eastAsia="宋体"/>
          <w:sz w:val="24"/>
          <w:szCs w:val="24"/>
        </w:rPr>
        <w:t>（免长途话费），</w:t>
      </w:r>
      <w:r>
        <w:rPr>
          <w:rFonts w:eastAsia="宋体"/>
          <w:sz w:val="24"/>
          <w:szCs w:val="24"/>
        </w:rPr>
        <w:t>021-61055000</w:t>
      </w:r>
      <w:r>
        <w:rPr>
          <w:rFonts w:hint="eastAsia" w:eastAsia="宋体"/>
          <w:sz w:val="24"/>
          <w:szCs w:val="24"/>
        </w:rPr>
        <w:t>咨询有关详情。</w:t>
      </w:r>
    </w:p>
    <w:p w14:paraId="26BD48B0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</w:p>
    <w:p w14:paraId="118B6B86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  <w:r>
        <w:rPr>
          <w:rFonts w:hint="eastAsia" w:eastAsia="宋体"/>
          <w:color w:val="000000"/>
          <w:sz w:val="24"/>
        </w:rPr>
        <w:t>风险提示：基金管理人承诺以诚实信用、勤勉尽责的原则管理和运用基金财产，但不保证基金一定盈利，也不保证最低收益。基金的过往业绩并不代表其未来表现。投资有风险，敬请投资者认真阅读基金的相关法律文件，并选择适合自身风险承受能力的投资品种进行投资。</w:t>
      </w:r>
    </w:p>
    <w:p w14:paraId="187E40BF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</w:p>
    <w:p w14:paraId="127BFDB2">
      <w:pPr>
        <w:spacing w:line="360" w:lineRule="auto"/>
        <w:ind w:firstLine="480" w:firstLineChars="200"/>
        <w:rPr>
          <w:rFonts w:eastAsia="宋体"/>
          <w:color w:val="000000"/>
          <w:sz w:val="24"/>
        </w:rPr>
      </w:pPr>
      <w:r>
        <w:rPr>
          <w:rFonts w:hint="eastAsia" w:eastAsia="宋体"/>
          <w:color w:val="000000"/>
          <w:sz w:val="24"/>
        </w:rPr>
        <w:t>特此公告。</w:t>
      </w:r>
    </w:p>
    <w:p w14:paraId="75EA9C2A">
      <w:pPr>
        <w:spacing w:line="360" w:lineRule="auto"/>
        <w:ind w:firstLine="480" w:firstLineChars="200"/>
        <w:rPr>
          <w:sz w:val="24"/>
        </w:rPr>
      </w:pPr>
    </w:p>
    <w:p w14:paraId="4751A0C0">
      <w:pPr>
        <w:spacing w:line="560" w:lineRule="exact"/>
        <w:rPr>
          <w:rFonts w:eastAsiaTheme="minorEastAsia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FA"/>
    <w:rsid w:val="000138D7"/>
    <w:rsid w:val="00014582"/>
    <w:rsid w:val="00017328"/>
    <w:rsid w:val="00020378"/>
    <w:rsid w:val="000268B7"/>
    <w:rsid w:val="0002766C"/>
    <w:rsid w:val="00031B61"/>
    <w:rsid w:val="00032A34"/>
    <w:rsid w:val="00041353"/>
    <w:rsid w:val="00045522"/>
    <w:rsid w:val="00072B47"/>
    <w:rsid w:val="000746EF"/>
    <w:rsid w:val="00076F52"/>
    <w:rsid w:val="000A1BA1"/>
    <w:rsid w:val="000A221A"/>
    <w:rsid w:val="000A242D"/>
    <w:rsid w:val="000B6B64"/>
    <w:rsid w:val="000C35F7"/>
    <w:rsid w:val="000E2B3D"/>
    <w:rsid w:val="000E4CBF"/>
    <w:rsid w:val="000E5092"/>
    <w:rsid w:val="001031FE"/>
    <w:rsid w:val="0011083A"/>
    <w:rsid w:val="0011241C"/>
    <w:rsid w:val="001161A4"/>
    <w:rsid w:val="001169BB"/>
    <w:rsid w:val="00135B60"/>
    <w:rsid w:val="001412F9"/>
    <w:rsid w:val="001529D1"/>
    <w:rsid w:val="00164E81"/>
    <w:rsid w:val="0017187C"/>
    <w:rsid w:val="00180DA3"/>
    <w:rsid w:val="001A08AC"/>
    <w:rsid w:val="001A3CA1"/>
    <w:rsid w:val="001B3DFC"/>
    <w:rsid w:val="001B4A63"/>
    <w:rsid w:val="001B4F9F"/>
    <w:rsid w:val="001D0934"/>
    <w:rsid w:val="001D5AC8"/>
    <w:rsid w:val="001E12C8"/>
    <w:rsid w:val="001E4CD3"/>
    <w:rsid w:val="001F193F"/>
    <w:rsid w:val="002061D4"/>
    <w:rsid w:val="00207484"/>
    <w:rsid w:val="00245724"/>
    <w:rsid w:val="00250A78"/>
    <w:rsid w:val="00261DEB"/>
    <w:rsid w:val="00265B63"/>
    <w:rsid w:val="00274794"/>
    <w:rsid w:val="00283245"/>
    <w:rsid w:val="00284018"/>
    <w:rsid w:val="0028791D"/>
    <w:rsid w:val="0028798D"/>
    <w:rsid w:val="002935EF"/>
    <w:rsid w:val="00297148"/>
    <w:rsid w:val="002A7240"/>
    <w:rsid w:val="002C2B69"/>
    <w:rsid w:val="002C360B"/>
    <w:rsid w:val="002C56CF"/>
    <w:rsid w:val="002D019B"/>
    <w:rsid w:val="002D70F7"/>
    <w:rsid w:val="002E26DF"/>
    <w:rsid w:val="002F7241"/>
    <w:rsid w:val="003214F1"/>
    <w:rsid w:val="003237F0"/>
    <w:rsid w:val="00327DA7"/>
    <w:rsid w:val="00327E01"/>
    <w:rsid w:val="0033513C"/>
    <w:rsid w:val="00346E13"/>
    <w:rsid w:val="00352256"/>
    <w:rsid w:val="003601D5"/>
    <w:rsid w:val="003612CB"/>
    <w:rsid w:val="0036784E"/>
    <w:rsid w:val="00370663"/>
    <w:rsid w:val="00386A1F"/>
    <w:rsid w:val="00387AF9"/>
    <w:rsid w:val="00392083"/>
    <w:rsid w:val="003A0027"/>
    <w:rsid w:val="003A7E55"/>
    <w:rsid w:val="003C014B"/>
    <w:rsid w:val="003D218F"/>
    <w:rsid w:val="003D2DA1"/>
    <w:rsid w:val="003E4DCF"/>
    <w:rsid w:val="003E711F"/>
    <w:rsid w:val="003F4DAB"/>
    <w:rsid w:val="004020FC"/>
    <w:rsid w:val="00421D9E"/>
    <w:rsid w:val="00444447"/>
    <w:rsid w:val="0044599F"/>
    <w:rsid w:val="00445DBA"/>
    <w:rsid w:val="004569F5"/>
    <w:rsid w:val="00463CA5"/>
    <w:rsid w:val="00471130"/>
    <w:rsid w:val="00472A2B"/>
    <w:rsid w:val="0048692B"/>
    <w:rsid w:val="00492059"/>
    <w:rsid w:val="004966BA"/>
    <w:rsid w:val="00496C13"/>
    <w:rsid w:val="00496CEB"/>
    <w:rsid w:val="004A24B4"/>
    <w:rsid w:val="004B7D84"/>
    <w:rsid w:val="004C6BBC"/>
    <w:rsid w:val="004D6346"/>
    <w:rsid w:val="004E2421"/>
    <w:rsid w:val="004F0521"/>
    <w:rsid w:val="004F51E8"/>
    <w:rsid w:val="004F5FC1"/>
    <w:rsid w:val="004F77F7"/>
    <w:rsid w:val="00511A4D"/>
    <w:rsid w:val="005125CD"/>
    <w:rsid w:val="00533552"/>
    <w:rsid w:val="00535069"/>
    <w:rsid w:val="00535566"/>
    <w:rsid w:val="00540343"/>
    <w:rsid w:val="005453B4"/>
    <w:rsid w:val="00552096"/>
    <w:rsid w:val="00564298"/>
    <w:rsid w:val="00575B0C"/>
    <w:rsid w:val="00577CF2"/>
    <w:rsid w:val="00591B80"/>
    <w:rsid w:val="005934E1"/>
    <w:rsid w:val="005C237C"/>
    <w:rsid w:val="005C3D01"/>
    <w:rsid w:val="005D1A1C"/>
    <w:rsid w:val="005E0B5C"/>
    <w:rsid w:val="005E3FED"/>
    <w:rsid w:val="005F111B"/>
    <w:rsid w:val="005F1AF0"/>
    <w:rsid w:val="005F5BE2"/>
    <w:rsid w:val="00614995"/>
    <w:rsid w:val="00620619"/>
    <w:rsid w:val="00625F7B"/>
    <w:rsid w:val="00631729"/>
    <w:rsid w:val="00641B0C"/>
    <w:rsid w:val="006450D0"/>
    <w:rsid w:val="00646522"/>
    <w:rsid w:val="00671E09"/>
    <w:rsid w:val="006A57D1"/>
    <w:rsid w:val="006D6A96"/>
    <w:rsid w:val="00706F97"/>
    <w:rsid w:val="0071339B"/>
    <w:rsid w:val="00722B3F"/>
    <w:rsid w:val="00724994"/>
    <w:rsid w:val="00727899"/>
    <w:rsid w:val="007400B1"/>
    <w:rsid w:val="00752B0A"/>
    <w:rsid w:val="00753DDE"/>
    <w:rsid w:val="00753E73"/>
    <w:rsid w:val="0075449B"/>
    <w:rsid w:val="00754BF4"/>
    <w:rsid w:val="00760ADD"/>
    <w:rsid w:val="00770DB7"/>
    <w:rsid w:val="00772B9B"/>
    <w:rsid w:val="00777CD6"/>
    <w:rsid w:val="00791E6C"/>
    <w:rsid w:val="00795597"/>
    <w:rsid w:val="00796A9B"/>
    <w:rsid w:val="007B1D31"/>
    <w:rsid w:val="007E3976"/>
    <w:rsid w:val="0082571C"/>
    <w:rsid w:val="00827D4A"/>
    <w:rsid w:val="0083445C"/>
    <w:rsid w:val="00841AFE"/>
    <w:rsid w:val="008472DB"/>
    <w:rsid w:val="00853A75"/>
    <w:rsid w:val="00855BAD"/>
    <w:rsid w:val="00860551"/>
    <w:rsid w:val="00864F4A"/>
    <w:rsid w:val="008705C3"/>
    <w:rsid w:val="00875F57"/>
    <w:rsid w:val="00876725"/>
    <w:rsid w:val="00890222"/>
    <w:rsid w:val="008923FE"/>
    <w:rsid w:val="0089635D"/>
    <w:rsid w:val="008A7D15"/>
    <w:rsid w:val="008B7133"/>
    <w:rsid w:val="008D3261"/>
    <w:rsid w:val="008F225D"/>
    <w:rsid w:val="0091304D"/>
    <w:rsid w:val="0091589B"/>
    <w:rsid w:val="00932FF1"/>
    <w:rsid w:val="00936257"/>
    <w:rsid w:val="00956B0F"/>
    <w:rsid w:val="0096120C"/>
    <w:rsid w:val="0096519C"/>
    <w:rsid w:val="009968BA"/>
    <w:rsid w:val="009A0B67"/>
    <w:rsid w:val="009B269C"/>
    <w:rsid w:val="009B403A"/>
    <w:rsid w:val="009C0C88"/>
    <w:rsid w:val="009C33A5"/>
    <w:rsid w:val="009C5858"/>
    <w:rsid w:val="009F0E54"/>
    <w:rsid w:val="009F2805"/>
    <w:rsid w:val="00A42CEF"/>
    <w:rsid w:val="00A443AB"/>
    <w:rsid w:val="00A516C4"/>
    <w:rsid w:val="00A65CFB"/>
    <w:rsid w:val="00A855A9"/>
    <w:rsid w:val="00A85AEC"/>
    <w:rsid w:val="00AC5FD4"/>
    <w:rsid w:val="00AC7F18"/>
    <w:rsid w:val="00AD763A"/>
    <w:rsid w:val="00AF0566"/>
    <w:rsid w:val="00AF68A9"/>
    <w:rsid w:val="00B0547A"/>
    <w:rsid w:val="00B101F7"/>
    <w:rsid w:val="00B13229"/>
    <w:rsid w:val="00B1587D"/>
    <w:rsid w:val="00B243AE"/>
    <w:rsid w:val="00B25B2D"/>
    <w:rsid w:val="00B30FFD"/>
    <w:rsid w:val="00B3646D"/>
    <w:rsid w:val="00B36B73"/>
    <w:rsid w:val="00B40A5A"/>
    <w:rsid w:val="00B466C8"/>
    <w:rsid w:val="00B47DB4"/>
    <w:rsid w:val="00B5053A"/>
    <w:rsid w:val="00B5411A"/>
    <w:rsid w:val="00B61B34"/>
    <w:rsid w:val="00B83F9C"/>
    <w:rsid w:val="00B8576C"/>
    <w:rsid w:val="00B93E8C"/>
    <w:rsid w:val="00B97688"/>
    <w:rsid w:val="00BA6967"/>
    <w:rsid w:val="00BB78A2"/>
    <w:rsid w:val="00BC19BB"/>
    <w:rsid w:val="00BD2F75"/>
    <w:rsid w:val="00BD601B"/>
    <w:rsid w:val="00BD6D93"/>
    <w:rsid w:val="00BD7AEE"/>
    <w:rsid w:val="00BF229B"/>
    <w:rsid w:val="00C0162D"/>
    <w:rsid w:val="00C252B4"/>
    <w:rsid w:val="00C50193"/>
    <w:rsid w:val="00C62247"/>
    <w:rsid w:val="00C74043"/>
    <w:rsid w:val="00C84D8F"/>
    <w:rsid w:val="00C94351"/>
    <w:rsid w:val="00CB21B3"/>
    <w:rsid w:val="00CE6EA6"/>
    <w:rsid w:val="00CF0D9F"/>
    <w:rsid w:val="00CF1716"/>
    <w:rsid w:val="00D00221"/>
    <w:rsid w:val="00D100C9"/>
    <w:rsid w:val="00D114B7"/>
    <w:rsid w:val="00D13831"/>
    <w:rsid w:val="00D327FA"/>
    <w:rsid w:val="00D33E60"/>
    <w:rsid w:val="00D615F9"/>
    <w:rsid w:val="00D64175"/>
    <w:rsid w:val="00D67193"/>
    <w:rsid w:val="00D82740"/>
    <w:rsid w:val="00D906EB"/>
    <w:rsid w:val="00DA0A25"/>
    <w:rsid w:val="00DB0FED"/>
    <w:rsid w:val="00DB2A18"/>
    <w:rsid w:val="00DD2176"/>
    <w:rsid w:val="00DE557C"/>
    <w:rsid w:val="00DE5E75"/>
    <w:rsid w:val="00DE678B"/>
    <w:rsid w:val="00E30097"/>
    <w:rsid w:val="00E31264"/>
    <w:rsid w:val="00E72255"/>
    <w:rsid w:val="00E77D74"/>
    <w:rsid w:val="00E94314"/>
    <w:rsid w:val="00EB1BCC"/>
    <w:rsid w:val="00EB5388"/>
    <w:rsid w:val="00EB76A9"/>
    <w:rsid w:val="00ED0C20"/>
    <w:rsid w:val="00EE1823"/>
    <w:rsid w:val="00EE3F14"/>
    <w:rsid w:val="00EF318C"/>
    <w:rsid w:val="00F14414"/>
    <w:rsid w:val="00F32852"/>
    <w:rsid w:val="00F33571"/>
    <w:rsid w:val="00F5252D"/>
    <w:rsid w:val="00F560AE"/>
    <w:rsid w:val="00F61B9C"/>
    <w:rsid w:val="00F626E2"/>
    <w:rsid w:val="00F64447"/>
    <w:rsid w:val="00F706A5"/>
    <w:rsid w:val="00F706B3"/>
    <w:rsid w:val="00F769D4"/>
    <w:rsid w:val="00F875F9"/>
    <w:rsid w:val="00F91CEB"/>
    <w:rsid w:val="00F95610"/>
    <w:rsid w:val="00FA2A05"/>
    <w:rsid w:val="00FB53A4"/>
    <w:rsid w:val="00FC7D05"/>
    <w:rsid w:val="00FD060D"/>
    <w:rsid w:val="00FD562F"/>
    <w:rsid w:val="00FD7428"/>
    <w:rsid w:val="00FE52E7"/>
    <w:rsid w:val="00FF313A"/>
    <w:rsid w:val="00FF71CD"/>
    <w:rsid w:val="05B02414"/>
    <w:rsid w:val="08C137A0"/>
    <w:rsid w:val="0BFD2493"/>
    <w:rsid w:val="358A154E"/>
    <w:rsid w:val="47433562"/>
    <w:rsid w:val="4F9B3A29"/>
    <w:rsid w:val="533513A8"/>
    <w:rsid w:val="5CFE7D2A"/>
    <w:rsid w:val="7D49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6"/>
    <w:qFormat/>
    <w:uiPriority w:val="0"/>
    <w:pPr>
      <w:snapToGrid w:val="0"/>
      <w:jc w:val="left"/>
    </w:pPr>
    <w:rPr>
      <w:rFonts w:eastAsia="宋体"/>
      <w:sz w:val="18"/>
    </w:rPr>
  </w:style>
  <w:style w:type="paragraph" w:styleId="9">
    <w:name w:val="annotation subject"/>
    <w:basedOn w:val="4"/>
    <w:next w:val="4"/>
    <w:link w:val="22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basedOn w:val="11"/>
    <w:qFormat/>
    <w:uiPriority w:val="0"/>
    <w:rPr>
      <w:vertAlign w:val="superscript"/>
    </w:rPr>
  </w:style>
  <w:style w:type="character" w:customStyle="1" w:styleId="14">
    <w:name w:val="标题 1 字符"/>
    <w:basedOn w:val="1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5">
    <w:name w:val="标题 2 字符"/>
    <w:basedOn w:val="11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脚注文本 字符"/>
    <w:basedOn w:val="11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7">
    <w:name w:val="批注框文本 字符"/>
    <w:basedOn w:val="11"/>
    <w:link w:val="5"/>
    <w:semiHidden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character" w:customStyle="1" w:styleId="18">
    <w:name w:val="页眉 字符"/>
    <w:basedOn w:val="11"/>
    <w:link w:val="7"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character" w:customStyle="1" w:styleId="19">
    <w:name w:val="页脚 字符"/>
    <w:basedOn w:val="11"/>
    <w:link w:val="6"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1">
    <w:name w:val="批注文字 字符"/>
    <w:basedOn w:val="11"/>
    <w:link w:val="4"/>
    <w:semiHidden/>
    <w:qFormat/>
    <w:uiPriority w:val="99"/>
    <w:rPr>
      <w:rFonts w:ascii="Times New Roman" w:hAnsi="Times New Roman" w:eastAsia="方正仿宋简体" w:cs="Times New Roman"/>
      <w:sz w:val="32"/>
      <w:szCs w:val="20"/>
    </w:rPr>
  </w:style>
  <w:style w:type="character" w:customStyle="1" w:styleId="22">
    <w:name w:val="批注主题 字符"/>
    <w:basedOn w:val="21"/>
    <w:link w:val="9"/>
    <w:semiHidden/>
    <w:qFormat/>
    <w:uiPriority w:val="99"/>
    <w:rPr>
      <w:rFonts w:ascii="Times New Roman" w:hAnsi="Times New Roman" w:eastAsia="方正仿宋简体" w:cs="Times New Roman"/>
      <w:b/>
      <w:bCs/>
      <w:sz w:val="32"/>
      <w:szCs w:val="20"/>
    </w:rPr>
  </w:style>
  <w:style w:type="paragraph" w:customStyle="1" w:styleId="23">
    <w:name w:val="修订1"/>
    <w:hidden/>
    <w:semiHidden/>
    <w:qFormat/>
    <w:uiPriority w:val="99"/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137DE-877E-48F0-8EC3-76CA8398A7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148</Words>
  <Characters>850</Characters>
  <Lines>7</Lines>
  <Paragraphs>1</Paragraphs>
  <TotalTime>29</TotalTime>
  <ScaleCrop>false</ScaleCrop>
  <LinksUpToDate>false</LinksUpToDate>
  <CharactersWithSpaces>997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2020-06-15T02:58:00Z</dcterms:created>
  <dc:creator>User</dc:creator>
  <cp:lastModifiedBy>陈尚清</cp:lastModifiedBy>
  <dcterms:modified xsi:type="dcterms:W3CDTF">2026-08-04T05:03:31Z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869CB79469FD4877B8A5E1AA6ABB08BD_12</vt:lpwstr>
  </property>
</Properties>
</file>