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E7086">
      <w:pPr>
        <w:spacing w:before="50" w:after="50" w:line="360" w:lineRule="auto"/>
        <w:jc w:val="center"/>
        <w:outlineLvl w:val="0"/>
        <w:rPr>
          <w:rFonts w:cs="宋体"/>
          <w:b/>
          <w:bCs/>
          <w:sz w:val="28"/>
          <w:szCs w:val="28"/>
        </w:rPr>
      </w:pPr>
      <w:bookmarkStart w:id="0" w:name="_GoBack"/>
      <w:bookmarkEnd w:id="0"/>
      <w:r>
        <w:rPr>
          <w:rFonts w:hint="eastAsia" w:cs="宋体"/>
          <w:b/>
          <w:bCs/>
          <w:sz w:val="28"/>
          <w:szCs w:val="28"/>
        </w:rPr>
        <w:t>交银施罗德基金管理有限公司关于增加</w:t>
      </w:r>
      <w:r>
        <w:rPr>
          <w:rFonts w:hint="eastAsia" w:cs="宋体"/>
          <w:b/>
          <w:bCs/>
          <w:sz w:val="28"/>
          <w:szCs w:val="28"/>
          <w:lang w:eastAsia="zh-CN"/>
        </w:rPr>
        <w:t>交银施罗德港股消费混合型证券投资基金（QDII）</w:t>
      </w:r>
      <w:r>
        <w:rPr>
          <w:rFonts w:hint="eastAsia" w:cs="宋体"/>
          <w:b/>
          <w:bCs/>
          <w:sz w:val="28"/>
          <w:szCs w:val="28"/>
        </w:rPr>
        <w:t>销售机构的公告</w:t>
      </w:r>
    </w:p>
    <w:p w14:paraId="63653CAC">
      <w:pPr>
        <w:spacing w:before="50" w:after="50" w:line="360" w:lineRule="auto"/>
        <w:ind w:firstLine="562" w:firstLineChars="200"/>
        <w:jc w:val="center"/>
        <w:rPr>
          <w:b/>
          <w:bCs/>
          <w:sz w:val="28"/>
          <w:szCs w:val="28"/>
        </w:rPr>
      </w:pPr>
    </w:p>
    <w:p w14:paraId="23FFCA74">
      <w:pPr>
        <w:adjustRightInd w:val="0"/>
        <w:snapToGrid w:val="0"/>
        <w:spacing w:line="360" w:lineRule="auto"/>
        <w:ind w:firstLine="480" w:firstLineChars="200"/>
        <w:rPr>
          <w:bCs/>
          <w:sz w:val="24"/>
          <w:szCs w:val="24"/>
        </w:rPr>
      </w:pPr>
      <w:r>
        <w:rPr>
          <w:bCs/>
          <w:sz w:val="24"/>
          <w:szCs w:val="24"/>
        </w:rPr>
        <w:t>根据交银施罗德基金管理有限公司（以下简称</w:t>
      </w:r>
      <w:r>
        <w:rPr>
          <w:rFonts w:hint="eastAsia"/>
          <w:bCs/>
          <w:sz w:val="24"/>
          <w:szCs w:val="24"/>
          <w:lang w:eastAsia="zh-CN"/>
        </w:rPr>
        <w:t>“</w:t>
      </w:r>
      <w:r>
        <w:rPr>
          <w:bCs/>
          <w:sz w:val="24"/>
          <w:szCs w:val="24"/>
        </w:rPr>
        <w:t>本</w:t>
      </w:r>
      <w:r>
        <w:rPr>
          <w:rFonts w:hint="eastAsia"/>
          <w:bCs/>
          <w:sz w:val="24"/>
          <w:szCs w:val="24"/>
        </w:rPr>
        <w:t>公司</w:t>
      </w:r>
      <w:r>
        <w:rPr>
          <w:rFonts w:hint="eastAsia"/>
          <w:bCs/>
          <w:sz w:val="24"/>
          <w:szCs w:val="24"/>
          <w:lang w:eastAsia="zh-CN"/>
        </w:rPr>
        <w:t>”</w:t>
      </w:r>
      <w:r>
        <w:rPr>
          <w:bCs/>
          <w:sz w:val="24"/>
          <w:szCs w:val="24"/>
        </w:rPr>
        <w:t>）与</w:t>
      </w:r>
      <w:r>
        <w:rPr>
          <w:rFonts w:hint="eastAsia"/>
          <w:bCs/>
          <w:sz w:val="24"/>
          <w:szCs w:val="24"/>
        </w:rPr>
        <w:t>部分销售机构</w:t>
      </w:r>
      <w:r>
        <w:rPr>
          <w:bCs/>
          <w:sz w:val="24"/>
          <w:szCs w:val="24"/>
        </w:rPr>
        <w:t>签署的销售协议，本</w:t>
      </w:r>
      <w:r>
        <w:rPr>
          <w:rFonts w:hint="eastAsia"/>
          <w:bCs/>
          <w:sz w:val="24"/>
          <w:szCs w:val="24"/>
        </w:rPr>
        <w:t>公司自202</w:t>
      </w:r>
      <w:r>
        <w:rPr>
          <w:bCs/>
          <w:sz w:val="24"/>
          <w:szCs w:val="24"/>
        </w:rPr>
        <w:t>6</w:t>
      </w:r>
      <w:r>
        <w:rPr>
          <w:rFonts w:hint="eastAsia"/>
          <w:bCs/>
          <w:sz w:val="24"/>
          <w:szCs w:val="24"/>
        </w:rPr>
        <w:t>年</w:t>
      </w:r>
      <w:r>
        <w:rPr>
          <w:rFonts w:hint="eastAsia"/>
          <w:bCs/>
          <w:sz w:val="24"/>
          <w:szCs w:val="24"/>
          <w:lang w:val="en-US" w:eastAsia="zh-CN"/>
        </w:rPr>
        <w:t>7</w:t>
      </w:r>
      <w:r>
        <w:rPr>
          <w:rFonts w:hint="eastAsia"/>
          <w:bCs/>
          <w:sz w:val="24"/>
          <w:szCs w:val="24"/>
        </w:rPr>
        <w:t>月</w:t>
      </w:r>
      <w:r>
        <w:rPr>
          <w:rFonts w:hint="eastAsia"/>
          <w:bCs/>
          <w:sz w:val="24"/>
          <w:szCs w:val="24"/>
          <w:lang w:val="en-US" w:eastAsia="zh-CN"/>
        </w:rPr>
        <w:t>27</w:t>
      </w:r>
      <w:r>
        <w:rPr>
          <w:rFonts w:hint="eastAsia"/>
          <w:bCs/>
          <w:sz w:val="24"/>
          <w:szCs w:val="24"/>
        </w:rPr>
        <w:t>日</w:t>
      </w:r>
      <w:r>
        <w:rPr>
          <w:bCs/>
          <w:sz w:val="24"/>
          <w:szCs w:val="24"/>
        </w:rPr>
        <w:t>起增加</w:t>
      </w:r>
      <w:r>
        <w:rPr>
          <w:rFonts w:hint="eastAsia"/>
          <w:bCs/>
          <w:sz w:val="24"/>
          <w:szCs w:val="24"/>
        </w:rPr>
        <w:t>部分销售</w:t>
      </w:r>
      <w:r>
        <w:rPr>
          <w:bCs/>
          <w:sz w:val="24"/>
          <w:szCs w:val="24"/>
        </w:rPr>
        <w:t>机构作为</w:t>
      </w:r>
      <w:r>
        <w:rPr>
          <w:rFonts w:hint="eastAsia"/>
          <w:bCs/>
          <w:sz w:val="24"/>
          <w:szCs w:val="24"/>
          <w:lang w:eastAsia="zh-CN"/>
        </w:rPr>
        <w:t>交银施罗德港股消费混合型证券投资基金（QDII）</w:t>
      </w:r>
      <w:r>
        <w:rPr>
          <w:rFonts w:hint="eastAsia"/>
          <w:bCs/>
          <w:sz w:val="24"/>
          <w:szCs w:val="24"/>
        </w:rPr>
        <w:t>（A类基金份额基金代码：02</w:t>
      </w:r>
      <w:r>
        <w:rPr>
          <w:rFonts w:hint="eastAsia"/>
          <w:bCs/>
          <w:sz w:val="24"/>
          <w:szCs w:val="24"/>
          <w:lang w:val="en-US" w:eastAsia="zh-CN"/>
        </w:rPr>
        <w:t>7450</w:t>
      </w:r>
      <w:r>
        <w:rPr>
          <w:rFonts w:hint="eastAsia"/>
          <w:bCs/>
          <w:sz w:val="24"/>
          <w:szCs w:val="24"/>
        </w:rPr>
        <w:t>；基金简称：交银港股消费混合（QDII）A；</w:t>
      </w:r>
      <w:r>
        <w:rPr>
          <w:rFonts w:hint="eastAsia"/>
          <w:sz w:val="24"/>
        </w:rPr>
        <w:t>C类基金份额基金代码：02</w:t>
      </w:r>
      <w:r>
        <w:rPr>
          <w:rFonts w:hint="eastAsia"/>
          <w:sz w:val="24"/>
          <w:lang w:val="en-US" w:eastAsia="zh-CN"/>
        </w:rPr>
        <w:t>7451</w:t>
      </w:r>
      <w:r>
        <w:rPr>
          <w:rFonts w:hint="eastAsia"/>
          <w:sz w:val="24"/>
        </w:rPr>
        <w:t>；基金简称：</w:t>
      </w:r>
      <w:r>
        <w:rPr>
          <w:rFonts w:hint="eastAsia"/>
          <w:bCs/>
          <w:sz w:val="24"/>
          <w:szCs w:val="24"/>
        </w:rPr>
        <w:t>交银港股消费混合（QDII）</w:t>
      </w:r>
      <w:r>
        <w:rPr>
          <w:rFonts w:hint="eastAsia"/>
          <w:sz w:val="24"/>
        </w:rPr>
        <w:t>C</w:t>
      </w:r>
      <w:r>
        <w:rPr>
          <w:rFonts w:hint="eastAsia"/>
          <w:bCs/>
          <w:sz w:val="24"/>
          <w:szCs w:val="24"/>
        </w:rPr>
        <w:t>）</w:t>
      </w:r>
      <w:r>
        <w:rPr>
          <w:bCs/>
          <w:sz w:val="24"/>
          <w:szCs w:val="24"/>
        </w:rPr>
        <w:t>的销售机构</w:t>
      </w:r>
      <w:r>
        <w:rPr>
          <w:rFonts w:hint="eastAsia"/>
          <w:bCs/>
          <w:sz w:val="24"/>
          <w:szCs w:val="24"/>
        </w:rPr>
        <w:t>。</w:t>
      </w:r>
    </w:p>
    <w:p w14:paraId="2C8ED2C2">
      <w:pPr>
        <w:adjustRightInd w:val="0"/>
        <w:snapToGrid w:val="0"/>
        <w:spacing w:line="360" w:lineRule="auto"/>
        <w:ind w:firstLine="480" w:firstLineChars="200"/>
        <w:rPr>
          <w:bCs/>
          <w:sz w:val="24"/>
          <w:szCs w:val="24"/>
        </w:rPr>
      </w:pPr>
    </w:p>
    <w:p w14:paraId="574D465C">
      <w:pPr>
        <w:spacing w:line="360" w:lineRule="auto"/>
        <w:ind w:firstLine="480" w:firstLineChars="200"/>
        <w:outlineLvl w:val="0"/>
        <w:rPr>
          <w:kern w:val="0"/>
          <w:sz w:val="24"/>
          <w:szCs w:val="24"/>
        </w:rPr>
      </w:pPr>
      <w:r>
        <w:rPr>
          <w:rFonts w:hint="eastAsia"/>
          <w:kern w:val="0"/>
          <w:sz w:val="24"/>
          <w:szCs w:val="24"/>
        </w:rPr>
        <w:t>一、业务范围</w:t>
      </w:r>
    </w:p>
    <w:p w14:paraId="06C27BCA">
      <w:pPr>
        <w:spacing w:line="360" w:lineRule="auto"/>
        <w:ind w:firstLine="480" w:firstLineChars="200"/>
        <w:rPr>
          <w:kern w:val="0"/>
          <w:sz w:val="24"/>
          <w:szCs w:val="24"/>
        </w:rPr>
      </w:pPr>
      <w:r>
        <w:rPr>
          <w:sz w:val="24"/>
          <w:szCs w:val="24"/>
        </w:rPr>
        <w:t>自</w:t>
      </w:r>
      <w:r>
        <w:rPr>
          <w:rFonts w:hint="eastAsia"/>
          <w:bCs/>
          <w:sz w:val="24"/>
          <w:szCs w:val="24"/>
        </w:rPr>
        <w:t>202</w:t>
      </w:r>
      <w:r>
        <w:rPr>
          <w:bCs/>
          <w:sz w:val="24"/>
          <w:szCs w:val="24"/>
        </w:rPr>
        <w:t>6</w:t>
      </w:r>
      <w:r>
        <w:rPr>
          <w:rFonts w:hint="eastAsia"/>
          <w:bCs/>
          <w:sz w:val="24"/>
          <w:szCs w:val="24"/>
        </w:rPr>
        <w:t>年</w:t>
      </w:r>
      <w:r>
        <w:rPr>
          <w:rFonts w:hint="eastAsia"/>
          <w:bCs/>
          <w:sz w:val="24"/>
          <w:szCs w:val="24"/>
          <w:lang w:val="en-US" w:eastAsia="zh-CN"/>
        </w:rPr>
        <w:t>7</w:t>
      </w:r>
      <w:r>
        <w:rPr>
          <w:rFonts w:hint="eastAsia"/>
          <w:bCs/>
          <w:sz w:val="24"/>
          <w:szCs w:val="24"/>
        </w:rPr>
        <w:t>月</w:t>
      </w:r>
      <w:r>
        <w:rPr>
          <w:rFonts w:hint="eastAsia"/>
          <w:bCs/>
          <w:sz w:val="24"/>
          <w:szCs w:val="24"/>
          <w:lang w:val="en-US" w:eastAsia="zh-CN"/>
        </w:rPr>
        <w:t>27</w:t>
      </w:r>
      <w:r>
        <w:rPr>
          <w:rFonts w:hint="eastAsia"/>
          <w:bCs/>
          <w:sz w:val="24"/>
          <w:szCs w:val="24"/>
        </w:rPr>
        <w:t>日</w:t>
      </w:r>
      <w:r>
        <w:rPr>
          <w:sz w:val="24"/>
          <w:szCs w:val="24"/>
        </w:rPr>
        <w:t>起</w:t>
      </w:r>
      <w:r>
        <w:rPr>
          <w:rFonts w:hint="eastAsia"/>
          <w:sz w:val="24"/>
          <w:szCs w:val="24"/>
        </w:rPr>
        <w:t>，</w:t>
      </w:r>
      <w:r>
        <w:rPr>
          <w:rFonts w:hint="eastAsia"/>
          <w:kern w:val="0"/>
          <w:sz w:val="24"/>
          <w:szCs w:val="24"/>
        </w:rPr>
        <w:t>投资者可在下述销售机构（具体名单请见“二、投资人可通过以下途径咨询有关详情”）办理开户</w:t>
      </w:r>
      <w:r>
        <w:rPr>
          <w:kern w:val="0"/>
          <w:sz w:val="24"/>
          <w:szCs w:val="24"/>
        </w:rPr>
        <w:t>及</w:t>
      </w:r>
      <w:r>
        <w:rPr>
          <w:rFonts w:hint="eastAsia"/>
          <w:bCs/>
          <w:sz w:val="24"/>
          <w:szCs w:val="24"/>
          <w:lang w:eastAsia="zh-CN"/>
        </w:rPr>
        <w:t>交银施罗德港股消费混合型证券投资基金（QDII）</w:t>
      </w:r>
      <w:r>
        <w:rPr>
          <w:rFonts w:hint="eastAsia"/>
          <w:kern w:val="0"/>
          <w:sz w:val="24"/>
          <w:szCs w:val="24"/>
        </w:rPr>
        <w:t>的认购等业务。</w:t>
      </w:r>
    </w:p>
    <w:p w14:paraId="2D852873">
      <w:pPr>
        <w:spacing w:line="360" w:lineRule="auto"/>
        <w:ind w:firstLine="480" w:firstLineChars="200"/>
        <w:rPr>
          <w:sz w:val="24"/>
          <w:szCs w:val="24"/>
        </w:rPr>
      </w:pPr>
      <w:r>
        <w:rPr>
          <w:rFonts w:hint="eastAsia"/>
          <w:bCs/>
          <w:sz w:val="24"/>
          <w:szCs w:val="24"/>
          <w:lang w:eastAsia="zh-CN"/>
        </w:rPr>
        <w:t>交银施罗德港股消费混合型证券投资基金（QDII）</w:t>
      </w:r>
      <w:r>
        <w:rPr>
          <w:rFonts w:hint="eastAsia"/>
          <w:sz w:val="24"/>
          <w:szCs w:val="24"/>
        </w:rPr>
        <w:t>的认购</w:t>
      </w:r>
      <w:r>
        <w:rPr>
          <w:sz w:val="24"/>
          <w:szCs w:val="24"/>
        </w:rPr>
        <w:t>费率及相关业务规则请详见该基金相关法律文件及本公司发布的最新业务公告。在遵守基金合同及招募说明书的前提下，</w:t>
      </w:r>
      <w:r>
        <w:rPr>
          <w:color w:val="000000"/>
          <w:sz w:val="24"/>
          <w:szCs w:val="24"/>
        </w:rPr>
        <w:t>销售机构办理各项基金销售</w:t>
      </w:r>
      <w:r>
        <w:rPr>
          <w:sz w:val="24"/>
          <w:szCs w:val="24"/>
        </w:rPr>
        <w:t>业务</w:t>
      </w:r>
      <w:r>
        <w:rPr>
          <w:color w:val="000000"/>
          <w:sz w:val="24"/>
          <w:szCs w:val="24"/>
        </w:rPr>
        <w:t>的具体时间、流程以销售机构及网点的安排和规定为准。</w:t>
      </w:r>
    </w:p>
    <w:p w14:paraId="653AB6DA">
      <w:pPr>
        <w:adjustRightInd w:val="0"/>
        <w:snapToGrid w:val="0"/>
        <w:spacing w:line="360" w:lineRule="auto"/>
        <w:ind w:firstLine="480" w:firstLineChars="200"/>
        <w:rPr>
          <w:bCs/>
          <w:sz w:val="24"/>
          <w:szCs w:val="24"/>
        </w:rPr>
      </w:pPr>
    </w:p>
    <w:p w14:paraId="096E3439">
      <w:pPr>
        <w:adjustRightInd/>
        <w:snapToGrid/>
        <w:spacing w:line="360" w:lineRule="auto"/>
        <w:ind w:firstLine="482" w:firstLineChars="200"/>
        <w:outlineLvl w:val="0"/>
        <w:rPr>
          <w:rFonts w:hint="eastAsia"/>
          <w:b/>
          <w:bCs/>
          <w:kern w:val="0"/>
          <w:sz w:val="24"/>
          <w:szCs w:val="24"/>
        </w:rPr>
      </w:pPr>
      <w:r>
        <w:rPr>
          <w:rFonts w:hint="eastAsia"/>
          <w:b/>
          <w:bCs/>
          <w:kern w:val="0"/>
          <w:sz w:val="24"/>
          <w:szCs w:val="24"/>
        </w:rPr>
        <w:t>重要提示：</w:t>
      </w:r>
    </w:p>
    <w:p w14:paraId="45DA776E">
      <w:pPr>
        <w:adjustRightInd w:val="0"/>
        <w:snapToGrid w:val="0"/>
        <w:spacing w:line="360" w:lineRule="auto"/>
        <w:ind w:firstLine="480" w:firstLineChars="200"/>
        <w:rPr>
          <w:bCs/>
          <w:sz w:val="24"/>
          <w:szCs w:val="24"/>
        </w:rPr>
      </w:pPr>
      <w:r>
        <w:rPr>
          <w:bCs/>
          <w:sz w:val="24"/>
          <w:szCs w:val="24"/>
        </w:rPr>
        <w:t>1、本</w:t>
      </w:r>
      <w:r>
        <w:rPr>
          <w:rFonts w:hint="eastAsia"/>
          <w:bCs/>
          <w:sz w:val="24"/>
          <w:szCs w:val="24"/>
        </w:rPr>
        <w:t>公司</w:t>
      </w:r>
      <w:r>
        <w:rPr>
          <w:bCs/>
          <w:sz w:val="24"/>
          <w:szCs w:val="24"/>
        </w:rPr>
        <w:t>于</w:t>
      </w:r>
      <w:r>
        <w:rPr>
          <w:rFonts w:hint="eastAsia"/>
          <w:bCs/>
          <w:sz w:val="24"/>
          <w:szCs w:val="24"/>
        </w:rPr>
        <w:t>2026年</w:t>
      </w:r>
      <w:r>
        <w:rPr>
          <w:rFonts w:hint="eastAsia"/>
          <w:bCs/>
          <w:sz w:val="24"/>
          <w:szCs w:val="24"/>
          <w:lang w:val="en-US" w:eastAsia="zh-CN"/>
        </w:rPr>
        <w:t>7</w:t>
      </w:r>
      <w:r>
        <w:rPr>
          <w:rFonts w:hint="eastAsia"/>
          <w:bCs/>
          <w:sz w:val="24"/>
          <w:szCs w:val="24"/>
        </w:rPr>
        <w:t>月</w:t>
      </w:r>
      <w:r>
        <w:rPr>
          <w:rFonts w:hint="eastAsia"/>
          <w:bCs/>
          <w:sz w:val="24"/>
          <w:szCs w:val="24"/>
          <w:lang w:val="en-US" w:eastAsia="zh-CN"/>
        </w:rPr>
        <w:t>13</w:t>
      </w:r>
      <w:r>
        <w:rPr>
          <w:rFonts w:hint="eastAsia"/>
          <w:bCs/>
          <w:sz w:val="24"/>
          <w:szCs w:val="24"/>
        </w:rPr>
        <w:t>日</w:t>
      </w:r>
      <w:r>
        <w:rPr>
          <w:bCs/>
          <w:sz w:val="24"/>
          <w:szCs w:val="24"/>
        </w:rPr>
        <w:t>发布公告，</w:t>
      </w:r>
      <w:r>
        <w:rPr>
          <w:rFonts w:hint="eastAsia"/>
          <w:bCs/>
          <w:sz w:val="24"/>
          <w:szCs w:val="24"/>
          <w:lang w:eastAsia="zh-CN"/>
        </w:rPr>
        <w:t>交银施罗德港股消费混合型证券投资基金（QDII）</w:t>
      </w:r>
      <w:r>
        <w:rPr>
          <w:bCs/>
          <w:sz w:val="24"/>
          <w:szCs w:val="24"/>
        </w:rPr>
        <w:t>自</w:t>
      </w:r>
      <w:r>
        <w:rPr>
          <w:rFonts w:hint="eastAsia"/>
          <w:bCs/>
          <w:sz w:val="24"/>
          <w:szCs w:val="24"/>
        </w:rPr>
        <w:t>2026年</w:t>
      </w:r>
      <w:r>
        <w:rPr>
          <w:rFonts w:hint="eastAsia"/>
          <w:bCs/>
          <w:sz w:val="24"/>
          <w:szCs w:val="24"/>
          <w:lang w:val="en-US" w:eastAsia="zh-CN"/>
        </w:rPr>
        <w:t>7</w:t>
      </w:r>
      <w:r>
        <w:rPr>
          <w:rFonts w:hint="eastAsia"/>
          <w:bCs/>
          <w:sz w:val="24"/>
          <w:szCs w:val="24"/>
        </w:rPr>
        <w:t>月</w:t>
      </w:r>
      <w:r>
        <w:rPr>
          <w:rFonts w:hint="eastAsia"/>
          <w:bCs/>
          <w:sz w:val="24"/>
          <w:szCs w:val="24"/>
          <w:lang w:val="en-US" w:eastAsia="zh-CN"/>
        </w:rPr>
        <w:t>27</w:t>
      </w:r>
      <w:r>
        <w:rPr>
          <w:rFonts w:hint="eastAsia"/>
          <w:bCs/>
          <w:sz w:val="24"/>
          <w:szCs w:val="24"/>
        </w:rPr>
        <w:t>日起至2026年</w:t>
      </w:r>
      <w:r>
        <w:rPr>
          <w:rFonts w:hint="eastAsia"/>
          <w:bCs/>
          <w:sz w:val="24"/>
          <w:szCs w:val="24"/>
          <w:lang w:val="en-US" w:eastAsia="zh-CN"/>
        </w:rPr>
        <w:t>8</w:t>
      </w:r>
      <w:r>
        <w:rPr>
          <w:rFonts w:hint="eastAsia"/>
          <w:bCs/>
          <w:sz w:val="24"/>
          <w:szCs w:val="24"/>
        </w:rPr>
        <w:t>月</w:t>
      </w:r>
      <w:r>
        <w:rPr>
          <w:rFonts w:hint="eastAsia"/>
          <w:bCs/>
          <w:sz w:val="24"/>
          <w:szCs w:val="24"/>
          <w:lang w:val="en-US" w:eastAsia="zh-CN"/>
        </w:rPr>
        <w:t>14</w:t>
      </w:r>
      <w:r>
        <w:rPr>
          <w:rFonts w:hint="eastAsia"/>
          <w:bCs/>
          <w:sz w:val="24"/>
          <w:szCs w:val="24"/>
        </w:rPr>
        <w:t>日</w:t>
      </w:r>
      <w:r>
        <w:rPr>
          <w:bCs/>
          <w:sz w:val="24"/>
          <w:szCs w:val="24"/>
        </w:rPr>
        <w:t>止通过销售机构公开发售</w:t>
      </w:r>
      <w:r>
        <w:rPr>
          <w:rFonts w:hint="eastAsia"/>
          <w:bCs/>
          <w:sz w:val="24"/>
          <w:szCs w:val="24"/>
        </w:rPr>
        <w:t>，</w:t>
      </w:r>
      <w:r>
        <w:rPr>
          <w:rFonts w:hint="eastAsia"/>
          <w:sz w:val="24"/>
        </w:rPr>
        <w:t>本公司也可根据基金销售情况在募集期限内适当延长或缩短基金发售时间，并及时公告</w:t>
      </w:r>
      <w:r>
        <w:rPr>
          <w:bCs/>
          <w:sz w:val="24"/>
          <w:szCs w:val="24"/>
        </w:rPr>
        <w:t>。投资人欲了解</w:t>
      </w:r>
      <w:r>
        <w:rPr>
          <w:rFonts w:hint="eastAsia"/>
          <w:bCs/>
          <w:sz w:val="24"/>
          <w:szCs w:val="24"/>
        </w:rPr>
        <w:t>上述</w:t>
      </w:r>
      <w:r>
        <w:rPr>
          <w:bCs/>
          <w:sz w:val="24"/>
          <w:szCs w:val="24"/>
        </w:rPr>
        <w:t>基金及</w:t>
      </w:r>
      <w:r>
        <w:rPr>
          <w:rFonts w:hint="eastAsia"/>
          <w:bCs/>
          <w:sz w:val="24"/>
          <w:szCs w:val="24"/>
        </w:rPr>
        <w:t>上述</w:t>
      </w:r>
      <w:r>
        <w:rPr>
          <w:bCs/>
          <w:sz w:val="24"/>
          <w:szCs w:val="24"/>
        </w:rPr>
        <w:t>基金基金份额发售的详细情况，请</w:t>
      </w:r>
      <w:r>
        <w:rPr>
          <w:rFonts w:hint="eastAsia"/>
          <w:bCs/>
          <w:sz w:val="24"/>
          <w:szCs w:val="24"/>
        </w:rPr>
        <w:t>仔细阅读2026年</w:t>
      </w:r>
      <w:r>
        <w:rPr>
          <w:rFonts w:hint="eastAsia"/>
          <w:bCs/>
          <w:sz w:val="24"/>
          <w:szCs w:val="24"/>
          <w:lang w:val="en-US" w:eastAsia="zh-CN"/>
        </w:rPr>
        <w:t>7</w:t>
      </w:r>
      <w:r>
        <w:rPr>
          <w:rFonts w:hint="eastAsia"/>
          <w:bCs/>
          <w:sz w:val="24"/>
          <w:szCs w:val="24"/>
        </w:rPr>
        <w:t>月</w:t>
      </w:r>
      <w:r>
        <w:rPr>
          <w:rFonts w:hint="eastAsia"/>
          <w:bCs/>
          <w:sz w:val="24"/>
          <w:szCs w:val="24"/>
          <w:lang w:val="en-US" w:eastAsia="zh-CN"/>
        </w:rPr>
        <w:t>13</w:t>
      </w:r>
      <w:r>
        <w:rPr>
          <w:rFonts w:hint="eastAsia"/>
          <w:bCs/>
          <w:sz w:val="24"/>
          <w:szCs w:val="24"/>
        </w:rPr>
        <w:t>日</w:t>
      </w:r>
      <w:r>
        <w:rPr>
          <w:rFonts w:hint="eastAsia"/>
          <w:sz w:val="24"/>
        </w:rPr>
        <w:t>在本公司网站（www.fund001.com）和中国证监会基金电子披露网站（http://eid.csrc.gov.cn/fund）披露</w:t>
      </w:r>
      <w:r>
        <w:rPr>
          <w:sz w:val="24"/>
        </w:rPr>
        <w:t>的</w:t>
      </w:r>
      <w:r>
        <w:rPr>
          <w:rFonts w:hint="eastAsia"/>
          <w:bCs/>
          <w:sz w:val="24"/>
          <w:szCs w:val="24"/>
          <w:lang w:eastAsia="zh-CN"/>
        </w:rPr>
        <w:t>交银施罗德港股消费混合型证券投资基金（QDII）</w:t>
      </w:r>
      <w:r>
        <w:rPr>
          <w:rFonts w:hint="eastAsia"/>
          <w:sz w:val="24"/>
        </w:rPr>
        <w:t>的</w:t>
      </w:r>
      <w:r>
        <w:rPr>
          <w:sz w:val="24"/>
        </w:rPr>
        <w:t>基金份额发售公告、</w:t>
      </w:r>
      <w:r>
        <w:rPr>
          <w:rFonts w:hint="eastAsia"/>
          <w:sz w:val="24"/>
        </w:rPr>
        <w:t>基金合同</w:t>
      </w:r>
      <w:r>
        <w:rPr>
          <w:sz w:val="24"/>
        </w:rPr>
        <w:t>和招募说明书</w:t>
      </w:r>
      <w:r>
        <w:rPr>
          <w:rFonts w:hint="eastAsia"/>
          <w:sz w:val="24"/>
        </w:rPr>
        <w:t>等</w:t>
      </w:r>
      <w:r>
        <w:rPr>
          <w:bCs/>
          <w:sz w:val="24"/>
          <w:szCs w:val="24"/>
        </w:rPr>
        <w:t>。</w:t>
      </w:r>
    </w:p>
    <w:p w14:paraId="12829D8D">
      <w:pPr>
        <w:adjustRightInd w:val="0"/>
        <w:snapToGrid w:val="0"/>
        <w:spacing w:line="360" w:lineRule="auto"/>
        <w:ind w:firstLine="480" w:firstLineChars="200"/>
        <w:rPr>
          <w:bCs/>
          <w:sz w:val="24"/>
          <w:szCs w:val="24"/>
        </w:rPr>
      </w:pPr>
      <w:r>
        <w:rPr>
          <w:bCs/>
          <w:sz w:val="24"/>
          <w:szCs w:val="24"/>
        </w:rPr>
        <w:t>2、</w:t>
      </w:r>
      <w:r>
        <w:rPr>
          <w:rFonts w:hint="eastAsia"/>
          <w:bCs/>
          <w:sz w:val="24"/>
          <w:szCs w:val="24"/>
        </w:rPr>
        <w:t>上述</w:t>
      </w:r>
      <w:r>
        <w:rPr>
          <w:bCs/>
          <w:sz w:val="24"/>
          <w:szCs w:val="24"/>
        </w:rPr>
        <w:t>基金的招募说明书、基金份额发售公告、</w:t>
      </w:r>
      <w:r>
        <w:rPr>
          <w:rFonts w:hint="eastAsia"/>
          <w:bCs/>
          <w:sz w:val="24"/>
          <w:szCs w:val="24"/>
        </w:rPr>
        <w:t>基金产品资料概要</w:t>
      </w:r>
      <w:r>
        <w:rPr>
          <w:bCs/>
          <w:sz w:val="24"/>
          <w:szCs w:val="24"/>
        </w:rPr>
        <w:t>、基金合同及其摘要、托管协议同时发布在本公司网站（www.fund001.com）。投资人亦可通过本公司网站下载基金申请表格和了解基金募集相关事宜。</w:t>
      </w:r>
    </w:p>
    <w:p w14:paraId="31EAB14F">
      <w:pPr>
        <w:adjustRightInd w:val="0"/>
        <w:snapToGrid w:val="0"/>
        <w:spacing w:line="360" w:lineRule="auto"/>
        <w:ind w:firstLine="480" w:firstLineChars="200"/>
        <w:rPr>
          <w:bCs/>
          <w:sz w:val="24"/>
          <w:szCs w:val="24"/>
        </w:rPr>
      </w:pPr>
      <w:r>
        <w:rPr>
          <w:kern w:val="0"/>
          <w:sz w:val="24"/>
        </w:rPr>
        <w:t>3</w:t>
      </w:r>
      <w:r>
        <w:rPr>
          <w:rFonts w:hAnsi="宋体"/>
          <w:kern w:val="0"/>
          <w:sz w:val="24"/>
        </w:rPr>
        <w:t>、本基金销售渠道为基金管理人</w:t>
      </w:r>
      <w:r>
        <w:rPr>
          <w:rFonts w:hint="eastAsia" w:hAnsi="宋体"/>
          <w:kern w:val="0"/>
          <w:sz w:val="24"/>
        </w:rPr>
        <w:t>直销</w:t>
      </w:r>
      <w:r>
        <w:rPr>
          <w:rFonts w:hAnsi="宋体"/>
          <w:kern w:val="0"/>
          <w:sz w:val="24"/>
        </w:rPr>
        <w:t>柜台及其网上</w:t>
      </w:r>
      <w:r>
        <w:rPr>
          <w:rFonts w:hint="eastAsia" w:hAnsi="宋体"/>
          <w:kern w:val="0"/>
          <w:sz w:val="24"/>
        </w:rPr>
        <w:t>直销</w:t>
      </w:r>
      <w:r>
        <w:rPr>
          <w:rFonts w:hAnsi="宋体"/>
          <w:kern w:val="0"/>
          <w:sz w:val="24"/>
        </w:rPr>
        <w:t>交易平台和</w:t>
      </w:r>
      <w:r>
        <w:rPr>
          <w:rFonts w:hint="eastAsia" w:hAnsi="宋体"/>
          <w:kern w:val="0"/>
          <w:sz w:val="24"/>
        </w:rPr>
        <w:t>除基金管理人之外的其他</w:t>
      </w:r>
      <w:r>
        <w:rPr>
          <w:rFonts w:hAnsi="宋体"/>
          <w:kern w:val="0"/>
          <w:sz w:val="24"/>
        </w:rPr>
        <w:t>销售机构。</w:t>
      </w:r>
    </w:p>
    <w:p w14:paraId="1AB1A8B7">
      <w:pPr>
        <w:adjustRightInd w:val="0"/>
        <w:snapToGrid w:val="0"/>
        <w:spacing w:line="360" w:lineRule="auto"/>
        <w:ind w:firstLine="480" w:firstLineChars="200"/>
        <w:rPr>
          <w:bCs/>
          <w:sz w:val="24"/>
          <w:szCs w:val="24"/>
        </w:rPr>
      </w:pPr>
      <w:r>
        <w:rPr>
          <w:bCs/>
          <w:sz w:val="24"/>
          <w:szCs w:val="24"/>
        </w:rPr>
        <w:t>4、</w:t>
      </w:r>
      <w:r>
        <w:rPr>
          <w:rFonts w:hint="eastAsia"/>
          <w:bCs/>
          <w:sz w:val="24"/>
          <w:szCs w:val="24"/>
        </w:rPr>
        <w:t>销售</w:t>
      </w:r>
      <w:r>
        <w:rPr>
          <w:bCs/>
          <w:sz w:val="24"/>
          <w:szCs w:val="24"/>
        </w:rPr>
        <w:t>机构的</w:t>
      </w:r>
      <w:r>
        <w:rPr>
          <w:rFonts w:hint="eastAsia"/>
          <w:bCs/>
          <w:sz w:val="24"/>
          <w:szCs w:val="24"/>
        </w:rPr>
        <w:t>销售</w:t>
      </w:r>
      <w:r>
        <w:rPr>
          <w:bCs/>
          <w:sz w:val="24"/>
          <w:szCs w:val="24"/>
        </w:rPr>
        <w:t>网点以及开户认购等事项的详细情况请向各</w:t>
      </w:r>
      <w:r>
        <w:rPr>
          <w:rFonts w:hint="eastAsia"/>
          <w:bCs/>
          <w:sz w:val="24"/>
          <w:szCs w:val="24"/>
        </w:rPr>
        <w:t>销售</w:t>
      </w:r>
      <w:r>
        <w:rPr>
          <w:bCs/>
          <w:sz w:val="24"/>
          <w:szCs w:val="24"/>
        </w:rPr>
        <w:t>机构咨询。</w:t>
      </w:r>
    </w:p>
    <w:p w14:paraId="619461E5">
      <w:pPr>
        <w:adjustRightInd w:val="0"/>
        <w:snapToGrid w:val="0"/>
        <w:spacing w:line="360" w:lineRule="auto"/>
        <w:ind w:firstLine="480" w:firstLineChars="200"/>
        <w:rPr>
          <w:bCs/>
          <w:sz w:val="24"/>
          <w:szCs w:val="24"/>
        </w:rPr>
      </w:pPr>
      <w:r>
        <w:rPr>
          <w:bCs/>
          <w:sz w:val="24"/>
          <w:szCs w:val="24"/>
        </w:rPr>
        <w:t>5</w:t>
      </w:r>
      <w:r>
        <w:rPr>
          <w:rFonts w:hint="eastAsia"/>
          <w:bCs/>
          <w:sz w:val="24"/>
          <w:szCs w:val="24"/>
        </w:rPr>
        <w:t>、</w:t>
      </w:r>
      <w:r>
        <w:rPr>
          <w:bCs/>
          <w:sz w:val="24"/>
          <w:szCs w:val="24"/>
        </w:rPr>
        <w:t>由于各基金销售机构系统及业务安排等原因，开放日的具体业务办理时间可能有所不同，投资人应参照各基金销售机构的具体规定。</w:t>
      </w:r>
    </w:p>
    <w:p w14:paraId="19F8ACA3">
      <w:pPr>
        <w:adjustRightInd w:val="0"/>
        <w:snapToGrid w:val="0"/>
        <w:spacing w:line="360" w:lineRule="auto"/>
        <w:ind w:firstLine="480" w:firstLineChars="200"/>
        <w:rPr>
          <w:bCs/>
          <w:sz w:val="24"/>
          <w:szCs w:val="24"/>
        </w:rPr>
      </w:pPr>
    </w:p>
    <w:p w14:paraId="1E93E70D">
      <w:pPr>
        <w:adjustRightInd w:val="0"/>
        <w:snapToGrid w:val="0"/>
        <w:spacing w:line="360" w:lineRule="auto"/>
        <w:ind w:firstLine="480" w:firstLineChars="200"/>
        <w:outlineLvl w:val="0"/>
        <w:rPr>
          <w:bCs/>
          <w:sz w:val="24"/>
          <w:szCs w:val="24"/>
        </w:rPr>
      </w:pPr>
      <w:r>
        <w:rPr>
          <w:rFonts w:hint="eastAsia"/>
          <w:bCs/>
          <w:sz w:val="24"/>
          <w:szCs w:val="24"/>
        </w:rPr>
        <w:t>二</w:t>
      </w:r>
      <w:r>
        <w:rPr>
          <w:bCs/>
          <w:sz w:val="24"/>
          <w:szCs w:val="24"/>
        </w:rPr>
        <w:t>、投资人可通过以下途径咨询有关详情：</w:t>
      </w:r>
    </w:p>
    <w:p w14:paraId="0F160F15">
      <w:pPr>
        <w:adjustRightInd w:val="0"/>
        <w:snapToGrid w:val="0"/>
        <w:spacing w:line="360" w:lineRule="auto"/>
        <w:ind w:firstLine="480" w:firstLineChars="200"/>
        <w:rPr>
          <w:rFonts w:hint="default"/>
          <w:bCs/>
          <w:sz w:val="24"/>
          <w:szCs w:val="24"/>
        </w:rPr>
      </w:pPr>
      <w:r>
        <w:rPr>
          <w:rFonts w:hint="default"/>
          <w:bCs/>
          <w:sz w:val="24"/>
          <w:szCs w:val="24"/>
        </w:rPr>
        <w:t>（1）中信证券股份有限公司</w:t>
      </w:r>
    </w:p>
    <w:p w14:paraId="30FC2B46">
      <w:pPr>
        <w:adjustRightInd w:val="0"/>
        <w:snapToGrid w:val="0"/>
        <w:spacing w:line="360" w:lineRule="auto"/>
        <w:ind w:firstLine="480" w:firstLineChars="200"/>
        <w:rPr>
          <w:rFonts w:hint="default"/>
          <w:bCs/>
          <w:sz w:val="24"/>
          <w:szCs w:val="24"/>
        </w:rPr>
      </w:pPr>
      <w:r>
        <w:rPr>
          <w:rFonts w:hint="default"/>
          <w:bCs/>
          <w:sz w:val="24"/>
          <w:szCs w:val="24"/>
        </w:rPr>
        <w:t>客户服务电话：95548</w:t>
      </w:r>
    </w:p>
    <w:p w14:paraId="39AFD2A8">
      <w:pPr>
        <w:adjustRightInd w:val="0"/>
        <w:snapToGrid w:val="0"/>
        <w:spacing w:line="360" w:lineRule="auto"/>
        <w:ind w:firstLine="480" w:firstLineChars="200"/>
        <w:rPr>
          <w:rFonts w:hint="default"/>
          <w:bCs/>
          <w:sz w:val="24"/>
          <w:szCs w:val="24"/>
        </w:rPr>
      </w:pPr>
      <w:r>
        <w:rPr>
          <w:rFonts w:hint="default"/>
          <w:bCs/>
          <w:sz w:val="24"/>
          <w:szCs w:val="24"/>
        </w:rPr>
        <w:t>网址：www.cs.ecitic.com</w:t>
      </w:r>
    </w:p>
    <w:p w14:paraId="6863C309">
      <w:pPr>
        <w:adjustRightInd w:val="0"/>
        <w:snapToGrid w:val="0"/>
        <w:spacing w:line="360" w:lineRule="auto"/>
        <w:ind w:firstLine="480" w:firstLineChars="200"/>
        <w:rPr>
          <w:rFonts w:hint="default"/>
          <w:bCs/>
          <w:sz w:val="24"/>
          <w:szCs w:val="24"/>
        </w:rPr>
      </w:pPr>
      <w:r>
        <w:rPr>
          <w:rFonts w:hint="default"/>
          <w:bCs/>
          <w:sz w:val="24"/>
          <w:szCs w:val="24"/>
        </w:rPr>
        <w:t>（2）中信证券（山东）有限责任公司</w:t>
      </w:r>
    </w:p>
    <w:p w14:paraId="72D5CC15">
      <w:pPr>
        <w:adjustRightInd w:val="0"/>
        <w:snapToGrid w:val="0"/>
        <w:spacing w:line="360" w:lineRule="auto"/>
        <w:ind w:firstLine="480" w:firstLineChars="200"/>
        <w:rPr>
          <w:rFonts w:hint="default"/>
          <w:bCs/>
          <w:sz w:val="24"/>
          <w:szCs w:val="24"/>
        </w:rPr>
      </w:pPr>
      <w:r>
        <w:rPr>
          <w:rFonts w:hint="default"/>
          <w:bCs/>
          <w:sz w:val="24"/>
          <w:szCs w:val="24"/>
        </w:rPr>
        <w:t>客户服务电话：95548</w:t>
      </w:r>
    </w:p>
    <w:p w14:paraId="76B64CAA">
      <w:pPr>
        <w:adjustRightInd w:val="0"/>
        <w:snapToGrid w:val="0"/>
        <w:spacing w:line="360" w:lineRule="auto"/>
        <w:ind w:firstLine="480" w:firstLineChars="200"/>
        <w:rPr>
          <w:rFonts w:hint="default"/>
          <w:bCs/>
          <w:sz w:val="24"/>
          <w:szCs w:val="24"/>
        </w:rPr>
      </w:pPr>
      <w:r>
        <w:rPr>
          <w:rFonts w:hint="default"/>
          <w:bCs/>
          <w:sz w:val="24"/>
          <w:szCs w:val="24"/>
        </w:rPr>
        <w:t>网址：sd.citics.com</w:t>
      </w:r>
    </w:p>
    <w:p w14:paraId="283F7F4B">
      <w:pPr>
        <w:adjustRightInd w:val="0"/>
        <w:snapToGrid w:val="0"/>
        <w:spacing w:line="360" w:lineRule="auto"/>
        <w:ind w:firstLine="480" w:firstLineChars="200"/>
        <w:rPr>
          <w:rFonts w:hint="default"/>
          <w:bCs/>
          <w:sz w:val="24"/>
          <w:szCs w:val="24"/>
        </w:rPr>
      </w:pPr>
      <w:r>
        <w:rPr>
          <w:rFonts w:hint="default"/>
          <w:bCs/>
          <w:sz w:val="24"/>
          <w:szCs w:val="24"/>
        </w:rPr>
        <w:t>（3）中信期货有限公司</w:t>
      </w:r>
    </w:p>
    <w:p w14:paraId="24CDA8F0">
      <w:pPr>
        <w:adjustRightInd w:val="0"/>
        <w:snapToGrid w:val="0"/>
        <w:spacing w:line="360" w:lineRule="auto"/>
        <w:ind w:firstLine="480" w:firstLineChars="200"/>
        <w:rPr>
          <w:rFonts w:hint="default"/>
          <w:bCs/>
          <w:sz w:val="24"/>
          <w:szCs w:val="24"/>
        </w:rPr>
      </w:pPr>
      <w:r>
        <w:rPr>
          <w:rFonts w:hint="default"/>
          <w:bCs/>
          <w:sz w:val="24"/>
          <w:szCs w:val="24"/>
        </w:rPr>
        <w:t>客服电话：400-990-8826</w:t>
      </w:r>
    </w:p>
    <w:p w14:paraId="167BE3A9">
      <w:pPr>
        <w:adjustRightInd w:val="0"/>
        <w:snapToGrid w:val="0"/>
        <w:spacing w:line="360" w:lineRule="auto"/>
        <w:ind w:firstLine="480" w:firstLineChars="200"/>
        <w:rPr>
          <w:rFonts w:hint="default"/>
          <w:bCs/>
          <w:sz w:val="24"/>
          <w:szCs w:val="24"/>
        </w:rPr>
      </w:pPr>
      <w:r>
        <w:rPr>
          <w:rFonts w:hint="default"/>
          <w:bCs/>
          <w:sz w:val="24"/>
          <w:szCs w:val="24"/>
        </w:rPr>
        <w:t>网站：www.citicsf.com</w:t>
      </w:r>
    </w:p>
    <w:p w14:paraId="2237834C">
      <w:pPr>
        <w:adjustRightInd w:val="0"/>
        <w:snapToGrid w:val="0"/>
        <w:spacing w:line="360" w:lineRule="auto"/>
        <w:ind w:firstLine="480" w:firstLineChars="200"/>
        <w:rPr>
          <w:rFonts w:hint="default"/>
          <w:bCs/>
          <w:sz w:val="24"/>
          <w:szCs w:val="24"/>
        </w:rPr>
      </w:pPr>
      <w:r>
        <w:rPr>
          <w:rFonts w:hint="default"/>
          <w:bCs/>
          <w:sz w:val="24"/>
          <w:szCs w:val="24"/>
        </w:rPr>
        <w:t>（4）中信证券华南股份有限公司</w:t>
      </w:r>
    </w:p>
    <w:p w14:paraId="7D9C5121">
      <w:pPr>
        <w:adjustRightInd w:val="0"/>
        <w:snapToGrid w:val="0"/>
        <w:spacing w:line="360" w:lineRule="auto"/>
        <w:ind w:firstLine="480" w:firstLineChars="200"/>
        <w:rPr>
          <w:rFonts w:hint="default"/>
          <w:bCs/>
          <w:sz w:val="24"/>
          <w:szCs w:val="24"/>
        </w:rPr>
      </w:pPr>
      <w:r>
        <w:rPr>
          <w:rFonts w:hint="default"/>
          <w:bCs/>
          <w:sz w:val="24"/>
          <w:szCs w:val="24"/>
        </w:rPr>
        <w:t>客服电话：（020）95396</w:t>
      </w:r>
    </w:p>
    <w:p w14:paraId="57E83F84">
      <w:pPr>
        <w:adjustRightInd w:val="0"/>
        <w:snapToGrid w:val="0"/>
        <w:spacing w:line="360" w:lineRule="auto"/>
        <w:ind w:firstLine="480" w:firstLineChars="200"/>
        <w:rPr>
          <w:rFonts w:hint="default"/>
          <w:bCs/>
          <w:sz w:val="24"/>
          <w:szCs w:val="24"/>
        </w:rPr>
      </w:pPr>
      <w:r>
        <w:rPr>
          <w:rFonts w:hint="default"/>
          <w:bCs/>
          <w:sz w:val="24"/>
          <w:szCs w:val="24"/>
        </w:rPr>
        <w:t>网址：www.gzs.com.cn</w:t>
      </w:r>
    </w:p>
    <w:p w14:paraId="496123E2">
      <w:pPr>
        <w:adjustRightInd w:val="0"/>
        <w:snapToGrid w:val="0"/>
        <w:spacing w:line="360" w:lineRule="auto"/>
        <w:ind w:firstLine="480" w:firstLineChars="200"/>
        <w:rPr>
          <w:rFonts w:hint="default"/>
          <w:bCs/>
          <w:sz w:val="24"/>
          <w:szCs w:val="24"/>
        </w:rPr>
      </w:pPr>
      <w:r>
        <w:rPr>
          <w:rFonts w:hint="default"/>
          <w:bCs/>
          <w:sz w:val="24"/>
          <w:szCs w:val="24"/>
        </w:rPr>
        <w:t>（5）华泰证券股份有限公司</w:t>
      </w:r>
    </w:p>
    <w:p w14:paraId="2B8DF154">
      <w:pPr>
        <w:adjustRightInd w:val="0"/>
        <w:snapToGrid w:val="0"/>
        <w:spacing w:line="360" w:lineRule="auto"/>
        <w:ind w:firstLine="480" w:firstLineChars="200"/>
        <w:rPr>
          <w:rFonts w:hint="default"/>
          <w:bCs/>
          <w:sz w:val="24"/>
          <w:szCs w:val="24"/>
        </w:rPr>
      </w:pPr>
      <w:r>
        <w:rPr>
          <w:rFonts w:hint="default"/>
          <w:bCs/>
          <w:sz w:val="24"/>
          <w:szCs w:val="24"/>
        </w:rPr>
        <w:t>客户服务电话：95597</w:t>
      </w:r>
    </w:p>
    <w:p w14:paraId="688B9CB3">
      <w:pPr>
        <w:adjustRightInd w:val="0"/>
        <w:snapToGrid w:val="0"/>
        <w:spacing w:line="360" w:lineRule="auto"/>
        <w:ind w:firstLine="480" w:firstLineChars="200"/>
        <w:rPr>
          <w:rFonts w:hint="default"/>
          <w:bCs/>
          <w:sz w:val="24"/>
          <w:szCs w:val="24"/>
        </w:rPr>
      </w:pPr>
      <w:r>
        <w:rPr>
          <w:rFonts w:hint="default"/>
          <w:bCs/>
          <w:sz w:val="24"/>
          <w:szCs w:val="24"/>
        </w:rPr>
        <w:t>网址：www.htsc.com.cn</w:t>
      </w:r>
    </w:p>
    <w:p w14:paraId="7D8E0ECD">
      <w:pPr>
        <w:adjustRightInd w:val="0"/>
        <w:snapToGrid w:val="0"/>
        <w:spacing w:line="360" w:lineRule="auto"/>
        <w:ind w:firstLine="480" w:firstLineChars="200"/>
        <w:rPr>
          <w:rFonts w:hint="default"/>
          <w:bCs/>
          <w:sz w:val="24"/>
          <w:szCs w:val="24"/>
        </w:rPr>
      </w:pPr>
      <w:r>
        <w:rPr>
          <w:rFonts w:hint="default"/>
          <w:bCs/>
          <w:sz w:val="24"/>
          <w:szCs w:val="24"/>
        </w:rPr>
        <w:t>（6）国信证券股份有限公司</w:t>
      </w:r>
    </w:p>
    <w:p w14:paraId="65C02C1B">
      <w:pPr>
        <w:adjustRightInd w:val="0"/>
        <w:snapToGrid w:val="0"/>
        <w:spacing w:line="360" w:lineRule="auto"/>
        <w:ind w:firstLine="480" w:firstLineChars="200"/>
        <w:rPr>
          <w:rFonts w:hint="default"/>
          <w:bCs/>
          <w:sz w:val="24"/>
          <w:szCs w:val="24"/>
        </w:rPr>
      </w:pPr>
      <w:r>
        <w:rPr>
          <w:rFonts w:hint="default"/>
          <w:bCs/>
          <w:sz w:val="24"/>
          <w:szCs w:val="24"/>
        </w:rPr>
        <w:t>客户服务电话：95536</w:t>
      </w:r>
    </w:p>
    <w:p w14:paraId="0F0DA8E3">
      <w:pPr>
        <w:adjustRightInd w:val="0"/>
        <w:snapToGrid w:val="0"/>
        <w:spacing w:line="360" w:lineRule="auto"/>
        <w:ind w:firstLine="480" w:firstLineChars="200"/>
        <w:rPr>
          <w:rStyle w:val="36"/>
          <w:rFonts w:hint="eastAsia" w:hAnsi="Times New Roman" w:eastAsia="宋体"/>
          <w:bCs/>
          <w:sz w:val="24"/>
          <w:szCs w:val="24"/>
          <w:lang w:val="en-US" w:eastAsia="zh-CN"/>
        </w:rPr>
      </w:pPr>
      <w:r>
        <w:rPr>
          <w:rFonts w:hint="default"/>
          <w:bCs/>
          <w:sz w:val="24"/>
          <w:szCs w:val="24"/>
        </w:rPr>
        <w:t>网址：www.guosen.com.cn</w:t>
      </w:r>
    </w:p>
    <w:p w14:paraId="6C67C592">
      <w:pPr>
        <w:adjustRightInd w:val="0"/>
        <w:snapToGrid w:val="0"/>
        <w:spacing w:line="360" w:lineRule="auto"/>
        <w:ind w:firstLine="480" w:firstLineChars="200"/>
        <w:rPr>
          <w:rFonts w:hint="default" w:eastAsia="宋体"/>
          <w:bCs/>
          <w:sz w:val="24"/>
          <w:szCs w:val="24"/>
          <w:lang w:eastAsia="zh-CN"/>
        </w:rPr>
      </w:pPr>
    </w:p>
    <w:p w14:paraId="63E2E25D">
      <w:pPr>
        <w:adjustRightInd w:val="0"/>
        <w:snapToGrid w:val="0"/>
        <w:spacing w:line="360" w:lineRule="auto"/>
        <w:ind w:firstLine="480" w:firstLineChars="200"/>
        <w:rPr>
          <w:bCs/>
          <w:sz w:val="24"/>
          <w:szCs w:val="24"/>
        </w:rPr>
      </w:pPr>
      <w:r>
        <w:rPr>
          <w:bCs/>
          <w:sz w:val="24"/>
          <w:szCs w:val="24"/>
        </w:rPr>
        <w:t>风险提示：</w:t>
      </w:r>
    </w:p>
    <w:p w14:paraId="0E749912">
      <w:pPr>
        <w:adjustRightInd w:val="0"/>
        <w:snapToGrid w:val="0"/>
        <w:spacing w:line="360" w:lineRule="auto"/>
        <w:ind w:firstLine="480" w:firstLineChars="200"/>
        <w:rPr>
          <w:bCs/>
          <w:sz w:val="24"/>
          <w:szCs w:val="24"/>
        </w:rPr>
      </w:pPr>
      <w:r>
        <w:rPr>
          <w:bCs/>
          <w:sz w:val="24"/>
          <w:szCs w:val="24"/>
        </w:rPr>
        <w:t>本基金管理人承诺以诚实信用、勤勉尽责的原则管理和运用基金财产，但不保证基金一定盈利，也不保证最低收益。基金的过往业绩并不代表其将来表现。投资有风险，敬请投资人认真阅读基金的相关法律文件，并选择适合自身风险承受能力的投资品种进行投资。</w:t>
      </w:r>
      <w:r>
        <w:rPr>
          <w:bCs/>
          <w:sz w:val="24"/>
          <w:szCs w:val="24"/>
        </w:rPr>
        <w:br w:type="textWrapping"/>
      </w:r>
    </w:p>
    <w:p w14:paraId="71258DC1">
      <w:pPr>
        <w:adjustRightInd w:val="0"/>
        <w:snapToGrid w:val="0"/>
        <w:spacing w:line="360" w:lineRule="auto"/>
        <w:ind w:firstLine="480" w:firstLineChars="200"/>
        <w:rPr>
          <w:bCs/>
          <w:sz w:val="24"/>
          <w:szCs w:val="24"/>
        </w:rPr>
      </w:pPr>
      <w:r>
        <w:rPr>
          <w:bCs/>
          <w:sz w:val="24"/>
          <w:szCs w:val="24"/>
        </w:rPr>
        <w:t>特此公告。</w:t>
      </w:r>
    </w:p>
    <w:p w14:paraId="5EABC7AB">
      <w:pPr>
        <w:adjustRightInd w:val="0"/>
        <w:snapToGrid w:val="0"/>
        <w:spacing w:line="360" w:lineRule="auto"/>
        <w:rPr>
          <w:bCs/>
          <w:sz w:val="24"/>
          <w:szCs w:val="24"/>
        </w:rPr>
      </w:pPr>
    </w:p>
    <w:p w14:paraId="21429E62">
      <w:pPr>
        <w:adjustRightInd w:val="0"/>
        <w:snapToGrid w:val="0"/>
        <w:spacing w:line="360" w:lineRule="auto"/>
        <w:ind w:firstLine="480" w:firstLineChars="200"/>
        <w:jc w:val="right"/>
        <w:rPr>
          <w:bCs/>
          <w:sz w:val="24"/>
          <w:szCs w:val="24"/>
        </w:rPr>
      </w:pPr>
      <w:r>
        <w:rPr>
          <w:bCs/>
          <w:sz w:val="24"/>
          <w:szCs w:val="24"/>
        </w:rPr>
        <w:t>交银施罗德基金管理有限公司</w:t>
      </w:r>
    </w:p>
    <w:p w14:paraId="5D31E37A">
      <w:pPr>
        <w:adjustRightInd w:val="0"/>
        <w:snapToGrid w:val="0"/>
        <w:spacing w:line="360" w:lineRule="auto"/>
        <w:ind w:firstLine="480" w:firstLineChars="200"/>
        <w:jc w:val="right"/>
        <w:rPr>
          <w:sz w:val="24"/>
        </w:rPr>
      </w:pPr>
      <w:r>
        <w:rPr>
          <w:bCs/>
          <w:sz w:val="24"/>
          <w:szCs w:val="24"/>
        </w:rPr>
        <w:t>二〇二</w:t>
      </w:r>
      <w:r>
        <w:rPr>
          <w:rFonts w:hint="eastAsia"/>
          <w:bCs/>
          <w:sz w:val="24"/>
          <w:szCs w:val="24"/>
        </w:rPr>
        <w:t>六</w:t>
      </w:r>
      <w:r>
        <w:rPr>
          <w:bCs/>
          <w:sz w:val="24"/>
          <w:szCs w:val="24"/>
        </w:rPr>
        <w:t>年</w:t>
      </w:r>
      <w:r>
        <w:rPr>
          <w:rFonts w:hint="eastAsia"/>
          <w:bCs/>
          <w:sz w:val="24"/>
          <w:szCs w:val="24"/>
          <w:lang w:val="en-US" w:eastAsia="zh-CN"/>
        </w:rPr>
        <w:t>七</w:t>
      </w:r>
      <w:r>
        <w:rPr>
          <w:bCs/>
          <w:sz w:val="24"/>
          <w:szCs w:val="24"/>
        </w:rPr>
        <w:t>月</w:t>
      </w:r>
      <w:r>
        <w:rPr>
          <w:rFonts w:hint="eastAsia"/>
          <w:bCs/>
          <w:sz w:val="24"/>
          <w:szCs w:val="24"/>
        </w:rPr>
        <w:t>二十</w:t>
      </w:r>
      <w:r>
        <w:rPr>
          <w:rFonts w:hint="eastAsia"/>
          <w:bCs/>
          <w:sz w:val="24"/>
          <w:szCs w:val="24"/>
          <w:lang w:val="en-US" w:eastAsia="zh-CN"/>
        </w:rPr>
        <w:t>五</w:t>
      </w:r>
      <w:r>
        <w:rPr>
          <w:bCs/>
          <w:sz w:val="24"/>
          <w:szCs w:val="24"/>
        </w:rPr>
        <w:t>日</w:t>
      </w:r>
    </w:p>
    <w:sectPr>
      <w:headerReference r:id="rId3" w:type="default"/>
      <w:footerReference r:id="rId4" w:type="default"/>
      <w:pgSz w:w="11906" w:h="16838"/>
      <w:pgMar w:top="2193" w:right="1800" w:bottom="1246"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等线"/>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4F6E9">
    <w:pPr>
      <w:pStyle w:val="22"/>
      <w:jc w:val="center"/>
    </w:pPr>
    <w:r>
      <w:fldChar w:fldCharType="begin"/>
    </w:r>
    <w:r>
      <w:instrText xml:space="preserve"> PAGE   \* MERGEFORMAT </w:instrText>
    </w:r>
    <w:r>
      <w:fldChar w:fldCharType="separate"/>
    </w:r>
    <w:r>
      <w:rPr>
        <w:lang w:val="zh-CN"/>
      </w:rPr>
      <w:t>1</w:t>
    </w:r>
    <w:r>
      <w:fldChar w:fldCharType="end"/>
    </w:r>
  </w:p>
  <w:p w14:paraId="73418596">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130AD">
    <w:pPr>
      <w:pStyle w:val="23"/>
      <w:pBdr>
        <w:bottom w:val="none" w:color="auto" w:sz="0" w:space="0"/>
      </w:pBdr>
      <w:tabs>
        <w:tab w:val="right" w:pos="8280"/>
      </w:tabs>
      <w:ind w:right="720"/>
      <w:rPr>
        <w:rFonts w:ascii="宋体"/>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2B3"/>
    <w:rsid w:val="00000BCE"/>
    <w:rsid w:val="00000C5E"/>
    <w:rsid w:val="00004239"/>
    <w:rsid w:val="00005B75"/>
    <w:rsid w:val="00007337"/>
    <w:rsid w:val="00007B99"/>
    <w:rsid w:val="00011AC2"/>
    <w:rsid w:val="000129E7"/>
    <w:rsid w:val="00012B6C"/>
    <w:rsid w:val="000135DE"/>
    <w:rsid w:val="0001371D"/>
    <w:rsid w:val="00015066"/>
    <w:rsid w:val="00016AB7"/>
    <w:rsid w:val="00017AC0"/>
    <w:rsid w:val="000209E2"/>
    <w:rsid w:val="00020F91"/>
    <w:rsid w:val="0002209F"/>
    <w:rsid w:val="0002239D"/>
    <w:rsid w:val="00023A88"/>
    <w:rsid w:val="0002478D"/>
    <w:rsid w:val="000266A3"/>
    <w:rsid w:val="00027B7D"/>
    <w:rsid w:val="00030C4F"/>
    <w:rsid w:val="00033BD5"/>
    <w:rsid w:val="0003519E"/>
    <w:rsid w:val="00043C21"/>
    <w:rsid w:val="00045253"/>
    <w:rsid w:val="00046286"/>
    <w:rsid w:val="00046F16"/>
    <w:rsid w:val="00047555"/>
    <w:rsid w:val="00054729"/>
    <w:rsid w:val="00056A64"/>
    <w:rsid w:val="00056A7E"/>
    <w:rsid w:val="0005764C"/>
    <w:rsid w:val="000608AF"/>
    <w:rsid w:val="000613A0"/>
    <w:rsid w:val="00062FF7"/>
    <w:rsid w:val="000643A1"/>
    <w:rsid w:val="00064F3C"/>
    <w:rsid w:val="000672DD"/>
    <w:rsid w:val="00067D8D"/>
    <w:rsid w:val="00067FCA"/>
    <w:rsid w:val="0007154E"/>
    <w:rsid w:val="00073141"/>
    <w:rsid w:val="00074D9D"/>
    <w:rsid w:val="0007518A"/>
    <w:rsid w:val="00075B34"/>
    <w:rsid w:val="000807AC"/>
    <w:rsid w:val="0008138C"/>
    <w:rsid w:val="00083771"/>
    <w:rsid w:val="00084409"/>
    <w:rsid w:val="00084F82"/>
    <w:rsid w:val="000850C9"/>
    <w:rsid w:val="000855D4"/>
    <w:rsid w:val="00085617"/>
    <w:rsid w:val="0008592C"/>
    <w:rsid w:val="0008646D"/>
    <w:rsid w:val="00087BC7"/>
    <w:rsid w:val="00090A5C"/>
    <w:rsid w:val="00091FE1"/>
    <w:rsid w:val="0009228A"/>
    <w:rsid w:val="00093020"/>
    <w:rsid w:val="00094DCF"/>
    <w:rsid w:val="000A0687"/>
    <w:rsid w:val="000A44BB"/>
    <w:rsid w:val="000A4A0F"/>
    <w:rsid w:val="000A62A6"/>
    <w:rsid w:val="000A66FA"/>
    <w:rsid w:val="000B1756"/>
    <w:rsid w:val="000B1CA1"/>
    <w:rsid w:val="000B48E2"/>
    <w:rsid w:val="000B68BD"/>
    <w:rsid w:val="000B7E82"/>
    <w:rsid w:val="000C182F"/>
    <w:rsid w:val="000C2593"/>
    <w:rsid w:val="000C2824"/>
    <w:rsid w:val="000C28BF"/>
    <w:rsid w:val="000C3F7D"/>
    <w:rsid w:val="000C5031"/>
    <w:rsid w:val="000C57DC"/>
    <w:rsid w:val="000C6447"/>
    <w:rsid w:val="000C6708"/>
    <w:rsid w:val="000C6AA6"/>
    <w:rsid w:val="000C769E"/>
    <w:rsid w:val="000D0686"/>
    <w:rsid w:val="000D143C"/>
    <w:rsid w:val="000D27F4"/>
    <w:rsid w:val="000D33E0"/>
    <w:rsid w:val="000D51F2"/>
    <w:rsid w:val="000D5C19"/>
    <w:rsid w:val="000E0B96"/>
    <w:rsid w:val="000E1118"/>
    <w:rsid w:val="000E22A5"/>
    <w:rsid w:val="000E3549"/>
    <w:rsid w:val="000E55DA"/>
    <w:rsid w:val="000E5667"/>
    <w:rsid w:val="000E5B07"/>
    <w:rsid w:val="000E66FD"/>
    <w:rsid w:val="000F1DB5"/>
    <w:rsid w:val="000F5A46"/>
    <w:rsid w:val="000F5E92"/>
    <w:rsid w:val="000F69F8"/>
    <w:rsid w:val="000F7F90"/>
    <w:rsid w:val="00100478"/>
    <w:rsid w:val="0010123A"/>
    <w:rsid w:val="00102FAA"/>
    <w:rsid w:val="0010342F"/>
    <w:rsid w:val="00103D9A"/>
    <w:rsid w:val="0010463D"/>
    <w:rsid w:val="00105C2C"/>
    <w:rsid w:val="00106F6C"/>
    <w:rsid w:val="001071B2"/>
    <w:rsid w:val="00113468"/>
    <w:rsid w:val="00113B6D"/>
    <w:rsid w:val="00114137"/>
    <w:rsid w:val="0011417A"/>
    <w:rsid w:val="001148D5"/>
    <w:rsid w:val="00114987"/>
    <w:rsid w:val="001149E0"/>
    <w:rsid w:val="00116306"/>
    <w:rsid w:val="00121328"/>
    <w:rsid w:val="001218FF"/>
    <w:rsid w:val="00122894"/>
    <w:rsid w:val="00122BE0"/>
    <w:rsid w:val="0012333D"/>
    <w:rsid w:val="001245A1"/>
    <w:rsid w:val="00126895"/>
    <w:rsid w:val="00126C2D"/>
    <w:rsid w:val="00126E6B"/>
    <w:rsid w:val="00127CD7"/>
    <w:rsid w:val="00133576"/>
    <w:rsid w:val="00142790"/>
    <w:rsid w:val="00142F02"/>
    <w:rsid w:val="0014448F"/>
    <w:rsid w:val="001458E7"/>
    <w:rsid w:val="001476D2"/>
    <w:rsid w:val="00151EFB"/>
    <w:rsid w:val="001528A9"/>
    <w:rsid w:val="00152E43"/>
    <w:rsid w:val="00154A79"/>
    <w:rsid w:val="00155BA8"/>
    <w:rsid w:val="00156671"/>
    <w:rsid w:val="001608E7"/>
    <w:rsid w:val="0016183A"/>
    <w:rsid w:val="00163D55"/>
    <w:rsid w:val="0016403C"/>
    <w:rsid w:val="00164BA3"/>
    <w:rsid w:val="00164C3C"/>
    <w:rsid w:val="001657A6"/>
    <w:rsid w:val="00165D58"/>
    <w:rsid w:val="001665AD"/>
    <w:rsid w:val="001668D5"/>
    <w:rsid w:val="001704F1"/>
    <w:rsid w:val="0017056F"/>
    <w:rsid w:val="00170CE0"/>
    <w:rsid w:val="00171072"/>
    <w:rsid w:val="00171E85"/>
    <w:rsid w:val="00172036"/>
    <w:rsid w:val="00172163"/>
    <w:rsid w:val="001724F4"/>
    <w:rsid w:val="001726FC"/>
    <w:rsid w:val="001733BC"/>
    <w:rsid w:val="001743BA"/>
    <w:rsid w:val="00174BE9"/>
    <w:rsid w:val="00176589"/>
    <w:rsid w:val="001768D6"/>
    <w:rsid w:val="001773DD"/>
    <w:rsid w:val="001776F6"/>
    <w:rsid w:val="00180BBA"/>
    <w:rsid w:val="00181D6E"/>
    <w:rsid w:val="00182D49"/>
    <w:rsid w:val="00183689"/>
    <w:rsid w:val="00184795"/>
    <w:rsid w:val="00184C51"/>
    <w:rsid w:val="00184E31"/>
    <w:rsid w:val="001872C5"/>
    <w:rsid w:val="00187894"/>
    <w:rsid w:val="00187DDD"/>
    <w:rsid w:val="00192C18"/>
    <w:rsid w:val="0019367F"/>
    <w:rsid w:val="00194EE3"/>
    <w:rsid w:val="00195658"/>
    <w:rsid w:val="0019631F"/>
    <w:rsid w:val="0019681B"/>
    <w:rsid w:val="001A0648"/>
    <w:rsid w:val="001A0954"/>
    <w:rsid w:val="001A149F"/>
    <w:rsid w:val="001A1A8A"/>
    <w:rsid w:val="001A1EEC"/>
    <w:rsid w:val="001A3DE1"/>
    <w:rsid w:val="001A3EB9"/>
    <w:rsid w:val="001A42E6"/>
    <w:rsid w:val="001A4761"/>
    <w:rsid w:val="001A5FFE"/>
    <w:rsid w:val="001B1902"/>
    <w:rsid w:val="001B3A0F"/>
    <w:rsid w:val="001B3B58"/>
    <w:rsid w:val="001B3D9D"/>
    <w:rsid w:val="001B4FAA"/>
    <w:rsid w:val="001B6FA6"/>
    <w:rsid w:val="001C0B2F"/>
    <w:rsid w:val="001C0F4A"/>
    <w:rsid w:val="001C11F5"/>
    <w:rsid w:val="001C1AEF"/>
    <w:rsid w:val="001C1D02"/>
    <w:rsid w:val="001C22DF"/>
    <w:rsid w:val="001C2695"/>
    <w:rsid w:val="001C4403"/>
    <w:rsid w:val="001C62BB"/>
    <w:rsid w:val="001C646F"/>
    <w:rsid w:val="001C65D8"/>
    <w:rsid w:val="001C6880"/>
    <w:rsid w:val="001C7D22"/>
    <w:rsid w:val="001D131C"/>
    <w:rsid w:val="001D2E28"/>
    <w:rsid w:val="001D41BE"/>
    <w:rsid w:val="001D45E2"/>
    <w:rsid w:val="001D4B53"/>
    <w:rsid w:val="001D597F"/>
    <w:rsid w:val="001D5D14"/>
    <w:rsid w:val="001D6DA9"/>
    <w:rsid w:val="001E09D0"/>
    <w:rsid w:val="001E5E7F"/>
    <w:rsid w:val="001E6A1F"/>
    <w:rsid w:val="001E7DAF"/>
    <w:rsid w:val="001F3A61"/>
    <w:rsid w:val="001F3B8C"/>
    <w:rsid w:val="001F3E19"/>
    <w:rsid w:val="001F5450"/>
    <w:rsid w:val="001F60B0"/>
    <w:rsid w:val="001F6B2F"/>
    <w:rsid w:val="00203CE6"/>
    <w:rsid w:val="002040C1"/>
    <w:rsid w:val="0020492D"/>
    <w:rsid w:val="00204B47"/>
    <w:rsid w:val="00204B5A"/>
    <w:rsid w:val="002050E5"/>
    <w:rsid w:val="00213CA3"/>
    <w:rsid w:val="00217A0E"/>
    <w:rsid w:val="00220E23"/>
    <w:rsid w:val="00223C2A"/>
    <w:rsid w:val="002255AD"/>
    <w:rsid w:val="00227E2D"/>
    <w:rsid w:val="0023084A"/>
    <w:rsid w:val="00230EF1"/>
    <w:rsid w:val="00231994"/>
    <w:rsid w:val="00232D70"/>
    <w:rsid w:val="00233C66"/>
    <w:rsid w:val="0023407E"/>
    <w:rsid w:val="00234F32"/>
    <w:rsid w:val="002351BA"/>
    <w:rsid w:val="0023578D"/>
    <w:rsid w:val="00235BE0"/>
    <w:rsid w:val="0023629D"/>
    <w:rsid w:val="0023634C"/>
    <w:rsid w:val="002379C5"/>
    <w:rsid w:val="00237D60"/>
    <w:rsid w:val="0024267D"/>
    <w:rsid w:val="00242A2E"/>
    <w:rsid w:val="0024338E"/>
    <w:rsid w:val="00243417"/>
    <w:rsid w:val="002444D1"/>
    <w:rsid w:val="00244F47"/>
    <w:rsid w:val="002469D9"/>
    <w:rsid w:val="002520B9"/>
    <w:rsid w:val="00253F24"/>
    <w:rsid w:val="002542CA"/>
    <w:rsid w:val="002544E6"/>
    <w:rsid w:val="00254542"/>
    <w:rsid w:val="0025510E"/>
    <w:rsid w:val="00257074"/>
    <w:rsid w:val="00257CC3"/>
    <w:rsid w:val="002601C5"/>
    <w:rsid w:val="00261CDF"/>
    <w:rsid w:val="00261E07"/>
    <w:rsid w:val="00264680"/>
    <w:rsid w:val="00265396"/>
    <w:rsid w:val="00265780"/>
    <w:rsid w:val="002658E4"/>
    <w:rsid w:val="00265EEE"/>
    <w:rsid w:val="00266C52"/>
    <w:rsid w:val="00267F21"/>
    <w:rsid w:val="00271788"/>
    <w:rsid w:val="00271D1E"/>
    <w:rsid w:val="002721DA"/>
    <w:rsid w:val="00272481"/>
    <w:rsid w:val="00273937"/>
    <w:rsid w:val="0027504C"/>
    <w:rsid w:val="002750EA"/>
    <w:rsid w:val="0027570E"/>
    <w:rsid w:val="00277C43"/>
    <w:rsid w:val="002800CF"/>
    <w:rsid w:val="00281C93"/>
    <w:rsid w:val="00282269"/>
    <w:rsid w:val="00282782"/>
    <w:rsid w:val="0028283C"/>
    <w:rsid w:val="00282BE9"/>
    <w:rsid w:val="00284056"/>
    <w:rsid w:val="0028787D"/>
    <w:rsid w:val="00290911"/>
    <w:rsid w:val="00290FC6"/>
    <w:rsid w:val="00293131"/>
    <w:rsid w:val="00293B92"/>
    <w:rsid w:val="00293C01"/>
    <w:rsid w:val="00293D96"/>
    <w:rsid w:val="00294751"/>
    <w:rsid w:val="00297034"/>
    <w:rsid w:val="0029786A"/>
    <w:rsid w:val="002A10E2"/>
    <w:rsid w:val="002A353A"/>
    <w:rsid w:val="002A456E"/>
    <w:rsid w:val="002B2C22"/>
    <w:rsid w:val="002B4704"/>
    <w:rsid w:val="002B4F20"/>
    <w:rsid w:val="002B5C65"/>
    <w:rsid w:val="002B6E87"/>
    <w:rsid w:val="002B752B"/>
    <w:rsid w:val="002C1A0A"/>
    <w:rsid w:val="002C1C4E"/>
    <w:rsid w:val="002C3E65"/>
    <w:rsid w:val="002C4A0C"/>
    <w:rsid w:val="002C7583"/>
    <w:rsid w:val="002C7B77"/>
    <w:rsid w:val="002C7FE5"/>
    <w:rsid w:val="002D076A"/>
    <w:rsid w:val="002D0B9F"/>
    <w:rsid w:val="002D1F25"/>
    <w:rsid w:val="002D2B2F"/>
    <w:rsid w:val="002D2CC4"/>
    <w:rsid w:val="002D3066"/>
    <w:rsid w:val="002D3914"/>
    <w:rsid w:val="002D4317"/>
    <w:rsid w:val="002D5102"/>
    <w:rsid w:val="002D55F6"/>
    <w:rsid w:val="002D5EC4"/>
    <w:rsid w:val="002D5F8A"/>
    <w:rsid w:val="002D65AF"/>
    <w:rsid w:val="002F13DF"/>
    <w:rsid w:val="002F1839"/>
    <w:rsid w:val="002F24F6"/>
    <w:rsid w:val="002F3544"/>
    <w:rsid w:val="002F462D"/>
    <w:rsid w:val="002F4AD6"/>
    <w:rsid w:val="002F6F4D"/>
    <w:rsid w:val="00301AA3"/>
    <w:rsid w:val="0030283D"/>
    <w:rsid w:val="0030318F"/>
    <w:rsid w:val="00311CD6"/>
    <w:rsid w:val="00312011"/>
    <w:rsid w:val="0031207D"/>
    <w:rsid w:val="0031504C"/>
    <w:rsid w:val="0031658D"/>
    <w:rsid w:val="003168E5"/>
    <w:rsid w:val="00316F0B"/>
    <w:rsid w:val="003219EC"/>
    <w:rsid w:val="00322DCD"/>
    <w:rsid w:val="00325431"/>
    <w:rsid w:val="00325CE6"/>
    <w:rsid w:val="00326540"/>
    <w:rsid w:val="00327764"/>
    <w:rsid w:val="00327891"/>
    <w:rsid w:val="0033020E"/>
    <w:rsid w:val="00331BDE"/>
    <w:rsid w:val="0033271D"/>
    <w:rsid w:val="003347ED"/>
    <w:rsid w:val="00334C5E"/>
    <w:rsid w:val="003354B4"/>
    <w:rsid w:val="00336728"/>
    <w:rsid w:val="00340E4B"/>
    <w:rsid w:val="00343E78"/>
    <w:rsid w:val="00345F95"/>
    <w:rsid w:val="00346945"/>
    <w:rsid w:val="00347449"/>
    <w:rsid w:val="003477D3"/>
    <w:rsid w:val="00347BB4"/>
    <w:rsid w:val="003515F5"/>
    <w:rsid w:val="00352248"/>
    <w:rsid w:val="0035242C"/>
    <w:rsid w:val="00353175"/>
    <w:rsid w:val="00356E47"/>
    <w:rsid w:val="00357A90"/>
    <w:rsid w:val="003601FD"/>
    <w:rsid w:val="00360A4D"/>
    <w:rsid w:val="00361FB0"/>
    <w:rsid w:val="00364B78"/>
    <w:rsid w:val="003662BD"/>
    <w:rsid w:val="00371C7E"/>
    <w:rsid w:val="003726E9"/>
    <w:rsid w:val="003736A5"/>
    <w:rsid w:val="00374BAC"/>
    <w:rsid w:val="003754CD"/>
    <w:rsid w:val="00377C27"/>
    <w:rsid w:val="003803E5"/>
    <w:rsid w:val="0038086C"/>
    <w:rsid w:val="00381497"/>
    <w:rsid w:val="00382296"/>
    <w:rsid w:val="003833BE"/>
    <w:rsid w:val="00384EDD"/>
    <w:rsid w:val="003856D3"/>
    <w:rsid w:val="00385A03"/>
    <w:rsid w:val="00385EB4"/>
    <w:rsid w:val="00386AE5"/>
    <w:rsid w:val="003871FA"/>
    <w:rsid w:val="00390ECF"/>
    <w:rsid w:val="00392572"/>
    <w:rsid w:val="00392722"/>
    <w:rsid w:val="0039392D"/>
    <w:rsid w:val="00393D4B"/>
    <w:rsid w:val="00395DF3"/>
    <w:rsid w:val="003975A3"/>
    <w:rsid w:val="003A0A58"/>
    <w:rsid w:val="003A0E32"/>
    <w:rsid w:val="003A194E"/>
    <w:rsid w:val="003A1BDB"/>
    <w:rsid w:val="003A1CD6"/>
    <w:rsid w:val="003A2B06"/>
    <w:rsid w:val="003A3B03"/>
    <w:rsid w:val="003A4DD9"/>
    <w:rsid w:val="003A55F7"/>
    <w:rsid w:val="003A6D15"/>
    <w:rsid w:val="003A74AD"/>
    <w:rsid w:val="003B1CD6"/>
    <w:rsid w:val="003B325A"/>
    <w:rsid w:val="003B4071"/>
    <w:rsid w:val="003B5187"/>
    <w:rsid w:val="003B6FF0"/>
    <w:rsid w:val="003B731C"/>
    <w:rsid w:val="003B79E7"/>
    <w:rsid w:val="003B7A56"/>
    <w:rsid w:val="003C310C"/>
    <w:rsid w:val="003C6B28"/>
    <w:rsid w:val="003C721E"/>
    <w:rsid w:val="003C72E2"/>
    <w:rsid w:val="003D00A5"/>
    <w:rsid w:val="003D0715"/>
    <w:rsid w:val="003D2613"/>
    <w:rsid w:val="003D4A10"/>
    <w:rsid w:val="003D6448"/>
    <w:rsid w:val="003D671D"/>
    <w:rsid w:val="003D6DB1"/>
    <w:rsid w:val="003D72B3"/>
    <w:rsid w:val="003D736F"/>
    <w:rsid w:val="003E0138"/>
    <w:rsid w:val="003E0634"/>
    <w:rsid w:val="003E1867"/>
    <w:rsid w:val="003E27A7"/>
    <w:rsid w:val="003E2DF5"/>
    <w:rsid w:val="003E2DFD"/>
    <w:rsid w:val="003E2E2E"/>
    <w:rsid w:val="003E4736"/>
    <w:rsid w:val="003E6868"/>
    <w:rsid w:val="003E6BFB"/>
    <w:rsid w:val="003E7520"/>
    <w:rsid w:val="003E7ABC"/>
    <w:rsid w:val="003F06BE"/>
    <w:rsid w:val="003F14A3"/>
    <w:rsid w:val="003F27FF"/>
    <w:rsid w:val="003F3A5D"/>
    <w:rsid w:val="003F40CB"/>
    <w:rsid w:val="003F46DE"/>
    <w:rsid w:val="003F528E"/>
    <w:rsid w:val="00400CA3"/>
    <w:rsid w:val="00401AC3"/>
    <w:rsid w:val="00402935"/>
    <w:rsid w:val="004030BE"/>
    <w:rsid w:val="0040330D"/>
    <w:rsid w:val="00403E0B"/>
    <w:rsid w:val="00405AE7"/>
    <w:rsid w:val="00405BDD"/>
    <w:rsid w:val="004074CF"/>
    <w:rsid w:val="004100E9"/>
    <w:rsid w:val="0041078A"/>
    <w:rsid w:val="00410BAD"/>
    <w:rsid w:val="004113A3"/>
    <w:rsid w:val="00412EF8"/>
    <w:rsid w:val="00413FEB"/>
    <w:rsid w:val="00420844"/>
    <w:rsid w:val="00421235"/>
    <w:rsid w:val="00422634"/>
    <w:rsid w:val="00422BC7"/>
    <w:rsid w:val="00424E55"/>
    <w:rsid w:val="00424F85"/>
    <w:rsid w:val="004257B0"/>
    <w:rsid w:val="004265CD"/>
    <w:rsid w:val="00427369"/>
    <w:rsid w:val="00427D8B"/>
    <w:rsid w:val="00427F6A"/>
    <w:rsid w:val="00430575"/>
    <w:rsid w:val="00430BB4"/>
    <w:rsid w:val="0043111B"/>
    <w:rsid w:val="00431DC4"/>
    <w:rsid w:val="00431E54"/>
    <w:rsid w:val="00433257"/>
    <w:rsid w:val="0043376E"/>
    <w:rsid w:val="00433E71"/>
    <w:rsid w:val="0043465E"/>
    <w:rsid w:val="0043575D"/>
    <w:rsid w:val="00436BFB"/>
    <w:rsid w:val="00436E03"/>
    <w:rsid w:val="00436F9C"/>
    <w:rsid w:val="00440580"/>
    <w:rsid w:val="00440A03"/>
    <w:rsid w:val="00440F88"/>
    <w:rsid w:val="00442979"/>
    <w:rsid w:val="0044319D"/>
    <w:rsid w:val="00444C29"/>
    <w:rsid w:val="00445238"/>
    <w:rsid w:val="00445ED7"/>
    <w:rsid w:val="00451C85"/>
    <w:rsid w:val="00452B0F"/>
    <w:rsid w:val="00452BA4"/>
    <w:rsid w:val="00453B18"/>
    <w:rsid w:val="00453F1E"/>
    <w:rsid w:val="004606D3"/>
    <w:rsid w:val="004611A7"/>
    <w:rsid w:val="00461289"/>
    <w:rsid w:val="0046192E"/>
    <w:rsid w:val="0046249B"/>
    <w:rsid w:val="00462A0F"/>
    <w:rsid w:val="004656F7"/>
    <w:rsid w:val="00465711"/>
    <w:rsid w:val="00466075"/>
    <w:rsid w:val="004663CF"/>
    <w:rsid w:val="004674BD"/>
    <w:rsid w:val="0047002E"/>
    <w:rsid w:val="004713CA"/>
    <w:rsid w:val="004751BD"/>
    <w:rsid w:val="00475783"/>
    <w:rsid w:val="004777FB"/>
    <w:rsid w:val="004779C5"/>
    <w:rsid w:val="00477E61"/>
    <w:rsid w:val="004812E6"/>
    <w:rsid w:val="00482F34"/>
    <w:rsid w:val="00487EDD"/>
    <w:rsid w:val="00487F0D"/>
    <w:rsid w:val="00490FA4"/>
    <w:rsid w:val="00491217"/>
    <w:rsid w:val="00494225"/>
    <w:rsid w:val="00496815"/>
    <w:rsid w:val="00496B35"/>
    <w:rsid w:val="004A0B61"/>
    <w:rsid w:val="004A1D92"/>
    <w:rsid w:val="004A2CC6"/>
    <w:rsid w:val="004A3D28"/>
    <w:rsid w:val="004A4A6C"/>
    <w:rsid w:val="004A560A"/>
    <w:rsid w:val="004A6DDE"/>
    <w:rsid w:val="004A731A"/>
    <w:rsid w:val="004A7B8C"/>
    <w:rsid w:val="004A7F13"/>
    <w:rsid w:val="004B21F7"/>
    <w:rsid w:val="004B23EC"/>
    <w:rsid w:val="004B31AF"/>
    <w:rsid w:val="004B3564"/>
    <w:rsid w:val="004B4F69"/>
    <w:rsid w:val="004B52F5"/>
    <w:rsid w:val="004B6D57"/>
    <w:rsid w:val="004B7260"/>
    <w:rsid w:val="004C0BB6"/>
    <w:rsid w:val="004C2328"/>
    <w:rsid w:val="004C2F7D"/>
    <w:rsid w:val="004C357F"/>
    <w:rsid w:val="004C3677"/>
    <w:rsid w:val="004C371A"/>
    <w:rsid w:val="004C40FE"/>
    <w:rsid w:val="004C49A1"/>
    <w:rsid w:val="004C5966"/>
    <w:rsid w:val="004C5A6B"/>
    <w:rsid w:val="004C5F99"/>
    <w:rsid w:val="004D326E"/>
    <w:rsid w:val="004D3963"/>
    <w:rsid w:val="004E0519"/>
    <w:rsid w:val="004E0B0A"/>
    <w:rsid w:val="004E12EC"/>
    <w:rsid w:val="004E22D8"/>
    <w:rsid w:val="004E2C3B"/>
    <w:rsid w:val="004E4173"/>
    <w:rsid w:val="004F0959"/>
    <w:rsid w:val="004F1477"/>
    <w:rsid w:val="004F1D09"/>
    <w:rsid w:val="004F27CA"/>
    <w:rsid w:val="004F3BC5"/>
    <w:rsid w:val="004F4B3F"/>
    <w:rsid w:val="004F6D3C"/>
    <w:rsid w:val="004F719C"/>
    <w:rsid w:val="005019A8"/>
    <w:rsid w:val="00502624"/>
    <w:rsid w:val="00505416"/>
    <w:rsid w:val="005072D2"/>
    <w:rsid w:val="00510CD8"/>
    <w:rsid w:val="005128FD"/>
    <w:rsid w:val="0051378F"/>
    <w:rsid w:val="005147C8"/>
    <w:rsid w:val="005162D3"/>
    <w:rsid w:val="005165E0"/>
    <w:rsid w:val="0051673E"/>
    <w:rsid w:val="00520102"/>
    <w:rsid w:val="005210B7"/>
    <w:rsid w:val="00521AB7"/>
    <w:rsid w:val="00521B4B"/>
    <w:rsid w:val="005224DD"/>
    <w:rsid w:val="0052599F"/>
    <w:rsid w:val="005278AB"/>
    <w:rsid w:val="005302A2"/>
    <w:rsid w:val="00531819"/>
    <w:rsid w:val="00532762"/>
    <w:rsid w:val="005328FC"/>
    <w:rsid w:val="0053386A"/>
    <w:rsid w:val="005348BC"/>
    <w:rsid w:val="00536286"/>
    <w:rsid w:val="0054140E"/>
    <w:rsid w:val="00542392"/>
    <w:rsid w:val="00544DB6"/>
    <w:rsid w:val="005463CF"/>
    <w:rsid w:val="005471E2"/>
    <w:rsid w:val="00547DE6"/>
    <w:rsid w:val="00551E64"/>
    <w:rsid w:val="00554547"/>
    <w:rsid w:val="00555DF6"/>
    <w:rsid w:val="00556764"/>
    <w:rsid w:val="00557D0E"/>
    <w:rsid w:val="00560C5C"/>
    <w:rsid w:val="00560C69"/>
    <w:rsid w:val="00563023"/>
    <w:rsid w:val="005632F9"/>
    <w:rsid w:val="00564ED6"/>
    <w:rsid w:val="005653A3"/>
    <w:rsid w:val="00565456"/>
    <w:rsid w:val="005658E6"/>
    <w:rsid w:val="00566E1C"/>
    <w:rsid w:val="00570247"/>
    <w:rsid w:val="00570516"/>
    <w:rsid w:val="005709A4"/>
    <w:rsid w:val="00570FB6"/>
    <w:rsid w:val="0057101C"/>
    <w:rsid w:val="00571DE6"/>
    <w:rsid w:val="0057397D"/>
    <w:rsid w:val="00573FA2"/>
    <w:rsid w:val="0057431D"/>
    <w:rsid w:val="00575055"/>
    <w:rsid w:val="005763FC"/>
    <w:rsid w:val="005807CB"/>
    <w:rsid w:val="00581F09"/>
    <w:rsid w:val="00582D10"/>
    <w:rsid w:val="00584846"/>
    <w:rsid w:val="00585626"/>
    <w:rsid w:val="00586EDD"/>
    <w:rsid w:val="00590D7C"/>
    <w:rsid w:val="00591704"/>
    <w:rsid w:val="00591ADC"/>
    <w:rsid w:val="0059207A"/>
    <w:rsid w:val="005923B6"/>
    <w:rsid w:val="00592442"/>
    <w:rsid w:val="00593C4A"/>
    <w:rsid w:val="005954D8"/>
    <w:rsid w:val="00596953"/>
    <w:rsid w:val="00597D2E"/>
    <w:rsid w:val="005A1ECE"/>
    <w:rsid w:val="005A27EE"/>
    <w:rsid w:val="005A28F6"/>
    <w:rsid w:val="005A2AAB"/>
    <w:rsid w:val="005A2C94"/>
    <w:rsid w:val="005A5F89"/>
    <w:rsid w:val="005B1899"/>
    <w:rsid w:val="005B533A"/>
    <w:rsid w:val="005B757B"/>
    <w:rsid w:val="005C1754"/>
    <w:rsid w:val="005C1D8E"/>
    <w:rsid w:val="005C38B1"/>
    <w:rsid w:val="005C44A2"/>
    <w:rsid w:val="005C6934"/>
    <w:rsid w:val="005C7634"/>
    <w:rsid w:val="005C7655"/>
    <w:rsid w:val="005C7D2B"/>
    <w:rsid w:val="005D006E"/>
    <w:rsid w:val="005D08C3"/>
    <w:rsid w:val="005D4E52"/>
    <w:rsid w:val="005D5454"/>
    <w:rsid w:val="005D55DC"/>
    <w:rsid w:val="005D714C"/>
    <w:rsid w:val="005E1604"/>
    <w:rsid w:val="005E2E66"/>
    <w:rsid w:val="005E3133"/>
    <w:rsid w:val="005E361B"/>
    <w:rsid w:val="005E3992"/>
    <w:rsid w:val="005E3AE3"/>
    <w:rsid w:val="005E3B4C"/>
    <w:rsid w:val="005E49A5"/>
    <w:rsid w:val="005E6AD7"/>
    <w:rsid w:val="005F02F8"/>
    <w:rsid w:val="005F1753"/>
    <w:rsid w:val="005F1FFF"/>
    <w:rsid w:val="005F2242"/>
    <w:rsid w:val="005F2EEF"/>
    <w:rsid w:val="005F2F6F"/>
    <w:rsid w:val="005F38C8"/>
    <w:rsid w:val="005F3AD0"/>
    <w:rsid w:val="005F5023"/>
    <w:rsid w:val="005F5525"/>
    <w:rsid w:val="005F620D"/>
    <w:rsid w:val="006008B5"/>
    <w:rsid w:val="006016BA"/>
    <w:rsid w:val="006017E9"/>
    <w:rsid w:val="0060196F"/>
    <w:rsid w:val="0060385E"/>
    <w:rsid w:val="00604992"/>
    <w:rsid w:val="006059AE"/>
    <w:rsid w:val="00607C02"/>
    <w:rsid w:val="006100AC"/>
    <w:rsid w:val="0061111B"/>
    <w:rsid w:val="00612449"/>
    <w:rsid w:val="0061252F"/>
    <w:rsid w:val="00612EA6"/>
    <w:rsid w:val="00613DF5"/>
    <w:rsid w:val="00614F16"/>
    <w:rsid w:val="00615C5F"/>
    <w:rsid w:val="00616900"/>
    <w:rsid w:val="0061762A"/>
    <w:rsid w:val="00617834"/>
    <w:rsid w:val="006200EB"/>
    <w:rsid w:val="00620279"/>
    <w:rsid w:val="00622E02"/>
    <w:rsid w:val="00623CBB"/>
    <w:rsid w:val="0062457B"/>
    <w:rsid w:val="00625CF0"/>
    <w:rsid w:val="00626C7F"/>
    <w:rsid w:val="00631A75"/>
    <w:rsid w:val="00632CF1"/>
    <w:rsid w:val="00633034"/>
    <w:rsid w:val="0063485D"/>
    <w:rsid w:val="00635764"/>
    <w:rsid w:val="00636D5B"/>
    <w:rsid w:val="00637241"/>
    <w:rsid w:val="006400D2"/>
    <w:rsid w:val="00640FAC"/>
    <w:rsid w:val="00642006"/>
    <w:rsid w:val="00644CD6"/>
    <w:rsid w:val="00645A6C"/>
    <w:rsid w:val="006464F0"/>
    <w:rsid w:val="00647E26"/>
    <w:rsid w:val="0065024D"/>
    <w:rsid w:val="006537EA"/>
    <w:rsid w:val="00653CC2"/>
    <w:rsid w:val="006545BA"/>
    <w:rsid w:val="00662DF0"/>
    <w:rsid w:val="00665776"/>
    <w:rsid w:val="00665D43"/>
    <w:rsid w:val="00666C7C"/>
    <w:rsid w:val="00666E64"/>
    <w:rsid w:val="00667325"/>
    <w:rsid w:val="00670D5E"/>
    <w:rsid w:val="006724AE"/>
    <w:rsid w:val="00673A21"/>
    <w:rsid w:val="00673DD5"/>
    <w:rsid w:val="00675370"/>
    <w:rsid w:val="00676FE8"/>
    <w:rsid w:val="00677E72"/>
    <w:rsid w:val="00680486"/>
    <w:rsid w:val="00680512"/>
    <w:rsid w:val="00686A75"/>
    <w:rsid w:val="006872A5"/>
    <w:rsid w:val="0068736D"/>
    <w:rsid w:val="00687BDE"/>
    <w:rsid w:val="00691887"/>
    <w:rsid w:val="00691C24"/>
    <w:rsid w:val="006936B5"/>
    <w:rsid w:val="00694709"/>
    <w:rsid w:val="006972C5"/>
    <w:rsid w:val="00697FE7"/>
    <w:rsid w:val="006A0974"/>
    <w:rsid w:val="006A6389"/>
    <w:rsid w:val="006A750B"/>
    <w:rsid w:val="006A75EF"/>
    <w:rsid w:val="006B01D6"/>
    <w:rsid w:val="006B04DC"/>
    <w:rsid w:val="006B2770"/>
    <w:rsid w:val="006B28DC"/>
    <w:rsid w:val="006B4216"/>
    <w:rsid w:val="006B46F5"/>
    <w:rsid w:val="006B5339"/>
    <w:rsid w:val="006B792F"/>
    <w:rsid w:val="006C14A6"/>
    <w:rsid w:val="006C1B57"/>
    <w:rsid w:val="006C2504"/>
    <w:rsid w:val="006C2608"/>
    <w:rsid w:val="006C2709"/>
    <w:rsid w:val="006C3504"/>
    <w:rsid w:val="006C4079"/>
    <w:rsid w:val="006C606C"/>
    <w:rsid w:val="006C7195"/>
    <w:rsid w:val="006C7C22"/>
    <w:rsid w:val="006C7F4D"/>
    <w:rsid w:val="006D7597"/>
    <w:rsid w:val="006E0392"/>
    <w:rsid w:val="006E050C"/>
    <w:rsid w:val="006E0675"/>
    <w:rsid w:val="006E18BB"/>
    <w:rsid w:val="006E4AAE"/>
    <w:rsid w:val="006E6D37"/>
    <w:rsid w:val="006E6D4B"/>
    <w:rsid w:val="006E6FA7"/>
    <w:rsid w:val="006F0EDA"/>
    <w:rsid w:val="006F1581"/>
    <w:rsid w:val="006F409C"/>
    <w:rsid w:val="006F7178"/>
    <w:rsid w:val="007005F8"/>
    <w:rsid w:val="00701198"/>
    <w:rsid w:val="0070131C"/>
    <w:rsid w:val="00702802"/>
    <w:rsid w:val="00702989"/>
    <w:rsid w:val="00702ADF"/>
    <w:rsid w:val="00702C9F"/>
    <w:rsid w:val="0070414A"/>
    <w:rsid w:val="007045AA"/>
    <w:rsid w:val="0070571A"/>
    <w:rsid w:val="00710B19"/>
    <w:rsid w:val="00710E96"/>
    <w:rsid w:val="00712533"/>
    <w:rsid w:val="00713100"/>
    <w:rsid w:val="007145DE"/>
    <w:rsid w:val="00714935"/>
    <w:rsid w:val="007160B6"/>
    <w:rsid w:val="00716433"/>
    <w:rsid w:val="007173D8"/>
    <w:rsid w:val="007208FA"/>
    <w:rsid w:val="0072124E"/>
    <w:rsid w:val="00721711"/>
    <w:rsid w:val="00721B8E"/>
    <w:rsid w:val="00723D91"/>
    <w:rsid w:val="00724C5E"/>
    <w:rsid w:val="00724D58"/>
    <w:rsid w:val="0072548B"/>
    <w:rsid w:val="00726235"/>
    <w:rsid w:val="00727AF3"/>
    <w:rsid w:val="00731A4E"/>
    <w:rsid w:val="00732CE1"/>
    <w:rsid w:val="0073384F"/>
    <w:rsid w:val="00735E7E"/>
    <w:rsid w:val="007371E5"/>
    <w:rsid w:val="0074008D"/>
    <w:rsid w:val="00741A40"/>
    <w:rsid w:val="0074224B"/>
    <w:rsid w:val="00742C20"/>
    <w:rsid w:val="0074362A"/>
    <w:rsid w:val="0074599F"/>
    <w:rsid w:val="00747073"/>
    <w:rsid w:val="007478B4"/>
    <w:rsid w:val="00750140"/>
    <w:rsid w:val="007506C7"/>
    <w:rsid w:val="00750EF5"/>
    <w:rsid w:val="0075167B"/>
    <w:rsid w:val="007539C2"/>
    <w:rsid w:val="00753CCF"/>
    <w:rsid w:val="007547AC"/>
    <w:rsid w:val="007567C4"/>
    <w:rsid w:val="00756AF2"/>
    <w:rsid w:val="00757192"/>
    <w:rsid w:val="0076071D"/>
    <w:rsid w:val="00764146"/>
    <w:rsid w:val="00766F8A"/>
    <w:rsid w:val="00767F69"/>
    <w:rsid w:val="00771430"/>
    <w:rsid w:val="00771815"/>
    <w:rsid w:val="00775684"/>
    <w:rsid w:val="0077683A"/>
    <w:rsid w:val="00780BC7"/>
    <w:rsid w:val="007819B5"/>
    <w:rsid w:val="00782B18"/>
    <w:rsid w:val="007836B3"/>
    <w:rsid w:val="00784E1F"/>
    <w:rsid w:val="00786295"/>
    <w:rsid w:val="0078639D"/>
    <w:rsid w:val="0078751A"/>
    <w:rsid w:val="00790171"/>
    <w:rsid w:val="0079074D"/>
    <w:rsid w:val="007914D6"/>
    <w:rsid w:val="00792B6C"/>
    <w:rsid w:val="00792DAB"/>
    <w:rsid w:val="00795110"/>
    <w:rsid w:val="00795960"/>
    <w:rsid w:val="00795D2C"/>
    <w:rsid w:val="00795D51"/>
    <w:rsid w:val="00795F1D"/>
    <w:rsid w:val="00796DD0"/>
    <w:rsid w:val="00797627"/>
    <w:rsid w:val="007A0E07"/>
    <w:rsid w:val="007A2D80"/>
    <w:rsid w:val="007A3545"/>
    <w:rsid w:val="007A3A63"/>
    <w:rsid w:val="007A3E87"/>
    <w:rsid w:val="007A741E"/>
    <w:rsid w:val="007A77E7"/>
    <w:rsid w:val="007A7A2A"/>
    <w:rsid w:val="007B0FA4"/>
    <w:rsid w:val="007B0FF2"/>
    <w:rsid w:val="007B2F8A"/>
    <w:rsid w:val="007B51BF"/>
    <w:rsid w:val="007B658A"/>
    <w:rsid w:val="007C1F0A"/>
    <w:rsid w:val="007C2943"/>
    <w:rsid w:val="007C2AE9"/>
    <w:rsid w:val="007C4117"/>
    <w:rsid w:val="007C56AC"/>
    <w:rsid w:val="007C5911"/>
    <w:rsid w:val="007C5DB3"/>
    <w:rsid w:val="007C7EAC"/>
    <w:rsid w:val="007D026F"/>
    <w:rsid w:val="007D08FE"/>
    <w:rsid w:val="007D2403"/>
    <w:rsid w:val="007D3941"/>
    <w:rsid w:val="007D3C01"/>
    <w:rsid w:val="007D62EC"/>
    <w:rsid w:val="007D7427"/>
    <w:rsid w:val="007D76DB"/>
    <w:rsid w:val="007D7CB9"/>
    <w:rsid w:val="007E0994"/>
    <w:rsid w:val="007E10D8"/>
    <w:rsid w:val="007E218D"/>
    <w:rsid w:val="007E2C9A"/>
    <w:rsid w:val="007E4177"/>
    <w:rsid w:val="007E42A4"/>
    <w:rsid w:val="007E561F"/>
    <w:rsid w:val="007E689A"/>
    <w:rsid w:val="007E6E51"/>
    <w:rsid w:val="007E73DE"/>
    <w:rsid w:val="007F2856"/>
    <w:rsid w:val="007F28B4"/>
    <w:rsid w:val="007F2C3B"/>
    <w:rsid w:val="007F2D5C"/>
    <w:rsid w:val="007F4ACD"/>
    <w:rsid w:val="007F621A"/>
    <w:rsid w:val="007F7F38"/>
    <w:rsid w:val="008011EA"/>
    <w:rsid w:val="00802116"/>
    <w:rsid w:val="008067C3"/>
    <w:rsid w:val="008069ED"/>
    <w:rsid w:val="00807B46"/>
    <w:rsid w:val="00810092"/>
    <w:rsid w:val="00811796"/>
    <w:rsid w:val="008148F9"/>
    <w:rsid w:val="00814A2E"/>
    <w:rsid w:val="0081521E"/>
    <w:rsid w:val="00815276"/>
    <w:rsid w:val="008155D3"/>
    <w:rsid w:val="008159BA"/>
    <w:rsid w:val="00817072"/>
    <w:rsid w:val="00820B4C"/>
    <w:rsid w:val="00821774"/>
    <w:rsid w:val="008231CB"/>
    <w:rsid w:val="0082529A"/>
    <w:rsid w:val="0082753D"/>
    <w:rsid w:val="00831661"/>
    <w:rsid w:val="0083236F"/>
    <w:rsid w:val="00834C89"/>
    <w:rsid w:val="00834E3E"/>
    <w:rsid w:val="008351F1"/>
    <w:rsid w:val="0083554A"/>
    <w:rsid w:val="00836B86"/>
    <w:rsid w:val="00837597"/>
    <w:rsid w:val="008377FD"/>
    <w:rsid w:val="00840272"/>
    <w:rsid w:val="00840A10"/>
    <w:rsid w:val="00841044"/>
    <w:rsid w:val="00841C56"/>
    <w:rsid w:val="00842166"/>
    <w:rsid w:val="008424A9"/>
    <w:rsid w:val="008427BB"/>
    <w:rsid w:val="00843B28"/>
    <w:rsid w:val="0084433C"/>
    <w:rsid w:val="00845D83"/>
    <w:rsid w:val="00846A70"/>
    <w:rsid w:val="00847B3F"/>
    <w:rsid w:val="00856B15"/>
    <w:rsid w:val="008605ED"/>
    <w:rsid w:val="00862559"/>
    <w:rsid w:val="00862FB0"/>
    <w:rsid w:val="00870FBB"/>
    <w:rsid w:val="0087336B"/>
    <w:rsid w:val="00874872"/>
    <w:rsid w:val="00875BD4"/>
    <w:rsid w:val="008767A1"/>
    <w:rsid w:val="00877840"/>
    <w:rsid w:val="00877D23"/>
    <w:rsid w:val="008804FE"/>
    <w:rsid w:val="00881DC1"/>
    <w:rsid w:val="00882692"/>
    <w:rsid w:val="0088418B"/>
    <w:rsid w:val="00886123"/>
    <w:rsid w:val="008862CA"/>
    <w:rsid w:val="00887858"/>
    <w:rsid w:val="008900BD"/>
    <w:rsid w:val="00892AFA"/>
    <w:rsid w:val="00893900"/>
    <w:rsid w:val="00894705"/>
    <w:rsid w:val="00895D0A"/>
    <w:rsid w:val="00896A41"/>
    <w:rsid w:val="008976AD"/>
    <w:rsid w:val="008A05FF"/>
    <w:rsid w:val="008A22FF"/>
    <w:rsid w:val="008A2745"/>
    <w:rsid w:val="008A3ED4"/>
    <w:rsid w:val="008A6713"/>
    <w:rsid w:val="008A6B07"/>
    <w:rsid w:val="008A7C6C"/>
    <w:rsid w:val="008B2EED"/>
    <w:rsid w:val="008B4834"/>
    <w:rsid w:val="008B5251"/>
    <w:rsid w:val="008B5690"/>
    <w:rsid w:val="008B6755"/>
    <w:rsid w:val="008C2343"/>
    <w:rsid w:val="008C3BBC"/>
    <w:rsid w:val="008C5311"/>
    <w:rsid w:val="008C5A58"/>
    <w:rsid w:val="008D0206"/>
    <w:rsid w:val="008D0AA9"/>
    <w:rsid w:val="008D1496"/>
    <w:rsid w:val="008D163E"/>
    <w:rsid w:val="008D1868"/>
    <w:rsid w:val="008D2573"/>
    <w:rsid w:val="008D406E"/>
    <w:rsid w:val="008E0173"/>
    <w:rsid w:val="008E144C"/>
    <w:rsid w:val="008E1E26"/>
    <w:rsid w:val="008E20F1"/>
    <w:rsid w:val="008E3475"/>
    <w:rsid w:val="008E4DB1"/>
    <w:rsid w:val="008E4FCF"/>
    <w:rsid w:val="008E51A9"/>
    <w:rsid w:val="008F156A"/>
    <w:rsid w:val="008F201F"/>
    <w:rsid w:val="008F458A"/>
    <w:rsid w:val="008F4E1A"/>
    <w:rsid w:val="008F5A11"/>
    <w:rsid w:val="0090027D"/>
    <w:rsid w:val="009019BC"/>
    <w:rsid w:val="009022D4"/>
    <w:rsid w:val="00903B1F"/>
    <w:rsid w:val="009124E0"/>
    <w:rsid w:val="0091317D"/>
    <w:rsid w:val="0091374F"/>
    <w:rsid w:val="00913E44"/>
    <w:rsid w:val="00915BDD"/>
    <w:rsid w:val="00915DC8"/>
    <w:rsid w:val="00916678"/>
    <w:rsid w:val="00916DD0"/>
    <w:rsid w:val="009177C1"/>
    <w:rsid w:val="00917DD2"/>
    <w:rsid w:val="009245D6"/>
    <w:rsid w:val="00924F4E"/>
    <w:rsid w:val="00927A60"/>
    <w:rsid w:val="009305F9"/>
    <w:rsid w:val="009324AF"/>
    <w:rsid w:val="00933B64"/>
    <w:rsid w:val="00934048"/>
    <w:rsid w:val="00935967"/>
    <w:rsid w:val="00936ADF"/>
    <w:rsid w:val="0093719F"/>
    <w:rsid w:val="009403B7"/>
    <w:rsid w:val="00940671"/>
    <w:rsid w:val="009422DE"/>
    <w:rsid w:val="009455B0"/>
    <w:rsid w:val="00947FCC"/>
    <w:rsid w:val="009500F9"/>
    <w:rsid w:val="009511F6"/>
    <w:rsid w:val="00954573"/>
    <w:rsid w:val="009566F6"/>
    <w:rsid w:val="0095699C"/>
    <w:rsid w:val="0095762D"/>
    <w:rsid w:val="00960B7B"/>
    <w:rsid w:val="00960E7E"/>
    <w:rsid w:val="00961246"/>
    <w:rsid w:val="00963E40"/>
    <w:rsid w:val="009652B3"/>
    <w:rsid w:val="00965C98"/>
    <w:rsid w:val="009709FA"/>
    <w:rsid w:val="009711B0"/>
    <w:rsid w:val="00971DC5"/>
    <w:rsid w:val="00972A98"/>
    <w:rsid w:val="0097696F"/>
    <w:rsid w:val="0098182B"/>
    <w:rsid w:val="00981CCA"/>
    <w:rsid w:val="00982840"/>
    <w:rsid w:val="00982F9A"/>
    <w:rsid w:val="00984266"/>
    <w:rsid w:val="00984ECE"/>
    <w:rsid w:val="00985C5F"/>
    <w:rsid w:val="00986C88"/>
    <w:rsid w:val="00987737"/>
    <w:rsid w:val="0098798D"/>
    <w:rsid w:val="009900D3"/>
    <w:rsid w:val="00990BB6"/>
    <w:rsid w:val="00991CA3"/>
    <w:rsid w:val="00991EB9"/>
    <w:rsid w:val="00992245"/>
    <w:rsid w:val="009937EC"/>
    <w:rsid w:val="00993E5C"/>
    <w:rsid w:val="00994043"/>
    <w:rsid w:val="00994BFB"/>
    <w:rsid w:val="00995512"/>
    <w:rsid w:val="00996632"/>
    <w:rsid w:val="00996DC2"/>
    <w:rsid w:val="009976EA"/>
    <w:rsid w:val="009A1114"/>
    <w:rsid w:val="009A1328"/>
    <w:rsid w:val="009A2C14"/>
    <w:rsid w:val="009A3A95"/>
    <w:rsid w:val="009A4623"/>
    <w:rsid w:val="009A4A6B"/>
    <w:rsid w:val="009A4C3F"/>
    <w:rsid w:val="009A53A9"/>
    <w:rsid w:val="009A6AE9"/>
    <w:rsid w:val="009B269E"/>
    <w:rsid w:val="009B4FFD"/>
    <w:rsid w:val="009B7E0A"/>
    <w:rsid w:val="009C05B4"/>
    <w:rsid w:val="009C3660"/>
    <w:rsid w:val="009C48EC"/>
    <w:rsid w:val="009C4BD9"/>
    <w:rsid w:val="009C4CB3"/>
    <w:rsid w:val="009C68C5"/>
    <w:rsid w:val="009C77F6"/>
    <w:rsid w:val="009D0267"/>
    <w:rsid w:val="009D0A1D"/>
    <w:rsid w:val="009D1C73"/>
    <w:rsid w:val="009D60EC"/>
    <w:rsid w:val="009D663F"/>
    <w:rsid w:val="009D71BE"/>
    <w:rsid w:val="009E031F"/>
    <w:rsid w:val="009E0A14"/>
    <w:rsid w:val="009E24FE"/>
    <w:rsid w:val="009E44E4"/>
    <w:rsid w:val="009E61C8"/>
    <w:rsid w:val="009E6748"/>
    <w:rsid w:val="009E7802"/>
    <w:rsid w:val="009F01FB"/>
    <w:rsid w:val="009F0BA1"/>
    <w:rsid w:val="009F25CC"/>
    <w:rsid w:val="009F3743"/>
    <w:rsid w:val="009F4C34"/>
    <w:rsid w:val="009F5871"/>
    <w:rsid w:val="009F6725"/>
    <w:rsid w:val="00A0124D"/>
    <w:rsid w:val="00A01B5F"/>
    <w:rsid w:val="00A03DE8"/>
    <w:rsid w:val="00A03F47"/>
    <w:rsid w:val="00A05C56"/>
    <w:rsid w:val="00A06C47"/>
    <w:rsid w:val="00A06FCF"/>
    <w:rsid w:val="00A0765E"/>
    <w:rsid w:val="00A07916"/>
    <w:rsid w:val="00A123AA"/>
    <w:rsid w:val="00A123BF"/>
    <w:rsid w:val="00A12E46"/>
    <w:rsid w:val="00A13CCB"/>
    <w:rsid w:val="00A17D46"/>
    <w:rsid w:val="00A23683"/>
    <w:rsid w:val="00A23B1E"/>
    <w:rsid w:val="00A23DAD"/>
    <w:rsid w:val="00A242E1"/>
    <w:rsid w:val="00A24907"/>
    <w:rsid w:val="00A26FDB"/>
    <w:rsid w:val="00A32008"/>
    <w:rsid w:val="00A32591"/>
    <w:rsid w:val="00A3382E"/>
    <w:rsid w:val="00A34F3B"/>
    <w:rsid w:val="00A35641"/>
    <w:rsid w:val="00A3673E"/>
    <w:rsid w:val="00A3695E"/>
    <w:rsid w:val="00A37BC3"/>
    <w:rsid w:val="00A40084"/>
    <w:rsid w:val="00A4051E"/>
    <w:rsid w:val="00A407FF"/>
    <w:rsid w:val="00A40ADF"/>
    <w:rsid w:val="00A418FC"/>
    <w:rsid w:val="00A41A02"/>
    <w:rsid w:val="00A41B24"/>
    <w:rsid w:val="00A42E1D"/>
    <w:rsid w:val="00A474E7"/>
    <w:rsid w:val="00A47825"/>
    <w:rsid w:val="00A52887"/>
    <w:rsid w:val="00A539D6"/>
    <w:rsid w:val="00A5495A"/>
    <w:rsid w:val="00A5536B"/>
    <w:rsid w:val="00A558A0"/>
    <w:rsid w:val="00A57040"/>
    <w:rsid w:val="00A611AA"/>
    <w:rsid w:val="00A61928"/>
    <w:rsid w:val="00A63874"/>
    <w:rsid w:val="00A64551"/>
    <w:rsid w:val="00A645BA"/>
    <w:rsid w:val="00A669F1"/>
    <w:rsid w:val="00A67175"/>
    <w:rsid w:val="00A67953"/>
    <w:rsid w:val="00A705B0"/>
    <w:rsid w:val="00A71344"/>
    <w:rsid w:val="00A72C9C"/>
    <w:rsid w:val="00A7590A"/>
    <w:rsid w:val="00A76AFA"/>
    <w:rsid w:val="00A76B24"/>
    <w:rsid w:val="00A76CDB"/>
    <w:rsid w:val="00A8111A"/>
    <w:rsid w:val="00A82CF9"/>
    <w:rsid w:val="00A83398"/>
    <w:rsid w:val="00A83593"/>
    <w:rsid w:val="00A83ADF"/>
    <w:rsid w:val="00A843F6"/>
    <w:rsid w:val="00A859A3"/>
    <w:rsid w:val="00A867F0"/>
    <w:rsid w:val="00A86FF0"/>
    <w:rsid w:val="00A87076"/>
    <w:rsid w:val="00A872A6"/>
    <w:rsid w:val="00A87A77"/>
    <w:rsid w:val="00A903A5"/>
    <w:rsid w:val="00A9220D"/>
    <w:rsid w:val="00A9298E"/>
    <w:rsid w:val="00A9414D"/>
    <w:rsid w:val="00A94699"/>
    <w:rsid w:val="00A9530B"/>
    <w:rsid w:val="00A95F52"/>
    <w:rsid w:val="00A965F2"/>
    <w:rsid w:val="00A97962"/>
    <w:rsid w:val="00A97AC1"/>
    <w:rsid w:val="00AA0DB1"/>
    <w:rsid w:val="00AA2145"/>
    <w:rsid w:val="00AA2472"/>
    <w:rsid w:val="00AA2F58"/>
    <w:rsid w:val="00AA3D5F"/>
    <w:rsid w:val="00AA3F94"/>
    <w:rsid w:val="00AA4945"/>
    <w:rsid w:val="00AA49C9"/>
    <w:rsid w:val="00AA6467"/>
    <w:rsid w:val="00AA7E40"/>
    <w:rsid w:val="00AB10EA"/>
    <w:rsid w:val="00AB150C"/>
    <w:rsid w:val="00AB2F7B"/>
    <w:rsid w:val="00AB3E8A"/>
    <w:rsid w:val="00AB455E"/>
    <w:rsid w:val="00AB51DC"/>
    <w:rsid w:val="00AB7017"/>
    <w:rsid w:val="00AC0706"/>
    <w:rsid w:val="00AC1DC1"/>
    <w:rsid w:val="00AC296A"/>
    <w:rsid w:val="00AC4BC7"/>
    <w:rsid w:val="00AC4EEF"/>
    <w:rsid w:val="00AC5266"/>
    <w:rsid w:val="00AD0878"/>
    <w:rsid w:val="00AD208D"/>
    <w:rsid w:val="00AD2734"/>
    <w:rsid w:val="00AD2FD9"/>
    <w:rsid w:val="00AD4DCF"/>
    <w:rsid w:val="00AD4F4D"/>
    <w:rsid w:val="00AD56BE"/>
    <w:rsid w:val="00AE0354"/>
    <w:rsid w:val="00AE1286"/>
    <w:rsid w:val="00AE1E2F"/>
    <w:rsid w:val="00AE28BB"/>
    <w:rsid w:val="00AF0F3C"/>
    <w:rsid w:val="00AF18AF"/>
    <w:rsid w:val="00AF1BF4"/>
    <w:rsid w:val="00AF326B"/>
    <w:rsid w:val="00AF3448"/>
    <w:rsid w:val="00AF3D84"/>
    <w:rsid w:val="00AF4536"/>
    <w:rsid w:val="00AF4A31"/>
    <w:rsid w:val="00AF4DCC"/>
    <w:rsid w:val="00AF5852"/>
    <w:rsid w:val="00AF58A7"/>
    <w:rsid w:val="00AF5D8D"/>
    <w:rsid w:val="00AF6962"/>
    <w:rsid w:val="00AF6E17"/>
    <w:rsid w:val="00AF70AF"/>
    <w:rsid w:val="00AF7B48"/>
    <w:rsid w:val="00B02D2A"/>
    <w:rsid w:val="00B03461"/>
    <w:rsid w:val="00B03B29"/>
    <w:rsid w:val="00B03B71"/>
    <w:rsid w:val="00B0479C"/>
    <w:rsid w:val="00B05A20"/>
    <w:rsid w:val="00B05CDE"/>
    <w:rsid w:val="00B05E94"/>
    <w:rsid w:val="00B06A43"/>
    <w:rsid w:val="00B0733A"/>
    <w:rsid w:val="00B07909"/>
    <w:rsid w:val="00B10899"/>
    <w:rsid w:val="00B11490"/>
    <w:rsid w:val="00B12BEC"/>
    <w:rsid w:val="00B1425A"/>
    <w:rsid w:val="00B14D5D"/>
    <w:rsid w:val="00B15DFE"/>
    <w:rsid w:val="00B16E5B"/>
    <w:rsid w:val="00B2117A"/>
    <w:rsid w:val="00B24DCC"/>
    <w:rsid w:val="00B2515A"/>
    <w:rsid w:val="00B25A9E"/>
    <w:rsid w:val="00B25AE4"/>
    <w:rsid w:val="00B3089B"/>
    <w:rsid w:val="00B32506"/>
    <w:rsid w:val="00B32D79"/>
    <w:rsid w:val="00B331BB"/>
    <w:rsid w:val="00B3337A"/>
    <w:rsid w:val="00B35A64"/>
    <w:rsid w:val="00B365BC"/>
    <w:rsid w:val="00B40ADE"/>
    <w:rsid w:val="00B41D81"/>
    <w:rsid w:val="00B41E87"/>
    <w:rsid w:val="00B43454"/>
    <w:rsid w:val="00B43C7A"/>
    <w:rsid w:val="00B44F02"/>
    <w:rsid w:val="00B45EBC"/>
    <w:rsid w:val="00B461F7"/>
    <w:rsid w:val="00B46E46"/>
    <w:rsid w:val="00B473FD"/>
    <w:rsid w:val="00B50B8C"/>
    <w:rsid w:val="00B50D07"/>
    <w:rsid w:val="00B5169E"/>
    <w:rsid w:val="00B579EC"/>
    <w:rsid w:val="00B57BAF"/>
    <w:rsid w:val="00B57D2F"/>
    <w:rsid w:val="00B60C0B"/>
    <w:rsid w:val="00B60ED1"/>
    <w:rsid w:val="00B61BAC"/>
    <w:rsid w:val="00B663AD"/>
    <w:rsid w:val="00B668AB"/>
    <w:rsid w:val="00B669F8"/>
    <w:rsid w:val="00B66E19"/>
    <w:rsid w:val="00B67CFF"/>
    <w:rsid w:val="00B70358"/>
    <w:rsid w:val="00B721FA"/>
    <w:rsid w:val="00B726A9"/>
    <w:rsid w:val="00B72C24"/>
    <w:rsid w:val="00B77162"/>
    <w:rsid w:val="00B772E3"/>
    <w:rsid w:val="00B77D36"/>
    <w:rsid w:val="00B80A97"/>
    <w:rsid w:val="00B80F66"/>
    <w:rsid w:val="00B8354D"/>
    <w:rsid w:val="00B8377F"/>
    <w:rsid w:val="00B83A8C"/>
    <w:rsid w:val="00B9014C"/>
    <w:rsid w:val="00B9247C"/>
    <w:rsid w:val="00B93132"/>
    <w:rsid w:val="00B954AF"/>
    <w:rsid w:val="00B9627E"/>
    <w:rsid w:val="00B963F2"/>
    <w:rsid w:val="00BA02DB"/>
    <w:rsid w:val="00BA0651"/>
    <w:rsid w:val="00BA19A6"/>
    <w:rsid w:val="00BA1C21"/>
    <w:rsid w:val="00BA4702"/>
    <w:rsid w:val="00BA4E6A"/>
    <w:rsid w:val="00BA5306"/>
    <w:rsid w:val="00BA573D"/>
    <w:rsid w:val="00BA5B9C"/>
    <w:rsid w:val="00BA5EF3"/>
    <w:rsid w:val="00BA6D98"/>
    <w:rsid w:val="00BB2959"/>
    <w:rsid w:val="00BB3735"/>
    <w:rsid w:val="00BB4E18"/>
    <w:rsid w:val="00BB549B"/>
    <w:rsid w:val="00BB5DC2"/>
    <w:rsid w:val="00BB71C1"/>
    <w:rsid w:val="00BC172B"/>
    <w:rsid w:val="00BC2397"/>
    <w:rsid w:val="00BC3937"/>
    <w:rsid w:val="00BC519E"/>
    <w:rsid w:val="00BD0C6F"/>
    <w:rsid w:val="00BD2830"/>
    <w:rsid w:val="00BD313C"/>
    <w:rsid w:val="00BD6496"/>
    <w:rsid w:val="00BD64CC"/>
    <w:rsid w:val="00BD6749"/>
    <w:rsid w:val="00BD7337"/>
    <w:rsid w:val="00BE0159"/>
    <w:rsid w:val="00BE3F39"/>
    <w:rsid w:val="00BE4FEA"/>
    <w:rsid w:val="00BE5626"/>
    <w:rsid w:val="00BE624D"/>
    <w:rsid w:val="00BE66A3"/>
    <w:rsid w:val="00BE7087"/>
    <w:rsid w:val="00BF03F2"/>
    <w:rsid w:val="00BF0960"/>
    <w:rsid w:val="00BF151A"/>
    <w:rsid w:val="00BF2AA4"/>
    <w:rsid w:val="00BF2D76"/>
    <w:rsid w:val="00BF34A8"/>
    <w:rsid w:val="00BF35AE"/>
    <w:rsid w:val="00BF5158"/>
    <w:rsid w:val="00BF51EE"/>
    <w:rsid w:val="00BF5AED"/>
    <w:rsid w:val="00BF5ED5"/>
    <w:rsid w:val="00C005D9"/>
    <w:rsid w:val="00C01D83"/>
    <w:rsid w:val="00C02B6A"/>
    <w:rsid w:val="00C02D1E"/>
    <w:rsid w:val="00C03150"/>
    <w:rsid w:val="00C033B9"/>
    <w:rsid w:val="00C042D5"/>
    <w:rsid w:val="00C06FD0"/>
    <w:rsid w:val="00C07243"/>
    <w:rsid w:val="00C07BAD"/>
    <w:rsid w:val="00C121F5"/>
    <w:rsid w:val="00C14804"/>
    <w:rsid w:val="00C14A1D"/>
    <w:rsid w:val="00C14B60"/>
    <w:rsid w:val="00C20557"/>
    <w:rsid w:val="00C21AFC"/>
    <w:rsid w:val="00C23123"/>
    <w:rsid w:val="00C2329D"/>
    <w:rsid w:val="00C23948"/>
    <w:rsid w:val="00C24328"/>
    <w:rsid w:val="00C24CB2"/>
    <w:rsid w:val="00C253CB"/>
    <w:rsid w:val="00C255DB"/>
    <w:rsid w:val="00C269D8"/>
    <w:rsid w:val="00C272C0"/>
    <w:rsid w:val="00C2760A"/>
    <w:rsid w:val="00C3038A"/>
    <w:rsid w:val="00C31493"/>
    <w:rsid w:val="00C333AF"/>
    <w:rsid w:val="00C34205"/>
    <w:rsid w:val="00C34685"/>
    <w:rsid w:val="00C36895"/>
    <w:rsid w:val="00C40DA4"/>
    <w:rsid w:val="00C42BC5"/>
    <w:rsid w:val="00C44E63"/>
    <w:rsid w:val="00C45457"/>
    <w:rsid w:val="00C45A48"/>
    <w:rsid w:val="00C45E79"/>
    <w:rsid w:val="00C47709"/>
    <w:rsid w:val="00C47E9C"/>
    <w:rsid w:val="00C50492"/>
    <w:rsid w:val="00C51044"/>
    <w:rsid w:val="00C51987"/>
    <w:rsid w:val="00C558E9"/>
    <w:rsid w:val="00C568A9"/>
    <w:rsid w:val="00C5732C"/>
    <w:rsid w:val="00C6083B"/>
    <w:rsid w:val="00C6102C"/>
    <w:rsid w:val="00C61285"/>
    <w:rsid w:val="00C62AC6"/>
    <w:rsid w:val="00C62FC5"/>
    <w:rsid w:val="00C63896"/>
    <w:rsid w:val="00C647ED"/>
    <w:rsid w:val="00C6548F"/>
    <w:rsid w:val="00C66ACA"/>
    <w:rsid w:val="00C66E18"/>
    <w:rsid w:val="00C67A7B"/>
    <w:rsid w:val="00C67B75"/>
    <w:rsid w:val="00C710D0"/>
    <w:rsid w:val="00C71EE3"/>
    <w:rsid w:val="00C7216E"/>
    <w:rsid w:val="00C72E2E"/>
    <w:rsid w:val="00C757B5"/>
    <w:rsid w:val="00C75FC7"/>
    <w:rsid w:val="00C773A5"/>
    <w:rsid w:val="00C77A44"/>
    <w:rsid w:val="00C77CE8"/>
    <w:rsid w:val="00C77D37"/>
    <w:rsid w:val="00C812A2"/>
    <w:rsid w:val="00C81775"/>
    <w:rsid w:val="00C817DC"/>
    <w:rsid w:val="00C86575"/>
    <w:rsid w:val="00C91A5B"/>
    <w:rsid w:val="00C9288D"/>
    <w:rsid w:val="00C939A9"/>
    <w:rsid w:val="00C94442"/>
    <w:rsid w:val="00C94A3B"/>
    <w:rsid w:val="00C94A3C"/>
    <w:rsid w:val="00C96DB9"/>
    <w:rsid w:val="00CA2F41"/>
    <w:rsid w:val="00CA3CDE"/>
    <w:rsid w:val="00CA4D98"/>
    <w:rsid w:val="00CA53D9"/>
    <w:rsid w:val="00CA55F2"/>
    <w:rsid w:val="00CB7A12"/>
    <w:rsid w:val="00CC1927"/>
    <w:rsid w:val="00CC1EA9"/>
    <w:rsid w:val="00CC46F1"/>
    <w:rsid w:val="00CC557E"/>
    <w:rsid w:val="00CC5ABC"/>
    <w:rsid w:val="00CC69B8"/>
    <w:rsid w:val="00CC713A"/>
    <w:rsid w:val="00CC7CB5"/>
    <w:rsid w:val="00CC7D97"/>
    <w:rsid w:val="00CD0827"/>
    <w:rsid w:val="00CD2DE6"/>
    <w:rsid w:val="00CD5207"/>
    <w:rsid w:val="00CD7D82"/>
    <w:rsid w:val="00CE1EEE"/>
    <w:rsid w:val="00CE3A01"/>
    <w:rsid w:val="00CE4F30"/>
    <w:rsid w:val="00CE5951"/>
    <w:rsid w:val="00CE59BA"/>
    <w:rsid w:val="00CE5ABE"/>
    <w:rsid w:val="00CF239D"/>
    <w:rsid w:val="00CF4468"/>
    <w:rsid w:val="00CF4A2A"/>
    <w:rsid w:val="00CF51DA"/>
    <w:rsid w:val="00D00367"/>
    <w:rsid w:val="00D00693"/>
    <w:rsid w:val="00D04710"/>
    <w:rsid w:val="00D05B64"/>
    <w:rsid w:val="00D06535"/>
    <w:rsid w:val="00D0661E"/>
    <w:rsid w:val="00D10C12"/>
    <w:rsid w:val="00D11881"/>
    <w:rsid w:val="00D122BD"/>
    <w:rsid w:val="00D12606"/>
    <w:rsid w:val="00D12B26"/>
    <w:rsid w:val="00D15F58"/>
    <w:rsid w:val="00D1656E"/>
    <w:rsid w:val="00D173CA"/>
    <w:rsid w:val="00D17DDF"/>
    <w:rsid w:val="00D2077A"/>
    <w:rsid w:val="00D2418B"/>
    <w:rsid w:val="00D2448A"/>
    <w:rsid w:val="00D24D38"/>
    <w:rsid w:val="00D24E99"/>
    <w:rsid w:val="00D2733E"/>
    <w:rsid w:val="00D273A4"/>
    <w:rsid w:val="00D27B18"/>
    <w:rsid w:val="00D306FF"/>
    <w:rsid w:val="00D325FD"/>
    <w:rsid w:val="00D32D17"/>
    <w:rsid w:val="00D32DD6"/>
    <w:rsid w:val="00D32E7F"/>
    <w:rsid w:val="00D33870"/>
    <w:rsid w:val="00D34F5D"/>
    <w:rsid w:val="00D3681D"/>
    <w:rsid w:val="00D378D0"/>
    <w:rsid w:val="00D409D9"/>
    <w:rsid w:val="00D422C4"/>
    <w:rsid w:val="00D468EB"/>
    <w:rsid w:val="00D46DA3"/>
    <w:rsid w:val="00D4790F"/>
    <w:rsid w:val="00D5021F"/>
    <w:rsid w:val="00D50400"/>
    <w:rsid w:val="00D50F1A"/>
    <w:rsid w:val="00D5228B"/>
    <w:rsid w:val="00D525B4"/>
    <w:rsid w:val="00D52C3D"/>
    <w:rsid w:val="00D54AEA"/>
    <w:rsid w:val="00D55150"/>
    <w:rsid w:val="00D57552"/>
    <w:rsid w:val="00D579CD"/>
    <w:rsid w:val="00D618F0"/>
    <w:rsid w:val="00D6324A"/>
    <w:rsid w:val="00D6480C"/>
    <w:rsid w:val="00D67DC8"/>
    <w:rsid w:val="00D72345"/>
    <w:rsid w:val="00D7484E"/>
    <w:rsid w:val="00D74881"/>
    <w:rsid w:val="00D76267"/>
    <w:rsid w:val="00D768DA"/>
    <w:rsid w:val="00D76944"/>
    <w:rsid w:val="00D813A6"/>
    <w:rsid w:val="00D81C24"/>
    <w:rsid w:val="00D85006"/>
    <w:rsid w:val="00D860F8"/>
    <w:rsid w:val="00D868B7"/>
    <w:rsid w:val="00D87DF6"/>
    <w:rsid w:val="00D90BA0"/>
    <w:rsid w:val="00D937E1"/>
    <w:rsid w:val="00D94104"/>
    <w:rsid w:val="00D95C92"/>
    <w:rsid w:val="00D97005"/>
    <w:rsid w:val="00D97069"/>
    <w:rsid w:val="00DA03A7"/>
    <w:rsid w:val="00DA1733"/>
    <w:rsid w:val="00DA246F"/>
    <w:rsid w:val="00DA2B97"/>
    <w:rsid w:val="00DA34B9"/>
    <w:rsid w:val="00DA38F2"/>
    <w:rsid w:val="00DA6562"/>
    <w:rsid w:val="00DA6B08"/>
    <w:rsid w:val="00DA7228"/>
    <w:rsid w:val="00DA7914"/>
    <w:rsid w:val="00DB119E"/>
    <w:rsid w:val="00DB2E58"/>
    <w:rsid w:val="00DB3C43"/>
    <w:rsid w:val="00DB3F27"/>
    <w:rsid w:val="00DB558F"/>
    <w:rsid w:val="00DB62F1"/>
    <w:rsid w:val="00DC0053"/>
    <w:rsid w:val="00DC0FAA"/>
    <w:rsid w:val="00DC10E8"/>
    <w:rsid w:val="00DC12D2"/>
    <w:rsid w:val="00DC17A0"/>
    <w:rsid w:val="00DC1871"/>
    <w:rsid w:val="00DC2E6B"/>
    <w:rsid w:val="00DC3484"/>
    <w:rsid w:val="00DC600E"/>
    <w:rsid w:val="00DD0F69"/>
    <w:rsid w:val="00DD2058"/>
    <w:rsid w:val="00DD234A"/>
    <w:rsid w:val="00DD40C2"/>
    <w:rsid w:val="00DD483C"/>
    <w:rsid w:val="00DD5646"/>
    <w:rsid w:val="00DD6135"/>
    <w:rsid w:val="00DD6D24"/>
    <w:rsid w:val="00DD787E"/>
    <w:rsid w:val="00DE014A"/>
    <w:rsid w:val="00DE1D30"/>
    <w:rsid w:val="00DE2C77"/>
    <w:rsid w:val="00DE2EC9"/>
    <w:rsid w:val="00DE351A"/>
    <w:rsid w:val="00DE38DA"/>
    <w:rsid w:val="00DE3B99"/>
    <w:rsid w:val="00DE551F"/>
    <w:rsid w:val="00DE6C26"/>
    <w:rsid w:val="00DE7985"/>
    <w:rsid w:val="00DF3C84"/>
    <w:rsid w:val="00DF3EAF"/>
    <w:rsid w:val="00DF44FC"/>
    <w:rsid w:val="00DF452B"/>
    <w:rsid w:val="00DF52E1"/>
    <w:rsid w:val="00DF7CA7"/>
    <w:rsid w:val="00E00BEB"/>
    <w:rsid w:val="00E01B18"/>
    <w:rsid w:val="00E02A3B"/>
    <w:rsid w:val="00E02C17"/>
    <w:rsid w:val="00E039DA"/>
    <w:rsid w:val="00E03B89"/>
    <w:rsid w:val="00E04F45"/>
    <w:rsid w:val="00E0556A"/>
    <w:rsid w:val="00E07DFE"/>
    <w:rsid w:val="00E10143"/>
    <w:rsid w:val="00E10709"/>
    <w:rsid w:val="00E1120E"/>
    <w:rsid w:val="00E113CB"/>
    <w:rsid w:val="00E11617"/>
    <w:rsid w:val="00E12135"/>
    <w:rsid w:val="00E1363C"/>
    <w:rsid w:val="00E13C98"/>
    <w:rsid w:val="00E15116"/>
    <w:rsid w:val="00E1516A"/>
    <w:rsid w:val="00E1538B"/>
    <w:rsid w:val="00E17F08"/>
    <w:rsid w:val="00E222A5"/>
    <w:rsid w:val="00E22E62"/>
    <w:rsid w:val="00E23ADE"/>
    <w:rsid w:val="00E23D6F"/>
    <w:rsid w:val="00E2743B"/>
    <w:rsid w:val="00E27462"/>
    <w:rsid w:val="00E27F85"/>
    <w:rsid w:val="00E30A73"/>
    <w:rsid w:val="00E312C1"/>
    <w:rsid w:val="00E338DA"/>
    <w:rsid w:val="00E34170"/>
    <w:rsid w:val="00E373EA"/>
    <w:rsid w:val="00E37732"/>
    <w:rsid w:val="00E4011D"/>
    <w:rsid w:val="00E42966"/>
    <w:rsid w:val="00E43FBE"/>
    <w:rsid w:val="00E450D9"/>
    <w:rsid w:val="00E46B03"/>
    <w:rsid w:val="00E50523"/>
    <w:rsid w:val="00E548CA"/>
    <w:rsid w:val="00E60E40"/>
    <w:rsid w:val="00E64655"/>
    <w:rsid w:val="00E65122"/>
    <w:rsid w:val="00E6647E"/>
    <w:rsid w:val="00E707E4"/>
    <w:rsid w:val="00E71231"/>
    <w:rsid w:val="00E713CD"/>
    <w:rsid w:val="00E71D02"/>
    <w:rsid w:val="00E73793"/>
    <w:rsid w:val="00E752B3"/>
    <w:rsid w:val="00E75613"/>
    <w:rsid w:val="00E8012A"/>
    <w:rsid w:val="00E805A5"/>
    <w:rsid w:val="00E811B4"/>
    <w:rsid w:val="00E81418"/>
    <w:rsid w:val="00E82C67"/>
    <w:rsid w:val="00E865B8"/>
    <w:rsid w:val="00E86B7C"/>
    <w:rsid w:val="00E915A4"/>
    <w:rsid w:val="00E9353E"/>
    <w:rsid w:val="00E93983"/>
    <w:rsid w:val="00E96015"/>
    <w:rsid w:val="00E960EE"/>
    <w:rsid w:val="00E962E0"/>
    <w:rsid w:val="00E96CB2"/>
    <w:rsid w:val="00E97E9C"/>
    <w:rsid w:val="00EA402E"/>
    <w:rsid w:val="00EA425C"/>
    <w:rsid w:val="00EA4655"/>
    <w:rsid w:val="00EA6460"/>
    <w:rsid w:val="00EA6E10"/>
    <w:rsid w:val="00EA70B2"/>
    <w:rsid w:val="00EA7369"/>
    <w:rsid w:val="00EB19AC"/>
    <w:rsid w:val="00EB3B96"/>
    <w:rsid w:val="00EB5493"/>
    <w:rsid w:val="00EC134E"/>
    <w:rsid w:val="00EC16BB"/>
    <w:rsid w:val="00EC2F9A"/>
    <w:rsid w:val="00EC34D4"/>
    <w:rsid w:val="00EC438F"/>
    <w:rsid w:val="00EC4C2F"/>
    <w:rsid w:val="00EC4ECA"/>
    <w:rsid w:val="00EC6242"/>
    <w:rsid w:val="00EC6D3B"/>
    <w:rsid w:val="00EC7669"/>
    <w:rsid w:val="00ED1166"/>
    <w:rsid w:val="00ED2DE3"/>
    <w:rsid w:val="00ED3FAE"/>
    <w:rsid w:val="00ED421D"/>
    <w:rsid w:val="00ED4278"/>
    <w:rsid w:val="00ED541E"/>
    <w:rsid w:val="00ED5708"/>
    <w:rsid w:val="00ED6C5F"/>
    <w:rsid w:val="00ED7DAD"/>
    <w:rsid w:val="00EE1E45"/>
    <w:rsid w:val="00EE3784"/>
    <w:rsid w:val="00EE3D81"/>
    <w:rsid w:val="00EE48A4"/>
    <w:rsid w:val="00EE6850"/>
    <w:rsid w:val="00EE7EE6"/>
    <w:rsid w:val="00EF0108"/>
    <w:rsid w:val="00EF015C"/>
    <w:rsid w:val="00EF0908"/>
    <w:rsid w:val="00EF12ED"/>
    <w:rsid w:val="00EF329A"/>
    <w:rsid w:val="00EF44C5"/>
    <w:rsid w:val="00EF4714"/>
    <w:rsid w:val="00EF5A84"/>
    <w:rsid w:val="00EF5BEF"/>
    <w:rsid w:val="00EF6257"/>
    <w:rsid w:val="00EF635F"/>
    <w:rsid w:val="00EF69C4"/>
    <w:rsid w:val="00F00549"/>
    <w:rsid w:val="00F00D70"/>
    <w:rsid w:val="00F015B3"/>
    <w:rsid w:val="00F020DD"/>
    <w:rsid w:val="00F02F6D"/>
    <w:rsid w:val="00F038CA"/>
    <w:rsid w:val="00F04A55"/>
    <w:rsid w:val="00F05BDB"/>
    <w:rsid w:val="00F06D0B"/>
    <w:rsid w:val="00F077CF"/>
    <w:rsid w:val="00F10D7E"/>
    <w:rsid w:val="00F13B6E"/>
    <w:rsid w:val="00F15057"/>
    <w:rsid w:val="00F15DFF"/>
    <w:rsid w:val="00F17068"/>
    <w:rsid w:val="00F17888"/>
    <w:rsid w:val="00F17F3A"/>
    <w:rsid w:val="00F22CAB"/>
    <w:rsid w:val="00F24AAE"/>
    <w:rsid w:val="00F260BB"/>
    <w:rsid w:val="00F2649A"/>
    <w:rsid w:val="00F27EC6"/>
    <w:rsid w:val="00F30328"/>
    <w:rsid w:val="00F317A7"/>
    <w:rsid w:val="00F336A5"/>
    <w:rsid w:val="00F3413D"/>
    <w:rsid w:val="00F34AEE"/>
    <w:rsid w:val="00F35362"/>
    <w:rsid w:val="00F40B9C"/>
    <w:rsid w:val="00F41643"/>
    <w:rsid w:val="00F41EBD"/>
    <w:rsid w:val="00F42A25"/>
    <w:rsid w:val="00F42AB7"/>
    <w:rsid w:val="00F4441B"/>
    <w:rsid w:val="00F474C1"/>
    <w:rsid w:val="00F47EA7"/>
    <w:rsid w:val="00F504C3"/>
    <w:rsid w:val="00F53EB9"/>
    <w:rsid w:val="00F552A9"/>
    <w:rsid w:val="00F56404"/>
    <w:rsid w:val="00F570AD"/>
    <w:rsid w:val="00F576D4"/>
    <w:rsid w:val="00F61D69"/>
    <w:rsid w:val="00F61FCD"/>
    <w:rsid w:val="00F63562"/>
    <w:rsid w:val="00F64443"/>
    <w:rsid w:val="00F65120"/>
    <w:rsid w:val="00F700B4"/>
    <w:rsid w:val="00F7024F"/>
    <w:rsid w:val="00F705A6"/>
    <w:rsid w:val="00F70E30"/>
    <w:rsid w:val="00F71DF1"/>
    <w:rsid w:val="00F736DD"/>
    <w:rsid w:val="00F742BD"/>
    <w:rsid w:val="00F76981"/>
    <w:rsid w:val="00F771B1"/>
    <w:rsid w:val="00F80024"/>
    <w:rsid w:val="00F80A31"/>
    <w:rsid w:val="00F81ACA"/>
    <w:rsid w:val="00F83034"/>
    <w:rsid w:val="00F834D9"/>
    <w:rsid w:val="00F86408"/>
    <w:rsid w:val="00F87FAB"/>
    <w:rsid w:val="00F90407"/>
    <w:rsid w:val="00F91706"/>
    <w:rsid w:val="00F917D4"/>
    <w:rsid w:val="00F93285"/>
    <w:rsid w:val="00F93547"/>
    <w:rsid w:val="00F94B86"/>
    <w:rsid w:val="00F96130"/>
    <w:rsid w:val="00F96626"/>
    <w:rsid w:val="00F96B57"/>
    <w:rsid w:val="00F97D2B"/>
    <w:rsid w:val="00F97E17"/>
    <w:rsid w:val="00FA0416"/>
    <w:rsid w:val="00FA19A8"/>
    <w:rsid w:val="00FA20A7"/>
    <w:rsid w:val="00FA2AFC"/>
    <w:rsid w:val="00FA3F54"/>
    <w:rsid w:val="00FA44C1"/>
    <w:rsid w:val="00FA5343"/>
    <w:rsid w:val="00FA7433"/>
    <w:rsid w:val="00FA7724"/>
    <w:rsid w:val="00FB12DC"/>
    <w:rsid w:val="00FB2744"/>
    <w:rsid w:val="00FB2748"/>
    <w:rsid w:val="00FB31CD"/>
    <w:rsid w:val="00FB4467"/>
    <w:rsid w:val="00FB6798"/>
    <w:rsid w:val="00FB7AE9"/>
    <w:rsid w:val="00FC0AC9"/>
    <w:rsid w:val="00FC12B8"/>
    <w:rsid w:val="00FC1C78"/>
    <w:rsid w:val="00FC278E"/>
    <w:rsid w:val="00FC358D"/>
    <w:rsid w:val="00FC3A7B"/>
    <w:rsid w:val="00FC498F"/>
    <w:rsid w:val="00FC7E17"/>
    <w:rsid w:val="00FD1D12"/>
    <w:rsid w:val="00FD3B00"/>
    <w:rsid w:val="00FD436D"/>
    <w:rsid w:val="00FD5AD1"/>
    <w:rsid w:val="00FD6432"/>
    <w:rsid w:val="00FD6B49"/>
    <w:rsid w:val="00FD6E4E"/>
    <w:rsid w:val="00FD6F28"/>
    <w:rsid w:val="00FD7635"/>
    <w:rsid w:val="00FD77A0"/>
    <w:rsid w:val="00FE0388"/>
    <w:rsid w:val="00FE0A72"/>
    <w:rsid w:val="00FE1299"/>
    <w:rsid w:val="00FE150E"/>
    <w:rsid w:val="00FE39B6"/>
    <w:rsid w:val="00FE3B10"/>
    <w:rsid w:val="00FE4466"/>
    <w:rsid w:val="00FE4728"/>
    <w:rsid w:val="00FE5032"/>
    <w:rsid w:val="00FE626B"/>
    <w:rsid w:val="00FE6A3D"/>
    <w:rsid w:val="00FE7677"/>
    <w:rsid w:val="00FE7BCA"/>
    <w:rsid w:val="00FF29B1"/>
    <w:rsid w:val="00FF43F7"/>
    <w:rsid w:val="00FF59EC"/>
    <w:rsid w:val="00FF6444"/>
    <w:rsid w:val="02EA0655"/>
    <w:rsid w:val="0A897349"/>
    <w:rsid w:val="0C9A14BB"/>
    <w:rsid w:val="0E6226D5"/>
    <w:rsid w:val="0F1A6AE2"/>
    <w:rsid w:val="0F711EEB"/>
    <w:rsid w:val="154500F5"/>
    <w:rsid w:val="181C2A9C"/>
    <w:rsid w:val="18C34F8A"/>
    <w:rsid w:val="1FCF5B93"/>
    <w:rsid w:val="20F118B7"/>
    <w:rsid w:val="271E1753"/>
    <w:rsid w:val="30FD4CCD"/>
    <w:rsid w:val="36445DA8"/>
    <w:rsid w:val="364862A2"/>
    <w:rsid w:val="3E20566B"/>
    <w:rsid w:val="4C8C4A32"/>
    <w:rsid w:val="4DCF53C1"/>
    <w:rsid w:val="4E2F3158"/>
    <w:rsid w:val="54AA2998"/>
    <w:rsid w:val="54C15C18"/>
    <w:rsid w:val="566249E3"/>
    <w:rsid w:val="5BEA08B3"/>
    <w:rsid w:val="5DB62D7A"/>
    <w:rsid w:val="6B2549B1"/>
    <w:rsid w:val="6B2F4085"/>
    <w:rsid w:val="6DA47593"/>
    <w:rsid w:val="6EE75E08"/>
    <w:rsid w:val="75A510E0"/>
    <w:rsid w:val="789116DE"/>
    <w:rsid w:val="7A213771"/>
    <w:rsid w:val="7AD56F1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qFormat="1" w:unhideWhenUsed="0"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nhideWhenUsed="0"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ocked="1"/>
    <w:lsdException w:qFormat="1"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43"/>
    <w:qFormat/>
    <w:uiPriority w:val="99"/>
    <w:pPr>
      <w:keepNext/>
      <w:keepLines/>
      <w:spacing w:beforeLines="50" w:afterLines="50" w:line="360" w:lineRule="auto"/>
      <w:jc w:val="center"/>
      <w:outlineLvl w:val="0"/>
    </w:pPr>
    <w:rPr>
      <w:rFonts w:ascii="宋体" w:hAnsi="宋体" w:cs="宋体"/>
      <w:b/>
      <w:bCs/>
      <w:kern w:val="44"/>
      <w:sz w:val="24"/>
      <w:szCs w:val="24"/>
    </w:rPr>
  </w:style>
  <w:style w:type="paragraph" w:styleId="3">
    <w:name w:val="heading 2"/>
    <w:basedOn w:val="1"/>
    <w:next w:val="4"/>
    <w:link w:val="44"/>
    <w:qFormat/>
    <w:uiPriority w:val="99"/>
    <w:pPr>
      <w:keepNext/>
      <w:keepLines/>
      <w:spacing w:beforeLines="50" w:afterLines="50" w:line="360" w:lineRule="auto"/>
      <w:outlineLvl w:val="1"/>
    </w:pPr>
    <w:rPr>
      <w:rFonts w:ascii="宋体" w:hAnsi="宋体" w:eastAsia="黑体" w:cs="宋体"/>
      <w:b/>
      <w:bCs/>
      <w:sz w:val="24"/>
      <w:szCs w:val="24"/>
    </w:rPr>
  </w:style>
  <w:style w:type="paragraph" w:styleId="5">
    <w:name w:val="heading 3"/>
    <w:basedOn w:val="1"/>
    <w:next w:val="4"/>
    <w:link w:val="45"/>
    <w:qFormat/>
    <w:uiPriority w:val="99"/>
    <w:pPr>
      <w:keepNext/>
      <w:keepLines/>
      <w:spacing w:line="360" w:lineRule="auto"/>
      <w:outlineLvl w:val="2"/>
    </w:pPr>
    <w:rPr>
      <w:b/>
      <w:bCs/>
      <w:sz w:val="24"/>
      <w:szCs w:val="24"/>
    </w:rPr>
  </w:style>
  <w:style w:type="paragraph" w:styleId="6">
    <w:name w:val="heading 4"/>
    <w:basedOn w:val="1"/>
    <w:next w:val="4"/>
    <w:link w:val="46"/>
    <w:qFormat/>
    <w:uiPriority w:val="99"/>
    <w:pPr>
      <w:keepNext/>
      <w:keepLines/>
      <w:spacing w:line="360" w:lineRule="auto"/>
      <w:outlineLvl w:val="3"/>
    </w:pPr>
    <w:rPr>
      <w:rFonts w:ascii="Arial" w:hAnsi="Arial" w:eastAsia="黑体" w:cs="Arial"/>
      <w:b/>
      <w:bCs/>
      <w:sz w:val="24"/>
      <w:szCs w:val="24"/>
    </w:rPr>
  </w:style>
  <w:style w:type="paragraph" w:styleId="7">
    <w:name w:val="heading 5"/>
    <w:basedOn w:val="8"/>
    <w:next w:val="8"/>
    <w:link w:val="47"/>
    <w:qFormat/>
    <w:uiPriority w:val="99"/>
    <w:pPr>
      <w:snapToGrid w:val="0"/>
      <w:spacing w:after="0" w:line="360" w:lineRule="auto"/>
      <w:outlineLvl w:val="4"/>
    </w:pPr>
    <w:rPr>
      <w:rFonts w:eastAsia="楷体_GB2312"/>
      <w:sz w:val="24"/>
      <w:szCs w:val="24"/>
    </w:rPr>
  </w:style>
  <w:style w:type="paragraph" w:styleId="9">
    <w:name w:val="heading 6"/>
    <w:basedOn w:val="1"/>
    <w:next w:val="8"/>
    <w:link w:val="48"/>
    <w:qFormat/>
    <w:uiPriority w:val="99"/>
    <w:pPr>
      <w:snapToGrid w:val="0"/>
      <w:spacing w:before="60" w:after="60" w:line="360" w:lineRule="auto"/>
      <w:outlineLvl w:val="5"/>
    </w:pPr>
    <w:rPr>
      <w:rFonts w:eastAsia="楷体_GB2312"/>
      <w:sz w:val="24"/>
      <w:szCs w:val="24"/>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spacing w:line="360" w:lineRule="auto"/>
      <w:ind w:firstLine="420"/>
    </w:pPr>
    <w:rPr>
      <w:sz w:val="24"/>
      <w:szCs w:val="24"/>
    </w:rPr>
  </w:style>
  <w:style w:type="paragraph" w:styleId="8">
    <w:name w:val="Body Text"/>
    <w:basedOn w:val="1"/>
    <w:link w:val="49"/>
    <w:qFormat/>
    <w:uiPriority w:val="99"/>
    <w:pPr>
      <w:spacing w:after="120"/>
    </w:pPr>
  </w:style>
  <w:style w:type="paragraph" w:styleId="10">
    <w:name w:val="toc 7"/>
    <w:basedOn w:val="1"/>
    <w:next w:val="1"/>
    <w:semiHidden/>
    <w:qFormat/>
    <w:uiPriority w:val="99"/>
    <w:pPr>
      <w:ind w:left="1260"/>
      <w:jc w:val="left"/>
    </w:pPr>
  </w:style>
  <w:style w:type="paragraph" w:styleId="11">
    <w:name w:val="Document Map"/>
    <w:basedOn w:val="1"/>
    <w:link w:val="80"/>
    <w:semiHidden/>
    <w:unhideWhenUsed/>
    <w:qFormat/>
    <w:uiPriority w:val="99"/>
    <w:rPr>
      <w:rFonts w:ascii="宋体"/>
      <w:sz w:val="18"/>
      <w:szCs w:val="18"/>
    </w:rPr>
  </w:style>
  <w:style w:type="paragraph" w:styleId="12">
    <w:name w:val="annotation text"/>
    <w:basedOn w:val="1"/>
    <w:link w:val="62"/>
    <w:semiHidden/>
    <w:qFormat/>
    <w:uiPriority w:val="99"/>
    <w:pPr>
      <w:jc w:val="left"/>
    </w:pPr>
  </w:style>
  <w:style w:type="paragraph" w:styleId="13">
    <w:name w:val="Body Text Indent"/>
    <w:basedOn w:val="1"/>
    <w:link w:val="58"/>
    <w:qFormat/>
    <w:uiPriority w:val="99"/>
    <w:pPr>
      <w:spacing w:before="50" w:after="50" w:line="360" w:lineRule="auto"/>
      <w:ind w:left="1260" w:leftChars="600" w:firstLine="420" w:firstLineChars="175"/>
    </w:pPr>
    <w:rPr>
      <w:rFonts w:ascii="宋体" w:hAnsi="宋体" w:cs="宋体"/>
      <w:sz w:val="24"/>
      <w:szCs w:val="24"/>
    </w:rPr>
  </w:style>
  <w:style w:type="paragraph" w:styleId="14">
    <w:name w:val="Block Text"/>
    <w:basedOn w:val="1"/>
    <w:qFormat/>
    <w:uiPriority w:val="99"/>
    <w:pPr>
      <w:tabs>
        <w:tab w:val="left" w:pos="720"/>
      </w:tabs>
      <w:autoSpaceDE w:val="0"/>
      <w:autoSpaceDN w:val="0"/>
      <w:adjustRightInd w:val="0"/>
      <w:spacing w:line="360" w:lineRule="auto"/>
      <w:ind w:left="277" w:right="18"/>
      <w:jc w:val="left"/>
    </w:pPr>
    <w:rPr>
      <w:rFonts w:ascii="宋体" w:cs="宋体"/>
      <w:color w:val="FF0000"/>
      <w:kern w:val="0"/>
      <w:sz w:val="24"/>
      <w:szCs w:val="24"/>
      <w:lang w:val="zh-CN"/>
    </w:rPr>
  </w:style>
  <w:style w:type="paragraph" w:styleId="15">
    <w:name w:val="toc 5"/>
    <w:basedOn w:val="1"/>
    <w:next w:val="1"/>
    <w:semiHidden/>
    <w:qFormat/>
    <w:uiPriority w:val="99"/>
    <w:pPr>
      <w:ind w:left="840"/>
      <w:jc w:val="left"/>
    </w:pPr>
  </w:style>
  <w:style w:type="paragraph" w:styleId="16">
    <w:name w:val="toc 3"/>
    <w:basedOn w:val="1"/>
    <w:next w:val="1"/>
    <w:semiHidden/>
    <w:qFormat/>
    <w:uiPriority w:val="99"/>
    <w:pPr>
      <w:ind w:left="420"/>
      <w:jc w:val="left"/>
    </w:pPr>
    <w:rPr>
      <w:i/>
      <w:iCs/>
    </w:rPr>
  </w:style>
  <w:style w:type="paragraph" w:styleId="17">
    <w:name w:val="Plain Text"/>
    <w:basedOn w:val="1"/>
    <w:link w:val="55"/>
    <w:qFormat/>
    <w:uiPriority w:val="99"/>
    <w:rPr>
      <w:rFonts w:ascii="宋体" w:hAnsi="Courier New" w:cs="宋体"/>
      <w:sz w:val="16"/>
      <w:szCs w:val="16"/>
    </w:rPr>
  </w:style>
  <w:style w:type="paragraph" w:styleId="18">
    <w:name w:val="toc 8"/>
    <w:basedOn w:val="1"/>
    <w:next w:val="1"/>
    <w:semiHidden/>
    <w:qFormat/>
    <w:uiPriority w:val="99"/>
    <w:pPr>
      <w:ind w:left="1470"/>
      <w:jc w:val="left"/>
    </w:pPr>
  </w:style>
  <w:style w:type="paragraph" w:styleId="19">
    <w:name w:val="Date"/>
    <w:basedOn w:val="1"/>
    <w:next w:val="1"/>
    <w:link w:val="64"/>
    <w:qFormat/>
    <w:uiPriority w:val="99"/>
    <w:pPr>
      <w:ind w:left="100" w:leftChars="2500"/>
    </w:pPr>
  </w:style>
  <w:style w:type="paragraph" w:styleId="20">
    <w:name w:val="Body Text Indent 2"/>
    <w:basedOn w:val="1"/>
    <w:link w:val="52"/>
    <w:qFormat/>
    <w:uiPriority w:val="99"/>
    <w:pPr>
      <w:spacing w:before="50" w:after="50" w:line="360" w:lineRule="auto"/>
      <w:ind w:firstLine="420"/>
    </w:pPr>
    <w:rPr>
      <w:rFonts w:ascii="宋体" w:hAnsi="宋体" w:cs="宋体"/>
      <w:color w:val="0000FF"/>
      <w:sz w:val="24"/>
      <w:szCs w:val="24"/>
    </w:rPr>
  </w:style>
  <w:style w:type="paragraph" w:styleId="21">
    <w:name w:val="Balloon Text"/>
    <w:basedOn w:val="1"/>
    <w:link w:val="60"/>
    <w:semiHidden/>
    <w:qFormat/>
    <w:uiPriority w:val="99"/>
    <w:rPr>
      <w:sz w:val="18"/>
      <w:szCs w:val="18"/>
    </w:rPr>
  </w:style>
  <w:style w:type="paragraph" w:styleId="22">
    <w:name w:val="footer"/>
    <w:basedOn w:val="1"/>
    <w:link w:val="54"/>
    <w:qFormat/>
    <w:uiPriority w:val="99"/>
    <w:pPr>
      <w:tabs>
        <w:tab w:val="center" w:pos="4153"/>
        <w:tab w:val="right" w:pos="8306"/>
      </w:tabs>
      <w:snapToGrid w:val="0"/>
      <w:jc w:val="left"/>
    </w:pPr>
    <w:rPr>
      <w:sz w:val="18"/>
      <w:szCs w:val="18"/>
    </w:rPr>
  </w:style>
  <w:style w:type="paragraph" w:styleId="23">
    <w:name w:val="header"/>
    <w:basedOn w:val="1"/>
    <w:link w:val="53"/>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semiHidden/>
    <w:qFormat/>
    <w:uiPriority w:val="99"/>
    <w:pPr>
      <w:tabs>
        <w:tab w:val="right" w:leader="dot" w:pos="8296"/>
      </w:tabs>
      <w:spacing w:before="120" w:after="120"/>
      <w:jc w:val="left"/>
    </w:pPr>
    <w:rPr>
      <w:rFonts w:eastAsia="黑体"/>
      <w:b/>
      <w:bCs/>
      <w:caps/>
      <w:sz w:val="32"/>
      <w:szCs w:val="32"/>
    </w:rPr>
  </w:style>
  <w:style w:type="paragraph" w:styleId="25">
    <w:name w:val="toc 4"/>
    <w:basedOn w:val="1"/>
    <w:next w:val="1"/>
    <w:semiHidden/>
    <w:qFormat/>
    <w:uiPriority w:val="99"/>
    <w:pPr>
      <w:ind w:left="630"/>
      <w:jc w:val="left"/>
    </w:pPr>
  </w:style>
  <w:style w:type="paragraph" w:styleId="26">
    <w:name w:val="footnote text"/>
    <w:basedOn w:val="1"/>
    <w:link w:val="56"/>
    <w:semiHidden/>
    <w:qFormat/>
    <w:uiPriority w:val="99"/>
    <w:pPr>
      <w:snapToGrid w:val="0"/>
      <w:jc w:val="left"/>
    </w:pPr>
    <w:rPr>
      <w:sz w:val="18"/>
      <w:szCs w:val="18"/>
    </w:rPr>
  </w:style>
  <w:style w:type="paragraph" w:styleId="27">
    <w:name w:val="toc 6"/>
    <w:basedOn w:val="1"/>
    <w:next w:val="1"/>
    <w:semiHidden/>
    <w:qFormat/>
    <w:uiPriority w:val="99"/>
    <w:pPr>
      <w:ind w:left="1050"/>
      <w:jc w:val="left"/>
    </w:pPr>
  </w:style>
  <w:style w:type="paragraph" w:styleId="28">
    <w:name w:val="Body Text Indent 3"/>
    <w:basedOn w:val="1"/>
    <w:link w:val="59"/>
    <w:qFormat/>
    <w:uiPriority w:val="99"/>
    <w:pPr>
      <w:spacing w:before="50" w:after="50" w:line="360" w:lineRule="auto"/>
      <w:ind w:left="1260" w:leftChars="600" w:firstLine="480" w:firstLineChars="200"/>
    </w:pPr>
    <w:rPr>
      <w:rFonts w:ascii="宋体" w:hAnsi="宋体" w:cs="宋体"/>
      <w:sz w:val="24"/>
      <w:szCs w:val="24"/>
    </w:rPr>
  </w:style>
  <w:style w:type="paragraph" w:styleId="29">
    <w:name w:val="toc 2"/>
    <w:basedOn w:val="1"/>
    <w:next w:val="1"/>
    <w:semiHidden/>
    <w:qFormat/>
    <w:uiPriority w:val="99"/>
    <w:pPr>
      <w:ind w:left="210"/>
      <w:jc w:val="left"/>
    </w:pPr>
    <w:rPr>
      <w:smallCaps/>
    </w:rPr>
  </w:style>
  <w:style w:type="paragraph" w:styleId="30">
    <w:name w:val="toc 9"/>
    <w:basedOn w:val="1"/>
    <w:next w:val="1"/>
    <w:semiHidden/>
    <w:qFormat/>
    <w:uiPriority w:val="99"/>
    <w:pPr>
      <w:ind w:left="1680"/>
      <w:jc w:val="left"/>
    </w:pPr>
  </w:style>
  <w:style w:type="paragraph" w:styleId="31">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32">
    <w:name w:val="annotation subject"/>
    <w:basedOn w:val="12"/>
    <w:next w:val="12"/>
    <w:link w:val="63"/>
    <w:semiHidden/>
    <w:qFormat/>
    <w:uiPriority w:val="99"/>
    <w:rPr>
      <w:b/>
      <w:bCs/>
    </w:rPr>
  </w:style>
  <w:style w:type="paragraph" w:styleId="33">
    <w:name w:val="Body Text First Indent"/>
    <w:basedOn w:val="8"/>
    <w:link w:val="57"/>
    <w:qFormat/>
    <w:uiPriority w:val="99"/>
    <w:pPr>
      <w:spacing w:line="300" w:lineRule="auto"/>
      <w:ind w:firstLine="425" w:firstLineChars="150"/>
    </w:pPr>
  </w:style>
  <w:style w:type="table" w:styleId="35">
    <w:name w:val="Table Grid"/>
    <w:basedOn w:val="3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7">
    <w:name w:val="Strong"/>
    <w:qFormat/>
    <w:uiPriority w:val="99"/>
    <w:rPr>
      <w:b/>
      <w:bCs/>
    </w:rPr>
  </w:style>
  <w:style w:type="character" w:styleId="38">
    <w:name w:val="page number"/>
    <w:basedOn w:val="36"/>
    <w:qFormat/>
    <w:uiPriority w:val="99"/>
  </w:style>
  <w:style w:type="character" w:styleId="39">
    <w:name w:val="FollowedHyperlink"/>
    <w:qFormat/>
    <w:uiPriority w:val="99"/>
    <w:rPr>
      <w:color w:val="800080"/>
      <w:u w:val="single"/>
    </w:rPr>
  </w:style>
  <w:style w:type="character" w:styleId="40">
    <w:name w:val="Hyperlink"/>
    <w:qFormat/>
    <w:uiPriority w:val="99"/>
    <w:rPr>
      <w:color w:val="0000FF"/>
      <w:u w:val="single"/>
    </w:rPr>
  </w:style>
  <w:style w:type="character" w:styleId="41">
    <w:name w:val="annotation reference"/>
    <w:semiHidden/>
    <w:qFormat/>
    <w:uiPriority w:val="99"/>
    <w:rPr>
      <w:sz w:val="21"/>
      <w:szCs w:val="21"/>
    </w:rPr>
  </w:style>
  <w:style w:type="character" w:styleId="42">
    <w:name w:val="footnote reference"/>
    <w:semiHidden/>
    <w:qFormat/>
    <w:uiPriority w:val="99"/>
    <w:rPr>
      <w:vertAlign w:val="superscript"/>
    </w:rPr>
  </w:style>
  <w:style w:type="character" w:customStyle="1" w:styleId="43">
    <w:name w:val="标题 1 字符"/>
    <w:link w:val="2"/>
    <w:qFormat/>
    <w:uiPriority w:val="9"/>
    <w:rPr>
      <w:b/>
      <w:bCs/>
      <w:kern w:val="44"/>
      <w:sz w:val="44"/>
      <w:szCs w:val="44"/>
    </w:rPr>
  </w:style>
  <w:style w:type="character" w:customStyle="1" w:styleId="44">
    <w:name w:val="标题 2 字符"/>
    <w:link w:val="3"/>
    <w:semiHidden/>
    <w:qFormat/>
    <w:uiPriority w:val="9"/>
    <w:rPr>
      <w:rFonts w:ascii="Cambria" w:hAnsi="Cambria" w:eastAsia="宋体" w:cs="Times New Roman"/>
      <w:b/>
      <w:bCs/>
      <w:sz w:val="32"/>
      <w:szCs w:val="32"/>
    </w:rPr>
  </w:style>
  <w:style w:type="character" w:customStyle="1" w:styleId="45">
    <w:name w:val="标题 3 字符"/>
    <w:link w:val="5"/>
    <w:semiHidden/>
    <w:qFormat/>
    <w:uiPriority w:val="9"/>
    <w:rPr>
      <w:b/>
      <w:bCs/>
      <w:sz w:val="32"/>
      <w:szCs w:val="32"/>
    </w:rPr>
  </w:style>
  <w:style w:type="character" w:customStyle="1" w:styleId="46">
    <w:name w:val="标题 4 字符"/>
    <w:link w:val="6"/>
    <w:qFormat/>
    <w:locked/>
    <w:uiPriority w:val="99"/>
    <w:rPr>
      <w:rFonts w:ascii="Arial" w:hAnsi="Arial" w:eastAsia="黑体" w:cs="Arial"/>
      <w:b/>
      <w:bCs/>
      <w:kern w:val="2"/>
      <w:sz w:val="24"/>
      <w:szCs w:val="24"/>
    </w:rPr>
  </w:style>
  <w:style w:type="character" w:customStyle="1" w:styleId="47">
    <w:name w:val="标题 5 字符"/>
    <w:link w:val="7"/>
    <w:semiHidden/>
    <w:qFormat/>
    <w:uiPriority w:val="9"/>
    <w:rPr>
      <w:b/>
      <w:bCs/>
      <w:sz w:val="28"/>
      <w:szCs w:val="28"/>
    </w:rPr>
  </w:style>
  <w:style w:type="character" w:customStyle="1" w:styleId="48">
    <w:name w:val="标题 6 字符"/>
    <w:link w:val="9"/>
    <w:semiHidden/>
    <w:qFormat/>
    <w:uiPriority w:val="9"/>
    <w:rPr>
      <w:rFonts w:ascii="Cambria" w:hAnsi="Cambria" w:eastAsia="宋体" w:cs="Times New Roman"/>
      <w:b/>
      <w:bCs/>
      <w:sz w:val="24"/>
      <w:szCs w:val="24"/>
    </w:rPr>
  </w:style>
  <w:style w:type="character" w:customStyle="1" w:styleId="49">
    <w:name w:val="正文文本 字符"/>
    <w:link w:val="8"/>
    <w:semiHidden/>
    <w:qFormat/>
    <w:uiPriority w:val="99"/>
    <w:rPr>
      <w:szCs w:val="21"/>
    </w:rPr>
  </w:style>
  <w:style w:type="paragraph" w:customStyle="1" w:styleId="50">
    <w:name w:val="ccidsiTemplate"/>
    <w:basedOn w:val="1"/>
    <w:qFormat/>
    <w:uiPriority w:val="99"/>
    <w:pPr>
      <w:spacing w:line="360" w:lineRule="auto"/>
    </w:pPr>
    <w:rPr>
      <w:sz w:val="24"/>
      <w:szCs w:val="24"/>
    </w:rPr>
  </w:style>
  <w:style w:type="character" w:customStyle="1" w:styleId="51">
    <w:name w:val="big1"/>
    <w:qFormat/>
    <w:uiPriority w:val="99"/>
    <w:rPr>
      <w:spacing w:val="360"/>
      <w:sz w:val="22"/>
      <w:szCs w:val="22"/>
    </w:rPr>
  </w:style>
  <w:style w:type="character" w:customStyle="1" w:styleId="52">
    <w:name w:val="正文文本缩进 2 字符"/>
    <w:link w:val="20"/>
    <w:semiHidden/>
    <w:qFormat/>
    <w:uiPriority w:val="99"/>
    <w:rPr>
      <w:szCs w:val="21"/>
    </w:rPr>
  </w:style>
  <w:style w:type="character" w:customStyle="1" w:styleId="53">
    <w:name w:val="页眉 字符"/>
    <w:link w:val="23"/>
    <w:qFormat/>
    <w:uiPriority w:val="99"/>
    <w:rPr>
      <w:kern w:val="2"/>
      <w:sz w:val="18"/>
      <w:szCs w:val="18"/>
    </w:rPr>
  </w:style>
  <w:style w:type="character" w:customStyle="1" w:styleId="54">
    <w:name w:val="页脚 字符"/>
    <w:link w:val="22"/>
    <w:qFormat/>
    <w:locked/>
    <w:uiPriority w:val="99"/>
    <w:rPr>
      <w:kern w:val="2"/>
      <w:sz w:val="18"/>
      <w:szCs w:val="18"/>
    </w:rPr>
  </w:style>
  <w:style w:type="character" w:customStyle="1" w:styleId="55">
    <w:name w:val="纯文本 字符"/>
    <w:link w:val="17"/>
    <w:qFormat/>
    <w:locked/>
    <w:uiPriority w:val="99"/>
    <w:rPr>
      <w:rFonts w:ascii="宋体" w:hAnsi="Courier New" w:cs="宋体"/>
      <w:kern w:val="2"/>
      <w:sz w:val="16"/>
      <w:szCs w:val="16"/>
    </w:rPr>
  </w:style>
  <w:style w:type="character" w:customStyle="1" w:styleId="56">
    <w:name w:val="脚注文本 字符"/>
    <w:link w:val="26"/>
    <w:semiHidden/>
    <w:qFormat/>
    <w:locked/>
    <w:uiPriority w:val="99"/>
    <w:rPr>
      <w:kern w:val="2"/>
      <w:sz w:val="18"/>
      <w:szCs w:val="18"/>
    </w:rPr>
  </w:style>
  <w:style w:type="character" w:customStyle="1" w:styleId="57">
    <w:name w:val="正文首行缩进 字符"/>
    <w:link w:val="33"/>
    <w:semiHidden/>
    <w:qFormat/>
    <w:uiPriority w:val="99"/>
    <w:rPr>
      <w:szCs w:val="21"/>
    </w:rPr>
  </w:style>
  <w:style w:type="character" w:customStyle="1" w:styleId="58">
    <w:name w:val="正文文本缩进 字符"/>
    <w:link w:val="13"/>
    <w:semiHidden/>
    <w:qFormat/>
    <w:uiPriority w:val="99"/>
    <w:rPr>
      <w:szCs w:val="21"/>
    </w:rPr>
  </w:style>
  <w:style w:type="character" w:customStyle="1" w:styleId="59">
    <w:name w:val="正文文本缩进 3 字符"/>
    <w:link w:val="28"/>
    <w:semiHidden/>
    <w:qFormat/>
    <w:uiPriority w:val="99"/>
    <w:rPr>
      <w:sz w:val="16"/>
      <w:szCs w:val="16"/>
    </w:rPr>
  </w:style>
  <w:style w:type="character" w:customStyle="1" w:styleId="60">
    <w:name w:val="批注框文本 字符"/>
    <w:link w:val="21"/>
    <w:semiHidden/>
    <w:qFormat/>
    <w:uiPriority w:val="99"/>
    <w:rPr>
      <w:sz w:val="0"/>
      <w:szCs w:val="0"/>
    </w:rPr>
  </w:style>
  <w:style w:type="character" w:customStyle="1" w:styleId="61">
    <w:name w:val="ten51"/>
    <w:qFormat/>
    <w:uiPriority w:val="99"/>
    <w:rPr>
      <w:sz w:val="21"/>
      <w:szCs w:val="21"/>
    </w:rPr>
  </w:style>
  <w:style w:type="character" w:customStyle="1" w:styleId="62">
    <w:name w:val="批注文字 字符"/>
    <w:link w:val="12"/>
    <w:qFormat/>
    <w:locked/>
    <w:uiPriority w:val="99"/>
    <w:rPr>
      <w:kern w:val="2"/>
      <w:sz w:val="24"/>
      <w:szCs w:val="24"/>
    </w:rPr>
  </w:style>
  <w:style w:type="character" w:customStyle="1" w:styleId="63">
    <w:name w:val="批注主题 字符"/>
    <w:link w:val="32"/>
    <w:semiHidden/>
    <w:qFormat/>
    <w:uiPriority w:val="99"/>
    <w:rPr>
      <w:b/>
      <w:bCs/>
      <w:kern w:val="2"/>
      <w:sz w:val="24"/>
      <w:szCs w:val="21"/>
    </w:rPr>
  </w:style>
  <w:style w:type="character" w:customStyle="1" w:styleId="64">
    <w:name w:val="日期 字符"/>
    <w:link w:val="19"/>
    <w:semiHidden/>
    <w:qFormat/>
    <w:uiPriority w:val="99"/>
    <w:rPr>
      <w:szCs w:val="21"/>
    </w:rPr>
  </w:style>
  <w:style w:type="paragraph" w:customStyle="1" w:styleId="65">
    <w:name w:val="Char Char Char Char Char Char Char Char Char1 Char Char Char Char Char Char Char"/>
    <w:basedOn w:val="1"/>
    <w:qFormat/>
    <w:uiPriority w:val="99"/>
    <w:pPr>
      <w:tabs>
        <w:tab w:val="left" w:pos="840"/>
      </w:tabs>
      <w:ind w:left="840" w:hanging="360"/>
    </w:pPr>
    <w:rPr>
      <w:sz w:val="24"/>
      <w:szCs w:val="24"/>
    </w:rPr>
  </w:style>
  <w:style w:type="paragraph" w:customStyle="1" w:styleId="66">
    <w:name w:val="Char Char Char Char Char Char Char"/>
    <w:basedOn w:val="1"/>
    <w:qFormat/>
    <w:uiPriority w:val="99"/>
    <w:pPr>
      <w:tabs>
        <w:tab w:val="left" w:pos="840"/>
      </w:tabs>
      <w:ind w:left="840" w:hanging="360"/>
    </w:pPr>
    <w:rPr>
      <w:sz w:val="24"/>
      <w:szCs w:val="24"/>
    </w:rPr>
  </w:style>
  <w:style w:type="paragraph" w:customStyle="1" w:styleId="67">
    <w:name w:val="Char"/>
    <w:basedOn w:val="1"/>
    <w:qFormat/>
    <w:uiPriority w:val="99"/>
  </w:style>
  <w:style w:type="paragraph" w:customStyle="1" w:styleId="68">
    <w:name w:val="默认段落字体 Para Char"/>
    <w:basedOn w:val="1"/>
    <w:qFormat/>
    <w:uiPriority w:val="99"/>
    <w:pPr>
      <w:tabs>
        <w:tab w:val="left" w:pos="840"/>
      </w:tabs>
      <w:ind w:left="840" w:hanging="420"/>
    </w:pPr>
    <w:rPr>
      <w:sz w:val="24"/>
      <w:szCs w:val="24"/>
    </w:rPr>
  </w:style>
  <w:style w:type="paragraph" w:customStyle="1" w:styleId="69">
    <w:name w:val="Char Char Char Char1 Char Char Char"/>
    <w:basedOn w:val="1"/>
    <w:qFormat/>
    <w:uiPriority w:val="99"/>
  </w:style>
  <w:style w:type="paragraph" w:customStyle="1" w:styleId="70">
    <w:name w:val="Char Char Char Char Char"/>
    <w:basedOn w:val="1"/>
    <w:qFormat/>
    <w:uiPriority w:val="99"/>
    <w:pPr>
      <w:tabs>
        <w:tab w:val="left" w:pos="840"/>
      </w:tabs>
      <w:ind w:left="840" w:hanging="360"/>
    </w:pPr>
    <w:rPr>
      <w:sz w:val="24"/>
      <w:szCs w:val="24"/>
    </w:rPr>
  </w:style>
  <w:style w:type="paragraph" w:customStyle="1" w:styleId="71">
    <w:name w:val="Char Char"/>
    <w:basedOn w:val="1"/>
    <w:qFormat/>
    <w:uiPriority w:val="99"/>
    <w:pPr>
      <w:tabs>
        <w:tab w:val="left" w:pos="840"/>
      </w:tabs>
      <w:ind w:left="840" w:hanging="360"/>
    </w:pPr>
    <w:rPr>
      <w:sz w:val="24"/>
      <w:szCs w:val="24"/>
    </w:rPr>
  </w:style>
  <w:style w:type="paragraph" w:customStyle="1" w:styleId="72">
    <w:name w:val="默认段落字体 Para Char Char Char Char Char Char"/>
    <w:basedOn w:val="1"/>
    <w:qFormat/>
    <w:uiPriority w:val="99"/>
    <w:pPr>
      <w:tabs>
        <w:tab w:val="left" w:pos="840"/>
      </w:tabs>
      <w:ind w:left="840" w:hanging="360"/>
    </w:pPr>
    <w:rPr>
      <w:sz w:val="24"/>
      <w:szCs w:val="24"/>
    </w:rPr>
  </w:style>
  <w:style w:type="paragraph" w:customStyle="1" w:styleId="73">
    <w:name w:val="Char Char Char Char Char Char Char Char Char1 Char Char Char Char"/>
    <w:basedOn w:val="1"/>
    <w:qFormat/>
    <w:uiPriority w:val="99"/>
    <w:pPr>
      <w:tabs>
        <w:tab w:val="left" w:pos="840"/>
      </w:tabs>
      <w:ind w:left="840" w:hanging="360"/>
    </w:pPr>
    <w:rPr>
      <w:sz w:val="24"/>
      <w:szCs w:val="24"/>
    </w:rPr>
  </w:style>
  <w:style w:type="paragraph" w:customStyle="1" w:styleId="74">
    <w:name w:val="1 Char"/>
    <w:basedOn w:val="1"/>
    <w:semiHidden/>
    <w:qFormat/>
    <w:uiPriority w:val="99"/>
    <w:pPr>
      <w:tabs>
        <w:tab w:val="left" w:pos="360"/>
      </w:tabs>
    </w:pPr>
    <w:rPr>
      <w:sz w:val="24"/>
      <w:szCs w:val="24"/>
    </w:rPr>
  </w:style>
  <w:style w:type="paragraph" w:customStyle="1" w:styleId="75">
    <w:name w:val="Char Char Char"/>
    <w:basedOn w:val="1"/>
    <w:qFormat/>
    <w:uiPriority w:val="99"/>
  </w:style>
  <w:style w:type="paragraph" w:customStyle="1" w:styleId="76">
    <w:name w:val="Char1 Char Char Char Char Char Char"/>
    <w:basedOn w:val="1"/>
    <w:qFormat/>
    <w:uiPriority w:val="99"/>
  </w:style>
  <w:style w:type="paragraph" w:customStyle="1" w:styleId="77">
    <w:name w:val="c_"/>
    <w:qFormat/>
    <w:uiPriority w:val="99"/>
    <w:pPr>
      <w:widowControl w:val="0"/>
      <w:autoSpaceDE w:val="0"/>
      <w:autoSpaceDN w:val="0"/>
      <w:adjustRightInd w:val="0"/>
      <w:jc w:val="both"/>
    </w:pPr>
    <w:rPr>
      <w:rFonts w:ascii="五" w:hAnsi="Times New Roman" w:eastAsia="五" w:cs="五"/>
      <w:sz w:val="24"/>
      <w:szCs w:val="24"/>
      <w:lang w:val="en-US" w:eastAsia="zh-CN" w:bidi="ar-SA"/>
    </w:rPr>
  </w:style>
  <w:style w:type="paragraph" w:customStyle="1" w:styleId="78">
    <w:name w:val="修订1"/>
    <w:hidden/>
    <w:semiHidden/>
    <w:qFormat/>
    <w:uiPriority w:val="99"/>
    <w:rPr>
      <w:rFonts w:ascii="Times New Roman" w:hAnsi="Times New Roman" w:eastAsia="宋体" w:cs="Times New Roman"/>
      <w:kern w:val="2"/>
      <w:sz w:val="21"/>
      <w:szCs w:val="21"/>
      <w:lang w:val="en-US" w:eastAsia="zh-CN" w:bidi="ar-SA"/>
    </w:rPr>
  </w:style>
  <w:style w:type="paragraph" w:styleId="79">
    <w:name w:val="List Paragraph"/>
    <w:basedOn w:val="1"/>
    <w:qFormat/>
    <w:uiPriority w:val="34"/>
    <w:pPr>
      <w:ind w:firstLine="420" w:firstLineChars="200"/>
    </w:pPr>
  </w:style>
  <w:style w:type="character" w:customStyle="1" w:styleId="80">
    <w:name w:val="文档结构图 字符"/>
    <w:link w:val="11"/>
    <w:semiHidden/>
    <w:qFormat/>
    <w:uiPriority w:val="99"/>
    <w:rPr>
      <w:rFonts w:ascii="宋体"/>
      <w:kern w:val="2"/>
      <w:sz w:val="18"/>
      <w:szCs w:val="18"/>
    </w:rPr>
  </w:style>
  <w:style w:type="character" w:customStyle="1" w:styleId="81">
    <w:name w:val="txtcontent11"/>
    <w:qFormat/>
    <w:uiPriority w:val="0"/>
    <w:rPr>
      <w:rFonts w:hint="default" w:ascii="Times New Roman" w:hAnsi="Times New Roman" w:cs="Times New Roman"/>
      <w:color w:val="000000"/>
    </w:rPr>
  </w:style>
  <w:style w:type="paragraph" w:customStyle="1" w:styleId="82">
    <w:name w:val="修订2"/>
    <w:hidden/>
    <w:semiHidden/>
    <w:qFormat/>
    <w:uiPriority w:val="99"/>
    <w:rPr>
      <w:rFonts w:ascii="Times New Roman" w:hAnsi="Times New Roman" w:eastAsia="宋体" w:cs="Times New Roman"/>
      <w:kern w:val="2"/>
      <w:sz w:val="21"/>
      <w:szCs w:val="21"/>
      <w:lang w:val="en-US" w:eastAsia="zh-CN" w:bidi="ar-SA"/>
    </w:rPr>
  </w:style>
  <w:style w:type="paragraph" w:customStyle="1" w:styleId="83">
    <w:name w:val="修订3"/>
    <w:hidden/>
    <w:semiHidden/>
    <w:qFormat/>
    <w:uiPriority w:val="99"/>
    <w:rPr>
      <w:rFonts w:ascii="Times New Roman" w:hAnsi="Times New Roman" w:eastAsia="宋体" w:cs="Times New Roman"/>
      <w:kern w:val="2"/>
      <w:sz w:val="21"/>
      <w:szCs w:val="21"/>
      <w:lang w:val="en-US" w:eastAsia="zh-CN" w:bidi="ar-SA"/>
    </w:rPr>
  </w:style>
  <w:style w:type="paragraph" w:customStyle="1" w:styleId="84">
    <w:name w:val="Revision"/>
    <w:hidden/>
    <w:semiHidden/>
    <w:qFormat/>
    <w:uiPriority w:val="99"/>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1373B-7B2E-42A7-A693-F6166591406C}">
  <ds:schemaRefs/>
</ds:datastoreItem>
</file>

<file path=docProps/app.xml><?xml version="1.0" encoding="utf-8"?>
<Properties xmlns="http://schemas.openxmlformats.org/officeDocument/2006/extended-properties" xmlns:vt="http://schemas.openxmlformats.org/officeDocument/2006/docPropsVTypes">
  <Template>Normal</Template>
  <Company>jysld</Company>
  <Pages>3</Pages>
  <Words>241</Words>
  <Characters>1380</Characters>
  <Lines>11</Lines>
  <Paragraphs>3</Paragraphs>
  <TotalTime>4</TotalTime>
  <ScaleCrop>false</ScaleCrop>
  <LinksUpToDate>false</LinksUpToDate>
  <CharactersWithSpaces>1618</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2025-12-29T08:58:00Z</dcterms:created>
  <dc:creator>xzwang</dc:creator>
  <cp:lastModifiedBy>刘晨晨</cp:lastModifiedBy>
  <cp:lastPrinted>2015-04-27T09:59:00Z</cp:lastPrinted>
  <dcterms:modified xsi:type="dcterms:W3CDTF">2026-07-24T03:09:41Z</dcterms:modified>
  <dc:title>募集方案</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54E18BAECBD34E96AE39090292EC8D65_13</vt:lpwstr>
  </property>
</Properties>
</file>