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5435F">
      <w:pPr>
        <w:widowControl/>
        <w:jc w:val="center"/>
        <w:rPr>
          <w:rFonts w:cs="宋体" w:eastAsiaTheme="minorEastAsia"/>
          <w:b/>
          <w:kern w:val="0"/>
          <w:sz w:val="30"/>
          <w:szCs w:val="30"/>
        </w:rPr>
      </w:pPr>
      <w:r>
        <w:rPr>
          <w:rFonts w:hint="eastAsia" w:cs="宋体" w:eastAsiaTheme="minorEastAsia"/>
          <w:b/>
          <w:kern w:val="0"/>
          <w:sz w:val="30"/>
          <w:szCs w:val="30"/>
        </w:rPr>
        <w:t>交银施罗德基金管理有限公司关于</w:t>
      </w:r>
      <w:r>
        <w:rPr>
          <w:rFonts w:hint="eastAsia" w:cs="宋体" w:eastAsiaTheme="minorEastAsia"/>
          <w:b/>
          <w:kern w:val="0"/>
          <w:sz w:val="30"/>
          <w:szCs w:val="30"/>
          <w:lang w:eastAsia="zh-CN"/>
        </w:rPr>
        <w:t>交银施罗德佳宁债券型证券投资基金</w:t>
      </w:r>
      <w:r>
        <w:rPr>
          <w:rFonts w:hint="eastAsia" w:cs="宋体" w:eastAsiaTheme="minorEastAsia"/>
          <w:b/>
          <w:kern w:val="0"/>
          <w:sz w:val="30"/>
          <w:szCs w:val="30"/>
        </w:rPr>
        <w:t>基金合同生效公告</w:t>
      </w:r>
    </w:p>
    <w:p w14:paraId="1DED3130">
      <w:pPr>
        <w:jc w:val="center"/>
        <w:rPr>
          <w:rFonts w:cs="宋体" w:eastAsiaTheme="minorEastAsia"/>
          <w:kern w:val="0"/>
          <w:sz w:val="24"/>
          <w:szCs w:val="24"/>
        </w:rPr>
      </w:pPr>
      <w:r>
        <w:rPr>
          <w:rFonts w:hint="eastAsia" w:eastAsiaTheme="minorEastAsia"/>
          <w:color w:val="000000"/>
          <w:sz w:val="24"/>
          <w:szCs w:val="24"/>
        </w:rPr>
        <w:t>公告送出日期：</w:t>
      </w:r>
      <w:r>
        <w:rPr>
          <w:rFonts w:hint="eastAsia" w:eastAsiaTheme="minorEastAsia"/>
          <w:bCs/>
          <w:sz w:val="24"/>
          <w:szCs w:val="24"/>
        </w:rPr>
        <w:t>2026年</w:t>
      </w:r>
      <w:r>
        <w:rPr>
          <w:rFonts w:hint="eastAsia" w:eastAsiaTheme="minorEastAsia"/>
          <w:bCs/>
          <w:sz w:val="24"/>
          <w:szCs w:val="24"/>
          <w:lang w:val="en-US" w:eastAsia="zh-CN"/>
        </w:rPr>
        <w:t>7</w:t>
      </w:r>
      <w:r>
        <w:rPr>
          <w:rFonts w:hint="eastAsia" w:eastAsiaTheme="minorEastAsia"/>
          <w:bCs/>
          <w:sz w:val="24"/>
          <w:szCs w:val="24"/>
        </w:rPr>
        <w:t>月</w:t>
      </w:r>
      <w:r>
        <w:rPr>
          <w:rFonts w:hint="eastAsia" w:eastAsiaTheme="minorEastAsia"/>
          <w:bCs/>
          <w:sz w:val="24"/>
          <w:szCs w:val="24"/>
          <w:lang w:val="en-US" w:eastAsia="zh-CN"/>
        </w:rPr>
        <w:t>22</w:t>
      </w:r>
      <w:r>
        <w:rPr>
          <w:rFonts w:hint="eastAsia" w:eastAsiaTheme="minorEastAsia"/>
          <w:bCs/>
          <w:sz w:val="24"/>
          <w:szCs w:val="24"/>
        </w:rPr>
        <w:t>日</w:t>
      </w:r>
    </w:p>
    <w:p w14:paraId="38D6C9A2">
      <w:pPr>
        <w:spacing w:line="560" w:lineRule="exact"/>
        <w:rPr>
          <w:rFonts w:eastAsiaTheme="minorEastAsia"/>
          <w:color w:val="000000"/>
          <w:sz w:val="24"/>
          <w:szCs w:val="24"/>
        </w:rPr>
      </w:pPr>
    </w:p>
    <w:p w14:paraId="2BD54F38">
      <w:pPr>
        <w:pStyle w:val="2"/>
        <w:spacing w:line="560" w:lineRule="exact"/>
        <w:rPr>
          <w:rFonts w:ascii="Times New Roman" w:hAnsi="Times New Roman" w:eastAsiaTheme="minorEastAsia"/>
          <w:bCs w:val="0"/>
          <w:color w:val="000000"/>
          <w:sz w:val="24"/>
          <w:szCs w:val="24"/>
        </w:rPr>
      </w:pPr>
      <w:bookmarkStart w:id="0" w:name="_Toc275961391"/>
      <w:r>
        <w:rPr>
          <w:rFonts w:ascii="Times New Roman" w:hAnsi="Times New Roman" w:eastAsiaTheme="minorEastAsia"/>
          <w:bCs w:val="0"/>
          <w:color w:val="000000"/>
          <w:sz w:val="24"/>
          <w:szCs w:val="24"/>
        </w:rPr>
        <w:t>1 公告基本信息</w:t>
      </w:r>
      <w:bookmarkEnd w:id="0"/>
    </w:p>
    <w:tbl>
      <w:tblPr>
        <w:tblStyle w:val="10"/>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059"/>
        <w:gridCol w:w="2914"/>
      </w:tblGrid>
      <w:tr w14:paraId="518E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0B443763">
            <w:pPr>
              <w:spacing w:line="560" w:lineRule="exact"/>
              <w:rPr>
                <w:rFonts w:eastAsiaTheme="minorEastAsia"/>
                <w:color w:val="000000"/>
                <w:sz w:val="24"/>
                <w:szCs w:val="24"/>
              </w:rPr>
            </w:pPr>
            <w:r>
              <w:rPr>
                <w:rFonts w:eastAsiaTheme="minorEastAsia"/>
                <w:color w:val="000000"/>
                <w:sz w:val="24"/>
                <w:szCs w:val="24"/>
              </w:rPr>
              <w:t>基金名称</w:t>
            </w:r>
          </w:p>
        </w:tc>
        <w:tc>
          <w:tcPr>
            <w:tcW w:w="3310" w:type="pct"/>
            <w:gridSpan w:val="2"/>
            <w:vAlign w:val="center"/>
          </w:tcPr>
          <w:p w14:paraId="57502FA5">
            <w:pPr>
              <w:rPr>
                <w:rFonts w:hint="eastAsia" w:eastAsiaTheme="minorEastAsia"/>
                <w:sz w:val="24"/>
                <w:szCs w:val="24"/>
                <w:lang w:eastAsia="zh-CN"/>
              </w:rPr>
            </w:pPr>
            <w:r>
              <w:rPr>
                <w:rFonts w:hint="eastAsia" w:eastAsiaTheme="minorEastAsia"/>
                <w:sz w:val="24"/>
                <w:szCs w:val="24"/>
                <w:lang w:eastAsia="zh-CN"/>
              </w:rPr>
              <w:t>交银施罗德佳宁债券型证券投资基金</w:t>
            </w:r>
          </w:p>
        </w:tc>
      </w:tr>
      <w:tr w14:paraId="2DAA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7FB109D8">
            <w:pPr>
              <w:spacing w:line="560" w:lineRule="exact"/>
              <w:rPr>
                <w:rFonts w:eastAsiaTheme="minorEastAsia"/>
                <w:color w:val="000000"/>
                <w:sz w:val="24"/>
                <w:szCs w:val="24"/>
              </w:rPr>
            </w:pPr>
            <w:r>
              <w:rPr>
                <w:rFonts w:eastAsiaTheme="minorEastAsia"/>
                <w:color w:val="000000"/>
                <w:sz w:val="24"/>
                <w:szCs w:val="24"/>
              </w:rPr>
              <w:t>基金简称</w:t>
            </w:r>
          </w:p>
        </w:tc>
        <w:tc>
          <w:tcPr>
            <w:tcW w:w="3310" w:type="pct"/>
            <w:gridSpan w:val="2"/>
            <w:vAlign w:val="center"/>
          </w:tcPr>
          <w:p w14:paraId="349D16AE">
            <w:pPr>
              <w:rPr>
                <w:rFonts w:hint="default" w:eastAsiaTheme="minorEastAsia"/>
                <w:sz w:val="24"/>
                <w:szCs w:val="24"/>
                <w:lang w:val="en-US" w:eastAsia="zh-CN"/>
              </w:rPr>
            </w:pPr>
            <w:r>
              <w:rPr>
                <w:rFonts w:hint="eastAsia" w:eastAsiaTheme="minorEastAsia"/>
                <w:sz w:val="24"/>
                <w:szCs w:val="24"/>
              </w:rPr>
              <w:t>交银</w:t>
            </w:r>
            <w:r>
              <w:rPr>
                <w:rFonts w:hint="eastAsia" w:eastAsiaTheme="minorEastAsia"/>
                <w:sz w:val="24"/>
                <w:szCs w:val="24"/>
                <w:lang w:val="en-US" w:eastAsia="zh-CN"/>
              </w:rPr>
              <w:t>佳宁债券</w:t>
            </w:r>
          </w:p>
        </w:tc>
      </w:tr>
      <w:tr w14:paraId="5FFF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6C0313C3">
            <w:pPr>
              <w:spacing w:line="560" w:lineRule="exact"/>
              <w:rPr>
                <w:rFonts w:eastAsiaTheme="minorEastAsia"/>
                <w:color w:val="000000"/>
                <w:sz w:val="24"/>
                <w:szCs w:val="24"/>
              </w:rPr>
            </w:pPr>
            <w:r>
              <w:rPr>
                <w:rFonts w:eastAsiaTheme="minorEastAsia"/>
                <w:color w:val="000000"/>
                <w:sz w:val="24"/>
                <w:szCs w:val="24"/>
              </w:rPr>
              <w:t>基金主代码</w:t>
            </w:r>
          </w:p>
        </w:tc>
        <w:tc>
          <w:tcPr>
            <w:tcW w:w="3310" w:type="pct"/>
            <w:gridSpan w:val="2"/>
            <w:vAlign w:val="center"/>
          </w:tcPr>
          <w:p w14:paraId="2D9E0BE4">
            <w:pPr>
              <w:rPr>
                <w:rFonts w:eastAsiaTheme="minorEastAsia"/>
                <w:sz w:val="24"/>
                <w:szCs w:val="24"/>
              </w:rPr>
            </w:pPr>
            <w:r>
              <w:rPr>
                <w:rFonts w:hint="eastAsia" w:eastAsiaTheme="minorEastAsia"/>
                <w:sz w:val="24"/>
                <w:szCs w:val="24"/>
              </w:rPr>
              <w:t>027457</w:t>
            </w:r>
          </w:p>
        </w:tc>
      </w:tr>
      <w:tr w14:paraId="6B18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3AD7B22F">
            <w:pPr>
              <w:spacing w:line="560" w:lineRule="exact"/>
              <w:rPr>
                <w:rFonts w:eastAsiaTheme="minorEastAsia"/>
                <w:color w:val="000000"/>
                <w:sz w:val="24"/>
                <w:szCs w:val="24"/>
              </w:rPr>
            </w:pPr>
            <w:r>
              <w:rPr>
                <w:rFonts w:eastAsiaTheme="minorEastAsia"/>
                <w:color w:val="000000"/>
                <w:sz w:val="24"/>
                <w:szCs w:val="24"/>
              </w:rPr>
              <w:t>基金运作方式</w:t>
            </w:r>
          </w:p>
        </w:tc>
        <w:tc>
          <w:tcPr>
            <w:tcW w:w="3310" w:type="pct"/>
            <w:gridSpan w:val="2"/>
            <w:vAlign w:val="center"/>
          </w:tcPr>
          <w:p w14:paraId="0C8E1DE9">
            <w:pPr>
              <w:rPr>
                <w:rFonts w:eastAsiaTheme="minorEastAsia"/>
                <w:sz w:val="24"/>
                <w:szCs w:val="24"/>
              </w:rPr>
            </w:pPr>
            <w:r>
              <w:rPr>
                <w:rFonts w:eastAsiaTheme="minorEastAsia"/>
                <w:sz w:val="24"/>
                <w:szCs w:val="24"/>
              </w:rPr>
              <w:t>契约型</w:t>
            </w:r>
            <w:r>
              <w:rPr>
                <w:rFonts w:hint="eastAsia" w:eastAsiaTheme="minorEastAsia"/>
                <w:sz w:val="24"/>
                <w:szCs w:val="24"/>
              </w:rPr>
              <w:t>开放式</w:t>
            </w:r>
          </w:p>
        </w:tc>
      </w:tr>
      <w:tr w14:paraId="2176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70A154A9">
            <w:pPr>
              <w:spacing w:line="560" w:lineRule="exact"/>
              <w:rPr>
                <w:rFonts w:eastAsiaTheme="minorEastAsia"/>
                <w:color w:val="000000"/>
                <w:sz w:val="24"/>
                <w:szCs w:val="24"/>
              </w:rPr>
            </w:pPr>
            <w:r>
              <w:rPr>
                <w:rFonts w:eastAsiaTheme="minorEastAsia"/>
                <w:color w:val="000000"/>
                <w:sz w:val="24"/>
                <w:szCs w:val="24"/>
              </w:rPr>
              <w:t>基金合同生效日</w:t>
            </w:r>
          </w:p>
        </w:tc>
        <w:tc>
          <w:tcPr>
            <w:tcW w:w="3310" w:type="pct"/>
            <w:gridSpan w:val="2"/>
            <w:vAlign w:val="center"/>
          </w:tcPr>
          <w:p w14:paraId="733DD8B8">
            <w:pPr>
              <w:rPr>
                <w:rFonts w:eastAsiaTheme="minorEastAsia"/>
                <w:sz w:val="24"/>
                <w:szCs w:val="24"/>
              </w:rPr>
            </w:pPr>
            <w:r>
              <w:rPr>
                <w:rFonts w:hint="eastAsia" w:eastAsiaTheme="minorEastAsia"/>
                <w:sz w:val="24"/>
                <w:szCs w:val="24"/>
              </w:rPr>
              <w:t>2026年</w:t>
            </w:r>
            <w:r>
              <w:rPr>
                <w:rFonts w:hint="eastAsia" w:eastAsiaTheme="minorEastAsia"/>
                <w:sz w:val="24"/>
                <w:szCs w:val="24"/>
                <w:lang w:val="en-US" w:eastAsia="zh-CN"/>
              </w:rPr>
              <w:t>7</w:t>
            </w:r>
            <w:r>
              <w:rPr>
                <w:rFonts w:hint="eastAsia" w:eastAsiaTheme="minorEastAsia"/>
                <w:sz w:val="24"/>
                <w:szCs w:val="24"/>
              </w:rPr>
              <w:t>月</w:t>
            </w:r>
            <w:r>
              <w:rPr>
                <w:rFonts w:hint="eastAsia" w:eastAsiaTheme="minorEastAsia"/>
                <w:sz w:val="24"/>
                <w:szCs w:val="24"/>
                <w:lang w:val="en-US" w:eastAsia="zh-CN"/>
              </w:rPr>
              <w:t>21</w:t>
            </w:r>
            <w:r>
              <w:rPr>
                <w:rFonts w:hint="eastAsia" w:eastAsiaTheme="minorEastAsia"/>
                <w:sz w:val="24"/>
                <w:szCs w:val="24"/>
              </w:rPr>
              <w:t>日</w:t>
            </w:r>
          </w:p>
        </w:tc>
      </w:tr>
      <w:tr w14:paraId="3CAE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6937CB74">
            <w:pPr>
              <w:spacing w:line="560" w:lineRule="exact"/>
              <w:rPr>
                <w:rFonts w:eastAsiaTheme="minorEastAsia"/>
                <w:color w:val="000000"/>
                <w:sz w:val="24"/>
                <w:szCs w:val="24"/>
              </w:rPr>
            </w:pPr>
            <w:r>
              <w:rPr>
                <w:rFonts w:eastAsiaTheme="minorEastAsia"/>
                <w:color w:val="000000"/>
                <w:sz w:val="24"/>
                <w:szCs w:val="24"/>
              </w:rPr>
              <w:t>基金管理人名称</w:t>
            </w:r>
          </w:p>
        </w:tc>
        <w:tc>
          <w:tcPr>
            <w:tcW w:w="3310" w:type="pct"/>
            <w:gridSpan w:val="2"/>
            <w:vAlign w:val="center"/>
          </w:tcPr>
          <w:p w14:paraId="44E1F016">
            <w:pPr>
              <w:rPr>
                <w:rFonts w:eastAsiaTheme="minorEastAsia"/>
                <w:sz w:val="24"/>
                <w:szCs w:val="24"/>
              </w:rPr>
            </w:pPr>
            <w:r>
              <w:rPr>
                <w:rFonts w:eastAsiaTheme="minorEastAsia"/>
                <w:sz w:val="24"/>
                <w:szCs w:val="24"/>
              </w:rPr>
              <w:t>交银施罗德基金管理有限公司</w:t>
            </w:r>
          </w:p>
        </w:tc>
      </w:tr>
      <w:tr w14:paraId="552A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4822CFD3">
            <w:pPr>
              <w:spacing w:line="560" w:lineRule="exact"/>
              <w:rPr>
                <w:rFonts w:eastAsiaTheme="minorEastAsia"/>
                <w:color w:val="000000"/>
                <w:sz w:val="24"/>
                <w:szCs w:val="24"/>
              </w:rPr>
            </w:pPr>
            <w:r>
              <w:rPr>
                <w:rFonts w:eastAsiaTheme="minorEastAsia"/>
                <w:color w:val="000000"/>
                <w:sz w:val="24"/>
                <w:szCs w:val="24"/>
              </w:rPr>
              <w:t>基金托管人名称</w:t>
            </w:r>
          </w:p>
        </w:tc>
        <w:tc>
          <w:tcPr>
            <w:tcW w:w="3310" w:type="pct"/>
            <w:gridSpan w:val="2"/>
            <w:vAlign w:val="center"/>
          </w:tcPr>
          <w:p w14:paraId="36D32681">
            <w:pPr>
              <w:rPr>
                <w:rFonts w:eastAsiaTheme="minorEastAsia"/>
                <w:sz w:val="24"/>
                <w:szCs w:val="24"/>
              </w:rPr>
            </w:pPr>
            <w:r>
              <w:rPr>
                <w:rFonts w:hint="eastAsia" w:eastAsiaTheme="minorEastAsia"/>
                <w:sz w:val="24"/>
                <w:szCs w:val="24"/>
                <w:lang w:val="en-US" w:eastAsia="zh-CN"/>
              </w:rPr>
              <w:t>中信</w:t>
            </w:r>
            <w:r>
              <w:rPr>
                <w:rFonts w:hint="eastAsia" w:eastAsiaTheme="minorEastAsia"/>
                <w:sz w:val="24"/>
                <w:szCs w:val="24"/>
              </w:rPr>
              <w:t>银行股份有限公司</w:t>
            </w:r>
          </w:p>
        </w:tc>
      </w:tr>
      <w:tr w14:paraId="71CC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258B15CF">
            <w:pPr>
              <w:spacing w:line="560" w:lineRule="exact"/>
              <w:rPr>
                <w:rFonts w:eastAsiaTheme="minorEastAsia"/>
                <w:color w:val="000000"/>
                <w:sz w:val="24"/>
                <w:szCs w:val="24"/>
              </w:rPr>
            </w:pPr>
            <w:r>
              <w:rPr>
                <w:rFonts w:eastAsiaTheme="minorEastAsia"/>
                <w:color w:val="000000"/>
                <w:sz w:val="24"/>
                <w:szCs w:val="24"/>
              </w:rPr>
              <w:t>公告依据</w:t>
            </w:r>
          </w:p>
        </w:tc>
        <w:tc>
          <w:tcPr>
            <w:tcW w:w="3310" w:type="pct"/>
            <w:gridSpan w:val="2"/>
            <w:vAlign w:val="center"/>
          </w:tcPr>
          <w:p w14:paraId="41CE04F3">
            <w:pPr>
              <w:rPr>
                <w:rFonts w:eastAsiaTheme="minorEastAsia"/>
                <w:sz w:val="24"/>
                <w:szCs w:val="24"/>
              </w:rPr>
            </w:pPr>
            <w:r>
              <w:rPr>
                <w:rFonts w:eastAsiaTheme="minorEastAsia"/>
                <w:sz w:val="24"/>
                <w:szCs w:val="24"/>
              </w:rPr>
              <w:t>《</w:t>
            </w:r>
            <w:r>
              <w:rPr>
                <w:rFonts w:hint="eastAsia" w:eastAsiaTheme="minorEastAsia"/>
                <w:sz w:val="24"/>
                <w:szCs w:val="24"/>
                <w:lang w:eastAsia="zh-CN"/>
              </w:rPr>
              <w:t>交银施罗德佳宁债券型证券投资基金</w:t>
            </w:r>
            <w:r>
              <w:rPr>
                <w:rFonts w:eastAsiaTheme="minorEastAsia"/>
                <w:sz w:val="24"/>
                <w:szCs w:val="24"/>
              </w:rPr>
              <w:t>基金合同》、《</w:t>
            </w:r>
            <w:r>
              <w:rPr>
                <w:rFonts w:hint="eastAsia" w:eastAsiaTheme="minorEastAsia"/>
                <w:sz w:val="24"/>
                <w:szCs w:val="24"/>
                <w:lang w:eastAsia="zh-CN"/>
              </w:rPr>
              <w:t>交银施罗德佳宁债券型证券投资基金</w:t>
            </w:r>
            <w:r>
              <w:rPr>
                <w:rFonts w:eastAsiaTheme="minorEastAsia"/>
                <w:sz w:val="24"/>
                <w:szCs w:val="24"/>
              </w:rPr>
              <w:t>招募说明书》等</w:t>
            </w:r>
          </w:p>
        </w:tc>
      </w:tr>
      <w:tr w14:paraId="712E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tcPr>
          <w:p w14:paraId="428A3B49">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下属分级基金的基金简称</w:t>
            </w:r>
          </w:p>
        </w:tc>
        <w:tc>
          <w:tcPr>
            <w:tcW w:w="1695" w:type="pct"/>
            <w:vAlign w:val="center"/>
          </w:tcPr>
          <w:p w14:paraId="6E1D89C3">
            <w:pPr>
              <w:rPr>
                <w:rFonts w:eastAsiaTheme="minorEastAsia"/>
                <w:sz w:val="24"/>
                <w:szCs w:val="24"/>
              </w:rPr>
            </w:pPr>
            <w:r>
              <w:rPr>
                <w:rFonts w:hint="eastAsia" w:eastAsiaTheme="minorEastAsia"/>
                <w:sz w:val="24"/>
                <w:szCs w:val="24"/>
              </w:rPr>
              <w:t>交银佳宁债券A</w:t>
            </w:r>
          </w:p>
        </w:tc>
        <w:tc>
          <w:tcPr>
            <w:tcW w:w="1615" w:type="pct"/>
            <w:vAlign w:val="center"/>
          </w:tcPr>
          <w:p w14:paraId="4A065862">
            <w:pPr>
              <w:rPr>
                <w:rFonts w:eastAsiaTheme="minorEastAsia"/>
                <w:sz w:val="24"/>
                <w:szCs w:val="24"/>
              </w:rPr>
            </w:pPr>
            <w:r>
              <w:rPr>
                <w:rFonts w:hint="eastAsia" w:hAnsi="Times New Roman" w:eastAsiaTheme="minorEastAsia"/>
                <w:sz w:val="24"/>
                <w:szCs w:val="24"/>
                <w:lang w:val="en-US" w:eastAsia="zh-CN"/>
              </w:rPr>
              <w:t>交银佳宁债券C</w:t>
            </w:r>
          </w:p>
        </w:tc>
      </w:tr>
      <w:tr w14:paraId="091B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0" w:type="pct"/>
            <w:vAlign w:val="center"/>
          </w:tcPr>
          <w:p w14:paraId="268E5878">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下属分级基金的交易代码</w:t>
            </w:r>
          </w:p>
        </w:tc>
        <w:tc>
          <w:tcPr>
            <w:tcW w:w="1695" w:type="pct"/>
            <w:vAlign w:val="center"/>
          </w:tcPr>
          <w:p w14:paraId="4CBF5C08">
            <w:pPr>
              <w:rPr>
                <w:rFonts w:eastAsiaTheme="minorEastAsia"/>
                <w:sz w:val="24"/>
                <w:szCs w:val="24"/>
              </w:rPr>
            </w:pPr>
            <w:r>
              <w:rPr>
                <w:rFonts w:hint="eastAsia" w:hAnsi="宋体"/>
                <w:sz w:val="24"/>
                <w:lang w:bidi="ar"/>
              </w:rPr>
              <w:t>027457</w:t>
            </w:r>
          </w:p>
        </w:tc>
        <w:tc>
          <w:tcPr>
            <w:tcW w:w="1615" w:type="pct"/>
            <w:vAlign w:val="center"/>
          </w:tcPr>
          <w:p w14:paraId="380D6669">
            <w:pPr>
              <w:rPr>
                <w:rFonts w:eastAsiaTheme="minorEastAsia"/>
                <w:sz w:val="24"/>
                <w:szCs w:val="24"/>
              </w:rPr>
            </w:pPr>
            <w:r>
              <w:rPr>
                <w:rFonts w:hint="eastAsia" w:eastAsiaTheme="minorEastAsia"/>
                <w:sz w:val="24"/>
                <w:szCs w:val="24"/>
              </w:rPr>
              <w:t>027458</w:t>
            </w:r>
          </w:p>
        </w:tc>
      </w:tr>
    </w:tbl>
    <w:p w14:paraId="6809D7DB">
      <w:pPr>
        <w:pStyle w:val="2"/>
        <w:spacing w:line="530" w:lineRule="exact"/>
        <w:rPr>
          <w:rFonts w:ascii="Times New Roman" w:hAnsi="Times New Roman" w:eastAsiaTheme="minorEastAsia"/>
          <w:bCs w:val="0"/>
          <w:color w:val="000000"/>
          <w:sz w:val="24"/>
          <w:szCs w:val="24"/>
        </w:rPr>
      </w:pPr>
      <w:bookmarkStart w:id="1" w:name="_Toc275961392"/>
      <w:r>
        <w:rPr>
          <w:rFonts w:ascii="Times New Roman" w:hAnsi="Times New Roman" w:eastAsiaTheme="minorEastAsia"/>
          <w:bCs w:val="0"/>
          <w:color w:val="000000"/>
          <w:sz w:val="24"/>
          <w:szCs w:val="24"/>
        </w:rPr>
        <w:t>2 基金募集情况</w:t>
      </w:r>
      <w:bookmarkEnd w:id="1"/>
    </w:p>
    <w:tbl>
      <w:tblPr>
        <w:tblStyle w:val="10"/>
        <w:tblpPr w:leftFromText="180" w:rightFromText="180" w:vertAnchor="text" w:tblpXSpec="center" w:tblpY="1"/>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60"/>
        <w:gridCol w:w="1938"/>
        <w:gridCol w:w="1800"/>
        <w:gridCol w:w="2018"/>
      </w:tblGrid>
      <w:tr w14:paraId="5B48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3315" w:type="dxa"/>
            <w:gridSpan w:val="2"/>
          </w:tcPr>
          <w:p w14:paraId="70E3E12B">
            <w:pPr>
              <w:jc w:val="left"/>
              <w:rPr>
                <w:rFonts w:eastAsiaTheme="minorEastAsia"/>
                <w:color w:val="000000"/>
                <w:sz w:val="24"/>
                <w:szCs w:val="24"/>
              </w:rPr>
            </w:pPr>
            <w:r>
              <w:rPr>
                <w:rFonts w:eastAsiaTheme="minorEastAsia"/>
                <w:color w:val="000000"/>
                <w:sz w:val="24"/>
                <w:szCs w:val="24"/>
              </w:rPr>
              <w:t>基金募集申请获中国证监会</w:t>
            </w:r>
            <w:r>
              <w:rPr>
                <w:rFonts w:hint="eastAsia" w:eastAsiaTheme="minorEastAsia"/>
                <w:color w:val="000000"/>
                <w:sz w:val="24"/>
                <w:szCs w:val="24"/>
              </w:rPr>
              <w:t>准予注册</w:t>
            </w:r>
            <w:r>
              <w:rPr>
                <w:rFonts w:eastAsiaTheme="minorEastAsia"/>
                <w:color w:val="000000"/>
                <w:sz w:val="24"/>
                <w:szCs w:val="24"/>
              </w:rPr>
              <w:t>的文号</w:t>
            </w:r>
          </w:p>
        </w:tc>
        <w:tc>
          <w:tcPr>
            <w:tcW w:w="5756" w:type="dxa"/>
            <w:gridSpan w:val="3"/>
            <w:vAlign w:val="center"/>
          </w:tcPr>
          <w:p w14:paraId="001C5645">
            <w:pPr>
              <w:rPr>
                <w:rFonts w:eastAsiaTheme="minorEastAsia"/>
                <w:sz w:val="24"/>
                <w:szCs w:val="24"/>
              </w:rPr>
            </w:pPr>
            <w:r>
              <w:rPr>
                <w:rFonts w:hint="eastAsia" w:eastAsiaTheme="minorEastAsia"/>
                <w:sz w:val="24"/>
                <w:szCs w:val="24"/>
              </w:rPr>
              <w:t>证监许可【202</w:t>
            </w:r>
            <w:r>
              <w:rPr>
                <w:rFonts w:hint="eastAsia" w:eastAsiaTheme="minorEastAsia"/>
                <w:sz w:val="24"/>
                <w:szCs w:val="24"/>
                <w:lang w:val="en-US" w:eastAsia="zh-CN"/>
              </w:rPr>
              <w:t>6</w:t>
            </w:r>
            <w:r>
              <w:rPr>
                <w:rFonts w:hint="eastAsia" w:eastAsiaTheme="minorEastAsia"/>
                <w:sz w:val="24"/>
                <w:szCs w:val="24"/>
              </w:rPr>
              <w:t>】</w:t>
            </w:r>
            <w:r>
              <w:rPr>
                <w:rFonts w:hint="eastAsia" w:eastAsiaTheme="minorEastAsia"/>
                <w:sz w:val="24"/>
                <w:szCs w:val="24"/>
                <w:lang w:val="en-US" w:eastAsia="zh-CN"/>
              </w:rPr>
              <w:t>963</w:t>
            </w:r>
            <w:r>
              <w:rPr>
                <w:rFonts w:hint="eastAsia" w:eastAsiaTheme="minorEastAsia"/>
                <w:sz w:val="24"/>
                <w:szCs w:val="24"/>
              </w:rPr>
              <w:t>号</w:t>
            </w:r>
          </w:p>
        </w:tc>
      </w:tr>
      <w:tr w14:paraId="5BB5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14:paraId="2EA0A07A">
            <w:pPr>
              <w:spacing w:line="530" w:lineRule="exact"/>
              <w:rPr>
                <w:rFonts w:eastAsiaTheme="minorEastAsia"/>
                <w:color w:val="000000"/>
                <w:sz w:val="24"/>
                <w:szCs w:val="24"/>
              </w:rPr>
            </w:pPr>
            <w:r>
              <w:rPr>
                <w:rFonts w:eastAsiaTheme="minorEastAsia"/>
                <w:color w:val="000000"/>
                <w:sz w:val="24"/>
                <w:szCs w:val="24"/>
              </w:rPr>
              <w:t>基金募集期间</w:t>
            </w:r>
          </w:p>
        </w:tc>
        <w:tc>
          <w:tcPr>
            <w:tcW w:w="5756" w:type="dxa"/>
            <w:gridSpan w:val="3"/>
            <w:vAlign w:val="center"/>
          </w:tcPr>
          <w:p w14:paraId="2407CA56">
            <w:pPr>
              <w:rPr>
                <w:rFonts w:eastAsiaTheme="minorEastAsia"/>
                <w:sz w:val="24"/>
                <w:szCs w:val="24"/>
              </w:rPr>
            </w:pPr>
            <w:r>
              <w:rPr>
                <w:rFonts w:hint="eastAsia" w:eastAsiaTheme="minorEastAsia"/>
                <w:sz w:val="24"/>
                <w:szCs w:val="24"/>
              </w:rPr>
              <w:t>自2026年</w:t>
            </w:r>
            <w:r>
              <w:rPr>
                <w:rFonts w:hint="eastAsia" w:eastAsiaTheme="minorEastAsia"/>
                <w:sz w:val="24"/>
                <w:szCs w:val="24"/>
                <w:lang w:val="en-US" w:eastAsia="zh-CN"/>
              </w:rPr>
              <w:t>7</w:t>
            </w:r>
            <w:r>
              <w:rPr>
                <w:rFonts w:hint="eastAsia" w:eastAsiaTheme="minorEastAsia"/>
                <w:sz w:val="24"/>
                <w:szCs w:val="24"/>
              </w:rPr>
              <w:t>月</w:t>
            </w:r>
            <w:r>
              <w:rPr>
                <w:rFonts w:hint="eastAsia" w:eastAsiaTheme="minorEastAsia"/>
                <w:sz w:val="24"/>
                <w:szCs w:val="24"/>
                <w:lang w:val="en-US" w:eastAsia="zh-CN"/>
              </w:rPr>
              <w:t>6</w:t>
            </w:r>
            <w:r>
              <w:rPr>
                <w:rFonts w:hint="eastAsia" w:eastAsiaTheme="minorEastAsia"/>
                <w:sz w:val="24"/>
                <w:szCs w:val="24"/>
              </w:rPr>
              <w:t>日</w:t>
            </w:r>
          </w:p>
          <w:p w14:paraId="5AE0FD6E">
            <w:pPr>
              <w:rPr>
                <w:rFonts w:eastAsiaTheme="minorEastAsia"/>
                <w:sz w:val="24"/>
                <w:szCs w:val="24"/>
              </w:rPr>
            </w:pPr>
            <w:r>
              <w:rPr>
                <w:rFonts w:hint="eastAsia" w:eastAsiaTheme="minorEastAsia"/>
                <w:sz w:val="24"/>
                <w:szCs w:val="24"/>
              </w:rPr>
              <w:t>至2026年</w:t>
            </w:r>
            <w:r>
              <w:rPr>
                <w:rFonts w:hint="eastAsia" w:eastAsiaTheme="minorEastAsia"/>
                <w:sz w:val="24"/>
                <w:szCs w:val="24"/>
                <w:lang w:val="en-US" w:eastAsia="zh-CN"/>
              </w:rPr>
              <w:t>7</w:t>
            </w:r>
            <w:r>
              <w:rPr>
                <w:rFonts w:hint="eastAsia" w:eastAsiaTheme="minorEastAsia"/>
                <w:sz w:val="24"/>
                <w:szCs w:val="24"/>
              </w:rPr>
              <w:t>月</w:t>
            </w:r>
            <w:r>
              <w:rPr>
                <w:rFonts w:hint="eastAsia" w:eastAsiaTheme="minorEastAsia"/>
                <w:sz w:val="24"/>
                <w:szCs w:val="24"/>
                <w:lang w:val="en-US" w:eastAsia="zh-CN"/>
              </w:rPr>
              <w:t>17</w:t>
            </w:r>
            <w:r>
              <w:rPr>
                <w:rFonts w:hint="eastAsia" w:eastAsiaTheme="minorEastAsia"/>
                <w:sz w:val="24"/>
                <w:szCs w:val="24"/>
              </w:rPr>
              <w:t>日</w:t>
            </w:r>
            <w:r>
              <w:rPr>
                <w:rFonts w:eastAsiaTheme="minorEastAsia"/>
                <w:sz w:val="24"/>
                <w:szCs w:val="24"/>
              </w:rPr>
              <w:t>止</w:t>
            </w:r>
          </w:p>
        </w:tc>
      </w:tr>
      <w:tr w14:paraId="642B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14:paraId="21E651F8">
            <w:pPr>
              <w:spacing w:line="530" w:lineRule="exact"/>
              <w:rPr>
                <w:rFonts w:eastAsiaTheme="minorEastAsia"/>
                <w:color w:val="000000"/>
                <w:sz w:val="24"/>
                <w:szCs w:val="24"/>
              </w:rPr>
            </w:pPr>
            <w:r>
              <w:rPr>
                <w:rFonts w:eastAsiaTheme="minorEastAsia"/>
                <w:color w:val="000000"/>
                <w:sz w:val="24"/>
                <w:szCs w:val="24"/>
              </w:rPr>
              <w:t>验资机构名称</w:t>
            </w:r>
          </w:p>
        </w:tc>
        <w:tc>
          <w:tcPr>
            <w:tcW w:w="5756" w:type="dxa"/>
            <w:gridSpan w:val="3"/>
            <w:vAlign w:val="center"/>
          </w:tcPr>
          <w:p w14:paraId="64E3A539">
            <w:pPr>
              <w:rPr>
                <w:rFonts w:eastAsiaTheme="minorEastAsia"/>
                <w:sz w:val="24"/>
                <w:szCs w:val="24"/>
              </w:rPr>
            </w:pPr>
            <w:r>
              <w:rPr>
                <w:rFonts w:hint="eastAsia" w:eastAsiaTheme="minorEastAsia"/>
                <w:sz w:val="24"/>
                <w:szCs w:val="24"/>
              </w:rPr>
              <w:t>德勤华永会计师事务所（特殊普通合伙）</w:t>
            </w:r>
          </w:p>
        </w:tc>
      </w:tr>
      <w:tr w14:paraId="2DA9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315" w:type="dxa"/>
            <w:gridSpan w:val="2"/>
            <w:vAlign w:val="center"/>
          </w:tcPr>
          <w:p w14:paraId="41FC3BFE">
            <w:pPr>
              <w:rPr>
                <w:rFonts w:eastAsiaTheme="minorEastAsia"/>
                <w:color w:val="000000"/>
                <w:sz w:val="24"/>
                <w:szCs w:val="24"/>
              </w:rPr>
            </w:pPr>
            <w:r>
              <w:rPr>
                <w:rFonts w:hint="eastAsia" w:eastAsiaTheme="minorEastAsia"/>
                <w:color w:val="000000"/>
                <w:sz w:val="24"/>
                <w:szCs w:val="24"/>
              </w:rPr>
              <w:t>募集资金划入基金托管专户的日期</w:t>
            </w:r>
          </w:p>
        </w:tc>
        <w:tc>
          <w:tcPr>
            <w:tcW w:w="5756" w:type="dxa"/>
            <w:gridSpan w:val="3"/>
            <w:vAlign w:val="center"/>
          </w:tcPr>
          <w:p w14:paraId="34C91C9C">
            <w:pPr>
              <w:jc w:val="left"/>
              <w:rPr>
                <w:rFonts w:eastAsiaTheme="minorEastAsia"/>
                <w:sz w:val="24"/>
                <w:szCs w:val="24"/>
              </w:rPr>
            </w:pPr>
            <w:r>
              <w:rPr>
                <w:rFonts w:hint="eastAsia" w:eastAsiaTheme="minorEastAsia"/>
                <w:sz w:val="24"/>
                <w:szCs w:val="24"/>
              </w:rPr>
              <w:t>2026年</w:t>
            </w:r>
            <w:r>
              <w:rPr>
                <w:rFonts w:hint="eastAsia" w:eastAsiaTheme="minorEastAsia"/>
                <w:sz w:val="24"/>
                <w:szCs w:val="24"/>
                <w:lang w:val="en-US" w:eastAsia="zh-CN"/>
              </w:rPr>
              <w:t>7</w:t>
            </w:r>
            <w:r>
              <w:rPr>
                <w:rFonts w:hint="eastAsia" w:eastAsiaTheme="minorEastAsia"/>
                <w:sz w:val="24"/>
                <w:szCs w:val="24"/>
              </w:rPr>
              <w:t>月</w:t>
            </w:r>
            <w:r>
              <w:rPr>
                <w:rFonts w:hint="eastAsia" w:eastAsiaTheme="minorEastAsia"/>
                <w:sz w:val="24"/>
                <w:szCs w:val="24"/>
                <w:lang w:val="en-US" w:eastAsia="zh-CN"/>
              </w:rPr>
              <w:t>21</w:t>
            </w:r>
            <w:r>
              <w:rPr>
                <w:rFonts w:hint="eastAsia" w:eastAsiaTheme="minorEastAsia"/>
                <w:sz w:val="24"/>
                <w:szCs w:val="24"/>
              </w:rPr>
              <w:t>日</w:t>
            </w:r>
          </w:p>
        </w:tc>
      </w:tr>
      <w:tr w14:paraId="420C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3315" w:type="dxa"/>
            <w:gridSpan w:val="2"/>
            <w:vAlign w:val="center"/>
          </w:tcPr>
          <w:p w14:paraId="7575567D">
            <w:pPr>
              <w:rPr>
                <w:rFonts w:eastAsiaTheme="minorEastAsia"/>
                <w:color w:val="000000"/>
                <w:sz w:val="24"/>
                <w:szCs w:val="24"/>
              </w:rPr>
            </w:pPr>
            <w:r>
              <w:rPr>
                <w:rFonts w:hint="eastAsia" w:eastAsiaTheme="minorEastAsia"/>
                <w:color w:val="000000"/>
                <w:sz w:val="24"/>
                <w:szCs w:val="24"/>
              </w:rPr>
              <w:t>募集有效认购总户数（单位：</w:t>
            </w:r>
            <w:r>
              <w:rPr>
                <w:rFonts w:hint="eastAsia" w:eastAsiaTheme="minorEastAsia"/>
                <w:color w:val="000000"/>
                <w:kern w:val="0"/>
                <w:sz w:val="24"/>
                <w:szCs w:val="24"/>
              </w:rPr>
              <w:t>户</w:t>
            </w:r>
            <w:r>
              <w:rPr>
                <w:rFonts w:hint="eastAsia" w:eastAsiaTheme="minorEastAsia"/>
                <w:color w:val="000000"/>
                <w:sz w:val="24"/>
                <w:szCs w:val="24"/>
              </w:rPr>
              <w:t>）</w:t>
            </w:r>
          </w:p>
        </w:tc>
        <w:tc>
          <w:tcPr>
            <w:tcW w:w="5756" w:type="dxa"/>
            <w:gridSpan w:val="3"/>
            <w:shd w:val="clear" w:color="auto" w:fill="auto"/>
            <w:vAlign w:val="center"/>
          </w:tcPr>
          <w:p w14:paraId="5CA6C767">
            <w:pPr>
              <w:jc w:val="left"/>
              <w:rPr>
                <w:rFonts w:eastAsiaTheme="minorEastAsia"/>
                <w:sz w:val="24"/>
                <w:szCs w:val="24"/>
              </w:rPr>
            </w:pPr>
            <w:r>
              <w:rPr>
                <w:rFonts w:hint="eastAsia" w:eastAsiaTheme="minorEastAsia"/>
                <w:sz w:val="24"/>
                <w:szCs w:val="24"/>
                <w:lang w:val="en-US" w:eastAsia="zh-CN"/>
              </w:rPr>
              <w:t>1,813</w:t>
            </w:r>
          </w:p>
        </w:tc>
      </w:tr>
      <w:tr w14:paraId="293C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14:paraId="13119743">
            <w:pPr>
              <w:spacing w:line="530" w:lineRule="exact"/>
              <w:rPr>
                <w:rFonts w:eastAsiaTheme="minorEastAsia"/>
                <w:color w:val="000000"/>
                <w:sz w:val="24"/>
                <w:szCs w:val="24"/>
              </w:rPr>
            </w:pPr>
            <w:r>
              <w:rPr>
                <w:rFonts w:eastAsiaTheme="minorEastAsia"/>
                <w:color w:val="000000"/>
                <w:sz w:val="24"/>
                <w:szCs w:val="24"/>
              </w:rPr>
              <w:t>份额级别</w:t>
            </w:r>
          </w:p>
        </w:tc>
        <w:tc>
          <w:tcPr>
            <w:tcW w:w="1938" w:type="dxa"/>
            <w:vAlign w:val="center"/>
          </w:tcPr>
          <w:p w14:paraId="54967F0A">
            <w:pPr>
              <w:rPr>
                <w:rFonts w:eastAsiaTheme="minorEastAsia"/>
                <w:sz w:val="24"/>
                <w:szCs w:val="24"/>
              </w:rPr>
            </w:pPr>
            <w:r>
              <w:rPr>
                <w:rFonts w:hint="eastAsia" w:eastAsiaTheme="minorEastAsia"/>
                <w:sz w:val="24"/>
                <w:szCs w:val="24"/>
              </w:rPr>
              <w:t>交银佳宁债券A</w:t>
            </w:r>
          </w:p>
        </w:tc>
        <w:tc>
          <w:tcPr>
            <w:tcW w:w="1800" w:type="dxa"/>
            <w:vAlign w:val="center"/>
          </w:tcPr>
          <w:p w14:paraId="0FA9A3C6">
            <w:pPr>
              <w:rPr>
                <w:rFonts w:eastAsiaTheme="minorEastAsia"/>
                <w:sz w:val="24"/>
                <w:szCs w:val="24"/>
              </w:rPr>
            </w:pPr>
            <w:r>
              <w:rPr>
                <w:rFonts w:hint="eastAsia" w:ascii="Times New Roman" w:hAnsi="Times New Roman" w:cs="Times New Roman" w:eastAsiaTheme="minorEastAsia"/>
                <w:sz w:val="24"/>
                <w:szCs w:val="24"/>
                <w:lang w:val="en-US" w:eastAsia="zh-CN"/>
              </w:rPr>
              <w:t>交银佳宁债券C</w:t>
            </w:r>
          </w:p>
        </w:tc>
        <w:tc>
          <w:tcPr>
            <w:tcW w:w="2018" w:type="dxa"/>
            <w:vAlign w:val="center"/>
          </w:tcPr>
          <w:p w14:paraId="2BB4084C">
            <w:pPr>
              <w:rPr>
                <w:rFonts w:eastAsiaTheme="minorEastAsia"/>
                <w:sz w:val="24"/>
                <w:szCs w:val="24"/>
              </w:rPr>
            </w:pPr>
            <w:r>
              <w:rPr>
                <w:rFonts w:hint="eastAsia" w:ascii="Times New Roman" w:hAnsi="Times New Roman" w:cs="Times New Roman" w:eastAsiaTheme="minorEastAsia"/>
                <w:sz w:val="24"/>
                <w:szCs w:val="24"/>
                <w:lang w:val="en-US" w:eastAsia="zh-CN"/>
              </w:rPr>
              <w:t>交银佳宁债券</w:t>
            </w:r>
            <w:r>
              <w:rPr>
                <w:rFonts w:eastAsiaTheme="minorEastAsia"/>
                <w:sz w:val="24"/>
                <w:szCs w:val="24"/>
              </w:rPr>
              <w:t>合计</w:t>
            </w:r>
          </w:p>
        </w:tc>
      </w:tr>
      <w:tr w14:paraId="06F6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14:paraId="3B0DDB69">
            <w:pPr>
              <w:rPr>
                <w:rFonts w:eastAsiaTheme="minorEastAsia"/>
                <w:sz w:val="24"/>
                <w:szCs w:val="24"/>
              </w:rPr>
            </w:pPr>
            <w:r>
              <w:rPr>
                <w:rFonts w:hint="eastAsia" w:eastAsiaTheme="minorEastAsia"/>
                <w:sz w:val="24"/>
                <w:szCs w:val="24"/>
              </w:rPr>
              <w:t>募集期间净认购金额（单位：元）</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69D74A41">
            <w:pPr>
              <w:widowControl/>
              <w:jc w:val="center"/>
              <w:textAlignment w:val="center"/>
              <w:rPr>
                <w:rFonts w:eastAsiaTheme="minorEastAsia"/>
                <w:sz w:val="24"/>
                <w:szCs w:val="24"/>
              </w:rPr>
            </w:pPr>
            <w:r>
              <w:rPr>
                <w:rFonts w:hint="eastAsia" w:eastAsiaTheme="minorEastAsia"/>
                <w:sz w:val="24"/>
                <w:szCs w:val="24"/>
              </w:rPr>
              <w:t>167</w:t>
            </w:r>
            <w:r>
              <w:rPr>
                <w:rFonts w:hint="eastAsia" w:eastAsiaTheme="minorEastAsia"/>
                <w:sz w:val="24"/>
                <w:szCs w:val="24"/>
                <w:lang w:val="en-US" w:eastAsia="zh-CN"/>
              </w:rPr>
              <w:t>,</w:t>
            </w:r>
            <w:r>
              <w:rPr>
                <w:rFonts w:hint="eastAsia" w:eastAsiaTheme="minorEastAsia"/>
                <w:sz w:val="24"/>
                <w:szCs w:val="24"/>
              </w:rPr>
              <w:t>559</w:t>
            </w:r>
            <w:r>
              <w:rPr>
                <w:rFonts w:hint="eastAsia" w:eastAsiaTheme="minorEastAsia"/>
                <w:sz w:val="24"/>
                <w:szCs w:val="24"/>
                <w:lang w:val="en-US" w:eastAsia="zh-CN"/>
              </w:rPr>
              <w:t>,</w:t>
            </w:r>
            <w:r>
              <w:rPr>
                <w:rFonts w:hint="eastAsia" w:eastAsiaTheme="minorEastAsia"/>
                <w:sz w:val="24"/>
                <w:szCs w:val="24"/>
              </w:rPr>
              <w:t>938.82</w:t>
            </w:r>
          </w:p>
        </w:tc>
        <w:tc>
          <w:tcPr>
            <w:tcW w:w="1800" w:type="dxa"/>
            <w:tcBorders>
              <w:top w:val="single" w:color="auto" w:sz="4" w:space="0"/>
              <w:left w:val="nil"/>
              <w:bottom w:val="single" w:color="auto" w:sz="4" w:space="0"/>
              <w:right w:val="single" w:color="auto" w:sz="4" w:space="0"/>
            </w:tcBorders>
            <w:shd w:val="clear" w:color="auto" w:fill="auto"/>
            <w:vAlign w:val="center"/>
          </w:tcPr>
          <w:p w14:paraId="5AD07182">
            <w:pPr>
              <w:widowControl/>
              <w:jc w:val="center"/>
              <w:rPr>
                <w:rFonts w:eastAsiaTheme="minorEastAsia"/>
                <w:sz w:val="24"/>
                <w:szCs w:val="24"/>
              </w:rPr>
            </w:pPr>
            <w:r>
              <w:rPr>
                <w:rFonts w:hint="eastAsia" w:eastAsiaTheme="minorEastAsia"/>
                <w:sz w:val="24"/>
                <w:szCs w:val="24"/>
              </w:rPr>
              <w:t>263</w:t>
            </w:r>
            <w:r>
              <w:rPr>
                <w:rFonts w:hint="eastAsia" w:eastAsiaTheme="minorEastAsia"/>
                <w:sz w:val="24"/>
                <w:szCs w:val="24"/>
                <w:lang w:val="en-US" w:eastAsia="zh-CN"/>
              </w:rPr>
              <w:t>,</w:t>
            </w:r>
            <w:r>
              <w:rPr>
                <w:rFonts w:hint="eastAsia" w:eastAsiaTheme="minorEastAsia"/>
                <w:sz w:val="24"/>
                <w:szCs w:val="24"/>
              </w:rPr>
              <w:t>204</w:t>
            </w:r>
            <w:r>
              <w:rPr>
                <w:rFonts w:hint="eastAsia" w:eastAsiaTheme="minorEastAsia"/>
                <w:sz w:val="24"/>
                <w:szCs w:val="24"/>
                <w:lang w:val="en-US" w:eastAsia="zh-CN"/>
              </w:rPr>
              <w:t>,</w:t>
            </w:r>
            <w:r>
              <w:rPr>
                <w:rFonts w:hint="eastAsia" w:eastAsiaTheme="minorEastAsia"/>
                <w:sz w:val="24"/>
                <w:szCs w:val="24"/>
              </w:rPr>
              <w:t>443.93</w:t>
            </w:r>
          </w:p>
        </w:tc>
        <w:tc>
          <w:tcPr>
            <w:tcW w:w="2018" w:type="dxa"/>
            <w:tcBorders>
              <w:top w:val="single" w:color="auto" w:sz="4" w:space="0"/>
              <w:left w:val="nil"/>
              <w:bottom w:val="single" w:color="auto" w:sz="4" w:space="0"/>
              <w:right w:val="single" w:color="auto" w:sz="4" w:space="0"/>
            </w:tcBorders>
            <w:shd w:val="clear" w:color="auto" w:fill="auto"/>
            <w:vAlign w:val="center"/>
          </w:tcPr>
          <w:p w14:paraId="4036A424">
            <w:pPr>
              <w:widowControl/>
              <w:jc w:val="center"/>
              <w:rPr>
                <w:rFonts w:eastAsiaTheme="minorEastAsia"/>
                <w:sz w:val="24"/>
                <w:szCs w:val="24"/>
              </w:rPr>
            </w:pPr>
            <w:r>
              <w:rPr>
                <w:rFonts w:hint="eastAsia" w:eastAsiaTheme="minorEastAsia"/>
                <w:sz w:val="24"/>
                <w:szCs w:val="24"/>
              </w:rPr>
              <w:t>430</w:t>
            </w:r>
            <w:r>
              <w:rPr>
                <w:rFonts w:hint="eastAsia" w:eastAsiaTheme="minorEastAsia"/>
                <w:sz w:val="24"/>
                <w:szCs w:val="24"/>
                <w:lang w:val="en-US" w:eastAsia="zh-CN"/>
              </w:rPr>
              <w:t>,</w:t>
            </w:r>
            <w:r>
              <w:rPr>
                <w:rFonts w:hint="eastAsia" w:eastAsiaTheme="minorEastAsia"/>
                <w:sz w:val="24"/>
                <w:szCs w:val="24"/>
              </w:rPr>
              <w:t>764</w:t>
            </w:r>
            <w:r>
              <w:rPr>
                <w:rFonts w:hint="eastAsia" w:eastAsiaTheme="minorEastAsia"/>
                <w:sz w:val="24"/>
                <w:szCs w:val="24"/>
                <w:lang w:val="en-US" w:eastAsia="zh-CN"/>
              </w:rPr>
              <w:t>,</w:t>
            </w:r>
            <w:r>
              <w:rPr>
                <w:rFonts w:hint="eastAsia" w:eastAsiaTheme="minorEastAsia"/>
                <w:sz w:val="24"/>
                <w:szCs w:val="24"/>
              </w:rPr>
              <w:t>382.75</w:t>
            </w:r>
          </w:p>
        </w:tc>
      </w:tr>
      <w:tr w14:paraId="013E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14:paraId="5FFDDC64">
            <w:pPr>
              <w:rPr>
                <w:rFonts w:eastAsiaTheme="minorEastAsia"/>
                <w:sz w:val="24"/>
                <w:szCs w:val="24"/>
              </w:rPr>
            </w:pPr>
            <w:r>
              <w:rPr>
                <w:rFonts w:hint="eastAsia" w:eastAsiaTheme="minorEastAsia"/>
                <w:sz w:val="24"/>
                <w:szCs w:val="24"/>
              </w:rPr>
              <w:t>认购资金在募集期间产生的利息（单位：元）</w:t>
            </w:r>
          </w:p>
        </w:tc>
        <w:tc>
          <w:tcPr>
            <w:tcW w:w="1938" w:type="dxa"/>
            <w:tcBorders>
              <w:top w:val="nil"/>
              <w:left w:val="single" w:color="auto" w:sz="4" w:space="0"/>
              <w:bottom w:val="single" w:color="auto" w:sz="4" w:space="0"/>
              <w:right w:val="single" w:color="auto" w:sz="4" w:space="0"/>
            </w:tcBorders>
            <w:shd w:val="clear" w:color="auto" w:fill="auto"/>
            <w:vAlign w:val="center"/>
          </w:tcPr>
          <w:p w14:paraId="74C70114">
            <w:pPr>
              <w:widowControl/>
              <w:jc w:val="center"/>
              <w:textAlignment w:val="center"/>
              <w:rPr>
                <w:rFonts w:hint="eastAsia" w:eastAsiaTheme="minorEastAsia"/>
                <w:sz w:val="24"/>
                <w:szCs w:val="24"/>
                <w:lang w:val="en-US" w:eastAsia="zh-CN"/>
              </w:rPr>
            </w:pPr>
            <w:r>
              <w:rPr>
                <w:rFonts w:hint="eastAsia" w:eastAsiaTheme="minorEastAsia"/>
                <w:sz w:val="24"/>
                <w:szCs w:val="24"/>
              </w:rPr>
              <w:t>33</w:t>
            </w:r>
            <w:r>
              <w:rPr>
                <w:rFonts w:hint="eastAsia" w:eastAsiaTheme="minorEastAsia"/>
                <w:sz w:val="24"/>
                <w:szCs w:val="24"/>
                <w:lang w:val="en-US" w:eastAsia="zh-CN"/>
              </w:rPr>
              <w:t>,</w:t>
            </w:r>
            <w:r>
              <w:rPr>
                <w:rFonts w:hint="eastAsia" w:eastAsiaTheme="minorEastAsia"/>
                <w:sz w:val="24"/>
                <w:szCs w:val="24"/>
              </w:rPr>
              <w:t>623.1</w:t>
            </w:r>
            <w:r>
              <w:rPr>
                <w:rFonts w:hint="eastAsia" w:eastAsiaTheme="minorEastAsia"/>
                <w:sz w:val="24"/>
                <w:szCs w:val="24"/>
                <w:lang w:val="en-US" w:eastAsia="zh-CN"/>
              </w:rPr>
              <w:t>0</w:t>
            </w:r>
          </w:p>
        </w:tc>
        <w:tc>
          <w:tcPr>
            <w:tcW w:w="1800" w:type="dxa"/>
            <w:tcBorders>
              <w:top w:val="nil"/>
              <w:left w:val="nil"/>
              <w:bottom w:val="single" w:color="auto" w:sz="4" w:space="0"/>
              <w:right w:val="single" w:color="auto" w:sz="4" w:space="0"/>
            </w:tcBorders>
            <w:shd w:val="clear" w:color="auto" w:fill="auto"/>
            <w:vAlign w:val="center"/>
          </w:tcPr>
          <w:p w14:paraId="525101ED">
            <w:pPr>
              <w:widowControl/>
              <w:jc w:val="center"/>
              <w:rPr>
                <w:rFonts w:eastAsiaTheme="minorEastAsia"/>
                <w:sz w:val="24"/>
                <w:szCs w:val="24"/>
              </w:rPr>
            </w:pPr>
            <w:r>
              <w:rPr>
                <w:rFonts w:hint="eastAsia" w:eastAsiaTheme="minorEastAsia"/>
                <w:sz w:val="24"/>
                <w:szCs w:val="24"/>
              </w:rPr>
              <w:t>34</w:t>
            </w:r>
            <w:r>
              <w:rPr>
                <w:rFonts w:hint="eastAsia" w:eastAsiaTheme="minorEastAsia"/>
                <w:sz w:val="24"/>
                <w:szCs w:val="24"/>
                <w:lang w:val="en-US" w:eastAsia="zh-CN"/>
              </w:rPr>
              <w:t>,</w:t>
            </w:r>
            <w:r>
              <w:rPr>
                <w:rFonts w:hint="eastAsia" w:eastAsiaTheme="minorEastAsia"/>
                <w:sz w:val="24"/>
                <w:szCs w:val="24"/>
              </w:rPr>
              <w:t>701.48</w:t>
            </w:r>
          </w:p>
        </w:tc>
        <w:tc>
          <w:tcPr>
            <w:tcW w:w="2018" w:type="dxa"/>
            <w:tcBorders>
              <w:top w:val="nil"/>
              <w:left w:val="nil"/>
              <w:bottom w:val="single" w:color="auto" w:sz="4" w:space="0"/>
              <w:right w:val="single" w:color="auto" w:sz="4" w:space="0"/>
            </w:tcBorders>
            <w:shd w:val="clear" w:color="auto" w:fill="auto"/>
            <w:vAlign w:val="center"/>
          </w:tcPr>
          <w:p w14:paraId="601887B8">
            <w:pPr>
              <w:widowControl/>
              <w:jc w:val="center"/>
              <w:rPr>
                <w:rFonts w:eastAsiaTheme="minorEastAsia"/>
                <w:sz w:val="24"/>
                <w:szCs w:val="24"/>
              </w:rPr>
            </w:pPr>
            <w:r>
              <w:rPr>
                <w:rFonts w:hint="eastAsia" w:eastAsiaTheme="minorEastAsia"/>
                <w:sz w:val="24"/>
                <w:szCs w:val="24"/>
              </w:rPr>
              <w:t>68</w:t>
            </w:r>
            <w:r>
              <w:rPr>
                <w:rFonts w:hint="eastAsia" w:eastAsiaTheme="minorEastAsia"/>
                <w:sz w:val="24"/>
                <w:szCs w:val="24"/>
                <w:lang w:val="en-US" w:eastAsia="zh-CN"/>
              </w:rPr>
              <w:t>,</w:t>
            </w:r>
            <w:r>
              <w:rPr>
                <w:rFonts w:hint="eastAsia" w:eastAsiaTheme="minorEastAsia"/>
                <w:sz w:val="24"/>
                <w:szCs w:val="24"/>
              </w:rPr>
              <w:t>324.58</w:t>
            </w:r>
          </w:p>
        </w:tc>
      </w:tr>
      <w:tr w14:paraId="303B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14:paraId="5369D6C8">
            <w:pPr>
              <w:rPr>
                <w:rFonts w:eastAsiaTheme="minorEastAsia"/>
                <w:color w:val="000000"/>
                <w:sz w:val="24"/>
                <w:szCs w:val="24"/>
              </w:rPr>
            </w:pPr>
            <w:r>
              <w:rPr>
                <w:rFonts w:hint="eastAsia" w:eastAsiaTheme="minorEastAsia"/>
                <w:color w:val="000000"/>
                <w:sz w:val="24"/>
                <w:szCs w:val="24"/>
              </w:rPr>
              <w:t>募集份额（单位：份）</w:t>
            </w:r>
          </w:p>
        </w:tc>
        <w:tc>
          <w:tcPr>
            <w:tcW w:w="1760" w:type="dxa"/>
            <w:vAlign w:val="center"/>
          </w:tcPr>
          <w:p w14:paraId="6F599E19">
            <w:pPr>
              <w:rPr>
                <w:rFonts w:eastAsiaTheme="minorEastAsia"/>
                <w:sz w:val="24"/>
                <w:szCs w:val="24"/>
              </w:rPr>
            </w:pPr>
            <w:r>
              <w:rPr>
                <w:rFonts w:hint="eastAsia" w:eastAsiaTheme="minorEastAsia"/>
                <w:sz w:val="24"/>
                <w:szCs w:val="24"/>
              </w:rPr>
              <w:t>有效认购份额</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51CEF7BF">
            <w:pPr>
              <w:widowControl/>
              <w:jc w:val="center"/>
              <w:textAlignment w:val="center"/>
              <w:rPr>
                <w:rFonts w:eastAsiaTheme="minorEastAsia"/>
                <w:sz w:val="24"/>
                <w:szCs w:val="24"/>
              </w:rPr>
            </w:pPr>
            <w:r>
              <w:rPr>
                <w:rFonts w:hint="eastAsia" w:eastAsiaTheme="minorEastAsia"/>
                <w:sz w:val="24"/>
                <w:szCs w:val="24"/>
              </w:rPr>
              <w:t>167</w:t>
            </w:r>
            <w:r>
              <w:rPr>
                <w:rFonts w:hint="eastAsia" w:eastAsiaTheme="minorEastAsia"/>
                <w:sz w:val="24"/>
                <w:szCs w:val="24"/>
                <w:lang w:val="en-US" w:eastAsia="zh-CN"/>
              </w:rPr>
              <w:t>,</w:t>
            </w:r>
            <w:r>
              <w:rPr>
                <w:rFonts w:hint="eastAsia" w:eastAsiaTheme="minorEastAsia"/>
                <w:sz w:val="24"/>
                <w:szCs w:val="24"/>
              </w:rPr>
              <w:t>559</w:t>
            </w:r>
            <w:r>
              <w:rPr>
                <w:rFonts w:hint="eastAsia" w:eastAsiaTheme="minorEastAsia"/>
                <w:sz w:val="24"/>
                <w:szCs w:val="24"/>
                <w:lang w:val="en-US" w:eastAsia="zh-CN"/>
              </w:rPr>
              <w:t>,</w:t>
            </w:r>
            <w:r>
              <w:rPr>
                <w:rFonts w:hint="eastAsia" w:eastAsiaTheme="minorEastAsia"/>
                <w:sz w:val="24"/>
                <w:szCs w:val="24"/>
              </w:rPr>
              <w:t>938.82</w:t>
            </w:r>
          </w:p>
        </w:tc>
        <w:tc>
          <w:tcPr>
            <w:tcW w:w="1800" w:type="dxa"/>
            <w:tcBorders>
              <w:top w:val="single" w:color="auto" w:sz="4" w:space="0"/>
              <w:left w:val="nil"/>
              <w:bottom w:val="single" w:color="auto" w:sz="4" w:space="0"/>
              <w:right w:val="single" w:color="auto" w:sz="4" w:space="0"/>
            </w:tcBorders>
            <w:shd w:val="clear" w:color="auto" w:fill="auto"/>
            <w:vAlign w:val="center"/>
          </w:tcPr>
          <w:p w14:paraId="7D543135">
            <w:pPr>
              <w:widowControl/>
              <w:jc w:val="center"/>
              <w:rPr>
                <w:rFonts w:eastAsiaTheme="minorEastAsia"/>
                <w:sz w:val="24"/>
                <w:szCs w:val="24"/>
              </w:rPr>
            </w:pPr>
            <w:r>
              <w:rPr>
                <w:rFonts w:hint="eastAsia" w:eastAsiaTheme="minorEastAsia"/>
                <w:sz w:val="24"/>
                <w:szCs w:val="24"/>
              </w:rPr>
              <w:t>263</w:t>
            </w:r>
            <w:r>
              <w:rPr>
                <w:rFonts w:hint="eastAsia" w:eastAsiaTheme="minorEastAsia"/>
                <w:sz w:val="24"/>
                <w:szCs w:val="24"/>
                <w:lang w:val="en-US" w:eastAsia="zh-CN"/>
              </w:rPr>
              <w:t>,</w:t>
            </w:r>
            <w:r>
              <w:rPr>
                <w:rFonts w:hint="eastAsia" w:eastAsiaTheme="minorEastAsia"/>
                <w:sz w:val="24"/>
                <w:szCs w:val="24"/>
              </w:rPr>
              <w:t>204</w:t>
            </w:r>
            <w:r>
              <w:rPr>
                <w:rFonts w:hint="eastAsia" w:eastAsiaTheme="minorEastAsia"/>
                <w:sz w:val="24"/>
                <w:szCs w:val="24"/>
                <w:lang w:val="en-US" w:eastAsia="zh-CN"/>
              </w:rPr>
              <w:t>,</w:t>
            </w:r>
            <w:r>
              <w:rPr>
                <w:rFonts w:hint="eastAsia" w:eastAsiaTheme="minorEastAsia"/>
                <w:sz w:val="24"/>
                <w:szCs w:val="24"/>
              </w:rPr>
              <w:t>443.93</w:t>
            </w:r>
          </w:p>
        </w:tc>
        <w:tc>
          <w:tcPr>
            <w:tcW w:w="2018" w:type="dxa"/>
            <w:tcBorders>
              <w:top w:val="single" w:color="auto" w:sz="4" w:space="0"/>
              <w:left w:val="nil"/>
              <w:bottom w:val="single" w:color="auto" w:sz="4" w:space="0"/>
              <w:right w:val="single" w:color="auto" w:sz="4" w:space="0"/>
            </w:tcBorders>
            <w:shd w:val="clear" w:color="auto" w:fill="auto"/>
            <w:vAlign w:val="center"/>
          </w:tcPr>
          <w:p w14:paraId="42B3C216">
            <w:pPr>
              <w:widowControl/>
              <w:jc w:val="center"/>
              <w:rPr>
                <w:rFonts w:eastAsiaTheme="minorEastAsia"/>
                <w:sz w:val="24"/>
                <w:szCs w:val="24"/>
              </w:rPr>
            </w:pPr>
            <w:r>
              <w:rPr>
                <w:rFonts w:hint="eastAsia" w:eastAsiaTheme="minorEastAsia"/>
                <w:sz w:val="24"/>
                <w:szCs w:val="24"/>
              </w:rPr>
              <w:t>430</w:t>
            </w:r>
            <w:r>
              <w:rPr>
                <w:rFonts w:hint="eastAsia" w:eastAsiaTheme="minorEastAsia"/>
                <w:sz w:val="24"/>
                <w:szCs w:val="24"/>
                <w:lang w:val="en-US" w:eastAsia="zh-CN"/>
              </w:rPr>
              <w:t>,</w:t>
            </w:r>
            <w:r>
              <w:rPr>
                <w:rFonts w:hint="eastAsia" w:eastAsiaTheme="minorEastAsia"/>
                <w:sz w:val="24"/>
                <w:szCs w:val="24"/>
              </w:rPr>
              <w:t>764</w:t>
            </w:r>
            <w:r>
              <w:rPr>
                <w:rFonts w:hint="eastAsia" w:eastAsiaTheme="minorEastAsia"/>
                <w:sz w:val="24"/>
                <w:szCs w:val="24"/>
                <w:lang w:val="en-US" w:eastAsia="zh-CN"/>
              </w:rPr>
              <w:t>,</w:t>
            </w:r>
            <w:r>
              <w:rPr>
                <w:rFonts w:hint="eastAsia" w:eastAsiaTheme="minorEastAsia"/>
                <w:sz w:val="24"/>
                <w:szCs w:val="24"/>
              </w:rPr>
              <w:t>382.75</w:t>
            </w:r>
          </w:p>
        </w:tc>
      </w:tr>
      <w:tr w14:paraId="4BB1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14:paraId="21D46CCF">
            <w:pPr>
              <w:spacing w:line="530" w:lineRule="exact"/>
              <w:rPr>
                <w:rFonts w:eastAsiaTheme="minorEastAsia"/>
                <w:color w:val="000000"/>
                <w:sz w:val="24"/>
                <w:szCs w:val="24"/>
              </w:rPr>
            </w:pPr>
          </w:p>
        </w:tc>
        <w:tc>
          <w:tcPr>
            <w:tcW w:w="1760" w:type="dxa"/>
            <w:vAlign w:val="center"/>
          </w:tcPr>
          <w:p w14:paraId="60E6BC56">
            <w:pPr>
              <w:rPr>
                <w:rFonts w:eastAsiaTheme="minorEastAsia"/>
                <w:sz w:val="24"/>
                <w:szCs w:val="24"/>
              </w:rPr>
            </w:pPr>
            <w:r>
              <w:rPr>
                <w:rFonts w:hint="eastAsia" w:eastAsiaTheme="minorEastAsia"/>
                <w:sz w:val="24"/>
                <w:szCs w:val="24"/>
              </w:rPr>
              <w:t>利息结转的份额</w:t>
            </w:r>
          </w:p>
        </w:tc>
        <w:tc>
          <w:tcPr>
            <w:tcW w:w="1938" w:type="dxa"/>
            <w:tcBorders>
              <w:top w:val="nil"/>
              <w:left w:val="single" w:color="auto" w:sz="4" w:space="0"/>
              <w:bottom w:val="single" w:color="auto" w:sz="4" w:space="0"/>
              <w:right w:val="single" w:color="auto" w:sz="4" w:space="0"/>
            </w:tcBorders>
            <w:shd w:val="clear" w:color="auto" w:fill="auto"/>
            <w:vAlign w:val="center"/>
          </w:tcPr>
          <w:p w14:paraId="73E47B55">
            <w:pPr>
              <w:widowControl/>
              <w:jc w:val="center"/>
              <w:textAlignment w:val="center"/>
              <w:rPr>
                <w:rFonts w:eastAsiaTheme="minorEastAsia"/>
                <w:sz w:val="24"/>
                <w:szCs w:val="24"/>
              </w:rPr>
            </w:pPr>
            <w:r>
              <w:rPr>
                <w:rFonts w:hint="eastAsia" w:eastAsiaTheme="minorEastAsia"/>
                <w:sz w:val="24"/>
                <w:szCs w:val="24"/>
              </w:rPr>
              <w:t>33</w:t>
            </w:r>
            <w:r>
              <w:rPr>
                <w:rFonts w:hint="eastAsia" w:eastAsiaTheme="minorEastAsia"/>
                <w:sz w:val="24"/>
                <w:szCs w:val="24"/>
                <w:lang w:val="en-US" w:eastAsia="zh-CN"/>
              </w:rPr>
              <w:t>,</w:t>
            </w:r>
            <w:r>
              <w:rPr>
                <w:rFonts w:hint="eastAsia" w:eastAsiaTheme="minorEastAsia"/>
                <w:sz w:val="24"/>
                <w:szCs w:val="24"/>
              </w:rPr>
              <w:t>623.1</w:t>
            </w:r>
            <w:r>
              <w:rPr>
                <w:rFonts w:hint="eastAsia" w:eastAsiaTheme="minorEastAsia"/>
                <w:sz w:val="24"/>
                <w:szCs w:val="24"/>
                <w:lang w:val="en-US" w:eastAsia="zh-CN"/>
              </w:rPr>
              <w:t>0</w:t>
            </w:r>
          </w:p>
        </w:tc>
        <w:tc>
          <w:tcPr>
            <w:tcW w:w="1800" w:type="dxa"/>
            <w:tcBorders>
              <w:top w:val="nil"/>
              <w:left w:val="nil"/>
              <w:bottom w:val="single" w:color="auto" w:sz="4" w:space="0"/>
              <w:right w:val="single" w:color="auto" w:sz="4" w:space="0"/>
            </w:tcBorders>
            <w:shd w:val="clear" w:color="auto" w:fill="auto"/>
            <w:vAlign w:val="center"/>
          </w:tcPr>
          <w:p w14:paraId="56673D70">
            <w:pPr>
              <w:widowControl/>
              <w:jc w:val="center"/>
              <w:rPr>
                <w:rFonts w:eastAsiaTheme="minorEastAsia"/>
                <w:sz w:val="24"/>
                <w:szCs w:val="24"/>
              </w:rPr>
            </w:pPr>
            <w:r>
              <w:rPr>
                <w:rFonts w:hint="eastAsia" w:eastAsiaTheme="minorEastAsia"/>
                <w:sz w:val="24"/>
                <w:szCs w:val="24"/>
              </w:rPr>
              <w:t>34</w:t>
            </w:r>
            <w:r>
              <w:rPr>
                <w:rFonts w:hint="eastAsia" w:eastAsiaTheme="minorEastAsia"/>
                <w:sz w:val="24"/>
                <w:szCs w:val="24"/>
                <w:lang w:val="en-US" w:eastAsia="zh-CN"/>
              </w:rPr>
              <w:t>,</w:t>
            </w:r>
            <w:r>
              <w:rPr>
                <w:rFonts w:hint="eastAsia" w:eastAsiaTheme="minorEastAsia"/>
                <w:sz w:val="24"/>
                <w:szCs w:val="24"/>
              </w:rPr>
              <w:t>701.48</w:t>
            </w:r>
          </w:p>
        </w:tc>
        <w:tc>
          <w:tcPr>
            <w:tcW w:w="2018" w:type="dxa"/>
            <w:tcBorders>
              <w:top w:val="nil"/>
              <w:left w:val="nil"/>
              <w:bottom w:val="single" w:color="auto" w:sz="4" w:space="0"/>
              <w:right w:val="single" w:color="auto" w:sz="4" w:space="0"/>
            </w:tcBorders>
            <w:shd w:val="clear" w:color="auto" w:fill="auto"/>
            <w:vAlign w:val="center"/>
          </w:tcPr>
          <w:p w14:paraId="56EB7C20">
            <w:pPr>
              <w:widowControl/>
              <w:jc w:val="center"/>
              <w:rPr>
                <w:rFonts w:eastAsiaTheme="minorEastAsia"/>
                <w:sz w:val="24"/>
                <w:szCs w:val="24"/>
              </w:rPr>
            </w:pPr>
            <w:r>
              <w:rPr>
                <w:rFonts w:hint="eastAsia" w:eastAsiaTheme="minorEastAsia"/>
                <w:sz w:val="24"/>
                <w:szCs w:val="24"/>
              </w:rPr>
              <w:t>68</w:t>
            </w:r>
            <w:r>
              <w:rPr>
                <w:rFonts w:hint="eastAsia" w:eastAsiaTheme="minorEastAsia"/>
                <w:sz w:val="24"/>
                <w:szCs w:val="24"/>
                <w:lang w:val="en-US" w:eastAsia="zh-CN"/>
              </w:rPr>
              <w:t>,</w:t>
            </w:r>
            <w:r>
              <w:rPr>
                <w:rFonts w:hint="eastAsia" w:eastAsiaTheme="minorEastAsia"/>
                <w:sz w:val="24"/>
                <w:szCs w:val="24"/>
              </w:rPr>
              <w:t>324.58</w:t>
            </w:r>
          </w:p>
        </w:tc>
      </w:tr>
      <w:tr w14:paraId="26BF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14:paraId="2AA2602E">
            <w:pPr>
              <w:spacing w:line="530" w:lineRule="exact"/>
              <w:rPr>
                <w:rFonts w:eastAsiaTheme="minorEastAsia"/>
                <w:color w:val="000000"/>
                <w:sz w:val="24"/>
                <w:szCs w:val="24"/>
              </w:rPr>
            </w:pPr>
          </w:p>
        </w:tc>
        <w:tc>
          <w:tcPr>
            <w:tcW w:w="1760" w:type="dxa"/>
            <w:vAlign w:val="center"/>
          </w:tcPr>
          <w:p w14:paraId="02D564AC">
            <w:pPr>
              <w:rPr>
                <w:rFonts w:eastAsiaTheme="minorEastAsia"/>
                <w:sz w:val="24"/>
                <w:szCs w:val="24"/>
              </w:rPr>
            </w:pPr>
            <w:r>
              <w:rPr>
                <w:rFonts w:hint="eastAsia" w:eastAsiaTheme="minorEastAsia"/>
                <w:sz w:val="24"/>
                <w:szCs w:val="24"/>
              </w:rPr>
              <w:t>合计</w:t>
            </w:r>
          </w:p>
        </w:tc>
        <w:tc>
          <w:tcPr>
            <w:tcW w:w="1938" w:type="dxa"/>
            <w:tcBorders>
              <w:top w:val="nil"/>
              <w:left w:val="single" w:color="auto" w:sz="4" w:space="0"/>
              <w:bottom w:val="single" w:color="auto" w:sz="4" w:space="0"/>
              <w:right w:val="single" w:color="auto" w:sz="4" w:space="0"/>
            </w:tcBorders>
            <w:shd w:val="clear" w:color="auto" w:fill="auto"/>
            <w:vAlign w:val="center"/>
          </w:tcPr>
          <w:p w14:paraId="59048BF3">
            <w:pPr>
              <w:widowControl/>
              <w:jc w:val="center"/>
              <w:textAlignment w:val="center"/>
              <w:rPr>
                <w:rFonts w:eastAsiaTheme="minorEastAsia"/>
                <w:sz w:val="24"/>
                <w:szCs w:val="24"/>
              </w:rPr>
            </w:pPr>
            <w:r>
              <w:rPr>
                <w:rFonts w:hint="eastAsia" w:eastAsiaTheme="minorEastAsia"/>
                <w:sz w:val="24"/>
                <w:szCs w:val="24"/>
              </w:rPr>
              <w:t>167</w:t>
            </w:r>
            <w:r>
              <w:rPr>
                <w:rFonts w:hint="eastAsia" w:eastAsiaTheme="minorEastAsia"/>
                <w:sz w:val="24"/>
                <w:szCs w:val="24"/>
                <w:lang w:val="en-US" w:eastAsia="zh-CN"/>
              </w:rPr>
              <w:t>,</w:t>
            </w:r>
            <w:r>
              <w:rPr>
                <w:rFonts w:hint="eastAsia" w:eastAsiaTheme="minorEastAsia"/>
                <w:sz w:val="24"/>
                <w:szCs w:val="24"/>
              </w:rPr>
              <w:t>593</w:t>
            </w:r>
            <w:r>
              <w:rPr>
                <w:rFonts w:hint="eastAsia" w:eastAsiaTheme="minorEastAsia"/>
                <w:sz w:val="24"/>
                <w:szCs w:val="24"/>
                <w:lang w:val="en-US" w:eastAsia="zh-CN"/>
              </w:rPr>
              <w:t>,</w:t>
            </w:r>
            <w:r>
              <w:rPr>
                <w:rFonts w:hint="eastAsia" w:eastAsiaTheme="minorEastAsia"/>
                <w:sz w:val="24"/>
                <w:szCs w:val="24"/>
              </w:rPr>
              <w:t>561.92</w:t>
            </w:r>
          </w:p>
        </w:tc>
        <w:tc>
          <w:tcPr>
            <w:tcW w:w="1800" w:type="dxa"/>
            <w:tcBorders>
              <w:top w:val="nil"/>
              <w:left w:val="nil"/>
              <w:bottom w:val="single" w:color="auto" w:sz="4" w:space="0"/>
              <w:right w:val="single" w:color="auto" w:sz="4" w:space="0"/>
            </w:tcBorders>
            <w:shd w:val="clear" w:color="auto" w:fill="auto"/>
            <w:vAlign w:val="center"/>
          </w:tcPr>
          <w:p w14:paraId="22344B5E">
            <w:pPr>
              <w:widowControl/>
              <w:jc w:val="center"/>
              <w:rPr>
                <w:rFonts w:eastAsiaTheme="minorEastAsia"/>
                <w:sz w:val="24"/>
                <w:szCs w:val="24"/>
              </w:rPr>
            </w:pPr>
            <w:r>
              <w:rPr>
                <w:rFonts w:hint="eastAsia" w:eastAsiaTheme="minorEastAsia"/>
                <w:sz w:val="24"/>
                <w:szCs w:val="24"/>
              </w:rPr>
              <w:t>263</w:t>
            </w:r>
            <w:r>
              <w:rPr>
                <w:rFonts w:hint="eastAsia" w:eastAsiaTheme="minorEastAsia"/>
                <w:sz w:val="24"/>
                <w:szCs w:val="24"/>
                <w:lang w:val="en-US" w:eastAsia="zh-CN"/>
              </w:rPr>
              <w:t>,</w:t>
            </w:r>
            <w:r>
              <w:rPr>
                <w:rFonts w:hint="eastAsia" w:eastAsiaTheme="minorEastAsia"/>
                <w:sz w:val="24"/>
                <w:szCs w:val="24"/>
              </w:rPr>
              <w:t>239</w:t>
            </w:r>
            <w:r>
              <w:rPr>
                <w:rFonts w:hint="eastAsia" w:eastAsiaTheme="minorEastAsia"/>
                <w:sz w:val="24"/>
                <w:szCs w:val="24"/>
                <w:lang w:val="en-US" w:eastAsia="zh-CN"/>
              </w:rPr>
              <w:t>,</w:t>
            </w:r>
            <w:r>
              <w:rPr>
                <w:rFonts w:hint="eastAsia" w:eastAsiaTheme="minorEastAsia"/>
                <w:sz w:val="24"/>
                <w:szCs w:val="24"/>
              </w:rPr>
              <w:t>145.41</w:t>
            </w:r>
          </w:p>
        </w:tc>
        <w:tc>
          <w:tcPr>
            <w:tcW w:w="2018" w:type="dxa"/>
            <w:tcBorders>
              <w:top w:val="nil"/>
              <w:left w:val="nil"/>
              <w:bottom w:val="single" w:color="auto" w:sz="4" w:space="0"/>
              <w:right w:val="single" w:color="auto" w:sz="4" w:space="0"/>
            </w:tcBorders>
            <w:shd w:val="clear" w:color="auto" w:fill="auto"/>
            <w:vAlign w:val="center"/>
          </w:tcPr>
          <w:p w14:paraId="33806F62">
            <w:pPr>
              <w:widowControl/>
              <w:jc w:val="center"/>
              <w:rPr>
                <w:rFonts w:eastAsiaTheme="minorEastAsia"/>
                <w:sz w:val="24"/>
                <w:szCs w:val="24"/>
              </w:rPr>
            </w:pPr>
            <w:r>
              <w:rPr>
                <w:rFonts w:hint="eastAsia" w:eastAsiaTheme="minorEastAsia"/>
                <w:sz w:val="24"/>
                <w:szCs w:val="24"/>
              </w:rPr>
              <w:t>430</w:t>
            </w:r>
            <w:r>
              <w:rPr>
                <w:rFonts w:hint="eastAsia" w:eastAsiaTheme="minorEastAsia"/>
                <w:sz w:val="24"/>
                <w:szCs w:val="24"/>
                <w:lang w:val="en-US" w:eastAsia="zh-CN"/>
              </w:rPr>
              <w:t>,</w:t>
            </w:r>
            <w:r>
              <w:rPr>
                <w:rFonts w:hint="eastAsia" w:eastAsiaTheme="minorEastAsia"/>
                <w:sz w:val="24"/>
                <w:szCs w:val="24"/>
              </w:rPr>
              <w:t>832</w:t>
            </w:r>
            <w:r>
              <w:rPr>
                <w:rFonts w:hint="eastAsia" w:eastAsiaTheme="minorEastAsia"/>
                <w:sz w:val="24"/>
                <w:szCs w:val="24"/>
                <w:lang w:val="en-US" w:eastAsia="zh-CN"/>
              </w:rPr>
              <w:t>,</w:t>
            </w:r>
            <w:r>
              <w:rPr>
                <w:rFonts w:hint="eastAsia" w:eastAsiaTheme="minorEastAsia"/>
                <w:sz w:val="24"/>
                <w:szCs w:val="24"/>
              </w:rPr>
              <w:t>707.33</w:t>
            </w:r>
          </w:p>
        </w:tc>
      </w:tr>
      <w:tr w14:paraId="1651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14:paraId="244EB2C3">
            <w:pPr>
              <w:rPr>
                <w:rFonts w:eastAsiaTheme="minorEastAsia"/>
                <w:sz w:val="24"/>
                <w:szCs w:val="24"/>
              </w:rPr>
            </w:pPr>
            <w:r>
              <w:rPr>
                <w:rFonts w:hint="eastAsia" w:eastAsiaTheme="minorEastAsia"/>
                <w:sz w:val="24"/>
                <w:szCs w:val="24"/>
              </w:rPr>
              <w:t>其中：募集期间基金管理人运用固有资金认购本基金情况</w:t>
            </w:r>
          </w:p>
        </w:tc>
        <w:tc>
          <w:tcPr>
            <w:tcW w:w="1760" w:type="dxa"/>
            <w:vAlign w:val="center"/>
          </w:tcPr>
          <w:p w14:paraId="2E7F8F9E">
            <w:pPr>
              <w:rPr>
                <w:rFonts w:eastAsiaTheme="minorEastAsia"/>
                <w:sz w:val="24"/>
                <w:szCs w:val="24"/>
              </w:rPr>
            </w:pPr>
            <w:r>
              <w:rPr>
                <w:rFonts w:hint="eastAsia" w:eastAsiaTheme="minorEastAsia"/>
                <w:sz w:val="24"/>
                <w:szCs w:val="24"/>
              </w:rPr>
              <w:t>认购的基金份额（单位：份）</w:t>
            </w:r>
          </w:p>
        </w:tc>
        <w:tc>
          <w:tcPr>
            <w:tcW w:w="1938" w:type="dxa"/>
            <w:vAlign w:val="center"/>
          </w:tcPr>
          <w:p w14:paraId="1C12FB50">
            <w:pPr>
              <w:jc w:val="center"/>
              <w:rPr>
                <w:rFonts w:eastAsiaTheme="minorEastAsia"/>
                <w:color w:val="000000"/>
                <w:sz w:val="24"/>
                <w:szCs w:val="24"/>
              </w:rPr>
            </w:pPr>
            <w:r>
              <w:rPr>
                <w:rFonts w:hint="eastAsia" w:eastAsiaTheme="minorEastAsia"/>
                <w:color w:val="000000"/>
                <w:sz w:val="24"/>
                <w:szCs w:val="24"/>
              </w:rPr>
              <w:t>-</w:t>
            </w:r>
          </w:p>
        </w:tc>
        <w:tc>
          <w:tcPr>
            <w:tcW w:w="1800" w:type="dxa"/>
            <w:vAlign w:val="center"/>
          </w:tcPr>
          <w:p w14:paraId="4044092F">
            <w:pPr>
              <w:jc w:val="center"/>
              <w:rPr>
                <w:rFonts w:eastAsiaTheme="minorEastAsia"/>
                <w:color w:val="000000"/>
                <w:sz w:val="24"/>
                <w:szCs w:val="24"/>
              </w:rPr>
            </w:pPr>
            <w:r>
              <w:rPr>
                <w:rFonts w:hint="eastAsia" w:eastAsiaTheme="minorEastAsia"/>
                <w:color w:val="000000"/>
                <w:sz w:val="24"/>
                <w:szCs w:val="24"/>
              </w:rPr>
              <w:t>-</w:t>
            </w:r>
          </w:p>
        </w:tc>
        <w:tc>
          <w:tcPr>
            <w:tcW w:w="2018" w:type="dxa"/>
            <w:vAlign w:val="center"/>
          </w:tcPr>
          <w:p w14:paraId="00AB652E">
            <w:pPr>
              <w:jc w:val="center"/>
              <w:rPr>
                <w:rFonts w:eastAsiaTheme="minorEastAsia"/>
                <w:color w:val="000000"/>
                <w:sz w:val="24"/>
                <w:szCs w:val="24"/>
              </w:rPr>
            </w:pPr>
            <w:r>
              <w:rPr>
                <w:rFonts w:hint="eastAsia" w:eastAsiaTheme="minorEastAsia"/>
                <w:color w:val="000000"/>
                <w:sz w:val="24"/>
                <w:szCs w:val="24"/>
              </w:rPr>
              <w:t>-</w:t>
            </w:r>
          </w:p>
        </w:tc>
      </w:tr>
      <w:tr w14:paraId="42CD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14:paraId="1D04DFA7">
            <w:pPr>
              <w:rPr>
                <w:rFonts w:eastAsiaTheme="minorEastAsia"/>
                <w:sz w:val="24"/>
                <w:szCs w:val="24"/>
              </w:rPr>
            </w:pPr>
          </w:p>
        </w:tc>
        <w:tc>
          <w:tcPr>
            <w:tcW w:w="1760" w:type="dxa"/>
            <w:vAlign w:val="center"/>
          </w:tcPr>
          <w:p w14:paraId="5A50CCF6">
            <w:pPr>
              <w:rPr>
                <w:rFonts w:eastAsiaTheme="minorEastAsia"/>
                <w:sz w:val="24"/>
                <w:szCs w:val="24"/>
              </w:rPr>
            </w:pPr>
            <w:r>
              <w:rPr>
                <w:rFonts w:hint="eastAsia" w:eastAsiaTheme="minorEastAsia"/>
                <w:sz w:val="24"/>
                <w:szCs w:val="24"/>
              </w:rPr>
              <w:t>占基金总份额比例</w:t>
            </w:r>
          </w:p>
        </w:tc>
        <w:tc>
          <w:tcPr>
            <w:tcW w:w="1938" w:type="dxa"/>
            <w:vAlign w:val="center"/>
          </w:tcPr>
          <w:p w14:paraId="7A643420">
            <w:pPr>
              <w:jc w:val="center"/>
              <w:rPr>
                <w:rFonts w:eastAsiaTheme="minorEastAsia"/>
                <w:color w:val="000000"/>
                <w:sz w:val="24"/>
                <w:szCs w:val="24"/>
              </w:rPr>
            </w:pPr>
            <w:r>
              <w:rPr>
                <w:rFonts w:hint="eastAsia" w:eastAsiaTheme="minorEastAsia"/>
                <w:color w:val="000000"/>
                <w:sz w:val="24"/>
                <w:szCs w:val="24"/>
              </w:rPr>
              <w:t>-</w:t>
            </w:r>
          </w:p>
        </w:tc>
        <w:tc>
          <w:tcPr>
            <w:tcW w:w="1800" w:type="dxa"/>
            <w:vAlign w:val="center"/>
          </w:tcPr>
          <w:p w14:paraId="6403C530">
            <w:pPr>
              <w:jc w:val="center"/>
              <w:rPr>
                <w:rFonts w:eastAsiaTheme="minorEastAsia"/>
                <w:color w:val="000000"/>
                <w:sz w:val="24"/>
                <w:szCs w:val="24"/>
              </w:rPr>
            </w:pPr>
            <w:r>
              <w:rPr>
                <w:rFonts w:hint="eastAsia" w:eastAsiaTheme="minorEastAsia"/>
                <w:color w:val="000000"/>
                <w:sz w:val="24"/>
                <w:szCs w:val="24"/>
              </w:rPr>
              <w:t>-</w:t>
            </w:r>
          </w:p>
        </w:tc>
        <w:tc>
          <w:tcPr>
            <w:tcW w:w="2018" w:type="dxa"/>
            <w:vAlign w:val="center"/>
          </w:tcPr>
          <w:p w14:paraId="38A65EF9">
            <w:pPr>
              <w:jc w:val="center"/>
              <w:rPr>
                <w:rFonts w:eastAsiaTheme="minorEastAsia"/>
                <w:color w:val="000000"/>
                <w:sz w:val="24"/>
                <w:szCs w:val="24"/>
              </w:rPr>
            </w:pPr>
            <w:r>
              <w:rPr>
                <w:rFonts w:hint="eastAsia" w:eastAsiaTheme="minorEastAsia"/>
                <w:color w:val="000000"/>
                <w:sz w:val="24"/>
                <w:szCs w:val="24"/>
              </w:rPr>
              <w:t>-</w:t>
            </w:r>
          </w:p>
        </w:tc>
      </w:tr>
      <w:tr w14:paraId="6FC1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14:paraId="4D0DB504">
            <w:pPr>
              <w:rPr>
                <w:rFonts w:eastAsiaTheme="minorEastAsia"/>
                <w:sz w:val="24"/>
                <w:szCs w:val="24"/>
              </w:rPr>
            </w:pPr>
          </w:p>
        </w:tc>
        <w:tc>
          <w:tcPr>
            <w:tcW w:w="1760" w:type="dxa"/>
            <w:vAlign w:val="center"/>
          </w:tcPr>
          <w:p w14:paraId="74EDA6CA">
            <w:pPr>
              <w:rPr>
                <w:rFonts w:eastAsiaTheme="minorEastAsia"/>
                <w:sz w:val="24"/>
                <w:szCs w:val="24"/>
              </w:rPr>
            </w:pPr>
            <w:r>
              <w:rPr>
                <w:rFonts w:hint="eastAsia" w:eastAsiaTheme="minorEastAsia"/>
                <w:sz w:val="24"/>
                <w:szCs w:val="24"/>
              </w:rPr>
              <w:t>其他需要说明的事项</w:t>
            </w:r>
          </w:p>
        </w:tc>
        <w:tc>
          <w:tcPr>
            <w:tcW w:w="1938" w:type="dxa"/>
            <w:vAlign w:val="center"/>
          </w:tcPr>
          <w:p w14:paraId="4555319C">
            <w:pPr>
              <w:jc w:val="center"/>
              <w:rPr>
                <w:rFonts w:eastAsiaTheme="minorEastAsia"/>
                <w:sz w:val="24"/>
                <w:szCs w:val="24"/>
              </w:rPr>
            </w:pPr>
            <w:r>
              <w:rPr>
                <w:rFonts w:hint="eastAsia" w:eastAsiaTheme="minorEastAsia"/>
                <w:sz w:val="24"/>
                <w:szCs w:val="24"/>
              </w:rPr>
              <w:t>-</w:t>
            </w:r>
          </w:p>
        </w:tc>
        <w:tc>
          <w:tcPr>
            <w:tcW w:w="1800" w:type="dxa"/>
            <w:vAlign w:val="center"/>
          </w:tcPr>
          <w:p w14:paraId="7429EAAE">
            <w:pPr>
              <w:jc w:val="center"/>
              <w:rPr>
                <w:rFonts w:eastAsiaTheme="minorEastAsia"/>
                <w:sz w:val="24"/>
                <w:szCs w:val="24"/>
              </w:rPr>
            </w:pPr>
            <w:r>
              <w:rPr>
                <w:rFonts w:hint="eastAsia" w:eastAsiaTheme="minorEastAsia"/>
                <w:sz w:val="24"/>
                <w:szCs w:val="24"/>
              </w:rPr>
              <w:t>-</w:t>
            </w:r>
          </w:p>
        </w:tc>
        <w:tc>
          <w:tcPr>
            <w:tcW w:w="2018" w:type="dxa"/>
            <w:vAlign w:val="center"/>
          </w:tcPr>
          <w:p w14:paraId="7883C5F2">
            <w:pPr>
              <w:jc w:val="center"/>
              <w:rPr>
                <w:rFonts w:eastAsiaTheme="minorEastAsia"/>
                <w:sz w:val="24"/>
                <w:szCs w:val="24"/>
              </w:rPr>
            </w:pPr>
            <w:r>
              <w:rPr>
                <w:rFonts w:hint="eastAsia" w:eastAsiaTheme="minorEastAsia"/>
                <w:sz w:val="24"/>
                <w:szCs w:val="24"/>
              </w:rPr>
              <w:t>-</w:t>
            </w:r>
          </w:p>
        </w:tc>
      </w:tr>
      <w:tr w14:paraId="3311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555" w:type="dxa"/>
            <w:vMerge w:val="restart"/>
            <w:vAlign w:val="center"/>
          </w:tcPr>
          <w:p w14:paraId="6BC1B52A">
            <w:pPr>
              <w:rPr>
                <w:rFonts w:eastAsiaTheme="minorEastAsia"/>
                <w:sz w:val="24"/>
                <w:szCs w:val="24"/>
              </w:rPr>
            </w:pPr>
            <w:r>
              <w:rPr>
                <w:rFonts w:hint="eastAsia" w:eastAsiaTheme="minorEastAsia"/>
                <w:sz w:val="24"/>
                <w:szCs w:val="24"/>
              </w:rPr>
              <w:t>其中：募集期间基金管理人的从业人员认购本基金情况</w:t>
            </w:r>
          </w:p>
        </w:tc>
        <w:tc>
          <w:tcPr>
            <w:tcW w:w="1760" w:type="dxa"/>
            <w:vAlign w:val="center"/>
          </w:tcPr>
          <w:p w14:paraId="63BB870B">
            <w:pPr>
              <w:rPr>
                <w:rFonts w:eastAsiaTheme="minorEastAsia"/>
                <w:sz w:val="24"/>
                <w:szCs w:val="24"/>
              </w:rPr>
            </w:pPr>
            <w:r>
              <w:rPr>
                <w:rFonts w:hint="eastAsia" w:eastAsiaTheme="minorEastAsia"/>
                <w:sz w:val="24"/>
                <w:szCs w:val="24"/>
              </w:rPr>
              <w:t>认购的基金份额（单位：份）</w:t>
            </w:r>
          </w:p>
        </w:tc>
        <w:tc>
          <w:tcPr>
            <w:tcW w:w="1938" w:type="dxa"/>
            <w:vAlign w:val="center"/>
          </w:tcPr>
          <w:p w14:paraId="46CA301E">
            <w:pPr>
              <w:jc w:val="center"/>
              <w:rPr>
                <w:rFonts w:hint="eastAsia" w:eastAsiaTheme="minorEastAsia"/>
                <w:color w:val="000000"/>
                <w:sz w:val="24"/>
                <w:szCs w:val="24"/>
                <w:lang w:val="en-US" w:eastAsia="zh-CN"/>
              </w:rPr>
            </w:pPr>
            <w:r>
              <w:rPr>
                <w:rFonts w:hint="eastAsia" w:eastAsiaTheme="minorEastAsia"/>
                <w:color w:val="000000"/>
                <w:sz w:val="24"/>
                <w:szCs w:val="24"/>
              </w:rPr>
              <w:t>-</w:t>
            </w:r>
          </w:p>
        </w:tc>
        <w:tc>
          <w:tcPr>
            <w:tcW w:w="1800" w:type="dxa"/>
            <w:vAlign w:val="center"/>
          </w:tcPr>
          <w:p w14:paraId="0586E985">
            <w:pPr>
              <w:jc w:val="center"/>
              <w:rPr>
                <w:rFonts w:hint="eastAsia" w:eastAsiaTheme="minorEastAsia"/>
                <w:color w:val="000000"/>
                <w:sz w:val="24"/>
                <w:szCs w:val="24"/>
                <w:lang w:val="en-US" w:eastAsia="zh-CN"/>
              </w:rPr>
            </w:pPr>
            <w:r>
              <w:rPr>
                <w:rFonts w:hint="eastAsia" w:eastAsiaTheme="minorEastAsia"/>
                <w:color w:val="000000"/>
                <w:sz w:val="24"/>
                <w:szCs w:val="24"/>
              </w:rPr>
              <w:t>-</w:t>
            </w:r>
          </w:p>
        </w:tc>
        <w:tc>
          <w:tcPr>
            <w:tcW w:w="2018" w:type="dxa"/>
            <w:vAlign w:val="center"/>
          </w:tcPr>
          <w:p w14:paraId="746E9725">
            <w:pPr>
              <w:jc w:val="center"/>
              <w:rPr>
                <w:rFonts w:hint="eastAsia" w:eastAsiaTheme="minorEastAsia"/>
                <w:color w:val="000000"/>
                <w:sz w:val="24"/>
                <w:szCs w:val="24"/>
                <w:lang w:val="en-US" w:eastAsia="zh-CN"/>
              </w:rPr>
            </w:pPr>
            <w:r>
              <w:rPr>
                <w:rFonts w:hint="eastAsia" w:eastAsiaTheme="minorEastAsia"/>
                <w:color w:val="000000"/>
                <w:sz w:val="24"/>
                <w:szCs w:val="24"/>
              </w:rPr>
              <w:t>-</w:t>
            </w:r>
          </w:p>
        </w:tc>
      </w:tr>
      <w:tr w14:paraId="3524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555" w:type="dxa"/>
            <w:vMerge w:val="continue"/>
            <w:vAlign w:val="center"/>
          </w:tcPr>
          <w:p w14:paraId="226C941E">
            <w:pPr>
              <w:spacing w:line="560" w:lineRule="exact"/>
              <w:rPr>
                <w:rFonts w:eastAsiaTheme="minorEastAsia"/>
                <w:color w:val="000000"/>
                <w:sz w:val="24"/>
                <w:szCs w:val="24"/>
              </w:rPr>
            </w:pPr>
          </w:p>
        </w:tc>
        <w:tc>
          <w:tcPr>
            <w:tcW w:w="1760" w:type="dxa"/>
            <w:vAlign w:val="center"/>
          </w:tcPr>
          <w:p w14:paraId="61DCAFC8">
            <w:pPr>
              <w:rPr>
                <w:rFonts w:eastAsiaTheme="minorEastAsia"/>
                <w:sz w:val="24"/>
                <w:szCs w:val="24"/>
              </w:rPr>
            </w:pPr>
            <w:r>
              <w:rPr>
                <w:rFonts w:hint="eastAsia" w:eastAsiaTheme="minorEastAsia"/>
                <w:sz w:val="24"/>
                <w:szCs w:val="24"/>
              </w:rPr>
              <w:t>占基金总份额比例</w:t>
            </w:r>
          </w:p>
        </w:tc>
        <w:tc>
          <w:tcPr>
            <w:tcW w:w="1938" w:type="dxa"/>
            <w:vAlign w:val="center"/>
          </w:tcPr>
          <w:p w14:paraId="5054E1F1">
            <w:pPr>
              <w:jc w:val="center"/>
              <w:rPr>
                <w:rFonts w:hint="default" w:eastAsiaTheme="minorEastAsia"/>
                <w:color w:val="000000"/>
                <w:sz w:val="24"/>
                <w:szCs w:val="24"/>
                <w:lang w:val="en-US" w:eastAsia="zh-CN" w:bidi="ar"/>
              </w:rPr>
            </w:pPr>
            <w:r>
              <w:rPr>
                <w:rFonts w:hint="eastAsia" w:eastAsiaTheme="minorEastAsia"/>
                <w:sz w:val="24"/>
                <w:szCs w:val="24"/>
              </w:rPr>
              <w:t>-</w:t>
            </w:r>
          </w:p>
        </w:tc>
        <w:tc>
          <w:tcPr>
            <w:tcW w:w="1800" w:type="dxa"/>
            <w:vAlign w:val="center"/>
          </w:tcPr>
          <w:p w14:paraId="56B7A4F0">
            <w:pPr>
              <w:jc w:val="center"/>
              <w:rPr>
                <w:rFonts w:hint="default" w:eastAsiaTheme="minorEastAsia"/>
                <w:color w:val="000000"/>
                <w:sz w:val="24"/>
                <w:szCs w:val="24"/>
                <w:lang w:val="en-US" w:eastAsia="zh-CN" w:bidi="ar"/>
              </w:rPr>
            </w:pPr>
            <w:r>
              <w:rPr>
                <w:rFonts w:hint="eastAsia" w:eastAsiaTheme="minorEastAsia"/>
                <w:sz w:val="24"/>
                <w:szCs w:val="24"/>
              </w:rPr>
              <w:t>-</w:t>
            </w:r>
          </w:p>
        </w:tc>
        <w:tc>
          <w:tcPr>
            <w:tcW w:w="2018" w:type="dxa"/>
            <w:vAlign w:val="center"/>
          </w:tcPr>
          <w:p w14:paraId="7F74044A">
            <w:pPr>
              <w:jc w:val="center"/>
              <w:rPr>
                <w:rFonts w:hint="default" w:eastAsiaTheme="minorEastAsia"/>
                <w:color w:val="000000"/>
                <w:sz w:val="24"/>
                <w:szCs w:val="24"/>
                <w:lang w:val="en-US" w:eastAsia="zh-CN" w:bidi="ar"/>
              </w:rPr>
            </w:pPr>
            <w:r>
              <w:rPr>
                <w:rFonts w:hint="eastAsia" w:eastAsiaTheme="minorEastAsia"/>
                <w:sz w:val="24"/>
                <w:szCs w:val="24"/>
              </w:rPr>
              <w:t>-</w:t>
            </w:r>
          </w:p>
        </w:tc>
      </w:tr>
      <w:tr w14:paraId="6BFA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7053" w:type="dxa"/>
            <w:gridSpan w:val="4"/>
            <w:vAlign w:val="center"/>
          </w:tcPr>
          <w:p w14:paraId="70FEF183">
            <w:pPr>
              <w:snapToGrid w:val="0"/>
              <w:rPr>
                <w:rFonts w:eastAsiaTheme="minorEastAsia"/>
                <w:color w:val="000000"/>
                <w:sz w:val="24"/>
                <w:szCs w:val="24"/>
              </w:rPr>
            </w:pPr>
            <w:r>
              <w:rPr>
                <w:rFonts w:hint="eastAsia" w:eastAsiaTheme="minorEastAsia"/>
                <w:color w:val="000000"/>
                <w:sz w:val="24"/>
                <w:szCs w:val="24"/>
              </w:rPr>
              <w:t>募集期限届满基金是否符合法律法规规定的办理基金备案手续的条件</w:t>
            </w:r>
          </w:p>
        </w:tc>
        <w:tc>
          <w:tcPr>
            <w:tcW w:w="2018" w:type="dxa"/>
            <w:vAlign w:val="center"/>
          </w:tcPr>
          <w:p w14:paraId="738F0C89">
            <w:pPr>
              <w:spacing w:line="560" w:lineRule="exact"/>
              <w:jc w:val="center"/>
              <w:rPr>
                <w:rFonts w:cs="宋体" w:eastAsiaTheme="minorEastAsia"/>
                <w:sz w:val="24"/>
                <w:szCs w:val="24"/>
              </w:rPr>
            </w:pPr>
            <w:r>
              <w:rPr>
                <w:rFonts w:hint="eastAsia" w:eastAsiaTheme="minorEastAsia"/>
                <w:sz w:val="24"/>
                <w:szCs w:val="24"/>
              </w:rPr>
              <w:t>是</w:t>
            </w:r>
          </w:p>
        </w:tc>
      </w:tr>
      <w:tr w14:paraId="0716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53" w:type="dxa"/>
            <w:gridSpan w:val="4"/>
            <w:vAlign w:val="center"/>
          </w:tcPr>
          <w:p w14:paraId="363E576A">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2018" w:type="dxa"/>
            <w:vAlign w:val="center"/>
          </w:tcPr>
          <w:p w14:paraId="0AD5352C">
            <w:pPr>
              <w:rPr>
                <w:rFonts w:cs="宋体" w:eastAsiaTheme="minorEastAsia"/>
                <w:sz w:val="24"/>
                <w:szCs w:val="24"/>
              </w:rPr>
            </w:pPr>
            <w:r>
              <w:rPr>
                <w:rFonts w:hint="eastAsia" w:eastAsiaTheme="minorEastAsia"/>
                <w:sz w:val="24"/>
                <w:szCs w:val="24"/>
              </w:rPr>
              <w:t>2026年</w:t>
            </w:r>
            <w:r>
              <w:rPr>
                <w:rFonts w:hint="eastAsia" w:eastAsiaTheme="minorEastAsia"/>
                <w:sz w:val="24"/>
                <w:szCs w:val="24"/>
                <w:lang w:val="en-US" w:eastAsia="zh-CN"/>
              </w:rPr>
              <w:t>7</w:t>
            </w:r>
            <w:r>
              <w:rPr>
                <w:rFonts w:hint="eastAsia" w:eastAsiaTheme="minorEastAsia"/>
                <w:sz w:val="24"/>
                <w:szCs w:val="24"/>
              </w:rPr>
              <w:t>月</w:t>
            </w:r>
            <w:r>
              <w:rPr>
                <w:rFonts w:hint="eastAsia" w:eastAsiaTheme="minorEastAsia"/>
                <w:sz w:val="24"/>
                <w:szCs w:val="24"/>
                <w:lang w:val="en-US" w:eastAsia="zh-CN"/>
              </w:rPr>
              <w:t>21</w:t>
            </w:r>
            <w:r>
              <w:rPr>
                <w:rFonts w:hint="eastAsia" w:eastAsiaTheme="minorEastAsia"/>
                <w:sz w:val="24"/>
                <w:szCs w:val="24"/>
              </w:rPr>
              <w:t>日</w:t>
            </w:r>
          </w:p>
        </w:tc>
      </w:tr>
    </w:tbl>
    <w:p w14:paraId="0364D6AA">
      <w:pPr>
        <w:spacing w:line="360" w:lineRule="auto"/>
        <w:rPr>
          <w:rFonts w:eastAsiaTheme="minorEastAsia"/>
          <w:kern w:val="0"/>
          <w:sz w:val="24"/>
          <w:szCs w:val="24"/>
        </w:rPr>
      </w:pPr>
      <w:r>
        <w:rPr>
          <w:rFonts w:eastAsiaTheme="minorEastAsia"/>
          <w:kern w:val="0"/>
          <w:sz w:val="24"/>
          <w:szCs w:val="24"/>
        </w:rPr>
        <w:t>注：</w:t>
      </w:r>
      <w:r>
        <w:rPr>
          <w:rFonts w:hint="eastAsia" w:eastAsiaTheme="minorEastAsia"/>
          <w:kern w:val="0"/>
          <w:sz w:val="24"/>
          <w:szCs w:val="24"/>
        </w:rPr>
        <w:t>（</w:t>
      </w:r>
      <w:r>
        <w:rPr>
          <w:rFonts w:eastAsiaTheme="minorEastAsia"/>
          <w:kern w:val="0"/>
          <w:sz w:val="24"/>
          <w:szCs w:val="24"/>
        </w:rPr>
        <w:t>1</w:t>
      </w:r>
      <w:r>
        <w:rPr>
          <w:rFonts w:hint="eastAsia" w:eastAsiaTheme="minor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14:paraId="02B1CF30">
      <w:pPr>
        <w:spacing w:line="360" w:lineRule="auto"/>
        <w:rPr>
          <w:rFonts w:eastAsiaTheme="minorEastAsia"/>
          <w:kern w:val="0"/>
          <w:sz w:val="24"/>
          <w:szCs w:val="24"/>
        </w:rPr>
      </w:pPr>
      <w:r>
        <w:rPr>
          <w:rFonts w:eastAsiaTheme="minorEastAsia"/>
          <w:kern w:val="0"/>
          <w:sz w:val="24"/>
          <w:szCs w:val="24"/>
        </w:rPr>
        <w:t>（2）</w:t>
      </w:r>
      <w:r>
        <w:rPr>
          <w:rFonts w:hint="eastAsia" w:eastAsiaTheme="minorEastAsia"/>
          <w:kern w:val="0"/>
          <w:sz w:val="24"/>
          <w:szCs w:val="24"/>
        </w:rPr>
        <w:t>本基金管理人的高级管理人员、基金投资和研究部门负责</w:t>
      </w:r>
      <w:bookmarkStart w:id="2" w:name="_GoBack"/>
      <w:bookmarkEnd w:id="2"/>
      <w:r>
        <w:rPr>
          <w:rFonts w:hint="eastAsia" w:eastAsiaTheme="minorEastAsia"/>
          <w:kern w:val="0"/>
          <w:sz w:val="24"/>
          <w:szCs w:val="24"/>
        </w:rPr>
        <w:t>人未认购本基金；本基金基金经理未认购本基金。</w:t>
      </w:r>
    </w:p>
    <w:p w14:paraId="72A640A2">
      <w:pPr>
        <w:spacing w:line="360" w:lineRule="auto"/>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3</w:t>
      </w:r>
      <w:r>
        <w:rPr>
          <w:rFonts w:hint="eastAsia" w:eastAsiaTheme="minor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14:paraId="15108A8F">
      <w:pPr>
        <w:pStyle w:val="2"/>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3 其他需要提示的事项</w:t>
      </w:r>
    </w:p>
    <w:p w14:paraId="561BB654">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1）基金份额持有人可以在基金合同生效之日起2个工作日后到销售机构的网点进行交易确认单的查询和打印，也可以通过本基金管理人的网站（www.fund001.com）查询交易确认情况。</w:t>
      </w:r>
    </w:p>
    <w:p w14:paraId="33425EDC">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hint="eastAsia" w:eastAsiaTheme="minorEastAsia"/>
          <w:kern w:val="0"/>
          <w:sz w:val="24"/>
          <w:szCs w:val="24"/>
        </w:rPr>
        <w:t>公开募集</w:t>
      </w:r>
      <w:r>
        <w:rPr>
          <w:rFonts w:eastAsiaTheme="minorEastAsia"/>
          <w:kern w:val="0"/>
          <w:sz w:val="24"/>
          <w:szCs w:val="24"/>
        </w:rPr>
        <w:t>证券投资基金信息披露管理办法》的有关规定在</w:t>
      </w:r>
      <w:r>
        <w:rPr>
          <w:rFonts w:hint="eastAsia" w:eastAsiaTheme="minorEastAsia"/>
          <w:kern w:val="0"/>
          <w:sz w:val="24"/>
          <w:szCs w:val="24"/>
        </w:rPr>
        <w:t>规定</w:t>
      </w:r>
      <w:r>
        <w:rPr>
          <w:rFonts w:eastAsiaTheme="minorEastAsia"/>
          <w:kern w:val="0"/>
          <w:sz w:val="24"/>
          <w:szCs w:val="24"/>
        </w:rPr>
        <w:t>媒体上公告。</w:t>
      </w:r>
    </w:p>
    <w:p w14:paraId="5C698FBA">
      <w:pPr>
        <w:widowControl/>
        <w:spacing w:line="360" w:lineRule="auto"/>
        <w:ind w:firstLine="480" w:firstLineChars="200"/>
        <w:rPr>
          <w:rFonts w:eastAsiaTheme="minorEastAsia"/>
          <w:kern w:val="0"/>
          <w:sz w:val="24"/>
          <w:szCs w:val="24"/>
        </w:rPr>
      </w:pPr>
    </w:p>
    <w:p w14:paraId="4D7EFA54">
      <w:pPr>
        <w:spacing w:line="360" w:lineRule="auto"/>
        <w:ind w:firstLine="480" w:firstLineChars="200"/>
        <w:rPr>
          <w:rFonts w:eastAsiaTheme="minorEastAsia"/>
          <w:kern w:val="0"/>
          <w:sz w:val="24"/>
          <w:szCs w:val="24"/>
        </w:rPr>
      </w:pPr>
      <w:r>
        <w:rPr>
          <w:rFonts w:hint="eastAsia" w:eastAsiaTheme="minorEastAsia"/>
          <w:kern w:val="0"/>
          <w:sz w:val="24"/>
          <w:szCs w:val="24"/>
        </w:rPr>
        <w:t>风险提示：</w:t>
      </w:r>
    </w:p>
    <w:p w14:paraId="72C9777A">
      <w:pPr>
        <w:widowControl/>
        <w:spacing w:line="360" w:lineRule="auto"/>
        <w:ind w:firstLine="480" w:firstLineChars="200"/>
        <w:rPr>
          <w:rFonts w:eastAsiaTheme="minorEastAsia"/>
          <w:kern w:val="0"/>
          <w:sz w:val="24"/>
          <w:szCs w:val="24"/>
        </w:rPr>
      </w:pPr>
      <w:r>
        <w:rPr>
          <w:rFonts w:hint="eastAsia" w:eastAsiaTheme="minor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6ECC88EE">
      <w:pPr>
        <w:widowControl/>
        <w:spacing w:line="360" w:lineRule="auto"/>
        <w:ind w:firstLine="480" w:firstLineChars="200"/>
        <w:rPr>
          <w:rFonts w:eastAsiaTheme="minorEastAsia"/>
          <w:kern w:val="0"/>
          <w:sz w:val="24"/>
          <w:szCs w:val="24"/>
        </w:rPr>
      </w:pPr>
      <w:r>
        <w:rPr>
          <w:rFonts w:hint="eastAsia" w:eastAsiaTheme="minorEastAsia"/>
          <w:kern w:val="0"/>
          <w:sz w:val="24"/>
          <w:szCs w:val="24"/>
        </w:rPr>
        <w:t>特此公告。</w:t>
      </w:r>
    </w:p>
    <w:p w14:paraId="153DE328"/>
    <w:p w14:paraId="1895CC0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7356"/>
    <w:rsid w:val="000278BB"/>
    <w:rsid w:val="00027DF0"/>
    <w:rsid w:val="0003045F"/>
    <w:rsid w:val="000313EA"/>
    <w:rsid w:val="00032038"/>
    <w:rsid w:val="000330C4"/>
    <w:rsid w:val="00035BD7"/>
    <w:rsid w:val="00035D00"/>
    <w:rsid w:val="00041353"/>
    <w:rsid w:val="00043C9F"/>
    <w:rsid w:val="0004636C"/>
    <w:rsid w:val="00053224"/>
    <w:rsid w:val="0005479A"/>
    <w:rsid w:val="00055D1E"/>
    <w:rsid w:val="0005662E"/>
    <w:rsid w:val="00063472"/>
    <w:rsid w:val="00064A42"/>
    <w:rsid w:val="000667FA"/>
    <w:rsid w:val="000710DE"/>
    <w:rsid w:val="00074E44"/>
    <w:rsid w:val="00077D6C"/>
    <w:rsid w:val="00077F66"/>
    <w:rsid w:val="00083E36"/>
    <w:rsid w:val="00090A74"/>
    <w:rsid w:val="000919E4"/>
    <w:rsid w:val="000A221B"/>
    <w:rsid w:val="000B5039"/>
    <w:rsid w:val="000C3C56"/>
    <w:rsid w:val="000C78D8"/>
    <w:rsid w:val="000D209F"/>
    <w:rsid w:val="000D5F83"/>
    <w:rsid w:val="000E1829"/>
    <w:rsid w:val="000F1D61"/>
    <w:rsid w:val="00102950"/>
    <w:rsid w:val="00107ABA"/>
    <w:rsid w:val="00115202"/>
    <w:rsid w:val="00115B3C"/>
    <w:rsid w:val="0011615A"/>
    <w:rsid w:val="001204F3"/>
    <w:rsid w:val="00120672"/>
    <w:rsid w:val="00131030"/>
    <w:rsid w:val="00131CAD"/>
    <w:rsid w:val="001322F8"/>
    <w:rsid w:val="00134BCF"/>
    <w:rsid w:val="00142050"/>
    <w:rsid w:val="00142AB7"/>
    <w:rsid w:val="001457F7"/>
    <w:rsid w:val="0015334B"/>
    <w:rsid w:val="00155179"/>
    <w:rsid w:val="001613A7"/>
    <w:rsid w:val="001629D8"/>
    <w:rsid w:val="0016571B"/>
    <w:rsid w:val="00176ACF"/>
    <w:rsid w:val="00176B7C"/>
    <w:rsid w:val="0018104F"/>
    <w:rsid w:val="00182710"/>
    <w:rsid w:val="00195C61"/>
    <w:rsid w:val="001965BF"/>
    <w:rsid w:val="001A0386"/>
    <w:rsid w:val="001A3C23"/>
    <w:rsid w:val="001A63ED"/>
    <w:rsid w:val="001B676D"/>
    <w:rsid w:val="001B7BEB"/>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1E38"/>
    <w:rsid w:val="00221F2C"/>
    <w:rsid w:val="00224161"/>
    <w:rsid w:val="00227191"/>
    <w:rsid w:val="00235DA6"/>
    <w:rsid w:val="00237088"/>
    <w:rsid w:val="00240036"/>
    <w:rsid w:val="00240591"/>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94E55"/>
    <w:rsid w:val="002A2812"/>
    <w:rsid w:val="002A57CA"/>
    <w:rsid w:val="002B287A"/>
    <w:rsid w:val="002B4F0F"/>
    <w:rsid w:val="002B551A"/>
    <w:rsid w:val="002C1686"/>
    <w:rsid w:val="002C5B2A"/>
    <w:rsid w:val="002C7DB3"/>
    <w:rsid w:val="002D0DB5"/>
    <w:rsid w:val="002D7461"/>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C4"/>
    <w:rsid w:val="00353F65"/>
    <w:rsid w:val="003545E4"/>
    <w:rsid w:val="00355193"/>
    <w:rsid w:val="00357AC9"/>
    <w:rsid w:val="00361B89"/>
    <w:rsid w:val="00366377"/>
    <w:rsid w:val="003675D8"/>
    <w:rsid w:val="003716DE"/>
    <w:rsid w:val="003735A2"/>
    <w:rsid w:val="003770DB"/>
    <w:rsid w:val="003860D0"/>
    <w:rsid w:val="00390E48"/>
    <w:rsid w:val="00391516"/>
    <w:rsid w:val="003946C0"/>
    <w:rsid w:val="00395A7F"/>
    <w:rsid w:val="003A0766"/>
    <w:rsid w:val="003A0EF8"/>
    <w:rsid w:val="003A2E05"/>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3048D"/>
    <w:rsid w:val="00432AA7"/>
    <w:rsid w:val="00433603"/>
    <w:rsid w:val="0043612F"/>
    <w:rsid w:val="0044222E"/>
    <w:rsid w:val="00443ACF"/>
    <w:rsid w:val="00443C52"/>
    <w:rsid w:val="004449D1"/>
    <w:rsid w:val="00457F15"/>
    <w:rsid w:val="004669F8"/>
    <w:rsid w:val="00467A98"/>
    <w:rsid w:val="00470D71"/>
    <w:rsid w:val="00471C46"/>
    <w:rsid w:val="00471F62"/>
    <w:rsid w:val="004728BC"/>
    <w:rsid w:val="0049139B"/>
    <w:rsid w:val="00492AC6"/>
    <w:rsid w:val="00494441"/>
    <w:rsid w:val="004966BA"/>
    <w:rsid w:val="004A074A"/>
    <w:rsid w:val="004A1F75"/>
    <w:rsid w:val="004A631B"/>
    <w:rsid w:val="004B6B00"/>
    <w:rsid w:val="004C055C"/>
    <w:rsid w:val="004C5152"/>
    <w:rsid w:val="004D2CFF"/>
    <w:rsid w:val="004D40F4"/>
    <w:rsid w:val="004D6CE8"/>
    <w:rsid w:val="004D7EA3"/>
    <w:rsid w:val="004E5BA6"/>
    <w:rsid w:val="004E61F8"/>
    <w:rsid w:val="004F692B"/>
    <w:rsid w:val="005012DD"/>
    <w:rsid w:val="005025FA"/>
    <w:rsid w:val="005063B1"/>
    <w:rsid w:val="00522FF9"/>
    <w:rsid w:val="00525C51"/>
    <w:rsid w:val="0052630B"/>
    <w:rsid w:val="0053210D"/>
    <w:rsid w:val="00532682"/>
    <w:rsid w:val="0054292E"/>
    <w:rsid w:val="005434E3"/>
    <w:rsid w:val="00543DE4"/>
    <w:rsid w:val="00551804"/>
    <w:rsid w:val="00553FA4"/>
    <w:rsid w:val="00561DFB"/>
    <w:rsid w:val="00565CBB"/>
    <w:rsid w:val="00575394"/>
    <w:rsid w:val="00582351"/>
    <w:rsid w:val="00585268"/>
    <w:rsid w:val="00585A2E"/>
    <w:rsid w:val="00591F82"/>
    <w:rsid w:val="0059261A"/>
    <w:rsid w:val="005A05D5"/>
    <w:rsid w:val="005A137B"/>
    <w:rsid w:val="005A2F1F"/>
    <w:rsid w:val="005A3291"/>
    <w:rsid w:val="005A4BD5"/>
    <w:rsid w:val="005A6A45"/>
    <w:rsid w:val="005B0474"/>
    <w:rsid w:val="005B66AC"/>
    <w:rsid w:val="005B685A"/>
    <w:rsid w:val="005B6B4E"/>
    <w:rsid w:val="005C0B8D"/>
    <w:rsid w:val="005C1B44"/>
    <w:rsid w:val="005C4680"/>
    <w:rsid w:val="005C53D5"/>
    <w:rsid w:val="005D5CAA"/>
    <w:rsid w:val="005D6260"/>
    <w:rsid w:val="005D6289"/>
    <w:rsid w:val="005D78BE"/>
    <w:rsid w:val="005E0049"/>
    <w:rsid w:val="005E1718"/>
    <w:rsid w:val="005F0D33"/>
    <w:rsid w:val="005F1C36"/>
    <w:rsid w:val="005F72EE"/>
    <w:rsid w:val="005F796C"/>
    <w:rsid w:val="00601BF3"/>
    <w:rsid w:val="00603670"/>
    <w:rsid w:val="00613952"/>
    <w:rsid w:val="00615513"/>
    <w:rsid w:val="0061553F"/>
    <w:rsid w:val="0061685F"/>
    <w:rsid w:val="006205E6"/>
    <w:rsid w:val="00623C2A"/>
    <w:rsid w:val="00623D12"/>
    <w:rsid w:val="00631110"/>
    <w:rsid w:val="00634C46"/>
    <w:rsid w:val="00634D25"/>
    <w:rsid w:val="00635330"/>
    <w:rsid w:val="00636D84"/>
    <w:rsid w:val="00641C81"/>
    <w:rsid w:val="006632DE"/>
    <w:rsid w:val="006706C5"/>
    <w:rsid w:val="00677A73"/>
    <w:rsid w:val="006860C1"/>
    <w:rsid w:val="006900FF"/>
    <w:rsid w:val="006A4579"/>
    <w:rsid w:val="006B0CAF"/>
    <w:rsid w:val="006B402C"/>
    <w:rsid w:val="006B6CCA"/>
    <w:rsid w:val="006C4A70"/>
    <w:rsid w:val="006C5B33"/>
    <w:rsid w:val="006D56EA"/>
    <w:rsid w:val="006D640D"/>
    <w:rsid w:val="006D67CD"/>
    <w:rsid w:val="006D6968"/>
    <w:rsid w:val="006D7B06"/>
    <w:rsid w:val="006E5C65"/>
    <w:rsid w:val="006E6BB0"/>
    <w:rsid w:val="006F2656"/>
    <w:rsid w:val="006F2728"/>
    <w:rsid w:val="00713196"/>
    <w:rsid w:val="007161E4"/>
    <w:rsid w:val="00717E45"/>
    <w:rsid w:val="00721018"/>
    <w:rsid w:val="0073131B"/>
    <w:rsid w:val="00732355"/>
    <w:rsid w:val="00736B3B"/>
    <w:rsid w:val="00740F43"/>
    <w:rsid w:val="00755AEB"/>
    <w:rsid w:val="007670F3"/>
    <w:rsid w:val="0076782E"/>
    <w:rsid w:val="00771F3C"/>
    <w:rsid w:val="007874DA"/>
    <w:rsid w:val="00790BC2"/>
    <w:rsid w:val="00796A19"/>
    <w:rsid w:val="007A1FBA"/>
    <w:rsid w:val="007A52FA"/>
    <w:rsid w:val="007A6461"/>
    <w:rsid w:val="007B1304"/>
    <w:rsid w:val="007B2794"/>
    <w:rsid w:val="007B62CC"/>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74D"/>
    <w:rsid w:val="008251F6"/>
    <w:rsid w:val="00825D74"/>
    <w:rsid w:val="00832507"/>
    <w:rsid w:val="0084455A"/>
    <w:rsid w:val="00850717"/>
    <w:rsid w:val="008530FA"/>
    <w:rsid w:val="008551C9"/>
    <w:rsid w:val="00865588"/>
    <w:rsid w:val="008660BD"/>
    <w:rsid w:val="00866236"/>
    <w:rsid w:val="00871BA0"/>
    <w:rsid w:val="00873914"/>
    <w:rsid w:val="008754FF"/>
    <w:rsid w:val="00877B57"/>
    <w:rsid w:val="00884CC9"/>
    <w:rsid w:val="00892CB2"/>
    <w:rsid w:val="00894643"/>
    <w:rsid w:val="008956FE"/>
    <w:rsid w:val="008A2893"/>
    <w:rsid w:val="008B7070"/>
    <w:rsid w:val="008C3CED"/>
    <w:rsid w:val="008C6FD7"/>
    <w:rsid w:val="008D1678"/>
    <w:rsid w:val="008E08B3"/>
    <w:rsid w:val="008E0998"/>
    <w:rsid w:val="008E0CC1"/>
    <w:rsid w:val="008E15D6"/>
    <w:rsid w:val="008E52F3"/>
    <w:rsid w:val="008F10EE"/>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71A9"/>
    <w:rsid w:val="009425B1"/>
    <w:rsid w:val="00943D25"/>
    <w:rsid w:val="00944CBC"/>
    <w:rsid w:val="0094692C"/>
    <w:rsid w:val="00955159"/>
    <w:rsid w:val="0095670E"/>
    <w:rsid w:val="00965098"/>
    <w:rsid w:val="009666C0"/>
    <w:rsid w:val="00971704"/>
    <w:rsid w:val="00971C44"/>
    <w:rsid w:val="00974701"/>
    <w:rsid w:val="00980C70"/>
    <w:rsid w:val="00990CDE"/>
    <w:rsid w:val="00991070"/>
    <w:rsid w:val="009962F2"/>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3F19"/>
    <w:rsid w:val="009F4198"/>
    <w:rsid w:val="009F6591"/>
    <w:rsid w:val="009F6A2B"/>
    <w:rsid w:val="009F72C0"/>
    <w:rsid w:val="009F7478"/>
    <w:rsid w:val="00A032FA"/>
    <w:rsid w:val="00A10082"/>
    <w:rsid w:val="00A11CBA"/>
    <w:rsid w:val="00A14E53"/>
    <w:rsid w:val="00A213DC"/>
    <w:rsid w:val="00A231CF"/>
    <w:rsid w:val="00A27B23"/>
    <w:rsid w:val="00A307CC"/>
    <w:rsid w:val="00A33B71"/>
    <w:rsid w:val="00A35BE9"/>
    <w:rsid w:val="00A35CE3"/>
    <w:rsid w:val="00A44BD2"/>
    <w:rsid w:val="00A52802"/>
    <w:rsid w:val="00A53800"/>
    <w:rsid w:val="00A57903"/>
    <w:rsid w:val="00A60BD3"/>
    <w:rsid w:val="00A61671"/>
    <w:rsid w:val="00A61873"/>
    <w:rsid w:val="00A6604D"/>
    <w:rsid w:val="00A66B74"/>
    <w:rsid w:val="00A74AFB"/>
    <w:rsid w:val="00A774E7"/>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5A33"/>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7F4F"/>
    <w:rsid w:val="00B820E1"/>
    <w:rsid w:val="00B82298"/>
    <w:rsid w:val="00B82A89"/>
    <w:rsid w:val="00B82B4A"/>
    <w:rsid w:val="00B852DA"/>
    <w:rsid w:val="00B90602"/>
    <w:rsid w:val="00B916FE"/>
    <w:rsid w:val="00B91711"/>
    <w:rsid w:val="00B955D9"/>
    <w:rsid w:val="00BA79D5"/>
    <w:rsid w:val="00BB2BAF"/>
    <w:rsid w:val="00BB7E8A"/>
    <w:rsid w:val="00BD2A37"/>
    <w:rsid w:val="00BD4D21"/>
    <w:rsid w:val="00BD7EFA"/>
    <w:rsid w:val="00BE2AE5"/>
    <w:rsid w:val="00BE542E"/>
    <w:rsid w:val="00BE6F95"/>
    <w:rsid w:val="00BF6852"/>
    <w:rsid w:val="00C00536"/>
    <w:rsid w:val="00C072D6"/>
    <w:rsid w:val="00C1325E"/>
    <w:rsid w:val="00C1591D"/>
    <w:rsid w:val="00C30E6A"/>
    <w:rsid w:val="00C31487"/>
    <w:rsid w:val="00C35D35"/>
    <w:rsid w:val="00C40FE0"/>
    <w:rsid w:val="00C45C86"/>
    <w:rsid w:val="00C47B53"/>
    <w:rsid w:val="00C5233D"/>
    <w:rsid w:val="00C52547"/>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5199"/>
    <w:rsid w:val="00CD6CA8"/>
    <w:rsid w:val="00CE3C01"/>
    <w:rsid w:val="00CE701E"/>
    <w:rsid w:val="00CF3173"/>
    <w:rsid w:val="00D063DE"/>
    <w:rsid w:val="00D06CF5"/>
    <w:rsid w:val="00D15C76"/>
    <w:rsid w:val="00D327FB"/>
    <w:rsid w:val="00D339BD"/>
    <w:rsid w:val="00D35283"/>
    <w:rsid w:val="00D361E1"/>
    <w:rsid w:val="00D517E1"/>
    <w:rsid w:val="00D5237D"/>
    <w:rsid w:val="00D57698"/>
    <w:rsid w:val="00D57F49"/>
    <w:rsid w:val="00D60295"/>
    <w:rsid w:val="00D64B99"/>
    <w:rsid w:val="00D710AA"/>
    <w:rsid w:val="00D753E9"/>
    <w:rsid w:val="00D8024F"/>
    <w:rsid w:val="00D80F4D"/>
    <w:rsid w:val="00D826EE"/>
    <w:rsid w:val="00D87CD4"/>
    <w:rsid w:val="00D921BA"/>
    <w:rsid w:val="00DA4A51"/>
    <w:rsid w:val="00DA77B6"/>
    <w:rsid w:val="00DA7F43"/>
    <w:rsid w:val="00DB1342"/>
    <w:rsid w:val="00DB2A12"/>
    <w:rsid w:val="00DC081C"/>
    <w:rsid w:val="00DC4FF4"/>
    <w:rsid w:val="00DD46CD"/>
    <w:rsid w:val="00DE05CB"/>
    <w:rsid w:val="00DE090E"/>
    <w:rsid w:val="00DE2E33"/>
    <w:rsid w:val="00DE3711"/>
    <w:rsid w:val="00DE7BC9"/>
    <w:rsid w:val="00DE7E98"/>
    <w:rsid w:val="00E03903"/>
    <w:rsid w:val="00E1438A"/>
    <w:rsid w:val="00E15A54"/>
    <w:rsid w:val="00E17D5D"/>
    <w:rsid w:val="00E2069A"/>
    <w:rsid w:val="00E2122C"/>
    <w:rsid w:val="00E25248"/>
    <w:rsid w:val="00E27ABB"/>
    <w:rsid w:val="00E45320"/>
    <w:rsid w:val="00E5324F"/>
    <w:rsid w:val="00E533EE"/>
    <w:rsid w:val="00E56399"/>
    <w:rsid w:val="00E57275"/>
    <w:rsid w:val="00E613D7"/>
    <w:rsid w:val="00E621E2"/>
    <w:rsid w:val="00E66738"/>
    <w:rsid w:val="00E761DE"/>
    <w:rsid w:val="00E76CE0"/>
    <w:rsid w:val="00E77B33"/>
    <w:rsid w:val="00E8215C"/>
    <w:rsid w:val="00E954A2"/>
    <w:rsid w:val="00EA0545"/>
    <w:rsid w:val="00EB06D4"/>
    <w:rsid w:val="00EB22F0"/>
    <w:rsid w:val="00EB3E5E"/>
    <w:rsid w:val="00EB4F68"/>
    <w:rsid w:val="00EC181E"/>
    <w:rsid w:val="00ED13F9"/>
    <w:rsid w:val="00ED1B61"/>
    <w:rsid w:val="00ED65D5"/>
    <w:rsid w:val="00EE1819"/>
    <w:rsid w:val="00EE18FB"/>
    <w:rsid w:val="00EE338E"/>
    <w:rsid w:val="00EE75F0"/>
    <w:rsid w:val="00EF19DA"/>
    <w:rsid w:val="00EF1CBB"/>
    <w:rsid w:val="00EF40F5"/>
    <w:rsid w:val="00F0485C"/>
    <w:rsid w:val="00F102A0"/>
    <w:rsid w:val="00F13DDD"/>
    <w:rsid w:val="00F1658B"/>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0FE4"/>
    <w:rsid w:val="00F82497"/>
    <w:rsid w:val="00F8684F"/>
    <w:rsid w:val="00F92D5C"/>
    <w:rsid w:val="00FA2042"/>
    <w:rsid w:val="00FA3E5F"/>
    <w:rsid w:val="00FC5BDE"/>
    <w:rsid w:val="00FC6601"/>
    <w:rsid w:val="00FC6A28"/>
    <w:rsid w:val="00FD5DCA"/>
    <w:rsid w:val="00FE174F"/>
    <w:rsid w:val="00FE1833"/>
    <w:rsid w:val="00FE1F9A"/>
    <w:rsid w:val="00FE4D0A"/>
    <w:rsid w:val="00FF2E75"/>
    <w:rsid w:val="00FF37C0"/>
    <w:rsid w:val="00FF3E55"/>
    <w:rsid w:val="00FF5DD0"/>
    <w:rsid w:val="00FF68C6"/>
    <w:rsid w:val="076653B1"/>
    <w:rsid w:val="09373995"/>
    <w:rsid w:val="0A302995"/>
    <w:rsid w:val="0A804A91"/>
    <w:rsid w:val="0C48768D"/>
    <w:rsid w:val="0F06230E"/>
    <w:rsid w:val="105C6685"/>
    <w:rsid w:val="10703F15"/>
    <w:rsid w:val="112309B9"/>
    <w:rsid w:val="11B910F6"/>
    <w:rsid w:val="134B0AF8"/>
    <w:rsid w:val="17802C1E"/>
    <w:rsid w:val="18EC4816"/>
    <w:rsid w:val="1B8A5284"/>
    <w:rsid w:val="1BA6544E"/>
    <w:rsid w:val="246109B7"/>
    <w:rsid w:val="24DB3435"/>
    <w:rsid w:val="273437E5"/>
    <w:rsid w:val="2A95774B"/>
    <w:rsid w:val="2EC31678"/>
    <w:rsid w:val="2F936CFC"/>
    <w:rsid w:val="2FFA192F"/>
    <w:rsid w:val="30134BD0"/>
    <w:rsid w:val="344C16F7"/>
    <w:rsid w:val="394352D1"/>
    <w:rsid w:val="3A3C5041"/>
    <w:rsid w:val="3CFA6AF5"/>
    <w:rsid w:val="3EA37A33"/>
    <w:rsid w:val="42FF594F"/>
    <w:rsid w:val="45CE25EE"/>
    <w:rsid w:val="48F205E0"/>
    <w:rsid w:val="4D0E5D34"/>
    <w:rsid w:val="51F35668"/>
    <w:rsid w:val="52445E1C"/>
    <w:rsid w:val="52BA4D0E"/>
    <w:rsid w:val="532E4124"/>
    <w:rsid w:val="539707BE"/>
    <w:rsid w:val="56AE2729"/>
    <w:rsid w:val="57D60097"/>
    <w:rsid w:val="57E41028"/>
    <w:rsid w:val="587A1915"/>
    <w:rsid w:val="5BF062E2"/>
    <w:rsid w:val="67EE1836"/>
    <w:rsid w:val="6EDD2627"/>
    <w:rsid w:val="746B54EE"/>
    <w:rsid w:val="74F979A2"/>
    <w:rsid w:val="77842C22"/>
    <w:rsid w:val="79D80DB8"/>
    <w:rsid w:val="7B1C534B"/>
    <w:rsid w:val="7BFB6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1"/>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qFormat/>
    <w:uiPriority w:val="0"/>
    <w:pPr>
      <w:snapToGrid w:val="0"/>
      <w:jc w:val="left"/>
    </w:pPr>
    <w:rPr>
      <w:rFonts w:eastAsia="宋体"/>
      <w:sz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styleId="14">
    <w:name w:val="footnote reference"/>
    <w:basedOn w:val="12"/>
    <w:qFormat/>
    <w:uiPriority w:val="0"/>
    <w:rPr>
      <w:vertAlign w:val="superscript"/>
    </w:rPr>
  </w:style>
  <w:style w:type="character" w:customStyle="1" w:styleId="15">
    <w:name w:val="标题 2 字符"/>
    <w:basedOn w:val="12"/>
    <w:link w:val="2"/>
    <w:qFormat/>
    <w:uiPriority w:val="0"/>
    <w:rPr>
      <w:rFonts w:ascii="Arial" w:hAnsi="Arial" w:eastAsia="黑体" w:cs="Times New Roman"/>
      <w:b/>
      <w:bCs/>
      <w:sz w:val="32"/>
      <w:szCs w:val="32"/>
    </w:rPr>
  </w:style>
  <w:style w:type="character" w:customStyle="1" w:styleId="16">
    <w:name w:val="脚注文本 字符"/>
    <w:basedOn w:val="12"/>
    <w:link w:val="8"/>
    <w:qFormat/>
    <w:uiPriority w:val="0"/>
    <w:rPr>
      <w:rFonts w:ascii="Times New Roman" w:hAnsi="Times New Roman" w:eastAsia="宋体" w:cs="Times New Roman"/>
      <w:sz w:val="18"/>
      <w:szCs w:val="20"/>
    </w:rPr>
  </w:style>
  <w:style w:type="character" w:customStyle="1" w:styleId="17">
    <w:name w:val="页眉 字符"/>
    <w:basedOn w:val="12"/>
    <w:link w:val="7"/>
    <w:qFormat/>
    <w:uiPriority w:val="99"/>
    <w:rPr>
      <w:rFonts w:ascii="Times New Roman" w:hAnsi="Times New Roman" w:eastAsia="方正仿宋简体" w:cs="Times New Roman"/>
      <w:sz w:val="18"/>
      <w:szCs w:val="18"/>
    </w:rPr>
  </w:style>
  <w:style w:type="character" w:customStyle="1" w:styleId="18">
    <w:name w:val="页脚 字符"/>
    <w:basedOn w:val="12"/>
    <w:link w:val="6"/>
    <w:qFormat/>
    <w:uiPriority w:val="99"/>
    <w:rPr>
      <w:rFonts w:ascii="Times New Roman" w:hAnsi="Times New Roman" w:eastAsia="方正仿宋简体" w:cs="Times New Roman"/>
      <w:sz w:val="18"/>
      <w:szCs w:val="18"/>
    </w:rPr>
  </w:style>
  <w:style w:type="character" w:customStyle="1" w:styleId="19">
    <w:name w:val="文档结构图 字符"/>
    <w:basedOn w:val="12"/>
    <w:link w:val="3"/>
    <w:semiHidden/>
    <w:qFormat/>
    <w:uiPriority w:val="99"/>
    <w:rPr>
      <w:rFonts w:ascii="宋体" w:hAnsi="Times New Roman" w:eastAsia="宋体" w:cs="Times New Roman"/>
      <w:sz w:val="18"/>
      <w:szCs w:val="18"/>
    </w:rPr>
  </w:style>
  <w:style w:type="character" w:customStyle="1" w:styleId="20">
    <w:name w:val="批注框文本 字符"/>
    <w:basedOn w:val="12"/>
    <w:link w:val="5"/>
    <w:semiHidden/>
    <w:qFormat/>
    <w:uiPriority w:val="99"/>
    <w:rPr>
      <w:rFonts w:ascii="Times New Roman" w:hAnsi="Times New Roman" w:eastAsia="方正仿宋简体" w:cs="Times New Roman"/>
      <w:sz w:val="18"/>
      <w:szCs w:val="18"/>
    </w:rPr>
  </w:style>
  <w:style w:type="character" w:customStyle="1" w:styleId="21">
    <w:name w:val="批注文字 字符"/>
    <w:basedOn w:val="12"/>
    <w:link w:val="4"/>
    <w:semiHidden/>
    <w:qFormat/>
    <w:uiPriority w:val="99"/>
    <w:rPr>
      <w:rFonts w:ascii="Times New Roman" w:hAnsi="Times New Roman" w:eastAsia="方正仿宋简体" w:cs="Times New Roman"/>
      <w:sz w:val="32"/>
      <w:szCs w:val="20"/>
    </w:rPr>
  </w:style>
  <w:style w:type="character" w:customStyle="1" w:styleId="22">
    <w:name w:val="批注主题 字符"/>
    <w:basedOn w:val="21"/>
    <w:link w:val="9"/>
    <w:semiHidden/>
    <w:qFormat/>
    <w:uiPriority w:val="99"/>
    <w:rPr>
      <w:rFonts w:ascii="Times New Roman" w:hAnsi="Times New Roman" w:eastAsia="方正仿宋简体" w:cs="Times New Roman"/>
      <w:b/>
      <w:bCs/>
      <w:sz w:val="32"/>
      <w:szCs w:val="20"/>
    </w:rPr>
  </w:style>
  <w:style w:type="paragraph" w:customStyle="1" w:styleId="23">
    <w:name w:val="修订1"/>
    <w:hidden/>
    <w:semiHidden/>
    <w:qFormat/>
    <w:uiPriority w:val="99"/>
    <w:rPr>
      <w:rFonts w:ascii="Times New Roman" w:hAnsi="Times New Roman" w:eastAsia="方正仿宋简体" w:cs="Times New Roman"/>
      <w:kern w:val="2"/>
      <w:sz w:val="32"/>
      <w:lang w:val="en-US" w:eastAsia="zh-CN" w:bidi="ar-SA"/>
    </w:rPr>
  </w:style>
  <w:style w:type="paragraph" w:customStyle="1" w:styleId="24">
    <w:name w:val="Revision"/>
    <w:hidden/>
    <w:semiHidden/>
    <w:qFormat/>
    <w:uiPriority w:val="99"/>
    <w:rPr>
      <w:rFonts w:ascii="Times New Roman" w:hAnsi="Times New Roman" w:eastAsia="方正仿宋简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252</Words>
  <Characters>1443</Characters>
  <Lines>12</Lines>
  <Paragraphs>3</Paragraphs>
  <TotalTime>4</TotalTime>
  <ScaleCrop>false</ScaleCrop>
  <LinksUpToDate>false</LinksUpToDate>
  <CharactersWithSpaces>1692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2026-06-08T06:21:00Z</dcterms:created>
  <dc:creator>User</dc:creator>
  <cp:lastModifiedBy>zhangjing1</cp:lastModifiedBy>
  <cp:lastPrinted>2025-11-14T08:46:00Z</cp:lastPrinted>
  <dcterms:modified xsi:type="dcterms:W3CDTF">2026-07-20T09:03:57Z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B844DC5C69C24366929DF9C18F769011_13</vt:lpwstr>
  </property>
</Properties>
</file>