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交银施罗德红利量化选股混合型证券投资基金（C类份额）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2026-07-07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交银红利量化选股混合C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026745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2026-06-09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杨彦煜</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本基金重点关注红利主题相关上市公司的投资机会，通过量化方法优选个股构建投资组合。在合理控制风险的前提下，充分发挥专业研究与管理能力，力争为投资者提供长期稳健的投资回报。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本基金界定的红利主题相关股票（含存托凭证）占非现金基金资产的比例不低于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中证红利指数收益率×75%+中证港股通高股息投资指数（人民币）收益率×5%+中债-综合全价（总值）指数收益率×20%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详见《交银施罗德红利量化选股混合型证券投资基金招募说明书》第九部分“基金的投资”。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66"/>
        <w:gridCol w:w="4163"/>
        <w:gridCol w:w="217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hint="eastAsia" w:ascii="仿宋_GB2312" w:eastAsia="仿宋_GB2312"/>
                <w:szCs w:val="21"/>
                <w:lang w:eastAsia="zh-CN"/>
              </w:rPr>
            </w:pPr>
            <w:r>
              <w:rPr>
                <w:rFonts w:hint="eastAsia" w:ascii="仿宋_GB2312" w:eastAsia="仿宋_GB2312"/>
                <w:szCs w:val="21"/>
                <w:lang w:val="en-US" w:eastAsia="zh-CN"/>
              </w:rPr>
              <w:t>-</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hint="eastAsia" w:ascii="仿宋_GB2312" w:eastAsia="仿宋_GB2312"/>
                <w:szCs w:val="21"/>
                <w:lang w:eastAsia="zh-CN"/>
              </w:rPr>
            </w:pPr>
            <w:r>
              <w:rPr>
                <w:rFonts w:hint="eastAsia" w:ascii="仿宋_GB2312" w:eastAsia="仿宋_GB2312"/>
                <w:szCs w:val="21"/>
                <w:lang w:val="en-US" w:eastAsia="zh-CN"/>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通过直销机构认购/申购的C类基金份额，计提的销售服务费将在投资人赎回相应基金份额或基金合同终止时随赎回款或清算款一并返还给投资人；通过其他销售机构认购/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（1）本基金属于混合型基金，因此股市、债市的变化将影响到本基金的业绩表现。本基金管理人将发挥专业研究优势，持续优化组合配置，以控制特定风险。</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（3）投资股指期货的特定风险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（4）投资资产支持证券的特定风险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（5）投资流通受限证券的特定风险</w:t>
      </w:r>
    </w:p>
    <w:p>
      <w:pPr>
        <w:ind w:firstLine="420"/>
        <w:jc w:val="left"/>
        <w:rPr>
          <w:rFonts w:ascii="仿宋_GB2312" w:eastAsia="仿宋_GB2312"/>
          <w:szCs w:val="21"/>
        </w:rPr>
      </w:pPr>
      <w:r>
        <w:rPr>
          <w:rFonts w:hint="eastAsia" w:ascii="仿宋_GB2312" w:eastAsia="仿宋_GB2312"/>
          <w:szCs w:val="21"/>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（6）投资港股通标的股票的特定风险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（9）采用量化策略进行投资管理可能引致的特定风险</w:t>
      </w:r>
    </w:p>
    <w:p>
      <w:pPr>
        <w:ind w:firstLine="420"/>
        <w:jc w:val="left"/>
        <w:rPr>
          <w:rFonts w:ascii="仿宋_GB2312" w:eastAsia="仿宋_GB2312"/>
          <w:szCs w:val="21"/>
        </w:rPr>
      </w:pPr>
      <w:r>
        <w:rPr>
          <w:rFonts w:hint="eastAsia" w:ascii="仿宋_GB2312" w:eastAsia="仿宋_GB2312"/>
          <w:szCs w:val="21"/>
        </w:rPr>
        <w:t>本基金主要利用定量投资模型重点投资于本基金界定的红利主题相关股票，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pPr>
        <w:ind w:firstLine="420"/>
        <w:jc w:val="left"/>
        <w:rPr>
          <w:rFonts w:ascii="仿宋_GB2312" w:eastAsia="仿宋_GB2312"/>
          <w:szCs w:val="21"/>
        </w:rPr>
      </w:pPr>
      <w:r>
        <w:rPr>
          <w:rFonts w:hint="eastAsia" w:ascii="仿宋_GB2312" w:eastAsia="仿宋_GB2312"/>
          <w:szCs w:val="21"/>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lang w:eastAsia="zh-CN"/>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●《交银施罗德红利量化选股混合型证券投资基金基金合同》、</w:t>
      </w:r>
    </w:p>
    <w:p>
      <w:pPr>
        <w:ind w:firstLine="420"/>
        <w:jc w:val="left"/>
        <w:rPr>
          <w:rFonts w:ascii="仿宋_GB2312" w:eastAsia="仿宋_GB2312"/>
          <w:szCs w:val="21"/>
        </w:rPr>
      </w:pPr>
      <w:r>
        <w:rPr>
          <w:rFonts w:hint="eastAsia" w:ascii="仿宋_GB2312" w:eastAsia="仿宋_GB2312"/>
          <w:szCs w:val="21"/>
        </w:rPr>
        <w:t>《交银施罗德红利量化选股混合型证券投资基金托管协议》、</w:t>
      </w:r>
    </w:p>
    <w:p>
      <w:pPr>
        <w:ind w:firstLine="420"/>
        <w:jc w:val="left"/>
        <w:rPr>
          <w:rFonts w:ascii="仿宋_GB2312" w:eastAsia="仿宋_GB2312"/>
          <w:szCs w:val="21"/>
        </w:rPr>
      </w:pPr>
      <w:r>
        <w:rPr>
          <w:rFonts w:hint="eastAsia" w:ascii="仿宋_GB2312" w:eastAsia="仿宋_GB2312"/>
          <w:szCs w:val="21"/>
        </w:rPr>
        <w:t>《交银施罗德红利量化选股混合型证券投资基金招募说明书》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6157D"/>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79B6262"/>
    <w:rsid w:val="3E7A473D"/>
    <w:rsid w:val="7CFF2A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806</Words>
  <Characters>4600</Characters>
  <Lines>38</Lines>
  <Paragraphs>10</Paragraphs>
  <TotalTime>0</TotalTime>
  <ScaleCrop>false</ScaleCrop>
  <LinksUpToDate>false</LinksUpToDate>
  <CharactersWithSpaces>5396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2026-07-09T06:35:00Z</dcterms:created>
  <dc:creator>Cc</dc:creator>
  <cp:lastModifiedBy>haotingting</cp:lastModifiedBy>
  <dcterms:modified xsi:type="dcterms:W3CDTF">2026-07-09T06:43:18Z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A40D0B94755F486380B08BC7B1870482</vt:lpwstr>
  </property>
</Properties>
</file>