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交银施罗德红利量化选股混合型证券投资基金（A类份额）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2026-07-07</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交银红利量化选股混合A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026744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招商银行股份有限公司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2026-06-09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杨彦煜</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2026-07-07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2016-07-11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蔡铮</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2026-06-09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2009-12-14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60个工作日出现前述情形的，基金管理人应当在10个工作日内向中国证监会报告并提出解决方案，如持续运作、转换运作方式、与其他基金合并或者终止基金合同等，并在6个月内召集基金份额持有人大会。</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本基金为偏股混合型基金。</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本基金重点关注红利主题相关上市公司的投资机会，通过量化方法优选个股构建投资组合。在合理控制风险的前提下，充分发挥专业研究与管理能力，力争为投资者提供长期稳健的投资回报。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主板、创业板、科创板及其他经中国证监会核准或注册上市的股票、存托凭证）、港股通标的股票、债券（含国债、央行票据、金融债券、政府支持债券、政府支持机构债券、地方政府债券、企业债券、公司债券、可转换债券（含可分离交易可转换债券的纯债部分）、可交换公司债券、公开发行的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投资（含存托凭证）占基金资产的比例为60%-95%，其中投资于港股通标的股票的比例占股票资产的0%-50%；投资于本基金界定的红利主题相关股票（含存托凭证）占非现金基金资产的比例不低于80%；每个交易日日终在扣除股指期货合约需缴纳的交易保证金后，本基金持有的现金或者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在严谨深入的股票和债券研究分析基础上，自下而上精选个股和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1、大类资产配置；2、股票投资策略；3、债券投资策略；4、资产支持证券投资策略；5、股指期货投资策略。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中证红利指数收益率×75%+中证港股通高股息投资指数（人民币）收益率×5%+中债-综合全价（总值）指数收益率×20%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本基金是一只混合型基金，其预期风险和预期收益理论上高于债券型基金和货币市场基金，低于股票型基金。</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详见《交银施罗德红利量化选股混合型证券投资基金招募说明书》第九部分“基金的投资”。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ind w:firstLine="420"/>
        <w:jc w:val="left"/>
        <w:rPr>
          <w:rFonts w:ascii="仿宋_GB2312" w:eastAsia="仿宋_GB2312"/>
          <w:szCs w:val="21"/>
        </w:rPr>
      </w:pPr>
      <w:r>
        <w:rPr>
          <w:rFonts w:hint="eastAsia" w:ascii="仿宋_GB2312" w:eastAsia="仿宋_GB2312"/>
          <w:szCs w:val="21"/>
        </w:rPr>
        <w:t>无。</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ind w:firstLine="420"/>
        <w:jc w:val="left"/>
        <w:rPr>
          <w:rFonts w:ascii="仿宋_GB2312" w:eastAsia="仿宋_GB2312"/>
          <w:szCs w:val="21"/>
        </w:rPr>
      </w:pPr>
      <w:r>
        <w:rPr>
          <w:rFonts w:hint="eastAsia" w:ascii="仿宋_GB2312" w:eastAsia="仿宋_GB2312"/>
          <w:szCs w:val="21"/>
        </w:rPr>
        <w:t>无。</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8"/>
        <w:gridCol w:w="2821"/>
        <w:gridCol w:w="1747"/>
        <w:gridCol w:w="1992"/>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认购费</w:t>
            </w:r>
          </w:p>
        </w:tc>
        <w:tc>
          <w:tcPr>
            <w:tcW w:w="2409" w:type="dxa"/>
          </w:tcPr>
          <w:p>
            <w:pPr>
              <w:rPr>
                <w:rFonts w:ascii="仿宋_GB2312" w:eastAsia="仿宋_GB2312"/>
                <w:szCs w:val="21"/>
              </w:rPr>
            </w:pPr>
            <w:r>
              <w:rPr>
                <w:rFonts w:hint="eastAsia" w:ascii="仿宋_GB2312" w:eastAsia="仿宋_GB2312"/>
                <w:szCs w:val="21"/>
              </w:rPr>
              <w:t>M＜500万元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1.0%</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30天≤N＜180天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180天≤N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通过直销机构认购/申购的基金份额，不收取认购/申购费用。2、本基金对持续持有期少于7日的投资人收取1.5%的赎回费，请投资人予以关注。3、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75"/>
        <w:gridCol w:w="4145"/>
        <w:gridCol w:w="218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（1）本基金属于混合型基金，因此股市、债市的变化将影响到本基金的业绩表现。本基金管理人将发挥专业研究优势，持续优化组合配置，以控制特定风险。</w:t>
      </w:r>
    </w:p>
    <w:p>
      <w:pPr>
        <w:ind w:firstLine="420"/>
        <w:jc w:val="left"/>
        <w:rPr>
          <w:rFonts w:ascii="仿宋_GB2312" w:eastAsia="仿宋_GB2312"/>
          <w:szCs w:val="21"/>
        </w:rPr>
      </w:pPr>
      <w:r>
        <w:rPr>
          <w:rFonts w:hint="eastAsia" w:ascii="仿宋_GB2312" w:eastAsia="仿宋_GB2312"/>
          <w:szCs w:val="21"/>
        </w:rPr>
        <w:t>（2）本基金可投资创业板股票，创业板个股上市后的前五个交易日不设价格涨跌幅限制，第六个交易日开始涨跌幅限制比例为20%。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（3）投资股指期货的特定风险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（4）投资资产支持证券的特定风险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（5）投资流通受限证券的特定风险</w:t>
      </w:r>
    </w:p>
    <w:p>
      <w:pPr>
        <w:ind w:firstLine="420"/>
        <w:jc w:val="left"/>
        <w:rPr>
          <w:rFonts w:ascii="仿宋_GB2312" w:eastAsia="仿宋_GB2312"/>
          <w:szCs w:val="21"/>
        </w:rPr>
      </w:pPr>
      <w:r>
        <w:rPr>
          <w:rFonts w:hint="eastAsia" w:ascii="仿宋_GB2312" w:eastAsia="仿宋_GB2312"/>
          <w:szCs w:val="21"/>
        </w:rPr>
        <w:t>本基金若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（6）投资港股通标的股票的特定风险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（7）投资存托凭证的特定风险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（8）投资科创板股票的特定风险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（9）采用量化策略进行投资管理可能引致的特定风险</w:t>
      </w:r>
    </w:p>
    <w:p>
      <w:pPr>
        <w:ind w:firstLine="420"/>
        <w:jc w:val="left"/>
        <w:rPr>
          <w:rFonts w:ascii="仿宋_GB2312" w:eastAsia="仿宋_GB2312"/>
          <w:szCs w:val="21"/>
        </w:rPr>
      </w:pPr>
      <w:r>
        <w:rPr>
          <w:rFonts w:hint="eastAsia" w:ascii="仿宋_GB2312" w:eastAsia="仿宋_GB2312"/>
          <w:szCs w:val="21"/>
        </w:rPr>
        <w:t>本基金主要利用定量投资模型重点投资于本基金界定的红利主题相关股票，其以广泛覆盖各类信息源的数据库为基础，包括宏观经济数据、行业经济数据、证券与期货交易行情数据、上市公司财务数据等。这些数据通常来源于不同的数据提供商，并且因为不同的需要，在数据加工过程中可能遵循不同的规范。基金管理人所建立量化模型将以加工后的数据作为输入，因此，源数据错误或预处理过程中出现的错误可能直接影响量化模型的输出结果，形成数据风险。</w:t>
      </w:r>
    </w:p>
    <w:p>
      <w:pPr>
        <w:ind w:firstLine="420"/>
        <w:jc w:val="left"/>
        <w:rPr>
          <w:rFonts w:ascii="仿宋_GB2312" w:eastAsia="仿宋_GB2312"/>
          <w:szCs w:val="21"/>
        </w:rPr>
      </w:pPr>
      <w:r>
        <w:rPr>
          <w:rFonts w:hint="eastAsia" w:ascii="仿宋_GB2312" w:eastAsia="仿宋_GB2312"/>
          <w:szCs w:val="21"/>
        </w:rPr>
        <w:t>此外，由于本基金采用量化模型指导投资决策，因此定量方法的缺陷在一定程度上也会影响本基金的表现。一方面，面对不断变换的市场环境，量化投资策略所遵循的模型理论均处于不断发展和完善的过程中；另一方面，在定量模型的具体设定中，核心参数假定的变动均可能影响整体效果的稳定性；最后，定量模型存在对历史数据的依赖。因此，在实际运作过程中，市场环境的变化可能导致遵循量化模型构建的投资组合在一定程度上无法达到预期的投资效果。</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szCs w:val="21"/>
        </w:rPr>
      </w:pPr>
      <w:bookmarkStart w:id="0" w:name="_GoBack"/>
      <w:r>
        <w:rPr>
          <w:rFonts w:hint="eastAsia" w:ascii="仿宋_GB2312" w:eastAsia="仿宋_GB2312"/>
          <w:szCs w:val="21"/>
          <w:lang w:eastAsia="zh-CN"/>
        </w:rPr>
        <w:t>▲▲</w:t>
      </w:r>
      <w:bookmarkEnd w:id="0"/>
      <w:r>
        <w:rPr>
          <w:rFonts w:hint="eastAsia" w:ascii="仿宋_GB2312" w:eastAsia="仿宋_GB2312"/>
          <w:b/>
          <w:bCs/>
          <w:szCs w:val="21"/>
        </w:rPr>
        <w:t>因基金合同而产生的或与基金合同有关的一切争议，如经友好协商未能解决的，任何一方均有权将争议提交深圳国际仲裁院，按照深圳国际仲裁院届时有效的仲裁规则进行仲裁。仲裁地点为深圳市。</w:t>
      </w:r>
    </w:p>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●《交银施罗德红利量化选股混合型证券投资基金基金合同》、</w:t>
      </w:r>
    </w:p>
    <w:p>
      <w:pPr>
        <w:ind w:firstLine="420"/>
        <w:jc w:val="left"/>
        <w:rPr>
          <w:rFonts w:ascii="仿宋_GB2312" w:eastAsia="仿宋_GB2312"/>
          <w:szCs w:val="21"/>
        </w:rPr>
      </w:pPr>
      <w:r>
        <w:rPr>
          <w:rFonts w:hint="eastAsia" w:ascii="仿宋_GB2312" w:eastAsia="仿宋_GB2312"/>
          <w:szCs w:val="21"/>
        </w:rPr>
        <w:t>《交银施罗德红利量化选股混合型证券投资基金托管协议》、</w:t>
      </w:r>
    </w:p>
    <w:p>
      <w:pPr>
        <w:ind w:firstLine="420"/>
        <w:jc w:val="left"/>
        <w:rPr>
          <w:rFonts w:ascii="仿宋_GB2312" w:eastAsia="仿宋_GB2312"/>
          <w:szCs w:val="21"/>
        </w:rPr>
      </w:pPr>
      <w:r>
        <w:rPr>
          <w:rFonts w:hint="eastAsia" w:ascii="仿宋_GB2312" w:eastAsia="仿宋_GB2312"/>
          <w:szCs w:val="21"/>
        </w:rPr>
        <w:t>《交银施罗德红利量化选股混合型证券投资基金招募说明书》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C7D8E"/>
    <w:rsid w:val="00CD7637"/>
    <w:rsid w:val="00D04A15"/>
    <w:rsid w:val="00D373CC"/>
    <w:rsid w:val="00DB319C"/>
    <w:rsid w:val="00E51B6D"/>
    <w:rsid w:val="00F75715"/>
    <w:rsid w:val="00F811C4"/>
    <w:rsid w:val="00FC2918"/>
    <w:rsid w:val="38B86E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798</Words>
  <Characters>4554</Characters>
  <Lines>37</Lines>
  <Paragraphs>10</Paragraphs>
  <TotalTime>0</TotalTime>
  <ScaleCrop>false</ScaleCrop>
  <LinksUpToDate>false</LinksUpToDate>
  <CharactersWithSpaces>5342</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2026-07-09T06:36:00Z</dcterms:created>
  <dc:creator>Cc</dc:creator>
  <cp:lastModifiedBy>haotingting</cp:lastModifiedBy>
  <dcterms:modified xsi:type="dcterms:W3CDTF">2026-07-09T06:41:41Z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1B1579ECF6004851ABE3DAFE8D7977CB</vt:lpwstr>
  </property>
</Properties>
</file>