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D3BEF">
      <w:pPr>
        <w:spacing w:before="50" w:after="50" w:line="360" w:lineRule="auto"/>
        <w:jc w:val="center"/>
        <w:outlineLvl w:val="0"/>
        <w:rPr>
          <w:rFonts w:cs="宋体"/>
          <w:b/>
          <w:bCs/>
          <w:sz w:val="28"/>
          <w:szCs w:val="28"/>
        </w:rPr>
      </w:pPr>
      <w:bookmarkStart w:id="0" w:name="_GoBack"/>
      <w:bookmarkEnd w:id="0"/>
      <w:r>
        <w:rPr>
          <w:rFonts w:hint="eastAsia" w:cs="宋体"/>
          <w:b/>
          <w:bCs/>
          <w:sz w:val="28"/>
          <w:szCs w:val="28"/>
        </w:rPr>
        <w:t>交银施罗德基金管理有限公司关于增加</w:t>
      </w:r>
      <w:r>
        <w:rPr>
          <w:rFonts w:hint="eastAsia" w:cs="宋体"/>
          <w:b/>
          <w:bCs/>
          <w:sz w:val="28"/>
          <w:szCs w:val="28"/>
          <w:lang w:eastAsia="zh-CN"/>
        </w:rPr>
        <w:t>交银施罗德佳宁债券型证券投资基金</w:t>
      </w:r>
      <w:r>
        <w:rPr>
          <w:rFonts w:hint="eastAsia" w:cs="宋体"/>
          <w:b/>
          <w:bCs/>
          <w:sz w:val="28"/>
          <w:szCs w:val="28"/>
        </w:rPr>
        <w:t>销售机构的公告</w:t>
      </w:r>
    </w:p>
    <w:p w14:paraId="1A5A2E87">
      <w:pPr>
        <w:spacing w:before="50" w:after="50" w:line="360" w:lineRule="auto"/>
        <w:ind w:firstLine="562" w:firstLineChars="200"/>
        <w:jc w:val="center"/>
        <w:rPr>
          <w:b/>
          <w:bCs/>
          <w:sz w:val="28"/>
          <w:szCs w:val="28"/>
        </w:rPr>
      </w:pPr>
    </w:p>
    <w:p w14:paraId="779AD60A">
      <w:pPr>
        <w:adjustRightInd w:val="0"/>
        <w:snapToGrid w:val="0"/>
        <w:spacing w:line="360" w:lineRule="auto"/>
        <w:ind w:firstLine="480" w:firstLineChars="200"/>
        <w:rPr>
          <w:bCs/>
          <w:sz w:val="24"/>
          <w:szCs w:val="24"/>
        </w:rPr>
      </w:pPr>
      <w:r>
        <w:rPr>
          <w:bCs/>
          <w:sz w:val="24"/>
          <w:szCs w:val="24"/>
        </w:rPr>
        <w:t>根据交银施罗德基金管理有限公司（以下简称“本</w:t>
      </w:r>
      <w:r>
        <w:rPr>
          <w:rFonts w:hint="eastAsia"/>
          <w:bCs/>
          <w:sz w:val="24"/>
          <w:szCs w:val="24"/>
        </w:rPr>
        <w:t>公司</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default"/>
          <w:bCs/>
          <w:sz w:val="24"/>
          <w:szCs w:val="24"/>
          <w:lang w:val="en-US" w:eastAsia="zh-CN"/>
        </w:rPr>
        <w:t>13</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lang w:eastAsia="zh-CN"/>
        </w:rPr>
        <w:t>交银施罗德佳宁债券型证券投资基金</w:t>
      </w:r>
      <w:r>
        <w:rPr>
          <w:rFonts w:hint="eastAsia"/>
          <w:bCs/>
          <w:sz w:val="24"/>
          <w:szCs w:val="24"/>
        </w:rPr>
        <w:t>（A类基金份额基金代码：027457；基金简称：交银佳宁债券A</w:t>
      </w:r>
      <w:r>
        <w:rPr>
          <w:rFonts w:hint="eastAsia"/>
          <w:bCs/>
          <w:sz w:val="24"/>
          <w:szCs w:val="24"/>
          <w:lang w:eastAsia="zh-CN"/>
        </w:rPr>
        <w:t>；</w:t>
      </w:r>
      <w:r>
        <w:rPr>
          <w:rFonts w:hint="eastAsia"/>
        </w:rPr>
        <w:t xml:space="preserve"> </w:t>
      </w:r>
      <w:r>
        <w:rPr>
          <w:rFonts w:hint="eastAsia"/>
          <w:sz w:val="24"/>
        </w:rPr>
        <w:t>C类基金份额基金代码：027458；基金简称：交银佳宁债券C</w:t>
      </w:r>
      <w:r>
        <w:rPr>
          <w:rFonts w:hint="eastAsia"/>
          <w:bCs/>
          <w:sz w:val="24"/>
          <w:szCs w:val="24"/>
        </w:rPr>
        <w:t>）</w:t>
      </w:r>
      <w:r>
        <w:rPr>
          <w:bCs/>
          <w:sz w:val="24"/>
          <w:szCs w:val="24"/>
        </w:rPr>
        <w:t>的销售机构</w:t>
      </w:r>
      <w:r>
        <w:rPr>
          <w:rFonts w:hint="eastAsia"/>
          <w:bCs/>
          <w:sz w:val="24"/>
          <w:szCs w:val="24"/>
        </w:rPr>
        <w:t>。</w:t>
      </w:r>
    </w:p>
    <w:p w14:paraId="615CDB89">
      <w:pPr>
        <w:adjustRightInd w:val="0"/>
        <w:snapToGrid w:val="0"/>
        <w:spacing w:line="360" w:lineRule="auto"/>
        <w:ind w:firstLine="480" w:firstLineChars="200"/>
        <w:rPr>
          <w:bCs/>
          <w:sz w:val="24"/>
          <w:szCs w:val="24"/>
        </w:rPr>
      </w:pPr>
    </w:p>
    <w:p w14:paraId="31EF8FF3">
      <w:pPr>
        <w:spacing w:line="360" w:lineRule="auto"/>
        <w:ind w:firstLine="480" w:firstLineChars="200"/>
        <w:outlineLvl w:val="0"/>
        <w:rPr>
          <w:kern w:val="0"/>
          <w:sz w:val="24"/>
          <w:szCs w:val="24"/>
        </w:rPr>
      </w:pPr>
      <w:r>
        <w:rPr>
          <w:rFonts w:hint="eastAsia"/>
          <w:kern w:val="0"/>
          <w:sz w:val="24"/>
          <w:szCs w:val="24"/>
        </w:rPr>
        <w:t>一、业务范围</w:t>
      </w:r>
    </w:p>
    <w:p w14:paraId="54DD094F">
      <w:pPr>
        <w:spacing w:line="360" w:lineRule="auto"/>
        <w:ind w:firstLine="480" w:firstLineChars="200"/>
        <w:rPr>
          <w:kern w:val="0"/>
          <w:sz w:val="24"/>
          <w:szCs w:val="24"/>
        </w:rPr>
      </w:pPr>
      <w:r>
        <w:rPr>
          <w:sz w:val="24"/>
          <w:szCs w:val="24"/>
        </w:rPr>
        <w:t>自</w:t>
      </w:r>
      <w:r>
        <w:rPr>
          <w:rFonts w:hint="eastAsia"/>
          <w:bCs/>
          <w:sz w:val="24"/>
          <w:szCs w:val="24"/>
        </w:rPr>
        <w:t>202</w:t>
      </w:r>
      <w:r>
        <w:rPr>
          <w:bCs/>
          <w:sz w:val="24"/>
          <w:szCs w:val="24"/>
        </w:rPr>
        <w:t>6</w:t>
      </w:r>
      <w:r>
        <w:rPr>
          <w:rFonts w:hint="eastAsia"/>
          <w:bCs/>
          <w:sz w:val="24"/>
          <w:szCs w:val="24"/>
        </w:rPr>
        <w:t>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13</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lang w:eastAsia="zh-CN"/>
        </w:rPr>
        <w:t>交银施罗德佳宁债券型证券投资基金</w:t>
      </w:r>
      <w:r>
        <w:rPr>
          <w:rFonts w:hint="eastAsia"/>
          <w:kern w:val="0"/>
          <w:sz w:val="24"/>
          <w:szCs w:val="24"/>
        </w:rPr>
        <w:t>的认购等业务。</w:t>
      </w:r>
    </w:p>
    <w:p w14:paraId="0CBD1EDB">
      <w:pPr>
        <w:spacing w:line="360" w:lineRule="auto"/>
        <w:ind w:firstLine="480" w:firstLineChars="200"/>
        <w:rPr>
          <w:sz w:val="24"/>
          <w:szCs w:val="24"/>
        </w:rPr>
      </w:pPr>
      <w:r>
        <w:rPr>
          <w:rFonts w:hint="eastAsia"/>
          <w:bCs/>
          <w:sz w:val="24"/>
          <w:szCs w:val="24"/>
          <w:lang w:eastAsia="zh-CN"/>
        </w:rPr>
        <w:t>交银施罗德佳宁债券型证券投资基金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14:paraId="5DDAABAE">
      <w:pPr>
        <w:adjustRightInd w:val="0"/>
        <w:snapToGrid w:val="0"/>
        <w:spacing w:line="360" w:lineRule="auto"/>
        <w:ind w:firstLine="480" w:firstLineChars="200"/>
        <w:rPr>
          <w:bCs/>
          <w:sz w:val="24"/>
          <w:szCs w:val="24"/>
        </w:rPr>
      </w:pPr>
    </w:p>
    <w:p w14:paraId="102CDAEA">
      <w:pPr>
        <w:adjustRightInd w:val="0"/>
        <w:snapToGrid w:val="0"/>
        <w:spacing w:line="360" w:lineRule="auto"/>
        <w:rPr>
          <w:b/>
          <w:bCs/>
          <w:sz w:val="24"/>
          <w:szCs w:val="24"/>
        </w:rPr>
      </w:pPr>
      <w:r>
        <w:rPr>
          <w:rFonts w:hint="eastAsia"/>
          <w:bCs/>
          <w:sz w:val="24"/>
          <w:szCs w:val="24"/>
        </w:rPr>
        <w:t xml:space="preserve">  </w:t>
      </w:r>
      <w:r>
        <w:rPr>
          <w:b/>
          <w:bCs/>
          <w:sz w:val="24"/>
          <w:szCs w:val="24"/>
        </w:rPr>
        <w:t xml:space="preserve">  重要提示：</w:t>
      </w:r>
    </w:p>
    <w:p w14:paraId="6B491DE8">
      <w:pPr>
        <w:adjustRightInd w:val="0"/>
        <w:snapToGrid w:val="0"/>
        <w:spacing w:line="360" w:lineRule="auto"/>
        <w:ind w:firstLine="480" w:firstLineChars="200"/>
        <w:rPr>
          <w:bCs/>
          <w:sz w:val="24"/>
          <w:szCs w:val="24"/>
        </w:rPr>
      </w:pPr>
      <w:r>
        <w:rPr>
          <w:bCs/>
          <w:sz w:val="24"/>
          <w:szCs w:val="24"/>
        </w:rPr>
        <w:t>1、本</w:t>
      </w:r>
      <w:r>
        <w:rPr>
          <w:rFonts w:hint="eastAsia"/>
          <w:bCs/>
          <w:sz w:val="24"/>
          <w:szCs w:val="24"/>
        </w:rPr>
        <w:t>公司</w:t>
      </w:r>
      <w:r>
        <w:rPr>
          <w:bCs/>
          <w:sz w:val="24"/>
          <w:szCs w:val="24"/>
        </w:rPr>
        <w:t>于</w:t>
      </w:r>
      <w:r>
        <w:rPr>
          <w:rFonts w:hint="eastAsia"/>
          <w:bCs/>
          <w:sz w:val="24"/>
          <w:szCs w:val="24"/>
        </w:rPr>
        <w:t>202</w:t>
      </w:r>
      <w:r>
        <w:rPr>
          <w:rFonts w:hint="eastAsia"/>
          <w:bCs/>
          <w:sz w:val="24"/>
          <w:szCs w:val="24"/>
          <w:lang w:val="en-US" w:eastAsia="zh-CN"/>
        </w:rPr>
        <w:t>6</w:t>
      </w:r>
      <w:r>
        <w:rPr>
          <w:rFonts w:hint="eastAsia"/>
          <w:bCs/>
          <w:sz w:val="24"/>
          <w:szCs w:val="24"/>
        </w:rPr>
        <w:t>年</w:t>
      </w:r>
      <w:r>
        <w:rPr>
          <w:rFonts w:hint="eastAsia"/>
          <w:bCs/>
          <w:sz w:val="24"/>
          <w:szCs w:val="24"/>
          <w:lang w:val="en-US" w:eastAsia="zh-CN"/>
        </w:rPr>
        <w:t>6</w:t>
      </w:r>
      <w:r>
        <w:rPr>
          <w:rFonts w:hint="eastAsia"/>
          <w:bCs/>
          <w:sz w:val="24"/>
          <w:szCs w:val="24"/>
        </w:rPr>
        <w:t>月</w:t>
      </w:r>
      <w:r>
        <w:rPr>
          <w:rFonts w:hint="eastAsia"/>
          <w:bCs/>
          <w:sz w:val="24"/>
          <w:szCs w:val="24"/>
          <w:lang w:val="en-US" w:eastAsia="zh-CN"/>
        </w:rPr>
        <w:t>25</w:t>
      </w:r>
      <w:r>
        <w:rPr>
          <w:rFonts w:hint="eastAsia"/>
          <w:bCs/>
          <w:sz w:val="24"/>
          <w:szCs w:val="24"/>
        </w:rPr>
        <w:t>日</w:t>
      </w:r>
      <w:r>
        <w:rPr>
          <w:bCs/>
          <w:sz w:val="24"/>
          <w:szCs w:val="24"/>
        </w:rPr>
        <w:t>发布公告，</w:t>
      </w:r>
      <w:r>
        <w:rPr>
          <w:rFonts w:hint="eastAsia"/>
          <w:bCs/>
          <w:sz w:val="24"/>
          <w:szCs w:val="24"/>
          <w:lang w:eastAsia="zh-CN"/>
        </w:rPr>
        <w:t>交银施罗德佳宁债券型证券投资基金</w:t>
      </w:r>
      <w:r>
        <w:rPr>
          <w:bCs/>
          <w:sz w:val="24"/>
          <w:szCs w:val="24"/>
        </w:rPr>
        <w:t>自</w:t>
      </w:r>
      <w:r>
        <w:rPr>
          <w:rFonts w:hint="eastAsia"/>
          <w:bCs/>
          <w:sz w:val="24"/>
          <w:szCs w:val="24"/>
        </w:rPr>
        <w:t>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6</w:t>
      </w:r>
      <w:r>
        <w:rPr>
          <w:rFonts w:hint="eastAsia"/>
          <w:bCs/>
          <w:sz w:val="24"/>
          <w:szCs w:val="24"/>
        </w:rPr>
        <w:t>日起至2026年</w:t>
      </w:r>
      <w:r>
        <w:rPr>
          <w:rFonts w:hint="eastAsia"/>
          <w:bCs/>
          <w:sz w:val="24"/>
          <w:szCs w:val="24"/>
          <w:lang w:val="en-US" w:eastAsia="zh-CN"/>
        </w:rPr>
        <w:t>7</w:t>
      </w:r>
      <w:r>
        <w:rPr>
          <w:rFonts w:hint="eastAsia"/>
          <w:bCs/>
          <w:sz w:val="24"/>
          <w:szCs w:val="24"/>
        </w:rPr>
        <w:t>月</w:t>
      </w:r>
      <w:r>
        <w:rPr>
          <w:rFonts w:hint="eastAsia"/>
          <w:bCs/>
          <w:sz w:val="24"/>
          <w:szCs w:val="24"/>
          <w:lang w:val="en-US" w:eastAsia="zh-CN"/>
        </w:rPr>
        <w:t>17</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仔细阅读202</w:t>
      </w:r>
      <w:r>
        <w:rPr>
          <w:rFonts w:hint="eastAsia"/>
          <w:bCs/>
          <w:sz w:val="24"/>
          <w:szCs w:val="24"/>
          <w:lang w:val="en-US" w:eastAsia="zh-CN"/>
        </w:rPr>
        <w:t>6</w:t>
      </w:r>
      <w:r>
        <w:rPr>
          <w:rFonts w:hint="eastAsia"/>
          <w:bCs/>
          <w:sz w:val="24"/>
          <w:szCs w:val="24"/>
        </w:rPr>
        <w:t>年</w:t>
      </w:r>
      <w:r>
        <w:rPr>
          <w:rFonts w:hint="eastAsia"/>
          <w:bCs/>
          <w:sz w:val="24"/>
          <w:szCs w:val="24"/>
          <w:lang w:val="en-US" w:eastAsia="zh-CN"/>
        </w:rPr>
        <w:t>6</w:t>
      </w:r>
      <w:r>
        <w:rPr>
          <w:rFonts w:hint="eastAsia"/>
          <w:bCs/>
          <w:sz w:val="24"/>
          <w:szCs w:val="24"/>
        </w:rPr>
        <w:t>月</w:t>
      </w:r>
      <w:r>
        <w:rPr>
          <w:rFonts w:hint="eastAsia"/>
          <w:bCs/>
          <w:sz w:val="24"/>
          <w:szCs w:val="24"/>
          <w:lang w:val="en-US" w:eastAsia="zh-CN"/>
        </w:rPr>
        <w:t>25</w:t>
      </w:r>
      <w:r>
        <w:rPr>
          <w:rFonts w:hint="eastAsia"/>
          <w:bCs/>
          <w:sz w:val="24"/>
          <w:szCs w:val="24"/>
        </w:rPr>
        <w:t>日</w:t>
      </w:r>
      <w:r>
        <w:rPr>
          <w:rFonts w:hint="eastAsia"/>
          <w:sz w:val="24"/>
        </w:rPr>
        <w:t>在本公司网站（www.fund001.com）和中国证监会基金电子披露网站（http://eid.csrc.gov.cn/fund）披露</w:t>
      </w:r>
      <w:r>
        <w:rPr>
          <w:sz w:val="24"/>
        </w:rPr>
        <w:t>的</w:t>
      </w:r>
      <w:r>
        <w:rPr>
          <w:rFonts w:hint="eastAsia"/>
          <w:bCs/>
          <w:sz w:val="24"/>
          <w:szCs w:val="24"/>
          <w:lang w:eastAsia="zh-CN"/>
        </w:rPr>
        <w:t>交银施罗德佳宁债券型证券投资基金</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14:paraId="6257DBA4">
      <w:pPr>
        <w:adjustRightInd w:val="0"/>
        <w:snapToGrid w:val="0"/>
        <w:spacing w:line="360" w:lineRule="auto"/>
        <w:ind w:firstLine="480" w:firstLineChars="200"/>
        <w:rPr>
          <w:bCs/>
          <w:sz w:val="24"/>
          <w:szCs w:val="24"/>
        </w:rPr>
      </w:pPr>
      <w:r>
        <w:rPr>
          <w:bCs/>
          <w:sz w:val="24"/>
          <w:szCs w:val="24"/>
        </w:rPr>
        <w:t>2、</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、基金合同及其摘要、托管协议同时发布在本公司网站（www.fund001.com）。投资人亦可通过本公司网站下载基金申请表格和了解基金募集相关事宜。</w:t>
      </w:r>
    </w:p>
    <w:p w14:paraId="6CF93F09">
      <w:pPr>
        <w:adjustRightInd w:val="0"/>
        <w:snapToGrid w:val="0"/>
        <w:spacing w:line="360" w:lineRule="auto"/>
        <w:ind w:firstLine="480" w:firstLineChars="200"/>
        <w:rPr>
          <w:bCs/>
          <w:sz w:val="24"/>
          <w:szCs w:val="24"/>
        </w:rPr>
      </w:pPr>
      <w:r>
        <w:rPr>
          <w:kern w:val="0"/>
          <w:sz w:val="24"/>
        </w:rPr>
        <w:t>3</w:t>
      </w:r>
      <w:r>
        <w:rPr>
          <w:rFonts w:hAnsi="宋体"/>
          <w:kern w:val="0"/>
          <w:sz w:val="24"/>
        </w:rPr>
        <w:t>、本基金销售渠道为基金管理人</w:t>
      </w:r>
      <w:r>
        <w:rPr>
          <w:rFonts w:hint="eastAsia" w:hAnsi="宋体"/>
          <w:kern w:val="0"/>
          <w:sz w:val="24"/>
        </w:rPr>
        <w:t>直销</w:t>
      </w:r>
      <w:r>
        <w:rPr>
          <w:rFonts w:hAnsi="宋体"/>
          <w:kern w:val="0"/>
          <w:sz w:val="24"/>
        </w:rPr>
        <w:t>柜台及其网上</w:t>
      </w:r>
      <w:r>
        <w:rPr>
          <w:rFonts w:hint="eastAsia" w:hAnsi="宋体"/>
          <w:kern w:val="0"/>
          <w:sz w:val="24"/>
        </w:rPr>
        <w:t>直销</w:t>
      </w:r>
      <w:r>
        <w:rPr>
          <w:rFonts w:hAnsi="宋体"/>
          <w:kern w:val="0"/>
          <w:sz w:val="24"/>
        </w:rPr>
        <w:t>交易平台和</w:t>
      </w:r>
      <w:r>
        <w:rPr>
          <w:rFonts w:hint="eastAsia" w:hAnsi="宋体"/>
          <w:kern w:val="0"/>
          <w:sz w:val="24"/>
        </w:rPr>
        <w:t>除基金管理人之外的其他</w:t>
      </w:r>
      <w:r>
        <w:rPr>
          <w:rFonts w:hAnsi="宋体"/>
          <w:kern w:val="0"/>
          <w:sz w:val="24"/>
        </w:rPr>
        <w:t>销售机构。</w:t>
      </w:r>
    </w:p>
    <w:p w14:paraId="55FD2A5F">
      <w:pPr>
        <w:adjustRightInd w:val="0"/>
        <w:snapToGrid w:val="0"/>
        <w:spacing w:line="360" w:lineRule="auto"/>
        <w:ind w:firstLine="480" w:firstLineChars="200"/>
        <w:rPr>
          <w:bCs/>
          <w:sz w:val="24"/>
          <w:szCs w:val="24"/>
        </w:rPr>
      </w:pPr>
      <w:r>
        <w:rPr>
          <w:bCs/>
          <w:sz w:val="24"/>
          <w:szCs w:val="24"/>
        </w:rPr>
        <w:t>4、</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14:paraId="59BEBAE7">
      <w:pPr>
        <w:adjustRightInd w:val="0"/>
        <w:snapToGrid w:val="0"/>
        <w:spacing w:line="360" w:lineRule="auto"/>
        <w:ind w:firstLine="480" w:firstLineChars="20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14:paraId="6B4BC46B">
      <w:pPr>
        <w:adjustRightInd w:val="0"/>
        <w:snapToGrid w:val="0"/>
        <w:spacing w:line="360" w:lineRule="auto"/>
        <w:ind w:firstLine="480" w:firstLineChars="200"/>
        <w:rPr>
          <w:bCs/>
          <w:sz w:val="24"/>
          <w:szCs w:val="24"/>
        </w:rPr>
      </w:pPr>
    </w:p>
    <w:p w14:paraId="6D14AA56">
      <w:pPr>
        <w:adjustRightInd w:val="0"/>
        <w:snapToGrid w:val="0"/>
        <w:spacing w:line="360" w:lineRule="auto"/>
        <w:ind w:firstLine="480" w:firstLineChars="200"/>
        <w:outlineLvl w:val="0"/>
        <w:rPr>
          <w:bCs/>
          <w:sz w:val="24"/>
          <w:szCs w:val="24"/>
        </w:rPr>
      </w:pPr>
      <w:r>
        <w:rPr>
          <w:rFonts w:hint="eastAsia"/>
          <w:bCs/>
          <w:sz w:val="24"/>
          <w:szCs w:val="24"/>
        </w:rPr>
        <w:t>二</w:t>
      </w:r>
      <w:r>
        <w:rPr>
          <w:bCs/>
          <w:sz w:val="24"/>
          <w:szCs w:val="24"/>
        </w:rPr>
        <w:t>、投资人可通过以下途径咨询有关详情：</w:t>
      </w:r>
    </w:p>
    <w:p w14:paraId="7433BAEA">
      <w:pPr>
        <w:adjustRightInd w:val="0"/>
        <w:snapToGrid w:val="0"/>
        <w:spacing w:line="360" w:lineRule="auto"/>
        <w:ind w:firstLine="480" w:firstLineChars="200"/>
        <w:rPr>
          <w:rFonts w:hint="eastAsia" w:hAnsi="宋体"/>
          <w:sz w:val="24"/>
        </w:rPr>
      </w:pPr>
      <w:r>
        <w:rPr>
          <w:rFonts w:hint="eastAsia" w:hAnsi="宋体"/>
          <w:sz w:val="24"/>
        </w:rPr>
        <w:t>中信银行股份有限公司</w:t>
      </w:r>
    </w:p>
    <w:p w14:paraId="6D94C39F">
      <w:pPr>
        <w:adjustRightInd w:val="0"/>
        <w:snapToGrid w:val="0"/>
        <w:spacing w:line="360" w:lineRule="auto"/>
        <w:ind w:firstLine="480" w:firstLineChars="200"/>
        <w:rPr>
          <w:rFonts w:hint="eastAsia" w:hAnsi="宋体"/>
          <w:sz w:val="24"/>
        </w:rPr>
      </w:pPr>
      <w:r>
        <w:rPr>
          <w:rFonts w:hint="eastAsia" w:hAnsi="宋体"/>
          <w:sz w:val="24"/>
        </w:rPr>
        <w:t>客户服务电话：95558</w:t>
      </w:r>
    </w:p>
    <w:p w14:paraId="7C5E6411">
      <w:pPr>
        <w:adjustRightInd w:val="0"/>
        <w:snapToGrid w:val="0"/>
        <w:spacing w:line="360" w:lineRule="auto"/>
        <w:ind w:firstLine="480" w:firstLineChars="200"/>
        <w:rPr>
          <w:rFonts w:asciiTheme="minorEastAsia" w:hAnsiTheme="minorEastAsia"/>
          <w:sz w:val="24"/>
          <w:szCs w:val="24"/>
        </w:rPr>
      </w:pPr>
      <w:r>
        <w:rPr>
          <w:rFonts w:hint="eastAsia" w:hAnsi="宋体"/>
          <w:sz w:val="24"/>
        </w:rPr>
        <w:t>网址：www.citicbank.com</w:t>
      </w:r>
    </w:p>
    <w:p w14:paraId="2611B211">
      <w:pPr>
        <w:adjustRightInd w:val="0"/>
        <w:snapToGrid w:val="0"/>
        <w:spacing w:line="360" w:lineRule="auto"/>
        <w:ind w:firstLine="480" w:firstLineChars="200"/>
        <w:rPr>
          <w:bCs/>
          <w:sz w:val="24"/>
          <w:szCs w:val="24"/>
        </w:rPr>
      </w:pPr>
    </w:p>
    <w:p w14:paraId="1632A6A0">
      <w:pPr>
        <w:adjustRightInd w:val="0"/>
        <w:snapToGrid w:val="0"/>
        <w:spacing w:line="360" w:lineRule="auto"/>
        <w:ind w:firstLine="480" w:firstLineChars="200"/>
        <w:rPr>
          <w:bCs/>
          <w:sz w:val="24"/>
          <w:szCs w:val="24"/>
        </w:rPr>
      </w:pPr>
      <w:r>
        <w:rPr>
          <w:bCs/>
          <w:sz w:val="24"/>
          <w:szCs w:val="24"/>
        </w:rPr>
        <w:t>风险提示：</w:t>
      </w:r>
    </w:p>
    <w:p w14:paraId="412BECE3">
      <w:pPr>
        <w:adjustRightInd w:val="0"/>
        <w:snapToGrid w:val="0"/>
        <w:spacing w:line="360" w:lineRule="auto"/>
        <w:ind w:firstLine="480" w:firstLineChars="20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14:paraId="6847FAAA">
      <w:pPr>
        <w:adjustRightInd w:val="0"/>
        <w:snapToGrid w:val="0"/>
        <w:spacing w:line="360" w:lineRule="auto"/>
        <w:ind w:firstLine="480" w:firstLineChars="200"/>
        <w:rPr>
          <w:bCs/>
          <w:sz w:val="24"/>
          <w:szCs w:val="24"/>
        </w:rPr>
      </w:pPr>
      <w:r>
        <w:rPr>
          <w:bCs/>
          <w:sz w:val="24"/>
          <w:szCs w:val="24"/>
        </w:rPr>
        <w:t>特此公告。</w:t>
      </w:r>
    </w:p>
    <w:p w14:paraId="271D84FC">
      <w:pPr>
        <w:adjustRightInd w:val="0"/>
        <w:snapToGrid w:val="0"/>
        <w:spacing w:line="360" w:lineRule="auto"/>
        <w:rPr>
          <w:bCs/>
          <w:sz w:val="24"/>
          <w:szCs w:val="24"/>
        </w:rPr>
      </w:pPr>
    </w:p>
    <w:p w14:paraId="0B52DFA6">
      <w:pPr>
        <w:adjustRightInd w:val="0"/>
        <w:snapToGrid w:val="0"/>
        <w:spacing w:line="360" w:lineRule="auto"/>
        <w:ind w:firstLine="480" w:firstLineChars="200"/>
        <w:jc w:val="right"/>
        <w:rPr>
          <w:bCs/>
          <w:sz w:val="24"/>
          <w:szCs w:val="24"/>
        </w:rPr>
      </w:pPr>
      <w:r>
        <w:rPr>
          <w:bCs/>
          <w:sz w:val="24"/>
          <w:szCs w:val="24"/>
        </w:rPr>
        <w:t>交银施罗德基金管理有限公司</w:t>
      </w:r>
    </w:p>
    <w:p w14:paraId="38F313AE">
      <w:pPr>
        <w:adjustRightInd w:val="0"/>
        <w:snapToGrid w:val="0"/>
        <w:spacing w:line="360" w:lineRule="auto"/>
        <w:ind w:firstLine="480" w:firstLineChars="200"/>
        <w:jc w:val="right"/>
        <w:rPr>
          <w:sz w:val="24"/>
        </w:rPr>
      </w:pPr>
      <w:r>
        <w:rPr>
          <w:bCs/>
          <w:sz w:val="24"/>
          <w:szCs w:val="24"/>
        </w:rPr>
        <w:t>二〇二</w:t>
      </w:r>
      <w:r>
        <w:rPr>
          <w:rFonts w:hint="eastAsia"/>
          <w:bCs/>
          <w:sz w:val="24"/>
          <w:szCs w:val="24"/>
          <w:lang w:val="en-US" w:eastAsia="zh-CN"/>
        </w:rPr>
        <w:t>六</w:t>
      </w:r>
      <w:r>
        <w:rPr>
          <w:bCs/>
          <w:sz w:val="24"/>
          <w:szCs w:val="24"/>
        </w:rPr>
        <w:t>年</w:t>
      </w:r>
      <w:r>
        <w:rPr>
          <w:rFonts w:hint="eastAsia"/>
          <w:bCs/>
          <w:sz w:val="24"/>
          <w:szCs w:val="24"/>
          <w:lang w:val="en-US" w:eastAsia="zh-CN"/>
        </w:rPr>
        <w:t>七</w:t>
      </w:r>
      <w:r>
        <w:rPr>
          <w:bCs/>
          <w:sz w:val="24"/>
          <w:szCs w:val="24"/>
        </w:rPr>
        <w:t>月</w:t>
      </w:r>
      <w:r>
        <w:rPr>
          <w:rFonts w:hint="eastAsia"/>
          <w:bCs/>
          <w:sz w:val="24"/>
          <w:szCs w:val="24"/>
          <w:lang w:val="en-US" w:eastAsia="zh-CN"/>
        </w:rPr>
        <w:t>九</w:t>
      </w:r>
      <w:r>
        <w:rPr>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等线"/>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0509">
    <w:pPr>
      <w:pStyle w:val="22"/>
      <w:jc w:val="center"/>
    </w:pPr>
    <w:r>
      <w:fldChar w:fldCharType="begin"/>
    </w:r>
    <w:r>
      <w:instrText xml:space="preserve"> PAGE   \* MERGEFORMAT </w:instrText>
    </w:r>
    <w:r>
      <w:fldChar w:fldCharType="separate"/>
    </w:r>
    <w:r>
      <w:rPr>
        <w:lang w:val="zh-CN"/>
      </w:rPr>
      <w:t>2</w:t>
    </w:r>
    <w:r>
      <w:fldChar w:fldCharType="end"/>
    </w:r>
  </w:p>
  <w:p w14:paraId="74CAE200">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ACB00">
    <w:pPr>
      <w:pStyle w:val="23"/>
      <w:pBdr>
        <w:bottom w:val="none" w:color="auto" w:sz="0" w:space="0"/>
      </w:pBdr>
      <w:tabs>
        <w:tab w:val="right" w:pos="8280"/>
      </w:tabs>
      <w:jc w:val="right"/>
      <w:rPr>
        <w:rFonts w:cs="宋体"/>
      </w:rPr>
    </w:pPr>
  </w:p>
  <w:p w14:paraId="03EB03A8">
    <w:pPr>
      <w:pStyle w:val="23"/>
      <w:pBdr>
        <w:bottom w:val="none" w:color="auto" w:sz="0" w:space="0"/>
      </w:pBdr>
      <w:tabs>
        <w:tab w:val="right" w:pos="8280"/>
      </w:tabs>
      <w:jc w:val="right"/>
      <w:rPr>
        <w:rFonts w:asci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A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BF4287B"/>
    <w:rsid w:val="0E6226D5"/>
    <w:rsid w:val="154500F5"/>
    <w:rsid w:val="18C34F8A"/>
    <w:rsid w:val="1F796231"/>
    <w:rsid w:val="1FCF5B93"/>
    <w:rsid w:val="20F118B7"/>
    <w:rsid w:val="271E1753"/>
    <w:rsid w:val="3E20566B"/>
    <w:rsid w:val="4DCF53C1"/>
    <w:rsid w:val="4E2F3158"/>
    <w:rsid w:val="54AA2998"/>
    <w:rsid w:val="566249E3"/>
    <w:rsid w:val="5BEA08B3"/>
    <w:rsid w:val="5DB62D7A"/>
    <w:rsid w:val="6B2549B1"/>
    <w:rsid w:val="73342CB4"/>
    <w:rsid w:val="75A510E0"/>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字符"/>
    <w:link w:val="2"/>
    <w:qFormat/>
    <w:uiPriority w:val="9"/>
    <w:rPr>
      <w:b/>
      <w:bCs/>
      <w:kern w:val="44"/>
      <w:sz w:val="44"/>
      <w:szCs w:val="44"/>
    </w:rPr>
  </w:style>
  <w:style w:type="character" w:customStyle="1" w:styleId="44">
    <w:name w:val="标题 2 字符"/>
    <w:link w:val="3"/>
    <w:semiHidden/>
    <w:qFormat/>
    <w:uiPriority w:val="9"/>
    <w:rPr>
      <w:rFonts w:ascii="Cambria" w:hAnsi="Cambria" w:eastAsia="宋体" w:cs="Times New Roman"/>
      <w:b/>
      <w:bCs/>
      <w:sz w:val="32"/>
      <w:szCs w:val="32"/>
    </w:rPr>
  </w:style>
  <w:style w:type="character" w:customStyle="1" w:styleId="45">
    <w:name w:val="标题 3 字符"/>
    <w:link w:val="5"/>
    <w:semiHidden/>
    <w:qFormat/>
    <w:uiPriority w:val="9"/>
    <w:rPr>
      <w:b/>
      <w:bCs/>
      <w:sz w:val="32"/>
      <w:szCs w:val="32"/>
    </w:rPr>
  </w:style>
  <w:style w:type="character" w:customStyle="1" w:styleId="46">
    <w:name w:val="标题 4 字符"/>
    <w:link w:val="6"/>
    <w:qFormat/>
    <w:locked/>
    <w:uiPriority w:val="99"/>
    <w:rPr>
      <w:rFonts w:ascii="Arial" w:hAnsi="Arial" w:eastAsia="黑体" w:cs="Arial"/>
      <w:b/>
      <w:bCs/>
      <w:kern w:val="2"/>
      <w:sz w:val="24"/>
      <w:szCs w:val="24"/>
    </w:rPr>
  </w:style>
  <w:style w:type="character" w:customStyle="1" w:styleId="47">
    <w:name w:val="标题 5 字符"/>
    <w:link w:val="7"/>
    <w:semiHidden/>
    <w:qFormat/>
    <w:uiPriority w:val="9"/>
    <w:rPr>
      <w:b/>
      <w:bCs/>
      <w:sz w:val="28"/>
      <w:szCs w:val="28"/>
    </w:rPr>
  </w:style>
  <w:style w:type="character" w:customStyle="1" w:styleId="48">
    <w:name w:val="标题 6 字符"/>
    <w:link w:val="9"/>
    <w:semiHidden/>
    <w:qFormat/>
    <w:uiPriority w:val="9"/>
    <w:rPr>
      <w:rFonts w:ascii="Cambria" w:hAnsi="Cambria" w:eastAsia="宋体" w:cs="Times New Roman"/>
      <w:b/>
      <w:bCs/>
      <w:sz w:val="24"/>
      <w:szCs w:val="24"/>
    </w:rPr>
  </w:style>
  <w:style w:type="character" w:customStyle="1" w:styleId="49">
    <w:name w:val="正文文本 字符"/>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字符"/>
    <w:link w:val="20"/>
    <w:semiHidden/>
    <w:qFormat/>
    <w:uiPriority w:val="99"/>
    <w:rPr>
      <w:szCs w:val="21"/>
    </w:rPr>
  </w:style>
  <w:style w:type="character" w:customStyle="1" w:styleId="53">
    <w:name w:val="页眉 字符"/>
    <w:link w:val="23"/>
    <w:qFormat/>
    <w:uiPriority w:val="99"/>
    <w:rPr>
      <w:kern w:val="2"/>
      <w:sz w:val="18"/>
      <w:szCs w:val="18"/>
    </w:rPr>
  </w:style>
  <w:style w:type="character" w:customStyle="1" w:styleId="54">
    <w:name w:val="页脚 字符"/>
    <w:link w:val="22"/>
    <w:qFormat/>
    <w:locked/>
    <w:uiPriority w:val="99"/>
    <w:rPr>
      <w:kern w:val="2"/>
      <w:sz w:val="18"/>
      <w:szCs w:val="18"/>
    </w:rPr>
  </w:style>
  <w:style w:type="character" w:customStyle="1" w:styleId="55">
    <w:name w:val="纯文本 字符"/>
    <w:link w:val="17"/>
    <w:qFormat/>
    <w:locked/>
    <w:uiPriority w:val="99"/>
    <w:rPr>
      <w:rFonts w:ascii="宋体" w:hAnsi="Courier New" w:cs="宋体"/>
      <w:kern w:val="2"/>
      <w:sz w:val="16"/>
      <w:szCs w:val="16"/>
    </w:rPr>
  </w:style>
  <w:style w:type="character" w:customStyle="1" w:styleId="56">
    <w:name w:val="脚注文本 字符"/>
    <w:link w:val="26"/>
    <w:semiHidden/>
    <w:qFormat/>
    <w:locked/>
    <w:uiPriority w:val="99"/>
    <w:rPr>
      <w:kern w:val="2"/>
      <w:sz w:val="18"/>
      <w:szCs w:val="18"/>
    </w:rPr>
  </w:style>
  <w:style w:type="character" w:customStyle="1" w:styleId="57">
    <w:name w:val="正文首行缩进 字符"/>
    <w:link w:val="33"/>
    <w:semiHidden/>
    <w:qFormat/>
    <w:uiPriority w:val="99"/>
    <w:rPr>
      <w:szCs w:val="21"/>
    </w:rPr>
  </w:style>
  <w:style w:type="character" w:customStyle="1" w:styleId="58">
    <w:name w:val="正文文本缩进 字符"/>
    <w:link w:val="13"/>
    <w:semiHidden/>
    <w:qFormat/>
    <w:uiPriority w:val="99"/>
    <w:rPr>
      <w:szCs w:val="21"/>
    </w:rPr>
  </w:style>
  <w:style w:type="character" w:customStyle="1" w:styleId="59">
    <w:name w:val="正文文本缩进 3 字符"/>
    <w:link w:val="28"/>
    <w:semiHidden/>
    <w:qFormat/>
    <w:uiPriority w:val="99"/>
    <w:rPr>
      <w:sz w:val="16"/>
      <w:szCs w:val="16"/>
    </w:rPr>
  </w:style>
  <w:style w:type="character" w:customStyle="1" w:styleId="60">
    <w:name w:val="批注框文本 字符"/>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字符"/>
    <w:link w:val="12"/>
    <w:qFormat/>
    <w:locked/>
    <w:uiPriority w:val="99"/>
    <w:rPr>
      <w:kern w:val="2"/>
      <w:sz w:val="24"/>
      <w:szCs w:val="24"/>
    </w:rPr>
  </w:style>
  <w:style w:type="character" w:customStyle="1" w:styleId="63">
    <w:name w:val="批注主题 字符"/>
    <w:link w:val="32"/>
    <w:semiHidden/>
    <w:qFormat/>
    <w:uiPriority w:val="99"/>
    <w:rPr>
      <w:b/>
      <w:bCs/>
      <w:kern w:val="2"/>
      <w:sz w:val="24"/>
      <w:szCs w:val="21"/>
    </w:rPr>
  </w:style>
  <w:style w:type="character" w:customStyle="1" w:styleId="64">
    <w:name w:val="日期 字符"/>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字符"/>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 w:type="paragraph" w:customStyle="1" w:styleId="82">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83">
    <w:name w:val="修订3"/>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3CED5-2CA9-4566-A04B-098597359452}">
  <ds:schemaRefs/>
</ds:datastoreItem>
</file>

<file path=docProps/app.xml><?xml version="1.0" encoding="utf-8"?>
<Properties xmlns="http://schemas.openxmlformats.org/officeDocument/2006/extended-properties" xmlns:vt="http://schemas.openxmlformats.org/officeDocument/2006/docPropsVTypes">
  <Template>Normal</Template>
  <Company>jysld</Company>
  <Pages>2</Pages>
  <Words>185</Words>
  <Characters>1061</Characters>
  <Lines>8</Lines>
  <Paragraphs>2</Paragraphs>
  <TotalTime>19</TotalTime>
  <ScaleCrop>false</ScaleCrop>
  <LinksUpToDate>false</LinksUpToDate>
  <CharactersWithSpaces>1244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2025-12-29T08:58:00Z</dcterms:created>
  <dc:creator>xzwang</dc:creator>
  <cp:lastModifiedBy>zhangjing1</cp:lastModifiedBy>
  <cp:lastPrinted>2015-04-27T09:59:00Z</cp:lastPrinted>
  <dcterms:modified xsi:type="dcterms:W3CDTF">2026-07-08T02:27:06Z</dcterms:modified>
  <dc:title>募集方案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8494788A804144BA995BAC596A63E551_13</vt:lpwstr>
  </property>
</Properties>
</file>