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_GBK" w:hAnsi="方正仿宋_GBK" w:eastAsia="方正仿宋_GBK" w:cs="方正仿宋_GBK"/>
          <w:b/>
          <w:sz w:val="32"/>
          <w:szCs w:val="32"/>
        </w:rPr>
      </w:pPr>
      <w:bookmarkStart w:id="0" w:name="_GoBack"/>
      <w:bookmarkEnd w:id="0"/>
      <w:r>
        <w:rPr>
          <w:rFonts w:hint="eastAsia" w:ascii="方正仿宋_GBK" w:hAnsi="方正仿宋_GBK" w:eastAsia="方正仿宋_GBK" w:cs="方正仿宋_GBK"/>
          <w:b/>
          <w:sz w:val="32"/>
          <w:szCs w:val="32"/>
        </w:rPr>
        <w:t>交银施罗德基金管理有限公司关于旗下部分公募基金风险等级变动的公告</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证券期货投资者适当性管理办法》以及《基金募集机构投资者适当性管理实施指引（试行）》等法规要求，交银施罗德基金管理有限公司（以下简称“本公司”）已聘请独立第三方评级机构（中国银河证券基金研究中心）对本公司旗下公募基金产品风险等级进行评价。中国银河证券基金研究中心调整了本公司旗下部分公募基金的风险等级（具体见下表“风险等级变化一览表”）。敬请广大投资者关注基金风险等级的变化以及对投资决策带来的影响。</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本次风险等级的调整事项自2</w:t>
      </w:r>
      <w:r>
        <w:rPr>
          <w:rFonts w:ascii="方正仿宋_GBK" w:hAnsi="方正仿宋_GBK" w:eastAsia="方正仿宋_GBK" w:cs="方正仿宋_GBK"/>
          <w:sz w:val="32"/>
          <w:szCs w:val="32"/>
        </w:rPr>
        <w:t>026</w:t>
      </w:r>
      <w:r>
        <w:rPr>
          <w:rFonts w:hint="eastAsia" w:ascii="方正仿宋_GBK" w:hAnsi="方正仿宋_GBK" w:eastAsia="方正仿宋_GBK" w:cs="方正仿宋_GBK"/>
          <w:sz w:val="32"/>
          <w:szCs w:val="32"/>
        </w:rPr>
        <w:t>年5月6日起生效。投资者可登录本公司网站（w</w:t>
      </w:r>
      <w:r>
        <w:rPr>
          <w:rFonts w:ascii="方正仿宋_GBK" w:hAnsi="方正仿宋_GBK" w:eastAsia="方正仿宋_GBK" w:cs="方正仿宋_GBK"/>
          <w:sz w:val="32"/>
          <w:szCs w:val="32"/>
        </w:rPr>
        <w:t>ww.fund001.com</w:t>
      </w:r>
      <w:r>
        <w:rPr>
          <w:rFonts w:hint="eastAsia" w:ascii="方正仿宋_GBK" w:hAnsi="方正仿宋_GBK" w:eastAsia="方正仿宋_GBK" w:cs="方正仿宋_GBK"/>
          <w:sz w:val="32"/>
          <w:szCs w:val="32"/>
        </w:rPr>
        <w:t>）或拨打客户服务电话（</w:t>
      </w:r>
      <w:r>
        <w:rPr>
          <w:rFonts w:ascii="方正仿宋_GBK" w:hAnsi="方正仿宋_GBK" w:eastAsia="方正仿宋_GBK" w:cs="方正仿宋_GBK"/>
          <w:sz w:val="32"/>
          <w:szCs w:val="32"/>
        </w:rPr>
        <w:t>400-700-5000</w:t>
      </w:r>
      <w:r>
        <w:rPr>
          <w:rFonts w:hint="eastAsia" w:ascii="方正仿宋_GBK" w:hAnsi="方正仿宋_GBK" w:eastAsia="方正仿宋_GBK" w:cs="方正仿宋_GBK"/>
          <w:sz w:val="32"/>
          <w:szCs w:val="32"/>
        </w:rPr>
        <w:t>）了解相关事宜。</w:t>
      </w:r>
    </w:p>
    <w:p>
      <w:pPr>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风险等级变化一览表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457"/>
        <w:gridCol w:w="3563"/>
        <w:gridCol w:w="1406"/>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序号</w:t>
            </w:r>
          </w:p>
        </w:tc>
        <w:tc>
          <w:tcPr>
            <w:tcW w:w="0" w:type="auto"/>
          </w:tcPr>
          <w:p>
            <w:pPr>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基金主代码</w:t>
            </w:r>
          </w:p>
        </w:tc>
        <w:tc>
          <w:tcPr>
            <w:tcW w:w="0" w:type="auto"/>
          </w:tcPr>
          <w:p>
            <w:pPr>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基金名称</w:t>
            </w:r>
          </w:p>
        </w:tc>
        <w:tc>
          <w:tcPr>
            <w:tcW w:w="0" w:type="auto"/>
          </w:tcPr>
          <w:p>
            <w:pPr>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调整前风险等级</w:t>
            </w:r>
          </w:p>
        </w:tc>
        <w:tc>
          <w:tcPr>
            <w:tcW w:w="0" w:type="auto"/>
          </w:tcPr>
          <w:p>
            <w:pPr>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调整后风险等级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0" w:type="auto"/>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ascii="方正仿宋_GBK" w:hAnsi="方正仿宋_GBK" w:eastAsia="方正仿宋_GBK" w:cs="方正仿宋_GBK"/>
                <w:sz w:val="32"/>
                <w:szCs w:val="32"/>
              </w:rPr>
              <w:t>19766</w:t>
            </w:r>
          </w:p>
        </w:tc>
        <w:tc>
          <w:tcPr>
            <w:tcW w:w="0" w:type="auto"/>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交银施罗德荣鑫灵活配置混合型证券投资基金</w:t>
            </w:r>
          </w:p>
        </w:tc>
        <w:tc>
          <w:tcPr>
            <w:tcW w:w="0" w:type="auto"/>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R3</w:t>
            </w:r>
          </w:p>
        </w:tc>
        <w:tc>
          <w:tcPr>
            <w:tcW w:w="0" w:type="auto"/>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0" w:type="auto"/>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ascii="方正仿宋_GBK" w:hAnsi="方正仿宋_GBK" w:eastAsia="方正仿宋_GBK" w:cs="方正仿宋_GBK"/>
                <w:sz w:val="32"/>
                <w:szCs w:val="32"/>
              </w:rPr>
              <w:t>19770</w:t>
            </w:r>
          </w:p>
        </w:tc>
        <w:tc>
          <w:tcPr>
            <w:tcW w:w="0" w:type="auto"/>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交银施罗德优择回报灵活配置混合型证券投资基金</w:t>
            </w:r>
          </w:p>
        </w:tc>
        <w:tc>
          <w:tcPr>
            <w:tcW w:w="0" w:type="auto"/>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R3</w:t>
            </w:r>
          </w:p>
        </w:tc>
        <w:tc>
          <w:tcPr>
            <w:tcW w:w="0" w:type="auto"/>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R4</w:t>
            </w:r>
          </w:p>
        </w:tc>
      </w:tr>
    </w:tbl>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风险提示：</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销售机构根据投资者适当性法律法规对基金进行风险评价，不同的销售机构采用的评价方法不同，因此不同销售机构对基金的风险等级评价结果可能存在不同。</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本公司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pPr>
        <w:ind w:firstLine="640" w:firstLineChars="200"/>
        <w:rPr>
          <w:rFonts w:ascii="方正仿宋_GBK" w:hAnsi="方正仿宋_GBK" w:eastAsia="方正仿宋_GBK" w:cs="方正仿宋_GBK"/>
          <w:sz w:val="32"/>
          <w:szCs w:val="32"/>
        </w:rPr>
      </w:pP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特此公告。</w:t>
      </w:r>
    </w:p>
    <w:p>
      <w:pPr>
        <w:rPr>
          <w:rFonts w:ascii="方正仿宋_GBK" w:hAnsi="方正仿宋_GBK" w:eastAsia="方正仿宋_GBK" w:cs="方正仿宋_GBK"/>
          <w:sz w:val="32"/>
          <w:szCs w:val="32"/>
        </w:rPr>
      </w:pPr>
    </w:p>
    <w:p>
      <w:pPr>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交银施罗德基金管理有限公司</w:t>
      </w:r>
    </w:p>
    <w:p>
      <w:pPr>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ascii="方正仿宋_GBK" w:hAnsi="方正仿宋_GBK" w:eastAsia="方正仿宋_GBK" w:cs="方正仿宋_GBK"/>
          <w:sz w:val="32"/>
          <w:szCs w:val="32"/>
        </w:rPr>
        <w:t>026</w:t>
      </w:r>
      <w:r>
        <w:rPr>
          <w:rFonts w:hint="eastAsia" w:ascii="方正仿宋_GBK" w:hAnsi="方正仿宋_GBK" w:eastAsia="方正仿宋_GBK" w:cs="方正仿宋_GBK"/>
          <w:sz w:val="32"/>
          <w:szCs w:val="32"/>
        </w:rPr>
        <w:t>年4月29日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3C0041" w:csb1="A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8F"/>
    <w:rsid w:val="000D1598"/>
    <w:rsid w:val="00264A3A"/>
    <w:rsid w:val="00294088"/>
    <w:rsid w:val="003A3F28"/>
    <w:rsid w:val="0061552E"/>
    <w:rsid w:val="00704A96"/>
    <w:rsid w:val="00732100"/>
    <w:rsid w:val="00842078"/>
    <w:rsid w:val="0084689B"/>
    <w:rsid w:val="00BE5B8F"/>
    <w:rsid w:val="00CF6A36"/>
    <w:rsid w:val="00D5398E"/>
    <w:rsid w:val="00E426E6"/>
    <w:rsid w:val="00E52BE0"/>
    <w:rsid w:val="00EE21C8"/>
    <w:rsid w:val="00F662EF"/>
    <w:rsid w:val="00F7047F"/>
    <w:rsid w:val="074B2D67"/>
    <w:rsid w:val="364D63A5"/>
    <w:rsid w:val="371817EB"/>
    <w:rsid w:val="3C0E4317"/>
    <w:rsid w:val="52BB6C5F"/>
    <w:rsid w:val="55F76B3F"/>
    <w:rsid w:val="5CD34339"/>
    <w:rsid w:val="6ED504F3"/>
    <w:rsid w:val="781E6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Words>
  <Characters>684</Characters>
  <Lines>5</Lines>
  <Paragraphs>1</Paragraphs>
  <TotalTime>3</TotalTime>
  <ScaleCrop>false</ScaleCrop>
  <LinksUpToDate>false</LinksUpToDate>
  <CharactersWithSpaces>802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2026-04-28T03:16:00Z</dcterms:created>
  <dc:creator>荣华</dc:creator>
  <cp:lastModifiedBy>haotingting</cp:lastModifiedBy>
  <dcterms:modified xsi:type="dcterms:W3CDTF">2026-04-28T05:19:49Z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FE1E4222BD914D0A94E3B441599C8C77</vt:lpwstr>
  </property>
</Properties>
</file>