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C11B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1" w:name="_GoBack"/>
      <w:bookmarkEnd w:id="1"/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>
        <w:rPr>
          <w:rFonts w:hint="eastAsia"/>
          <w:b/>
          <w:bCs/>
          <w:color w:val="000000"/>
          <w:sz w:val="30"/>
          <w:szCs w:val="30"/>
          <w:lang w:eastAsia="zh-CN"/>
        </w:rPr>
        <w:t>交银施罗德境尚收益债券型证券投资基金</w:t>
      </w:r>
      <w:r>
        <w:rPr>
          <w:rFonts w:hint="eastAsia"/>
          <w:b/>
          <w:bCs/>
          <w:color w:val="000000"/>
          <w:sz w:val="30"/>
          <w:szCs w:val="30"/>
        </w:rPr>
        <w:t>调整大额申购（转换转入、定期定额投资）业务限额的公告</w:t>
      </w:r>
    </w:p>
    <w:p w14:paraId="2B04FDB3">
      <w:pPr>
        <w:tabs>
          <w:tab w:val="left" w:pos="1740"/>
          <w:tab w:val="center" w:pos="4153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公告</w:t>
      </w:r>
      <w:r>
        <w:rPr>
          <w:rFonts w:ascii="宋体" w:hAnsi="宋体"/>
          <w:b/>
          <w:sz w:val="24"/>
        </w:rPr>
        <w:t>送出日期：202</w:t>
      </w:r>
      <w:r>
        <w:rPr>
          <w:rFonts w:hint="eastAsia" w:ascii="宋体" w:hAnsi="宋体"/>
          <w:b/>
          <w:sz w:val="24"/>
          <w:lang w:val="en-US" w:eastAsia="zh-CN"/>
        </w:rPr>
        <w:t>6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lang w:val="en-US" w:eastAsia="zh-CN"/>
        </w:rPr>
        <w:t>4</w:t>
      </w:r>
      <w:r>
        <w:rPr>
          <w:rFonts w:ascii="宋体" w:hAnsi="宋体"/>
          <w:b/>
          <w:sz w:val="24"/>
        </w:rPr>
        <w:t>月2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>日</w:t>
      </w:r>
    </w:p>
    <w:p w14:paraId="7650807F">
      <w:pPr>
        <w:spacing w:line="360" w:lineRule="auto"/>
        <w:jc w:val="center"/>
        <w:rPr>
          <w:color w:val="000000"/>
          <w:sz w:val="24"/>
        </w:rPr>
      </w:pPr>
    </w:p>
    <w:bookmarkEnd w:id="0"/>
    <w:p w14:paraId="13668D0A">
      <w:pPr>
        <w:pStyle w:val="2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1.公告基本信息</w:t>
      </w:r>
    </w:p>
    <w:tbl>
      <w:tblPr>
        <w:tblStyle w:val="6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3157"/>
        <w:gridCol w:w="3157"/>
      </w:tblGrid>
      <w:tr w14:paraId="7A05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E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15B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交银施罗德境尚收益债券型证券投资基金</w:t>
            </w:r>
          </w:p>
        </w:tc>
      </w:tr>
      <w:tr w14:paraId="61A6E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5C4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B01B0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交银境尚收益债券</w:t>
            </w:r>
          </w:p>
        </w:tc>
      </w:tr>
      <w:tr w14:paraId="6D61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310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21DBA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519784</w:t>
            </w:r>
          </w:p>
        </w:tc>
      </w:tr>
      <w:tr w14:paraId="1740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0E8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FE6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14:paraId="2DC5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F9C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446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eastAsia="zh-CN"/>
              </w:rPr>
              <w:t>交银施罗德境尚收益债券型证券投资基金</w:t>
            </w:r>
            <w:r>
              <w:rPr>
                <w:rFonts w:hint="eastAsia"/>
                <w:sz w:val="24"/>
              </w:rPr>
              <w:t>基金合同》、《</w:t>
            </w:r>
            <w:r>
              <w:rPr>
                <w:rFonts w:hint="eastAsia"/>
                <w:sz w:val="24"/>
                <w:lang w:eastAsia="zh-CN"/>
              </w:rPr>
              <w:t>交银施罗德境尚收益债券型证券投资基金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14:paraId="16E8395E">
        <w:tblPrEx>
          <w:tblBorders>
            <w:top w:val="none" w:color="auto" w:sz="0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4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6D1FB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调整相关业务限额的起始日、金额及原因说明</w:t>
            </w:r>
          </w:p>
          <w:p w14:paraId="33785777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14:paraId="5EE155F3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14:paraId="62C25C9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223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调整大额申购起始日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74D9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2026年4月24日</w:t>
            </w:r>
          </w:p>
        </w:tc>
      </w:tr>
      <w:tr w14:paraId="74F753EC">
        <w:tblPrEx>
          <w:tblBorders>
            <w:top w:val="none" w:color="auto" w:sz="0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DAA036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A6027">
            <w:pPr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调整大额转换转入起始日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492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2026年4月24日</w:t>
            </w:r>
          </w:p>
        </w:tc>
      </w:tr>
      <w:tr w14:paraId="3ECB7339">
        <w:tblPrEx>
          <w:tblBorders>
            <w:top w:val="none" w:color="auto" w:sz="0" w:space="0"/>
            <w:left w:val="single" w:color="000000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4DB4F9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F6AC">
            <w:pPr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调整大额定期定额投资起始日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E54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2026年4月24日</w:t>
            </w:r>
          </w:p>
        </w:tc>
      </w:tr>
      <w:tr w14:paraId="2EB7C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1F51DC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862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hint="eastAsia" w:ascii="宋体" w:hAnsi="宋体" w:cs="宋体"/>
                <w:kern w:val="0"/>
                <w:sz w:val="24"/>
              </w:rPr>
              <w:t>额申购金额（单位：元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19B93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1,000,000</w:t>
            </w:r>
          </w:p>
        </w:tc>
      </w:tr>
      <w:tr w14:paraId="07767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1D3604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F8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hint="eastAsia" w:ascii="宋体" w:hAnsi="宋体" w:cs="宋体"/>
                <w:kern w:val="0"/>
                <w:sz w:val="24"/>
              </w:rPr>
              <w:t>额转换转入金额（单位：元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D3D9D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1,000,000</w:t>
            </w:r>
          </w:p>
        </w:tc>
      </w:tr>
      <w:tr w14:paraId="2D54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56CC83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C9D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hint="eastAsia" w:ascii="宋体" w:hAnsi="宋体" w:cs="宋体"/>
                <w:kern w:val="0"/>
                <w:sz w:val="24"/>
              </w:rPr>
              <w:t>额定期定额投资金额（单位：元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7E789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1,000,000</w:t>
            </w:r>
          </w:p>
        </w:tc>
      </w:tr>
      <w:tr w14:paraId="62CB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F39678A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A1D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调整大额申购（转换转入、定期定额投资）业务限额的原因说明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39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为保护现有基金份额持有人的利益，稳定基金规模，追求平稳运作</w:t>
            </w:r>
          </w:p>
        </w:tc>
      </w:tr>
      <w:tr w14:paraId="09C9D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C55B51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下属分级基金的基金简称 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C7A3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交银境尚收益债券</w:t>
            </w:r>
            <w:r>
              <w:rPr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A31A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交银境尚收益债券</w:t>
            </w:r>
            <w:r>
              <w:rPr>
                <w:sz w:val="24"/>
              </w:rPr>
              <w:t>C</w:t>
            </w:r>
          </w:p>
        </w:tc>
      </w:tr>
      <w:tr w14:paraId="7FA43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5BB2BB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5EDE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519784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8FAC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519785</w:t>
            </w:r>
          </w:p>
        </w:tc>
      </w:tr>
      <w:tr w14:paraId="25051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6BCDE7"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该分级基金是否调整大额申购（转换转入、定期定额投资）业务限额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D1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FE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14:paraId="4279CA23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注：对于当日单个基金账户单笔或多笔累计申购、转换转入及定期定额投资的金额（本基金各类基金份额的申请金额予以合计）超过人民币</w:t>
      </w:r>
      <w:r>
        <w:rPr>
          <w:rFonts w:hint="eastAsia"/>
          <w:sz w:val="24"/>
          <w:lang w:val="en-US" w:eastAsia="zh-CN"/>
        </w:rPr>
        <w:t>100</w:t>
      </w:r>
      <w:r>
        <w:rPr>
          <w:rFonts w:hint="eastAsia"/>
          <w:sz w:val="24"/>
        </w:rPr>
        <w:t>万元（不含）的申请，本基金管理人有权拒绝。</w:t>
      </w:r>
    </w:p>
    <w:p w14:paraId="1AD6005C">
      <w:pPr>
        <w:spacing w:line="360" w:lineRule="auto"/>
        <w:rPr>
          <w:color w:val="000000"/>
          <w:sz w:val="24"/>
        </w:rPr>
      </w:pPr>
    </w:p>
    <w:p w14:paraId="000BD082"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2.其他需要提示的事项</w:t>
      </w:r>
    </w:p>
    <w:p w14:paraId="130A20A0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）在本基金上述暂停大额申购（转换转入、定期定额投资）业务期间，本基金的赎回（转换转出）业务正常进行。</w:t>
      </w:r>
    </w:p>
    <w:p w14:paraId="4C9068D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）关于取消上述暂停大额申购（转换转入、定期定额投资）业务限制的时间，本基金管理人将另行公告。</w:t>
      </w:r>
    </w:p>
    <w:p w14:paraId="643C08D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（3）投资者可以通过本基金管理人网站（www.fund001.com）或客户服务电话400-700-5000（免长途话费），021-61055000咨询有关详情。</w:t>
      </w:r>
    </w:p>
    <w:p w14:paraId="51AF36B2">
      <w:pPr>
        <w:spacing w:line="360" w:lineRule="auto"/>
        <w:ind w:firstLine="480" w:firstLineChars="200"/>
        <w:rPr>
          <w:color w:val="000000"/>
          <w:sz w:val="24"/>
        </w:rPr>
      </w:pPr>
    </w:p>
    <w:p w14:paraId="0E05190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09526FED">
      <w:pPr>
        <w:spacing w:line="360" w:lineRule="auto"/>
        <w:ind w:firstLine="480" w:firstLineChars="200"/>
        <w:rPr>
          <w:color w:val="000000"/>
          <w:sz w:val="24"/>
        </w:rPr>
      </w:pPr>
    </w:p>
    <w:p w14:paraId="7126A92F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14:paraId="4F82B7B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1416254"/>
      <w:docPartObj>
        <w:docPartGallery w:val="autotext"/>
      </w:docPartObj>
    </w:sdtPr>
    <w:sdtContent>
      <w:p w14:paraId="6B74E73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80047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2E"/>
    <w:rsid w:val="00034AF2"/>
    <w:rsid w:val="00050D13"/>
    <w:rsid w:val="00155FEE"/>
    <w:rsid w:val="001B4074"/>
    <w:rsid w:val="001D4A6C"/>
    <w:rsid w:val="001D69CF"/>
    <w:rsid w:val="001E4EAA"/>
    <w:rsid w:val="0023109B"/>
    <w:rsid w:val="0024073B"/>
    <w:rsid w:val="002B540C"/>
    <w:rsid w:val="003832CE"/>
    <w:rsid w:val="003A6BC5"/>
    <w:rsid w:val="003E409B"/>
    <w:rsid w:val="004158AB"/>
    <w:rsid w:val="0048394E"/>
    <w:rsid w:val="004A2B9D"/>
    <w:rsid w:val="00510DD9"/>
    <w:rsid w:val="00530B67"/>
    <w:rsid w:val="00554341"/>
    <w:rsid w:val="00582BB7"/>
    <w:rsid w:val="005B1385"/>
    <w:rsid w:val="005E0575"/>
    <w:rsid w:val="0060711C"/>
    <w:rsid w:val="0063766B"/>
    <w:rsid w:val="00667ACA"/>
    <w:rsid w:val="00674765"/>
    <w:rsid w:val="00686376"/>
    <w:rsid w:val="00694502"/>
    <w:rsid w:val="006A4618"/>
    <w:rsid w:val="006B5AFE"/>
    <w:rsid w:val="006F4053"/>
    <w:rsid w:val="0074477C"/>
    <w:rsid w:val="00763792"/>
    <w:rsid w:val="0084084B"/>
    <w:rsid w:val="008B1B2E"/>
    <w:rsid w:val="008F6511"/>
    <w:rsid w:val="00933D55"/>
    <w:rsid w:val="00936B55"/>
    <w:rsid w:val="00955069"/>
    <w:rsid w:val="009B76D4"/>
    <w:rsid w:val="00A45CEE"/>
    <w:rsid w:val="00A63852"/>
    <w:rsid w:val="00AA39DA"/>
    <w:rsid w:val="00AA5E2E"/>
    <w:rsid w:val="00AB5812"/>
    <w:rsid w:val="00AB7F4B"/>
    <w:rsid w:val="00B003E1"/>
    <w:rsid w:val="00BA62D6"/>
    <w:rsid w:val="00BE3A7A"/>
    <w:rsid w:val="00C01615"/>
    <w:rsid w:val="00C20519"/>
    <w:rsid w:val="00C409DE"/>
    <w:rsid w:val="00C43046"/>
    <w:rsid w:val="00C5173B"/>
    <w:rsid w:val="00C53EB7"/>
    <w:rsid w:val="00CA61DB"/>
    <w:rsid w:val="00CB767E"/>
    <w:rsid w:val="00D12A26"/>
    <w:rsid w:val="00D8208A"/>
    <w:rsid w:val="00D9103C"/>
    <w:rsid w:val="00DB228F"/>
    <w:rsid w:val="00E23958"/>
    <w:rsid w:val="00E8043A"/>
    <w:rsid w:val="00E8054D"/>
    <w:rsid w:val="00ED4101"/>
    <w:rsid w:val="00F12544"/>
    <w:rsid w:val="00F2216D"/>
    <w:rsid w:val="00FC4D3D"/>
    <w:rsid w:val="00FC6BB1"/>
    <w:rsid w:val="1DF44FC2"/>
    <w:rsid w:val="33755F7E"/>
    <w:rsid w:val="65C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16</TotalTime>
  <ScaleCrop>false</ScaleCrop>
  <LinksUpToDate>false</LinksUpToDate>
  <CharactersWithSpaces>959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2022-10-12T02:09:00Z</dcterms:created>
  <dc:creator>刘晨晨</dc:creator>
  <cp:lastModifiedBy>chenshangqing</cp:lastModifiedBy>
  <dcterms:modified xsi:type="dcterms:W3CDTF">2026-04-22T06:35:08Z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86314B9CC5434090B61D3DEAF6134954_12</vt:lpwstr>
  </property>
</Properties>
</file>