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590E9" w14:textId="7873836A" w:rsidR="00D27F7F" w:rsidRDefault="00A4337A">
      <w:pPr>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交银施罗德基金管理有限公司关于交银施罗德环球精选价值证券投资基金增加</w:t>
      </w:r>
      <w:r>
        <w:rPr>
          <w:rFonts w:ascii="Times New Roman" w:eastAsia="宋体" w:hAnsi="Times New Roman" w:cs="Times New Roman"/>
          <w:b/>
          <w:sz w:val="30"/>
          <w:szCs w:val="30"/>
        </w:rPr>
        <w:t>C</w:t>
      </w:r>
      <w:r>
        <w:rPr>
          <w:rFonts w:ascii="Times New Roman" w:eastAsia="宋体" w:hAnsi="Times New Roman" w:cs="Times New Roman" w:hint="eastAsia"/>
          <w:b/>
          <w:sz w:val="30"/>
          <w:szCs w:val="30"/>
        </w:rPr>
        <w:t>类基金份额、增加侧袋机制、调整基金份额净值计算小数点后保留位数并修改基金合同和托管协议的公告</w:t>
      </w:r>
    </w:p>
    <w:p w14:paraId="09850367" w14:textId="77777777" w:rsidR="00D27F7F" w:rsidRDefault="00D27F7F">
      <w:pPr>
        <w:rPr>
          <w:rFonts w:ascii="Times New Roman" w:eastAsia="宋体" w:hAnsi="Times New Roman" w:cs="Times New Roman"/>
          <w:b/>
          <w:sz w:val="30"/>
          <w:szCs w:val="30"/>
        </w:rPr>
      </w:pPr>
    </w:p>
    <w:p w14:paraId="4EE04834" w14:textId="5AD13274" w:rsidR="00D27F7F" w:rsidRDefault="00A4337A">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为更好地满足广大投资者的需求，交银施罗德基金管理有限公司（以下简称</w:t>
      </w:r>
      <w:r>
        <w:rPr>
          <w:rFonts w:asciiTheme="minorEastAsia" w:hAnsiTheme="minorEastAsia" w:cs="Times New Roman"/>
          <w:bCs/>
          <w:sz w:val="24"/>
          <w:szCs w:val="20"/>
        </w:rPr>
        <w:t>“</w:t>
      </w:r>
      <w:r>
        <w:rPr>
          <w:rFonts w:asciiTheme="minorEastAsia" w:hAnsiTheme="minorEastAsia" w:cs="Times New Roman" w:hint="eastAsia"/>
          <w:bCs/>
          <w:sz w:val="24"/>
          <w:szCs w:val="20"/>
        </w:rPr>
        <w:t>本公司</w:t>
      </w:r>
      <w:r>
        <w:rPr>
          <w:rFonts w:asciiTheme="minorEastAsia" w:hAnsiTheme="minorEastAsia" w:cs="Times New Roman"/>
          <w:bCs/>
          <w:sz w:val="24"/>
          <w:szCs w:val="20"/>
        </w:rPr>
        <w:t>”</w:t>
      </w:r>
      <w:r>
        <w:rPr>
          <w:rFonts w:asciiTheme="minorEastAsia" w:hAnsiTheme="minorEastAsia" w:cs="Times New Roman" w:hint="eastAsia"/>
          <w:bCs/>
          <w:sz w:val="24"/>
          <w:szCs w:val="20"/>
        </w:rPr>
        <w:t>或“基金管理人”）根据《中华人民共和国证券投资基金法》、《公开募集</w:t>
      </w:r>
      <w:r>
        <w:rPr>
          <w:rFonts w:ascii="Times New Roman" w:eastAsia="宋体" w:hAnsi="Times New Roman" w:cs="Times New Roman" w:hint="eastAsia"/>
          <w:bCs/>
          <w:sz w:val="24"/>
          <w:szCs w:val="20"/>
        </w:rPr>
        <w:t>证券投资基金运作管理办法》、《公开募集证券投资基金侧袋机制指引（试行）》和《交银施罗德环球精选价值证券投资基金基金合同》（以下简称</w:t>
      </w:r>
      <w:r>
        <w:rPr>
          <w:rFonts w:asciiTheme="minorEastAsia" w:hAnsiTheme="minorEastAsia" w:cs="Times New Roman"/>
          <w:bCs/>
          <w:sz w:val="24"/>
          <w:szCs w:val="20"/>
        </w:rPr>
        <w:t>“</w:t>
      </w:r>
      <w:r>
        <w:rPr>
          <w:rFonts w:asciiTheme="minorEastAsia" w:hAnsiTheme="minorEastAsia" w:cs="Times New Roman" w:hint="eastAsia"/>
          <w:bCs/>
          <w:sz w:val="24"/>
          <w:szCs w:val="20"/>
        </w:rPr>
        <w:t>基金合同</w:t>
      </w:r>
      <w:r>
        <w:rPr>
          <w:rFonts w:asciiTheme="minorEastAsia" w:hAnsiTheme="minorEastAsia" w:cs="Times New Roman"/>
          <w:bCs/>
          <w:sz w:val="24"/>
          <w:szCs w:val="20"/>
        </w:rPr>
        <w:t>”</w:t>
      </w:r>
      <w:r>
        <w:rPr>
          <w:rFonts w:ascii="Times New Roman" w:eastAsia="宋体" w:hAnsi="Times New Roman" w:hint="eastAsia"/>
          <w:bCs/>
          <w:sz w:val="24"/>
          <w:szCs w:val="20"/>
        </w:rPr>
        <w:t>或“</w:t>
      </w:r>
      <w:r>
        <w:rPr>
          <w:rFonts w:ascii="Times New Roman" w:eastAsia="宋体" w:hAnsi="Times New Roman"/>
          <w:bCs/>
          <w:sz w:val="24"/>
          <w:szCs w:val="20"/>
        </w:rPr>
        <w:t>《</w:t>
      </w:r>
      <w:r>
        <w:rPr>
          <w:rFonts w:ascii="Times New Roman" w:eastAsia="宋体" w:hAnsi="Times New Roman" w:hint="eastAsia"/>
          <w:bCs/>
          <w:sz w:val="24"/>
          <w:szCs w:val="20"/>
        </w:rPr>
        <w:t>基金</w:t>
      </w:r>
      <w:r>
        <w:rPr>
          <w:rFonts w:ascii="Times New Roman" w:eastAsia="宋体" w:hAnsi="Times New Roman"/>
          <w:bCs/>
          <w:sz w:val="24"/>
          <w:szCs w:val="20"/>
        </w:rPr>
        <w:t>合同》</w:t>
      </w:r>
      <w:r>
        <w:rPr>
          <w:rFonts w:ascii="Times New Roman" w:eastAsia="宋体" w:hAnsi="Times New Roman" w:hint="eastAsia"/>
          <w:bCs/>
          <w:sz w:val="24"/>
          <w:szCs w:val="20"/>
        </w:rPr>
        <w:t>”</w:t>
      </w:r>
      <w:r>
        <w:rPr>
          <w:rFonts w:ascii="Times New Roman" w:eastAsia="宋体" w:hAnsi="Times New Roman" w:cs="Times New Roman" w:hint="eastAsia"/>
          <w:bCs/>
          <w:sz w:val="24"/>
          <w:szCs w:val="20"/>
        </w:rPr>
        <w:t>）的有关规定，经与基金托管人中国建设银行股份有限公司（以下简称</w:t>
      </w:r>
      <w:r>
        <w:rPr>
          <w:rFonts w:asciiTheme="minorEastAsia" w:hAnsiTheme="minorEastAsia" w:cs="Times New Roman"/>
          <w:bCs/>
          <w:sz w:val="24"/>
          <w:szCs w:val="20"/>
        </w:rPr>
        <w:t>“</w:t>
      </w:r>
      <w:r>
        <w:rPr>
          <w:rFonts w:asciiTheme="minorEastAsia" w:hAnsiTheme="minorEastAsia" w:cs="Times New Roman" w:hint="eastAsia"/>
          <w:bCs/>
          <w:sz w:val="24"/>
          <w:szCs w:val="20"/>
        </w:rPr>
        <w:t>中国建设银行</w:t>
      </w:r>
      <w:r>
        <w:rPr>
          <w:rFonts w:asciiTheme="minorEastAsia" w:hAnsiTheme="minorEastAsia" w:cs="Times New Roman"/>
          <w:bCs/>
          <w:sz w:val="24"/>
          <w:szCs w:val="20"/>
        </w:rPr>
        <w:t>”</w:t>
      </w:r>
      <w:r>
        <w:rPr>
          <w:rFonts w:ascii="Times New Roman" w:eastAsia="宋体" w:hAnsi="Times New Roman" w:cs="Times New Roman" w:hint="eastAsia"/>
          <w:bCs/>
          <w:sz w:val="24"/>
          <w:szCs w:val="20"/>
        </w:rPr>
        <w:t>）协商一致，决定自</w:t>
      </w:r>
      <w:r>
        <w:rPr>
          <w:rFonts w:ascii="Times New Roman" w:eastAsia="宋体" w:hAnsi="Times New Roman" w:cs="Times New Roman" w:hint="eastAsia"/>
          <w:bCs/>
          <w:sz w:val="24"/>
          <w:szCs w:val="20"/>
        </w:rPr>
        <w:t>202</w:t>
      </w:r>
      <w:r>
        <w:rPr>
          <w:rFonts w:ascii="Times New Roman" w:eastAsia="宋体" w:hAnsi="Times New Roman" w:cs="Times New Roman"/>
          <w:bCs/>
          <w:sz w:val="24"/>
          <w:szCs w:val="20"/>
        </w:rPr>
        <w:t>6</w:t>
      </w:r>
      <w:r>
        <w:rPr>
          <w:rFonts w:ascii="Times New Roman" w:eastAsia="宋体" w:hAnsi="Times New Roman" w:cs="Times New Roman" w:hint="eastAsia"/>
          <w:bCs/>
          <w:sz w:val="24"/>
          <w:szCs w:val="20"/>
        </w:rPr>
        <w:t>年</w:t>
      </w:r>
      <w:r>
        <w:rPr>
          <w:rFonts w:ascii="Times New Roman" w:eastAsia="宋体" w:hAnsi="Times New Roman" w:cs="Times New Roman"/>
          <w:bCs/>
          <w:sz w:val="24"/>
          <w:szCs w:val="20"/>
        </w:rPr>
        <w:t>4</w:t>
      </w:r>
      <w:r>
        <w:rPr>
          <w:rFonts w:ascii="Times New Roman" w:eastAsia="宋体" w:hAnsi="Times New Roman" w:cs="Times New Roman" w:hint="eastAsia"/>
          <w:bCs/>
          <w:sz w:val="24"/>
          <w:szCs w:val="20"/>
        </w:rPr>
        <w:t>月</w:t>
      </w:r>
      <w:r>
        <w:rPr>
          <w:rFonts w:ascii="Times New Roman" w:eastAsia="宋体" w:hAnsi="Times New Roman" w:cs="Times New Roman"/>
          <w:bCs/>
          <w:sz w:val="24"/>
          <w:szCs w:val="20"/>
        </w:rPr>
        <w:t>15</w:t>
      </w:r>
      <w:r>
        <w:rPr>
          <w:rFonts w:ascii="Times New Roman" w:eastAsia="宋体" w:hAnsi="Times New Roman" w:cs="Times New Roman" w:hint="eastAsia"/>
          <w:bCs/>
          <w:sz w:val="24"/>
          <w:szCs w:val="20"/>
        </w:rPr>
        <w:t>日起对本公司管理的交银施罗德环球精选价值证券投资基金（</w:t>
      </w:r>
      <w:r>
        <w:rPr>
          <w:rFonts w:asciiTheme="minorEastAsia" w:hAnsiTheme="minorEastAsia" w:cs="Times New Roman" w:hint="eastAsia"/>
          <w:bCs/>
          <w:sz w:val="24"/>
          <w:szCs w:val="20"/>
        </w:rPr>
        <w:t>以下简称</w:t>
      </w:r>
      <w:r>
        <w:rPr>
          <w:rFonts w:asciiTheme="minorEastAsia" w:hAnsiTheme="minorEastAsia" w:cs="Times New Roman"/>
          <w:bCs/>
          <w:sz w:val="24"/>
          <w:szCs w:val="20"/>
        </w:rPr>
        <w:t>“</w:t>
      </w:r>
      <w:r>
        <w:rPr>
          <w:rFonts w:asciiTheme="minorEastAsia" w:hAnsiTheme="minorEastAsia" w:cs="Times New Roman" w:hint="eastAsia"/>
          <w:bCs/>
          <w:sz w:val="24"/>
          <w:szCs w:val="20"/>
        </w:rPr>
        <w:t>本基金</w:t>
      </w:r>
      <w:r>
        <w:rPr>
          <w:rFonts w:asciiTheme="minorEastAsia" w:hAnsiTheme="minorEastAsia" w:cs="Times New Roman"/>
          <w:bCs/>
          <w:sz w:val="24"/>
          <w:szCs w:val="20"/>
        </w:rPr>
        <w:t>”</w:t>
      </w:r>
      <w:r>
        <w:rPr>
          <w:rFonts w:asciiTheme="minorEastAsia" w:hAnsiTheme="minorEastAsia" w:cs="Times New Roman" w:hint="eastAsia"/>
          <w:bCs/>
          <w:sz w:val="24"/>
          <w:szCs w:val="20"/>
        </w:rPr>
        <w:t>）增</w:t>
      </w:r>
      <w:r>
        <w:rPr>
          <w:rFonts w:ascii="Times New Roman" w:eastAsia="宋体" w:hAnsi="Times New Roman" w:cs="Times New Roman" w:hint="eastAsia"/>
          <w:bCs/>
          <w:sz w:val="24"/>
          <w:szCs w:val="20"/>
        </w:rPr>
        <w:t>加</w:t>
      </w:r>
      <w:r>
        <w:rPr>
          <w:rFonts w:ascii="Times New Roman" w:eastAsia="宋体" w:hAnsi="Times New Roman" w:cs="Times New Roman"/>
          <w:bCs/>
          <w:sz w:val="24"/>
          <w:szCs w:val="20"/>
        </w:rPr>
        <w:t>C</w:t>
      </w:r>
      <w:r>
        <w:rPr>
          <w:rFonts w:ascii="Times New Roman" w:eastAsia="宋体" w:hAnsi="Times New Roman" w:cs="Times New Roman" w:hint="eastAsia"/>
          <w:bCs/>
          <w:sz w:val="24"/>
          <w:szCs w:val="20"/>
        </w:rPr>
        <w:t>类基金份额，同时增加侧袋机制的相关条款、调整基金份额净值计算小数点后保留位数，并对本基金的基金合同</w:t>
      </w:r>
      <w:r>
        <w:rPr>
          <w:rFonts w:ascii="Times New Roman" w:eastAsia="宋体" w:hAnsi="Times New Roman" w:hint="eastAsia"/>
          <w:bCs/>
          <w:sz w:val="24"/>
          <w:szCs w:val="20"/>
        </w:rPr>
        <w:t>、托管协议</w:t>
      </w:r>
      <w:r>
        <w:rPr>
          <w:rFonts w:ascii="Times New Roman" w:eastAsia="宋体" w:hAnsi="Times New Roman" w:cs="Times New Roman" w:hint="eastAsia"/>
          <w:bCs/>
          <w:sz w:val="24"/>
          <w:szCs w:val="20"/>
        </w:rPr>
        <w:t>作相应修改。</w:t>
      </w:r>
    </w:p>
    <w:p w14:paraId="77781BCC" w14:textId="77777777" w:rsidR="00D27F7F" w:rsidRDefault="00A4337A">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现将具体事项公告如下：</w:t>
      </w:r>
    </w:p>
    <w:p w14:paraId="55CF6522" w14:textId="77777777" w:rsidR="00D27F7F" w:rsidRDefault="00A4337A">
      <w:pPr>
        <w:adjustRightInd w:val="0"/>
        <w:snapToGrid w:val="0"/>
        <w:spacing w:line="360" w:lineRule="auto"/>
        <w:ind w:firstLineChars="200" w:firstLine="482"/>
        <w:rPr>
          <w:rFonts w:ascii="Times New Roman" w:eastAsia="宋体" w:hAnsi="Times New Roman" w:cs="Times New Roman"/>
          <w:b/>
          <w:bCs/>
          <w:sz w:val="24"/>
          <w:szCs w:val="20"/>
        </w:rPr>
      </w:pPr>
      <w:r>
        <w:rPr>
          <w:rFonts w:ascii="Times New Roman" w:eastAsia="宋体" w:hAnsi="Times New Roman" w:cs="Times New Roman" w:hint="eastAsia"/>
          <w:b/>
          <w:bCs/>
          <w:sz w:val="24"/>
          <w:szCs w:val="20"/>
        </w:rPr>
        <w:t>一、新增</w:t>
      </w:r>
      <w:r>
        <w:rPr>
          <w:rFonts w:ascii="Times New Roman" w:eastAsia="宋体" w:hAnsi="Times New Roman" w:cs="Times New Roman"/>
          <w:b/>
          <w:bCs/>
          <w:sz w:val="24"/>
          <w:szCs w:val="20"/>
        </w:rPr>
        <w:t>C</w:t>
      </w:r>
      <w:r>
        <w:rPr>
          <w:rFonts w:ascii="Times New Roman" w:eastAsia="宋体" w:hAnsi="Times New Roman" w:cs="Times New Roman" w:hint="eastAsia"/>
          <w:b/>
          <w:bCs/>
          <w:sz w:val="24"/>
          <w:szCs w:val="20"/>
        </w:rPr>
        <w:t>类基金份额的基本情况</w:t>
      </w:r>
    </w:p>
    <w:p w14:paraId="1067A54B" w14:textId="3A685F37" w:rsidR="00D27F7F" w:rsidRDefault="00A4337A">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自</w:t>
      </w:r>
      <w:r>
        <w:rPr>
          <w:rFonts w:ascii="Times New Roman" w:eastAsia="宋体" w:hAnsi="Times New Roman" w:cs="Times New Roman" w:hint="eastAsia"/>
          <w:bCs/>
          <w:sz w:val="24"/>
          <w:szCs w:val="20"/>
        </w:rPr>
        <w:t>2</w:t>
      </w:r>
      <w:r>
        <w:rPr>
          <w:rFonts w:ascii="Times New Roman" w:eastAsia="宋体" w:hAnsi="Times New Roman" w:cs="Times New Roman"/>
          <w:bCs/>
          <w:sz w:val="24"/>
          <w:szCs w:val="20"/>
        </w:rPr>
        <w:t>026</w:t>
      </w:r>
      <w:r>
        <w:rPr>
          <w:rFonts w:ascii="Times New Roman" w:eastAsia="宋体" w:hAnsi="Times New Roman" w:cs="Times New Roman" w:hint="eastAsia"/>
          <w:bCs/>
          <w:sz w:val="24"/>
          <w:szCs w:val="20"/>
        </w:rPr>
        <w:t>年</w:t>
      </w:r>
      <w:r>
        <w:rPr>
          <w:rFonts w:ascii="Times New Roman" w:eastAsia="宋体" w:hAnsi="Times New Roman" w:cs="Times New Roman"/>
          <w:bCs/>
          <w:sz w:val="24"/>
          <w:szCs w:val="20"/>
        </w:rPr>
        <w:t>4</w:t>
      </w:r>
      <w:r>
        <w:rPr>
          <w:rFonts w:ascii="Times New Roman" w:eastAsia="宋体" w:hAnsi="Times New Roman" w:cs="Times New Roman" w:hint="eastAsia"/>
          <w:bCs/>
          <w:sz w:val="24"/>
          <w:szCs w:val="20"/>
        </w:rPr>
        <w:t>月</w:t>
      </w:r>
      <w:r>
        <w:rPr>
          <w:rFonts w:ascii="Times New Roman" w:eastAsia="宋体" w:hAnsi="Times New Roman" w:cs="Times New Roman"/>
          <w:bCs/>
          <w:sz w:val="24"/>
          <w:szCs w:val="20"/>
        </w:rPr>
        <w:t>15</w:t>
      </w:r>
      <w:r>
        <w:rPr>
          <w:rFonts w:ascii="Times New Roman" w:eastAsia="宋体" w:hAnsi="Times New Roman" w:cs="Times New Roman" w:hint="eastAsia"/>
          <w:bCs/>
          <w:sz w:val="24"/>
          <w:szCs w:val="20"/>
        </w:rPr>
        <w:t>日，本基金增加</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类基金份额（基金代码：</w:t>
      </w:r>
      <w:r>
        <w:rPr>
          <w:rFonts w:ascii="Times New Roman" w:eastAsia="宋体" w:hAnsi="Times New Roman" w:cs="Times New Roman"/>
          <w:bCs/>
          <w:sz w:val="24"/>
          <w:szCs w:val="20"/>
        </w:rPr>
        <w:t>027170</w:t>
      </w:r>
      <w:r>
        <w:rPr>
          <w:rFonts w:ascii="Times New Roman" w:eastAsia="宋体" w:hAnsi="Times New Roman" w:cs="Times New Roman" w:hint="eastAsia"/>
          <w:bCs/>
          <w:sz w:val="24"/>
          <w:szCs w:val="20"/>
        </w:rPr>
        <w:t>），并于当日起开通</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类基金份额的申购、赎回、定期定额投资业务。</w:t>
      </w:r>
      <w:r>
        <w:rPr>
          <w:rFonts w:ascii="Times New Roman" w:eastAsia="宋体" w:hAnsi="Times New Roman" w:hint="eastAsia"/>
          <w:bCs/>
          <w:sz w:val="24"/>
          <w:szCs w:val="20"/>
        </w:rPr>
        <w:t>本基金原有</w:t>
      </w:r>
      <w:r>
        <w:rPr>
          <w:rFonts w:ascii="Times New Roman" w:eastAsia="宋体" w:hAnsi="Times New Roman"/>
          <w:bCs/>
          <w:sz w:val="24"/>
          <w:szCs w:val="20"/>
        </w:rPr>
        <w:t>的基金份额全部自动</w:t>
      </w:r>
      <w:r>
        <w:rPr>
          <w:rFonts w:ascii="Times New Roman" w:eastAsia="宋体" w:hAnsi="Times New Roman" w:hint="eastAsia"/>
          <w:bCs/>
          <w:sz w:val="24"/>
          <w:szCs w:val="20"/>
        </w:rPr>
        <w:t>划归</w:t>
      </w:r>
      <w:r>
        <w:rPr>
          <w:rFonts w:ascii="Times New Roman" w:eastAsia="宋体" w:hAnsi="Times New Roman"/>
          <w:bCs/>
          <w:sz w:val="24"/>
          <w:szCs w:val="20"/>
        </w:rPr>
        <w:t>为</w:t>
      </w:r>
      <w:r>
        <w:rPr>
          <w:rFonts w:ascii="Times New Roman" w:eastAsia="宋体" w:hAnsi="Times New Roman" w:cs="Times New Roman"/>
          <w:bCs/>
          <w:sz w:val="24"/>
          <w:szCs w:val="20"/>
        </w:rPr>
        <w:t>A</w:t>
      </w:r>
      <w:r>
        <w:rPr>
          <w:rFonts w:ascii="Times New Roman" w:eastAsia="宋体" w:hAnsi="Times New Roman" w:cs="Times New Roman" w:hint="eastAsia"/>
          <w:bCs/>
          <w:sz w:val="24"/>
          <w:szCs w:val="20"/>
        </w:rPr>
        <w:t>类基金份</w:t>
      </w:r>
      <w:r>
        <w:rPr>
          <w:rFonts w:ascii="Times New Roman" w:eastAsia="宋体" w:hAnsi="Times New Roman" w:hint="eastAsia"/>
          <w:bCs/>
          <w:sz w:val="24"/>
          <w:szCs w:val="20"/>
        </w:rPr>
        <w:t>额（基金代码：</w:t>
      </w:r>
      <w:r>
        <w:rPr>
          <w:rFonts w:ascii="Times New Roman" w:eastAsia="宋体" w:hAnsi="Times New Roman" w:hint="eastAsia"/>
          <w:bCs/>
          <w:sz w:val="24"/>
          <w:szCs w:val="20"/>
        </w:rPr>
        <w:t>5</w:t>
      </w:r>
      <w:r>
        <w:rPr>
          <w:rFonts w:ascii="Times New Roman" w:eastAsia="宋体" w:hAnsi="Times New Roman"/>
          <w:bCs/>
          <w:sz w:val="24"/>
          <w:szCs w:val="20"/>
        </w:rPr>
        <w:t>19696</w:t>
      </w:r>
      <w:r>
        <w:rPr>
          <w:rFonts w:ascii="Times New Roman" w:eastAsia="宋体" w:hAnsi="Times New Roman" w:hint="eastAsia"/>
          <w:bCs/>
          <w:sz w:val="24"/>
          <w:szCs w:val="20"/>
        </w:rPr>
        <w:t>），该类份额的申购赎回业务规则以及费率结构均保持不变。两类基金份额分别设置对</w:t>
      </w:r>
      <w:r>
        <w:rPr>
          <w:rFonts w:ascii="Times New Roman" w:eastAsia="宋体" w:hAnsi="Times New Roman" w:cs="Times New Roman" w:hint="eastAsia"/>
          <w:bCs/>
          <w:sz w:val="24"/>
          <w:szCs w:val="20"/>
        </w:rPr>
        <w:t>应的基金代码并分别计算基金份额净值，</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类基金份额的基金份额净值将自首笔</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类基金份额申购的确认日（含当日）起计算，首笔</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类基金份额申购确认日前，</w:t>
      </w:r>
      <w:r>
        <w:rPr>
          <w:rFonts w:ascii="Times New Roman" w:eastAsia="宋体" w:hAnsi="Times New Roman" w:cs="Times New Roman" w:hint="eastAsia"/>
          <w:bCs/>
          <w:sz w:val="24"/>
          <w:szCs w:val="20"/>
        </w:rPr>
        <w:t>C</w:t>
      </w:r>
      <w:r>
        <w:rPr>
          <w:rFonts w:ascii="Times New Roman" w:eastAsia="宋体" w:hAnsi="Times New Roman" w:cs="Times New Roman" w:hint="eastAsia"/>
          <w:bCs/>
          <w:sz w:val="24"/>
          <w:szCs w:val="20"/>
        </w:rPr>
        <w:t>类基金份额的基金份额净值按照</w:t>
      </w:r>
      <w:r>
        <w:rPr>
          <w:rFonts w:ascii="Times New Roman" w:eastAsia="宋体" w:hAnsi="Times New Roman" w:cs="Times New Roman" w:hint="eastAsia"/>
          <w:bCs/>
          <w:sz w:val="24"/>
          <w:szCs w:val="20"/>
        </w:rPr>
        <w:t>A</w:t>
      </w:r>
      <w:r>
        <w:rPr>
          <w:rFonts w:ascii="Times New Roman" w:eastAsia="宋体" w:hAnsi="Times New Roman" w:cs="Times New Roman" w:hint="eastAsia"/>
          <w:bCs/>
          <w:sz w:val="24"/>
          <w:szCs w:val="20"/>
        </w:rPr>
        <w:t>类基金份额的基金份额净值披露。投资者申购时可以自主选择与</w:t>
      </w:r>
      <w:r>
        <w:rPr>
          <w:rFonts w:ascii="Times New Roman" w:eastAsia="宋体" w:hAnsi="Times New Roman" w:cs="Times New Roman"/>
          <w:bCs/>
          <w:sz w:val="24"/>
          <w:szCs w:val="20"/>
        </w:rPr>
        <w:t>A</w:t>
      </w:r>
      <w:r>
        <w:rPr>
          <w:rFonts w:ascii="Times New Roman" w:eastAsia="宋体" w:hAnsi="Times New Roman" w:cs="Times New Roman" w:hint="eastAsia"/>
          <w:bCs/>
          <w:sz w:val="24"/>
          <w:szCs w:val="20"/>
        </w:rPr>
        <w:t>类基金份额或</w:t>
      </w:r>
      <w:r>
        <w:rPr>
          <w:rFonts w:ascii="Times New Roman" w:eastAsia="宋体" w:hAnsi="Times New Roman" w:cs="Times New Roman"/>
          <w:bCs/>
          <w:sz w:val="24"/>
          <w:szCs w:val="20"/>
        </w:rPr>
        <w:t>C</w:t>
      </w:r>
      <w:r>
        <w:rPr>
          <w:rFonts w:ascii="Times New Roman" w:eastAsia="宋体" w:hAnsi="Times New Roman" w:cs="Times New Roman" w:hint="eastAsia"/>
          <w:bCs/>
          <w:sz w:val="24"/>
          <w:szCs w:val="20"/>
        </w:rPr>
        <w:t>类基金份额相对应的基金代码进行申购。</w:t>
      </w:r>
    </w:p>
    <w:p w14:paraId="733CDCD9" w14:textId="77777777" w:rsidR="00D27F7F" w:rsidRDefault="00A4337A">
      <w:pPr>
        <w:adjustRightInd w:val="0"/>
        <w:snapToGrid w:val="0"/>
        <w:spacing w:line="360" w:lineRule="auto"/>
        <w:ind w:firstLineChars="200" w:firstLine="480"/>
        <w:rPr>
          <w:rFonts w:ascii="Times New Roman" w:eastAsia="宋体" w:hAnsi="Times New Roman" w:cs="Times New Roman"/>
          <w:bCs/>
          <w:sz w:val="24"/>
          <w:szCs w:val="20"/>
        </w:rPr>
      </w:pPr>
      <w:r>
        <w:rPr>
          <w:rFonts w:ascii="Times New Roman" w:eastAsia="宋体" w:hAnsi="Times New Roman" w:cs="Times New Roman"/>
          <w:bCs/>
          <w:sz w:val="24"/>
          <w:szCs w:val="20"/>
        </w:rPr>
        <w:t>C</w:t>
      </w:r>
      <w:r>
        <w:rPr>
          <w:rFonts w:ascii="Times New Roman" w:eastAsia="宋体" w:hAnsi="Times New Roman" w:cs="Times New Roman" w:hint="eastAsia"/>
          <w:bCs/>
          <w:sz w:val="24"/>
          <w:szCs w:val="20"/>
        </w:rPr>
        <w:t>类基金份额的费率结构如下：</w:t>
      </w:r>
    </w:p>
    <w:p w14:paraId="00F1704A"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类基金份额申购费</w:t>
      </w:r>
    </w:p>
    <w:p w14:paraId="496D794F"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本基金</w:t>
      </w:r>
      <w:r>
        <w:rPr>
          <w:rFonts w:ascii="Times New Roman" w:eastAsia="宋体" w:hAnsi="Times New Roman" w:cs="Times New Roman" w:hint="eastAsia"/>
          <w:color w:val="000000"/>
          <w:sz w:val="24"/>
          <w:szCs w:val="24"/>
        </w:rPr>
        <w:t>C</w:t>
      </w:r>
      <w:r>
        <w:rPr>
          <w:rFonts w:ascii="Times New Roman" w:eastAsia="宋体" w:hAnsi="Times New Roman" w:cs="Times New Roman" w:hint="eastAsia"/>
          <w:color w:val="000000"/>
          <w:sz w:val="24"/>
          <w:szCs w:val="24"/>
        </w:rPr>
        <w:t>类基金份额不收取申购费用。</w:t>
      </w:r>
    </w:p>
    <w:p w14:paraId="07D3AEE9"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2</w:t>
      </w:r>
      <w:r>
        <w:rPr>
          <w:rFonts w:ascii="Times New Roman" w:eastAsia="宋体" w:hAnsi="Times New Roman" w:cs="Times New Roman" w:hint="eastAsia"/>
          <w:color w:val="000000"/>
          <w:kern w:val="0"/>
          <w:sz w:val="24"/>
        </w:rPr>
        <w:t>、</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类基金份额销售服务费</w:t>
      </w:r>
    </w:p>
    <w:p w14:paraId="5EE9CC1A" w14:textId="51198BAF"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本基金</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类基金份额的销售服务费年费率为</w:t>
      </w:r>
      <w:r>
        <w:rPr>
          <w:rFonts w:ascii="Times New Roman" w:eastAsia="宋体" w:hAnsi="Times New Roman" w:cs="Times New Roman"/>
          <w:color w:val="000000"/>
          <w:kern w:val="0"/>
          <w:sz w:val="24"/>
        </w:rPr>
        <w:t>0.4%</w:t>
      </w:r>
      <w:r>
        <w:rPr>
          <w:rFonts w:ascii="Times New Roman" w:eastAsia="宋体" w:hAnsi="Times New Roman" w:cs="Times New Roman" w:hint="eastAsia"/>
          <w:color w:val="000000"/>
          <w:kern w:val="0"/>
          <w:sz w:val="24"/>
        </w:rPr>
        <w:t>。</w:t>
      </w:r>
    </w:p>
    <w:p w14:paraId="4A47E8C5"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lastRenderedPageBreak/>
        <w:t>对于投资人通过直销机构申购的</w:t>
      </w:r>
      <w:r>
        <w:rPr>
          <w:rFonts w:ascii="Times New Roman" w:eastAsia="宋体" w:hAnsi="Times New Roman" w:cs="Times New Roman" w:hint="eastAsia"/>
          <w:color w:val="000000"/>
          <w:kern w:val="0"/>
          <w:sz w:val="24"/>
        </w:rPr>
        <w:t>C</w:t>
      </w:r>
      <w:r>
        <w:rPr>
          <w:rFonts w:ascii="Times New Roman" w:eastAsia="宋体" w:hAnsi="Times New Roman" w:cs="Times New Roman" w:hint="eastAsia"/>
          <w:color w:val="000000"/>
          <w:kern w:val="0"/>
          <w:sz w:val="24"/>
        </w:rPr>
        <w:t>类基金份额，计提的销售服务费将在投资人赎回相应基金份额或基金合同终止时随赎回款或清算款一并返还给投资人；</w:t>
      </w:r>
      <w:bookmarkStart w:id="0" w:name="_GoBack"/>
      <w:bookmarkEnd w:id="0"/>
      <w:r>
        <w:rPr>
          <w:rFonts w:ascii="Times New Roman" w:eastAsia="宋体" w:hAnsi="Times New Roman" w:cs="Times New Roman" w:hint="eastAsia"/>
          <w:color w:val="000000"/>
          <w:kern w:val="0"/>
          <w:sz w:val="24"/>
        </w:rPr>
        <w:t>对于投资人通过其他销售机构申购的</w:t>
      </w:r>
      <w:r>
        <w:rPr>
          <w:rFonts w:ascii="Times New Roman" w:eastAsia="宋体" w:hAnsi="Times New Roman" w:cs="Times New Roman" w:hint="eastAsia"/>
          <w:color w:val="000000"/>
          <w:kern w:val="0"/>
          <w:sz w:val="24"/>
        </w:rPr>
        <w:t>C</w:t>
      </w:r>
      <w:r>
        <w:rPr>
          <w:rFonts w:ascii="Times New Roman" w:eastAsia="宋体" w:hAnsi="Times New Roman" w:cs="Times New Roman" w:hint="eastAsia"/>
          <w:color w:val="000000"/>
          <w:kern w:val="0"/>
          <w:sz w:val="24"/>
        </w:rPr>
        <w:t>类基金份额，持续持有超过一年（即</w:t>
      </w:r>
      <w:r>
        <w:rPr>
          <w:rFonts w:ascii="Times New Roman" w:eastAsia="宋体" w:hAnsi="Times New Roman" w:cs="Times New Roman" w:hint="eastAsia"/>
          <w:color w:val="000000"/>
          <w:kern w:val="0"/>
          <w:sz w:val="24"/>
        </w:rPr>
        <w:t>365</w:t>
      </w:r>
      <w:r>
        <w:rPr>
          <w:rFonts w:ascii="Times New Roman" w:eastAsia="宋体" w:hAnsi="Times New Roman" w:cs="Times New Roman" w:hint="eastAsia"/>
          <w:color w:val="000000"/>
          <w:kern w:val="0"/>
          <w:sz w:val="24"/>
        </w:rPr>
        <w:t>天）后计提的销售服务费将在投资人赎回相应基金份额或基金合同终止时随赎回款或清算款一并返还给投资人。</w:t>
      </w:r>
    </w:p>
    <w:p w14:paraId="471E1282"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类基金份额赎回费率</w:t>
      </w:r>
    </w:p>
    <w:tbl>
      <w:tblPr>
        <w:tblW w:w="3992" w:type="pct"/>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64"/>
        <w:gridCol w:w="2760"/>
      </w:tblGrid>
      <w:tr w:rsidR="00D27F7F" w14:paraId="63709EBF" w14:textId="77777777">
        <w:trPr>
          <w:cantSplit/>
          <w:trHeight w:val="133"/>
        </w:trPr>
        <w:tc>
          <w:tcPr>
            <w:tcW w:w="2917" w:type="pct"/>
            <w:shd w:val="clear" w:color="auto" w:fill="auto"/>
            <w:vAlign w:val="center"/>
          </w:tcPr>
          <w:p w14:paraId="67B8F086" w14:textId="77777777" w:rsidR="00D27F7F" w:rsidRDefault="00A4337A">
            <w:pPr>
              <w:adjustRightInd w:val="0"/>
              <w:snapToGrid w:val="0"/>
              <w:jc w:val="center"/>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t>持有期限</w:t>
            </w:r>
          </w:p>
        </w:tc>
        <w:tc>
          <w:tcPr>
            <w:tcW w:w="2083" w:type="pct"/>
            <w:shd w:val="clear" w:color="auto" w:fill="auto"/>
            <w:vAlign w:val="center"/>
          </w:tcPr>
          <w:p w14:paraId="3CF022B7" w14:textId="77777777" w:rsidR="00D27F7F" w:rsidRDefault="00A4337A">
            <w:pPr>
              <w:adjustRightInd w:val="0"/>
              <w:snapToGrid w:val="0"/>
              <w:jc w:val="center"/>
              <w:rPr>
                <w:rFonts w:ascii="Times New Roman" w:eastAsia="宋体" w:hAnsi="Times New Roman" w:cs="Times New Roman"/>
                <w:b/>
                <w:color w:val="000000"/>
                <w:sz w:val="24"/>
              </w:rPr>
            </w:pPr>
            <w:r>
              <w:rPr>
                <w:rFonts w:ascii="Times New Roman" w:eastAsia="宋体" w:hAnsi="Times New Roman" w:cs="Times New Roman"/>
                <w:b/>
                <w:color w:val="000000"/>
                <w:sz w:val="24"/>
              </w:rPr>
              <w:t>C</w:t>
            </w:r>
            <w:r>
              <w:rPr>
                <w:rFonts w:ascii="Times New Roman" w:eastAsia="宋体" w:hAnsi="Times New Roman" w:cs="Times New Roman" w:hint="eastAsia"/>
                <w:b/>
                <w:color w:val="000000"/>
                <w:sz w:val="24"/>
              </w:rPr>
              <w:t>类基金份额赎回费率</w:t>
            </w:r>
          </w:p>
        </w:tc>
      </w:tr>
      <w:tr w:rsidR="00D27F7F" w14:paraId="7AF3D8F1" w14:textId="77777777">
        <w:trPr>
          <w:cantSplit/>
          <w:trHeight w:val="132"/>
        </w:trPr>
        <w:tc>
          <w:tcPr>
            <w:tcW w:w="2917" w:type="pct"/>
            <w:vAlign w:val="center"/>
          </w:tcPr>
          <w:p w14:paraId="7286DE2D" w14:textId="77777777"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7</w:t>
            </w:r>
            <w:r>
              <w:rPr>
                <w:rFonts w:ascii="Times New Roman" w:eastAsia="宋体" w:hAnsi="Times New Roman" w:cs="Times New Roman" w:hint="eastAsia"/>
                <w:color w:val="000000"/>
                <w:sz w:val="24"/>
              </w:rPr>
              <w:t>日以内</w:t>
            </w:r>
          </w:p>
        </w:tc>
        <w:tc>
          <w:tcPr>
            <w:tcW w:w="2083" w:type="pct"/>
            <w:vAlign w:val="center"/>
          </w:tcPr>
          <w:p w14:paraId="3B06478E" w14:textId="77777777"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1.5%</w:t>
            </w:r>
          </w:p>
        </w:tc>
      </w:tr>
      <w:tr w:rsidR="00D27F7F" w14:paraId="6E014CD3" w14:textId="77777777">
        <w:trPr>
          <w:cantSplit/>
          <w:trHeight w:val="176"/>
        </w:trPr>
        <w:tc>
          <w:tcPr>
            <w:tcW w:w="2917" w:type="pct"/>
            <w:vAlign w:val="center"/>
          </w:tcPr>
          <w:p w14:paraId="77D684E4" w14:textId="77777777"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7</w:t>
            </w:r>
            <w:r>
              <w:rPr>
                <w:rFonts w:ascii="Times New Roman" w:eastAsia="宋体" w:hAnsi="Times New Roman" w:cs="Times New Roman" w:hint="eastAsia"/>
                <w:color w:val="000000"/>
                <w:sz w:val="24"/>
              </w:rPr>
              <w:t>日（含）</w:t>
            </w:r>
            <w:r>
              <w:rPr>
                <w:rFonts w:ascii="Times New Roman" w:eastAsia="宋体" w:hAnsi="Times New Roman" w:cs="Times New Roman"/>
                <w:color w:val="000000"/>
                <w:sz w:val="24"/>
              </w:rPr>
              <w:t>—30</w:t>
            </w:r>
            <w:r>
              <w:rPr>
                <w:rFonts w:ascii="Times New Roman" w:eastAsia="宋体" w:hAnsi="Times New Roman" w:cs="Times New Roman" w:hint="eastAsia"/>
                <w:color w:val="000000"/>
                <w:sz w:val="24"/>
              </w:rPr>
              <w:t>日</w:t>
            </w:r>
          </w:p>
        </w:tc>
        <w:tc>
          <w:tcPr>
            <w:tcW w:w="2083" w:type="pct"/>
            <w:vAlign w:val="center"/>
          </w:tcPr>
          <w:p w14:paraId="7BB51C08" w14:textId="5C109615"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1.0%</w:t>
            </w:r>
          </w:p>
        </w:tc>
      </w:tr>
      <w:tr w:rsidR="00D27F7F" w14:paraId="0C22CF70" w14:textId="77777777">
        <w:trPr>
          <w:cantSplit/>
          <w:trHeight w:val="176"/>
        </w:trPr>
        <w:tc>
          <w:tcPr>
            <w:tcW w:w="2917" w:type="pct"/>
            <w:vAlign w:val="center"/>
          </w:tcPr>
          <w:p w14:paraId="42ED2679" w14:textId="77777777"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30</w:t>
            </w:r>
            <w:r>
              <w:rPr>
                <w:rFonts w:ascii="Times New Roman" w:eastAsia="宋体" w:hAnsi="Times New Roman" w:cs="Times New Roman" w:hint="eastAsia"/>
                <w:color w:val="000000"/>
                <w:sz w:val="24"/>
              </w:rPr>
              <w:t>日（含）</w:t>
            </w:r>
            <w:r>
              <w:rPr>
                <w:rFonts w:ascii="Times New Roman" w:eastAsia="宋体" w:hAnsi="Times New Roman" w:cs="Times New Roman"/>
                <w:color w:val="000000"/>
                <w:sz w:val="24"/>
              </w:rPr>
              <w:t>—180</w:t>
            </w:r>
            <w:r>
              <w:rPr>
                <w:rFonts w:ascii="Times New Roman" w:eastAsia="宋体" w:hAnsi="Times New Roman" w:cs="Times New Roman" w:hint="eastAsia"/>
                <w:color w:val="000000"/>
                <w:sz w:val="24"/>
              </w:rPr>
              <w:t>日</w:t>
            </w:r>
          </w:p>
        </w:tc>
        <w:tc>
          <w:tcPr>
            <w:tcW w:w="2083" w:type="pct"/>
            <w:vAlign w:val="center"/>
          </w:tcPr>
          <w:p w14:paraId="1EE9D87C" w14:textId="77777777"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0.5%</w:t>
            </w:r>
          </w:p>
        </w:tc>
      </w:tr>
      <w:tr w:rsidR="00D27F7F" w14:paraId="40080691" w14:textId="77777777">
        <w:trPr>
          <w:cantSplit/>
          <w:trHeight w:val="176"/>
        </w:trPr>
        <w:tc>
          <w:tcPr>
            <w:tcW w:w="2917" w:type="pct"/>
            <w:vAlign w:val="center"/>
          </w:tcPr>
          <w:p w14:paraId="2E7CAC9E" w14:textId="035A97D9"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180</w:t>
            </w:r>
            <w:r>
              <w:rPr>
                <w:rFonts w:ascii="Times New Roman" w:eastAsia="宋体" w:hAnsi="Times New Roman" w:cs="Times New Roman" w:hint="eastAsia"/>
                <w:color w:val="000000"/>
                <w:sz w:val="24"/>
              </w:rPr>
              <w:t>日以上（含）</w:t>
            </w:r>
          </w:p>
        </w:tc>
        <w:tc>
          <w:tcPr>
            <w:tcW w:w="2083" w:type="pct"/>
            <w:vAlign w:val="center"/>
          </w:tcPr>
          <w:p w14:paraId="7FF6F453" w14:textId="77777777" w:rsidR="00D27F7F" w:rsidRDefault="00A4337A">
            <w:pPr>
              <w:adjustRightInd w:val="0"/>
              <w:snapToGrid w:val="0"/>
              <w:jc w:val="center"/>
              <w:rPr>
                <w:rFonts w:ascii="Times New Roman" w:eastAsia="宋体" w:hAnsi="Times New Roman" w:cs="Times New Roman"/>
                <w:color w:val="000000"/>
                <w:sz w:val="24"/>
              </w:rPr>
            </w:pPr>
            <w:r>
              <w:rPr>
                <w:rFonts w:ascii="Times New Roman" w:eastAsia="宋体" w:hAnsi="Times New Roman" w:cs="Times New Roman"/>
                <w:color w:val="000000"/>
                <w:sz w:val="24"/>
              </w:rPr>
              <w:t>0</w:t>
            </w:r>
          </w:p>
        </w:tc>
      </w:tr>
    </w:tbl>
    <w:p w14:paraId="0EF0D09B"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注：本基金</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类基金份额的赎回费用由赎回</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类基金份额的基金份额持有人承担，在基金份额持有人赎回</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类基金份额时收取，对</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类基金份额持有人收取的赎回费全额计入基金财产。</w:t>
      </w:r>
    </w:p>
    <w:p w14:paraId="477F7B50" w14:textId="77777777" w:rsidR="00D27F7F" w:rsidRDefault="00A4337A">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Pr>
          <w:rFonts w:ascii="Times New Roman" w:eastAsia="宋体" w:hAnsi="Times New Roman" w:cs="Times New Roman" w:hint="eastAsia"/>
          <w:b/>
          <w:color w:val="000000"/>
          <w:kern w:val="0"/>
          <w:sz w:val="24"/>
        </w:rPr>
        <w:t>二、本基金</w:t>
      </w:r>
      <w:r>
        <w:rPr>
          <w:rFonts w:ascii="Times New Roman" w:eastAsia="宋体" w:hAnsi="Times New Roman" w:cs="Times New Roman"/>
          <w:b/>
          <w:color w:val="000000"/>
          <w:kern w:val="0"/>
          <w:sz w:val="24"/>
        </w:rPr>
        <w:t>C</w:t>
      </w:r>
      <w:r>
        <w:rPr>
          <w:rFonts w:ascii="Times New Roman" w:eastAsia="宋体" w:hAnsi="Times New Roman" w:cs="Times New Roman" w:hint="eastAsia"/>
          <w:b/>
          <w:color w:val="000000"/>
          <w:kern w:val="0"/>
          <w:sz w:val="24"/>
        </w:rPr>
        <w:t>类基金份额适用的销售机构</w:t>
      </w:r>
    </w:p>
    <w:p w14:paraId="00AA7DF7" w14:textId="77777777" w:rsidR="00D27F7F" w:rsidRDefault="00A4337A">
      <w:pPr>
        <w:adjustRightInd w:val="0"/>
        <w:snapToGrid w:val="0"/>
        <w:spacing w:line="360" w:lineRule="auto"/>
        <w:ind w:firstLine="465"/>
        <w:rPr>
          <w:rFonts w:ascii="Times New Roman" w:eastAsia="宋体" w:hAnsi="Times New Roman"/>
          <w:b/>
          <w:sz w:val="24"/>
        </w:rPr>
      </w:pPr>
      <w:r>
        <w:rPr>
          <w:rFonts w:ascii="Times New Roman" w:eastAsia="宋体" w:hAnsi="Times New Roman"/>
          <w:b/>
          <w:sz w:val="24"/>
        </w:rPr>
        <w:t>1</w:t>
      </w:r>
      <w:r>
        <w:rPr>
          <w:rFonts w:ascii="Times New Roman" w:eastAsia="宋体" w:hAnsi="Times New Roman"/>
          <w:b/>
          <w:sz w:val="24"/>
        </w:rPr>
        <w:t>、直销机构</w:t>
      </w:r>
    </w:p>
    <w:p w14:paraId="387B385E" w14:textId="0AC962A6" w:rsidR="00D27F7F" w:rsidRDefault="00A4337A" w:rsidP="001B1DD3">
      <w:pPr>
        <w:widowControl/>
        <w:adjustRightInd w:val="0"/>
        <w:snapToGrid w:val="0"/>
        <w:spacing w:line="360" w:lineRule="auto"/>
        <w:rPr>
          <w:rFonts w:ascii="Times New Roman" w:eastAsia="宋体" w:hAnsi="Times New Roman"/>
          <w:sz w:val="24"/>
        </w:rPr>
      </w:pPr>
      <w:r>
        <w:rPr>
          <w:rFonts w:ascii="Times New Roman" w:eastAsia="宋体" w:hAnsi="Times New Roman"/>
          <w:sz w:val="24"/>
        </w:rPr>
        <w:tab/>
      </w:r>
      <w:r>
        <w:rPr>
          <w:rFonts w:ascii="Times New Roman" w:eastAsia="宋体" w:hAnsi="Times New Roman" w:hint="eastAsia"/>
          <w:kern w:val="0"/>
          <w:sz w:val="24"/>
        </w:rPr>
        <w:t>本基金</w:t>
      </w:r>
      <w:r>
        <w:rPr>
          <w:rFonts w:ascii="Times New Roman" w:eastAsia="宋体" w:hAnsi="Times New Roman" w:hint="eastAsia"/>
          <w:sz w:val="24"/>
        </w:rPr>
        <w:t>C</w:t>
      </w:r>
      <w:r>
        <w:rPr>
          <w:rFonts w:ascii="Times New Roman" w:eastAsia="宋体" w:hAnsi="Times New Roman" w:hint="eastAsia"/>
          <w:sz w:val="24"/>
        </w:rPr>
        <w:t>类基金份额暂不通过直销机构销售。</w:t>
      </w:r>
    </w:p>
    <w:p w14:paraId="08A43397" w14:textId="77777777" w:rsidR="00D27F7F" w:rsidRDefault="00A4337A" w:rsidP="001B1DD3">
      <w:pPr>
        <w:widowControl/>
        <w:adjustRightInd w:val="0"/>
        <w:snapToGrid w:val="0"/>
        <w:spacing w:line="360" w:lineRule="auto"/>
        <w:ind w:firstLine="420"/>
        <w:rPr>
          <w:rFonts w:ascii="Times New Roman" w:eastAsia="宋体" w:hAnsi="Times New Roman" w:cs="Times New Roman"/>
          <w:b/>
          <w:color w:val="000000"/>
          <w:kern w:val="0"/>
          <w:sz w:val="24"/>
        </w:rPr>
      </w:pPr>
      <w:r>
        <w:rPr>
          <w:rFonts w:ascii="Times New Roman" w:eastAsia="宋体" w:hAnsi="Times New Roman" w:cs="Times New Roman"/>
          <w:b/>
          <w:color w:val="000000"/>
          <w:kern w:val="0"/>
          <w:sz w:val="24"/>
        </w:rPr>
        <w:t>2</w:t>
      </w:r>
      <w:r>
        <w:rPr>
          <w:rFonts w:ascii="Times New Roman" w:eastAsia="宋体" w:hAnsi="Times New Roman" w:cs="Times New Roman" w:hint="eastAsia"/>
          <w:b/>
          <w:color w:val="000000"/>
          <w:kern w:val="0"/>
          <w:sz w:val="24"/>
        </w:rPr>
        <w:t>、非直销机构</w:t>
      </w:r>
    </w:p>
    <w:p w14:paraId="471C44FB" w14:textId="0629E131" w:rsidR="00D27F7F" w:rsidRDefault="00EA6CB1">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宋体" w:hAnsi="宋体" w:hint="eastAsia"/>
          <w:sz w:val="24"/>
          <w:szCs w:val="24"/>
        </w:rPr>
        <w:t>蚂蚁（杭州）基金销售有限公司、上海天天基金销售有限公司、腾安基金销售（深圳）有限公司、京东肯特瑞基金销售有限公司、珠海盈米基金销售有限公司</w:t>
      </w:r>
      <w:r w:rsidR="00A4337A">
        <w:rPr>
          <w:rFonts w:ascii="Times New Roman" w:eastAsia="宋体" w:hAnsi="Times New Roman" w:cs="Times New Roman" w:hint="eastAsia"/>
          <w:color w:val="000000"/>
          <w:kern w:val="0"/>
          <w:sz w:val="24"/>
        </w:rPr>
        <w:t>。</w:t>
      </w:r>
    </w:p>
    <w:p w14:paraId="228F1AD7"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hint="eastAsia"/>
          <w:sz w:val="24"/>
        </w:rPr>
        <w:t>上述销售机构的地址和联系方式等有关信息，请详见各销售机构的网站。基金管理人可根据有关法律法规的要求，选择其它符合要求的机构销售本基金，并在基金管理人网站公示。</w:t>
      </w:r>
    </w:p>
    <w:p w14:paraId="670572C9" w14:textId="77777777" w:rsidR="00D27F7F" w:rsidRDefault="00A4337A">
      <w:pPr>
        <w:widowControl/>
        <w:adjustRightInd w:val="0"/>
        <w:snapToGrid w:val="0"/>
        <w:spacing w:line="360" w:lineRule="auto"/>
        <w:ind w:firstLineChars="200" w:firstLine="482"/>
        <w:outlineLvl w:val="1"/>
        <w:rPr>
          <w:rFonts w:ascii="Times New Roman" w:eastAsia="宋体" w:hAnsi="Times New Roman" w:cs="Times New Roman"/>
          <w:b/>
          <w:kern w:val="0"/>
          <w:sz w:val="24"/>
          <w:szCs w:val="24"/>
        </w:rPr>
      </w:pPr>
      <w:r>
        <w:rPr>
          <w:rFonts w:ascii="Times New Roman" w:eastAsia="宋体" w:hAnsi="Times New Roman" w:hint="eastAsia"/>
          <w:b/>
          <w:kern w:val="0"/>
          <w:sz w:val="24"/>
          <w:szCs w:val="24"/>
        </w:rPr>
        <w:t>三、</w:t>
      </w:r>
      <w:r>
        <w:rPr>
          <w:rFonts w:ascii="Times New Roman" w:eastAsia="宋体" w:hAnsi="Times New Roman" w:hint="eastAsia"/>
          <w:b/>
          <w:kern w:val="0"/>
          <w:sz w:val="24"/>
          <w:szCs w:val="24"/>
        </w:rPr>
        <w:t>C</w:t>
      </w:r>
      <w:r>
        <w:rPr>
          <w:rFonts w:ascii="Times New Roman" w:eastAsia="宋体" w:hAnsi="Times New Roman" w:hint="eastAsia"/>
          <w:b/>
          <w:kern w:val="0"/>
          <w:sz w:val="24"/>
          <w:szCs w:val="24"/>
        </w:rPr>
        <w:t>类基金份额</w:t>
      </w:r>
      <w:r>
        <w:rPr>
          <w:rFonts w:ascii="Times New Roman" w:eastAsia="宋体" w:hAnsi="Times New Roman" w:cs="Times New Roman"/>
          <w:b/>
          <w:kern w:val="0"/>
          <w:sz w:val="24"/>
          <w:szCs w:val="24"/>
        </w:rPr>
        <w:t>申购和赎回的数额限定</w:t>
      </w:r>
    </w:p>
    <w:p w14:paraId="57116A33" w14:textId="77777777" w:rsidR="00D27F7F" w:rsidRDefault="00A4337A">
      <w:pPr>
        <w:autoSpaceDE w:val="0"/>
        <w:autoSpaceDN w:val="0"/>
        <w:adjustRightInd w:val="0"/>
        <w:snapToGrid w:val="0"/>
        <w:spacing w:line="360" w:lineRule="auto"/>
        <w:ind w:firstLineChars="200" w:firstLine="480"/>
        <w:jc w:val="left"/>
        <w:rPr>
          <w:rFonts w:ascii="Times New Roman" w:eastAsia="宋体" w:hAnsi="Times New Roman"/>
          <w:szCs w:val="24"/>
        </w:rPr>
      </w:pPr>
      <w:r>
        <w:rPr>
          <w:rFonts w:ascii="Times New Roman" w:eastAsia="宋体" w:hAnsi="Times New Roman"/>
          <w:sz w:val="24"/>
        </w:rPr>
        <w:t>1</w:t>
      </w:r>
      <w:r>
        <w:rPr>
          <w:rFonts w:ascii="Times New Roman" w:eastAsia="宋体" w:hAnsi="Times New Roman"/>
          <w:sz w:val="24"/>
        </w:rPr>
        <w:t>、申购金额的限制</w:t>
      </w:r>
    </w:p>
    <w:p w14:paraId="522416EB" w14:textId="77777777" w:rsidR="00D27F7F" w:rsidRDefault="00A4337A">
      <w:pPr>
        <w:autoSpaceDE w:val="0"/>
        <w:autoSpaceDN w:val="0"/>
        <w:adjustRightInd w:val="0"/>
        <w:snapToGrid w:val="0"/>
        <w:spacing w:line="360" w:lineRule="auto"/>
        <w:ind w:firstLineChars="200" w:firstLine="480"/>
        <w:jc w:val="left"/>
        <w:rPr>
          <w:rFonts w:ascii="Times New Roman" w:eastAsia="宋体" w:hAnsi="Times New Roman"/>
          <w:sz w:val="24"/>
        </w:rPr>
      </w:pPr>
      <w:r>
        <w:rPr>
          <w:rFonts w:ascii="Times New Roman" w:eastAsia="宋体" w:hAnsi="Times New Roman" w:hint="eastAsia"/>
          <w:sz w:val="24"/>
        </w:rPr>
        <w:t>代销网点每个账户申购最低金额为单笔</w:t>
      </w:r>
      <w:r>
        <w:rPr>
          <w:rFonts w:ascii="Times New Roman" w:eastAsia="宋体" w:hAnsi="Times New Roman" w:hint="eastAsia"/>
          <w:sz w:val="24"/>
        </w:rPr>
        <w:t>1</w:t>
      </w:r>
      <w:r>
        <w:rPr>
          <w:rFonts w:ascii="Times New Roman" w:eastAsia="宋体" w:hAnsi="Times New Roman" w:hint="eastAsia"/>
          <w:sz w:val="24"/>
        </w:rPr>
        <w:t>元，如果代销机构业务规则规定的最低单笔申购金额高于</w:t>
      </w:r>
      <w:r>
        <w:rPr>
          <w:rFonts w:ascii="Times New Roman" w:eastAsia="宋体" w:hAnsi="Times New Roman" w:hint="eastAsia"/>
          <w:sz w:val="24"/>
        </w:rPr>
        <w:t>1</w:t>
      </w:r>
      <w:r>
        <w:rPr>
          <w:rFonts w:ascii="Times New Roman" w:eastAsia="宋体" w:hAnsi="Times New Roman" w:hint="eastAsia"/>
          <w:sz w:val="24"/>
        </w:rPr>
        <w:t>元，以代销机构的规定为准。</w:t>
      </w:r>
    </w:p>
    <w:p w14:paraId="2D4ABDC5" w14:textId="77777777" w:rsidR="00D27F7F" w:rsidRDefault="00A4337A">
      <w:pPr>
        <w:autoSpaceDE w:val="0"/>
        <w:autoSpaceDN w:val="0"/>
        <w:adjustRightInd w:val="0"/>
        <w:snapToGrid w:val="0"/>
        <w:spacing w:line="360" w:lineRule="auto"/>
        <w:ind w:firstLineChars="200" w:firstLine="480"/>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hint="eastAsia"/>
          <w:sz w:val="24"/>
        </w:rPr>
        <w:t>、赎回份额的限制</w:t>
      </w:r>
    </w:p>
    <w:p w14:paraId="275EFA78" w14:textId="77777777" w:rsidR="00D27F7F" w:rsidRDefault="00A4337A">
      <w:pPr>
        <w:autoSpaceDE w:val="0"/>
        <w:autoSpaceDN w:val="0"/>
        <w:adjustRightInd w:val="0"/>
        <w:snapToGrid w:val="0"/>
        <w:spacing w:line="360" w:lineRule="auto"/>
        <w:ind w:firstLineChars="200" w:firstLine="480"/>
        <w:jc w:val="left"/>
        <w:rPr>
          <w:rFonts w:ascii="Times New Roman" w:eastAsia="宋体" w:hAnsi="Times New Roman"/>
          <w:sz w:val="24"/>
        </w:rPr>
      </w:pPr>
      <w:r>
        <w:rPr>
          <w:rFonts w:ascii="Times New Roman" w:eastAsia="宋体" w:hAnsi="Times New Roman" w:hint="eastAsia"/>
          <w:sz w:val="24"/>
        </w:rPr>
        <w:t>赎回的最低份额为</w:t>
      </w:r>
      <w:r>
        <w:rPr>
          <w:rFonts w:ascii="Times New Roman" w:eastAsia="宋体" w:hAnsi="Times New Roman"/>
          <w:sz w:val="24"/>
        </w:rPr>
        <w:t>1</w:t>
      </w:r>
      <w:r>
        <w:rPr>
          <w:rFonts w:ascii="Times New Roman" w:eastAsia="宋体" w:hAnsi="Times New Roman" w:hint="eastAsia"/>
          <w:sz w:val="24"/>
        </w:rPr>
        <w:t>份基金份额，如果销售机构业务规则规定的最低单笔赎回份额高于</w:t>
      </w:r>
      <w:r>
        <w:rPr>
          <w:rFonts w:ascii="Times New Roman" w:eastAsia="宋体" w:hAnsi="Times New Roman"/>
          <w:sz w:val="24"/>
        </w:rPr>
        <w:t>1</w:t>
      </w:r>
      <w:r>
        <w:rPr>
          <w:rFonts w:ascii="Times New Roman" w:eastAsia="宋体" w:hAnsi="Times New Roman" w:hint="eastAsia"/>
          <w:sz w:val="24"/>
        </w:rPr>
        <w:t>份，以该销售机构的规定为准。</w:t>
      </w:r>
    </w:p>
    <w:p w14:paraId="01BBA783" w14:textId="77777777" w:rsidR="00D27F7F" w:rsidRDefault="00A4337A">
      <w:pPr>
        <w:autoSpaceDE w:val="0"/>
        <w:autoSpaceDN w:val="0"/>
        <w:adjustRightInd w:val="0"/>
        <w:snapToGrid w:val="0"/>
        <w:spacing w:line="360" w:lineRule="auto"/>
        <w:ind w:firstLineChars="200" w:firstLine="480"/>
        <w:jc w:val="left"/>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hint="eastAsia"/>
          <w:sz w:val="24"/>
        </w:rPr>
        <w:t>、最低保留余额的限制</w:t>
      </w:r>
    </w:p>
    <w:p w14:paraId="1715FEDF" w14:textId="77777777" w:rsidR="00D27F7F" w:rsidRDefault="00A4337A">
      <w:pPr>
        <w:widowControl/>
        <w:adjustRightInd w:val="0"/>
        <w:snapToGrid w:val="0"/>
        <w:spacing w:line="360" w:lineRule="auto"/>
        <w:ind w:firstLineChars="200" w:firstLine="480"/>
        <w:rPr>
          <w:rFonts w:ascii="Times New Roman" w:eastAsia="宋体" w:hAnsi="Times New Roman"/>
          <w:sz w:val="24"/>
        </w:rPr>
      </w:pPr>
      <w:r>
        <w:rPr>
          <w:rFonts w:ascii="Times New Roman" w:eastAsia="宋体" w:hAnsi="Times New Roman" w:hint="eastAsia"/>
          <w:sz w:val="24"/>
        </w:rPr>
        <w:t>本基金暂无最低保留余额限制。</w:t>
      </w:r>
    </w:p>
    <w:p w14:paraId="316F9FFA" w14:textId="77777777" w:rsidR="00D27F7F" w:rsidRDefault="00A4337A">
      <w:pPr>
        <w:widowControl/>
        <w:adjustRightInd w:val="0"/>
        <w:snapToGrid w:val="0"/>
        <w:spacing w:line="360" w:lineRule="auto"/>
        <w:ind w:firstLineChars="200"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2258F8FD" w14:textId="33426207" w:rsidR="00D27F7F" w:rsidRDefault="00A4337A">
      <w:pPr>
        <w:widowControl/>
        <w:adjustRightInd w:val="0"/>
        <w:snapToGrid w:val="0"/>
        <w:spacing w:line="360" w:lineRule="auto"/>
        <w:ind w:firstLineChars="200" w:firstLine="480"/>
        <w:rPr>
          <w:rFonts w:ascii="Times New Roman" w:eastAsia="宋体" w:hAnsi="Times New Roman" w:cs="Times New Roman"/>
          <w:b/>
          <w:color w:val="000000"/>
          <w:kern w:val="0"/>
          <w:sz w:val="24"/>
        </w:rPr>
      </w:pPr>
      <w:r>
        <w:rPr>
          <w:rFonts w:ascii="Times New Roman" w:eastAsia="宋体" w:hAnsi="Times New Roman"/>
          <w:sz w:val="24"/>
        </w:rPr>
        <w:t>5</w:t>
      </w:r>
      <w:r>
        <w:rPr>
          <w:rFonts w:ascii="Times New Roman" w:eastAsia="宋体" w:hAnsi="Times New Roman" w:hint="eastAsia"/>
          <w:sz w:val="24"/>
        </w:rPr>
        <w:t>、基金管理人可根据市场情况，在法律法规允许的情况下，调整申购的金额、赎回的份额以及最低保留余额的数量限制，</w:t>
      </w:r>
      <w:r>
        <w:rPr>
          <w:rFonts w:ascii="Times New Roman" w:eastAsia="宋体" w:hAnsi="Times New Roman" w:cs="Times New Roman" w:hint="eastAsia"/>
          <w:kern w:val="0"/>
          <w:sz w:val="24"/>
          <w:szCs w:val="24"/>
        </w:rPr>
        <w:t>基金管理人必须在调整实施前依照《公开募集证券投资基金信息披露管理办法》的有关规定在规定媒介上刊登公告。</w:t>
      </w:r>
    </w:p>
    <w:p w14:paraId="4A54BA1B" w14:textId="77777777" w:rsidR="00D27F7F" w:rsidRDefault="00A4337A">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Pr>
          <w:rFonts w:ascii="Times New Roman" w:eastAsia="宋体" w:hAnsi="Times New Roman" w:cs="Times New Roman" w:hint="eastAsia"/>
          <w:b/>
          <w:color w:val="000000"/>
          <w:kern w:val="0"/>
          <w:sz w:val="24"/>
        </w:rPr>
        <w:t>四、增加侧袋机制的基本情况</w:t>
      </w:r>
    </w:p>
    <w:p w14:paraId="2F74807E"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根据《公开募集证券投资基金侧袋机制指引（试行）》的相关规定，在本基金的基金合同中增加侧袋机制的相关条款，包括在释义部分、基金份额的申购与赎回、基金份额持有人大会、基金的投资、基金资产估值、基金费用与税收、基金的收益与分配、基金的信息披露等章节增加侧袋机制相关内容。</w:t>
      </w:r>
    </w:p>
    <w:p w14:paraId="23721DB8"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托管协议、招募说明书涉及到上述修改的内容进行相应更新，在招募说明书中补充侧袋机制相关章节，并在招募说明书中增加启用侧袋机制的风险揭示内容。</w:t>
      </w:r>
    </w:p>
    <w:p w14:paraId="6BEADB4E" w14:textId="77777777" w:rsidR="00D27F7F" w:rsidRDefault="00A4337A">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Pr>
          <w:rFonts w:ascii="Times New Roman" w:eastAsia="宋体" w:hAnsi="Times New Roman" w:cs="Times New Roman" w:hint="eastAsia"/>
          <w:b/>
          <w:color w:val="000000"/>
          <w:kern w:val="0"/>
          <w:sz w:val="24"/>
        </w:rPr>
        <w:t>五、调整基金份额净值计算小数点后保留位数的基本情况</w:t>
      </w:r>
    </w:p>
    <w:p w14:paraId="2BEC39C5" w14:textId="77777777"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本基金将对基金份额净值计算小数点后保留位数进行调整，由“保留到小数点后</w:t>
      </w: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位，小数点后第</w:t>
      </w:r>
      <w:r>
        <w:rPr>
          <w:rFonts w:ascii="Times New Roman" w:eastAsia="宋体" w:hAnsi="Times New Roman" w:cs="Times New Roman" w:hint="eastAsia"/>
          <w:color w:val="000000"/>
          <w:kern w:val="0"/>
          <w:sz w:val="24"/>
        </w:rPr>
        <w:t>4</w:t>
      </w:r>
      <w:r>
        <w:rPr>
          <w:rFonts w:ascii="Times New Roman" w:eastAsia="宋体" w:hAnsi="Times New Roman" w:cs="Times New Roman" w:hint="eastAsia"/>
          <w:color w:val="000000"/>
          <w:kern w:val="0"/>
          <w:sz w:val="24"/>
        </w:rPr>
        <w:t>位四舍五入”，调整为“保留到小数点后</w:t>
      </w:r>
      <w:r>
        <w:rPr>
          <w:rFonts w:ascii="Times New Roman" w:eastAsia="宋体" w:hAnsi="Times New Roman" w:cs="Times New Roman" w:hint="eastAsia"/>
          <w:color w:val="000000"/>
          <w:kern w:val="0"/>
          <w:sz w:val="24"/>
        </w:rPr>
        <w:t>4</w:t>
      </w:r>
      <w:r>
        <w:rPr>
          <w:rFonts w:ascii="Times New Roman" w:eastAsia="宋体" w:hAnsi="Times New Roman" w:cs="Times New Roman" w:hint="eastAsia"/>
          <w:color w:val="000000"/>
          <w:kern w:val="0"/>
          <w:sz w:val="24"/>
        </w:rPr>
        <w:t>位，小数点后第</w:t>
      </w:r>
      <w:r>
        <w:rPr>
          <w:rFonts w:ascii="Times New Roman" w:eastAsia="宋体" w:hAnsi="Times New Roman" w:cs="Times New Roman" w:hint="eastAsia"/>
          <w:color w:val="000000"/>
          <w:kern w:val="0"/>
          <w:sz w:val="24"/>
        </w:rPr>
        <w:t>5</w:t>
      </w:r>
      <w:r>
        <w:rPr>
          <w:rFonts w:ascii="Times New Roman" w:eastAsia="宋体" w:hAnsi="Times New Roman" w:cs="Times New Roman" w:hint="eastAsia"/>
          <w:color w:val="000000"/>
          <w:kern w:val="0"/>
          <w:sz w:val="24"/>
        </w:rPr>
        <w:t>位四舍五入”。</w:t>
      </w:r>
    </w:p>
    <w:p w14:paraId="20710CEA" w14:textId="77777777" w:rsidR="00D27F7F" w:rsidRDefault="00A4337A">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Pr>
          <w:rFonts w:ascii="Times New Roman" w:eastAsia="宋体" w:hAnsi="Times New Roman" w:cs="Times New Roman" w:hint="eastAsia"/>
          <w:b/>
          <w:color w:val="000000"/>
          <w:kern w:val="0"/>
          <w:sz w:val="24"/>
        </w:rPr>
        <w:t>六、基金合同、托管协议的修订内容</w:t>
      </w:r>
    </w:p>
    <w:p w14:paraId="2C093863" w14:textId="5DF8EA74" w:rsidR="00D27F7F" w:rsidRDefault="00A4337A">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为确保增加</w:t>
      </w:r>
      <w:r>
        <w:rPr>
          <w:rFonts w:ascii="Times New Roman" w:eastAsia="宋体" w:hAnsi="Times New Roman" w:cs="Times New Roman"/>
          <w:color w:val="000000"/>
          <w:kern w:val="0"/>
          <w:sz w:val="24"/>
        </w:rPr>
        <w:t>C</w:t>
      </w:r>
      <w:r>
        <w:rPr>
          <w:rFonts w:ascii="Times New Roman" w:eastAsia="宋体" w:hAnsi="Times New Roman" w:cs="Times New Roman" w:hint="eastAsia"/>
          <w:color w:val="000000"/>
          <w:kern w:val="0"/>
          <w:sz w:val="24"/>
        </w:rPr>
        <w:t>类基金份额、增加侧袋机制、调整基金份额净值计算小数点后保留位数符合法律、法规的规定，本公司对本基金基金合同、托管协议的相关内容进行了修订。本次修订对原有基金份额持有人的利益</w:t>
      </w:r>
      <w:r>
        <w:rPr>
          <w:rFonts w:ascii="Times New Roman" w:eastAsia="宋体" w:hAnsi="Times New Roman" w:hint="eastAsia"/>
          <w:color w:val="000000"/>
          <w:kern w:val="0"/>
          <w:sz w:val="24"/>
        </w:rPr>
        <w:t>无实质性</w:t>
      </w:r>
      <w:r>
        <w:rPr>
          <w:rFonts w:ascii="Times New Roman" w:eastAsia="宋体" w:hAnsi="Times New Roman"/>
          <w:color w:val="000000"/>
          <w:kern w:val="0"/>
          <w:sz w:val="24"/>
        </w:rPr>
        <w:t>不利</w:t>
      </w:r>
      <w:r>
        <w:rPr>
          <w:rFonts w:ascii="Times New Roman" w:eastAsia="宋体" w:hAnsi="Times New Roman" w:cs="Times New Roman" w:hint="eastAsia"/>
          <w:color w:val="000000"/>
          <w:kern w:val="0"/>
          <w:sz w:val="24"/>
        </w:rPr>
        <w:t>影响，不需召开基金份额持有人大会。本公司已就修订内容与基金托管人</w:t>
      </w:r>
      <w:r>
        <w:rPr>
          <w:rFonts w:ascii="Times New Roman" w:eastAsia="宋体" w:hAnsi="Times New Roman" w:cs="Times New Roman" w:hint="eastAsia"/>
          <w:bCs/>
          <w:sz w:val="24"/>
          <w:szCs w:val="20"/>
        </w:rPr>
        <w:t>中国建设银行</w:t>
      </w:r>
      <w:r>
        <w:rPr>
          <w:rFonts w:ascii="Times New Roman" w:eastAsia="宋体" w:hAnsi="Times New Roman" w:cs="Times New Roman" w:hint="eastAsia"/>
          <w:color w:val="000000"/>
          <w:kern w:val="0"/>
          <w:sz w:val="24"/>
        </w:rPr>
        <w:t>协商一致。《基金合同》、《托管协议》的具体修订内容见附件</w:t>
      </w:r>
      <w:r>
        <w:rPr>
          <w:rFonts w:ascii="Times New Roman" w:eastAsia="宋体" w:hAnsi="Times New Roman" w:cs="Times New Roman" w:hint="eastAsia"/>
          <w:color w:val="000000"/>
          <w:kern w:val="0"/>
          <w:sz w:val="24"/>
        </w:rPr>
        <w:t>1</w:t>
      </w:r>
      <w:r>
        <w:rPr>
          <w:rFonts w:ascii="Times New Roman" w:eastAsia="宋体" w:hAnsi="Times New Roman" w:cs="Times New Roman" w:hint="eastAsia"/>
          <w:color w:val="000000"/>
          <w:kern w:val="0"/>
          <w:sz w:val="24"/>
        </w:rPr>
        <w:t>、</w:t>
      </w:r>
      <w:r>
        <w:rPr>
          <w:rFonts w:ascii="Times New Roman" w:eastAsia="宋体" w:hAnsi="Times New Roman" w:cs="Times New Roman"/>
          <w:color w:val="000000"/>
          <w:kern w:val="0"/>
          <w:sz w:val="24"/>
        </w:rPr>
        <w:t>附件</w:t>
      </w:r>
      <w:r>
        <w:rPr>
          <w:rFonts w:ascii="Times New Roman" w:eastAsia="宋体" w:hAnsi="Times New Roman" w:cs="Times New Roman"/>
          <w:color w:val="000000"/>
          <w:kern w:val="0"/>
          <w:sz w:val="24"/>
        </w:rPr>
        <w:t>2</w:t>
      </w:r>
      <w:r>
        <w:rPr>
          <w:rFonts w:ascii="Times New Roman" w:eastAsia="宋体" w:hAnsi="Times New Roman" w:cs="Times New Roman" w:hint="eastAsia"/>
          <w:color w:val="000000"/>
          <w:kern w:val="0"/>
          <w:sz w:val="24"/>
        </w:rPr>
        <w:t>。</w:t>
      </w:r>
    </w:p>
    <w:p w14:paraId="78C4FD76" w14:textId="77777777" w:rsidR="00D27F7F" w:rsidRDefault="00A4337A">
      <w:pPr>
        <w:pStyle w:val="ad"/>
        <w:spacing w:before="0" w:beforeAutospacing="0" w:after="0" w:afterAutospacing="0" w:line="360" w:lineRule="auto"/>
        <w:ind w:firstLineChars="200" w:firstLine="482"/>
        <w:jc w:val="both"/>
        <w:rPr>
          <w:rFonts w:ascii="Times New Roman" w:hAnsi="Times New Roman" w:cs="Times New Roman"/>
          <w:b/>
          <w:color w:val="000000"/>
        </w:rPr>
      </w:pPr>
      <w:r>
        <w:rPr>
          <w:rFonts w:ascii="Times New Roman" w:hAnsi="Times New Roman" w:cs="Times New Roman" w:hint="eastAsia"/>
          <w:b/>
          <w:color w:val="000000"/>
        </w:rPr>
        <w:t>重要提示：</w:t>
      </w:r>
    </w:p>
    <w:p w14:paraId="383C8D5B" w14:textId="77777777" w:rsidR="00D27F7F" w:rsidRDefault="00A4337A">
      <w:pPr>
        <w:pStyle w:val="ad"/>
        <w:spacing w:before="0" w:beforeAutospacing="0" w:after="0" w:afterAutospacing="0" w:line="360" w:lineRule="auto"/>
        <w:ind w:firstLineChars="200" w:firstLine="480"/>
        <w:jc w:val="both"/>
        <w:rPr>
          <w:rFonts w:ascii="Times New Roman" w:hAnsi="Times New Roman" w:cs="Times New Roman"/>
          <w:color w:val="000000"/>
        </w:rPr>
      </w:pPr>
      <w:r>
        <w:rPr>
          <w:rFonts w:ascii="Times New Roman" w:hAnsi="Times New Roman" w:cs="Times New Roman"/>
          <w:color w:val="000000"/>
        </w:rPr>
        <w:lastRenderedPageBreak/>
        <w:t>1</w:t>
      </w:r>
      <w:r>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0607AEB5" w14:textId="756FD181" w:rsidR="00D27F7F" w:rsidRDefault="00A4337A">
      <w:pPr>
        <w:pStyle w:val="ad"/>
        <w:spacing w:before="0" w:beforeAutospacing="0" w:after="0" w:afterAutospacing="0" w:line="360" w:lineRule="auto"/>
        <w:ind w:firstLineChars="200" w:firstLine="480"/>
        <w:jc w:val="both"/>
        <w:rPr>
          <w:rFonts w:ascii="Times New Roman" w:hAnsi="Times New Roman" w:cs="Times New Roman"/>
          <w:color w:val="000000"/>
        </w:rPr>
      </w:pPr>
      <w:r>
        <w:rPr>
          <w:rFonts w:ascii="Times New Roman" w:hAnsi="Times New Roman" w:cs="Times New Roman" w:hint="eastAsia"/>
          <w:color w:val="000000"/>
        </w:rPr>
        <w:t>2</w:t>
      </w:r>
      <w:r>
        <w:rPr>
          <w:rFonts w:ascii="Times New Roman" w:hAnsi="Times New Roman" w:cs="Times New Roman" w:hint="eastAsia"/>
          <w:color w:val="000000"/>
        </w:rPr>
        <w:t>、</w:t>
      </w:r>
      <w:r>
        <w:rPr>
          <w:rFonts w:ascii="Times New Roman" w:hAnsi="Times New Roman" w:cs="Times New Roman" w:hint="eastAsia"/>
          <w:bCs/>
          <w:szCs w:val="20"/>
        </w:rPr>
        <w:t>修改后的基金合同、托管协议自</w:t>
      </w:r>
      <w:r>
        <w:rPr>
          <w:rFonts w:ascii="Times New Roman" w:hAnsi="Times New Roman" w:cs="Times New Roman"/>
          <w:bCs/>
          <w:szCs w:val="20"/>
        </w:rPr>
        <w:t>2026</w:t>
      </w:r>
      <w:r>
        <w:rPr>
          <w:rFonts w:ascii="Times New Roman" w:hAnsi="Times New Roman" w:cs="Times New Roman" w:hint="eastAsia"/>
          <w:bCs/>
          <w:szCs w:val="20"/>
        </w:rPr>
        <w:t>年</w:t>
      </w:r>
      <w:r>
        <w:rPr>
          <w:rFonts w:ascii="Times New Roman" w:hAnsi="Times New Roman" w:cs="Times New Roman"/>
          <w:bCs/>
          <w:szCs w:val="20"/>
        </w:rPr>
        <w:t>4</w:t>
      </w:r>
      <w:r>
        <w:rPr>
          <w:rFonts w:ascii="Times New Roman" w:hAnsi="Times New Roman" w:cs="Times New Roman" w:hint="eastAsia"/>
          <w:bCs/>
          <w:szCs w:val="20"/>
        </w:rPr>
        <w:t>月</w:t>
      </w:r>
      <w:r>
        <w:rPr>
          <w:rFonts w:ascii="Times New Roman" w:hAnsi="Times New Roman" w:cs="Times New Roman"/>
          <w:bCs/>
          <w:szCs w:val="20"/>
        </w:rPr>
        <w:t>15</w:t>
      </w:r>
      <w:r>
        <w:rPr>
          <w:rFonts w:ascii="Times New Roman" w:hAnsi="Times New Roman" w:cs="Times New Roman" w:hint="eastAsia"/>
          <w:bCs/>
          <w:szCs w:val="20"/>
        </w:rPr>
        <w:t>日起生效，基金管理人已履行了规定程序，符合相关法律法规的规定及本基金基金合同、托管协议的约定。修改后的本基金基金合同、托管协议全文将与本公告同日登载于基金管理人网站（</w:t>
      </w:r>
      <w:r>
        <w:rPr>
          <w:rFonts w:ascii="Times New Roman" w:hAnsi="Times New Roman" w:cs="Times New Roman"/>
          <w:bCs/>
          <w:szCs w:val="20"/>
        </w:rPr>
        <w:t>www.fund001.com</w:t>
      </w:r>
      <w:r>
        <w:rPr>
          <w:rFonts w:ascii="Times New Roman" w:hAnsi="Times New Roman" w:cs="Times New Roman" w:hint="eastAsia"/>
          <w:bCs/>
          <w:szCs w:val="20"/>
        </w:rPr>
        <w:t>）及中国证监会基金电子披露网站（</w:t>
      </w:r>
      <w:r>
        <w:rPr>
          <w:rFonts w:ascii="Times New Roman" w:hAnsi="Times New Roman" w:cs="Times New Roman"/>
          <w:bCs/>
          <w:szCs w:val="20"/>
        </w:rPr>
        <w:t>http://eid.csrc.gov.cn/fund</w:t>
      </w:r>
      <w:r>
        <w:rPr>
          <w:rFonts w:ascii="Times New Roman" w:hAnsi="Times New Roman" w:cs="Times New Roman" w:hint="eastAsia"/>
          <w:bCs/>
          <w:szCs w:val="20"/>
        </w:rPr>
        <w:t>）。本次修订后的招募说明书（更新）和基金产品资料概要（更新）将在本公司网站发布，供投资者查阅。</w:t>
      </w:r>
    </w:p>
    <w:p w14:paraId="6FC616A4" w14:textId="77777777" w:rsidR="00D27F7F" w:rsidRDefault="00A4337A">
      <w:pPr>
        <w:pStyle w:val="ad"/>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hint="eastAsia"/>
          <w:color w:val="000000"/>
        </w:rPr>
        <w:t>、投资者可登录本基金管理人网站（</w:t>
      </w:r>
      <w:r>
        <w:rPr>
          <w:rFonts w:ascii="Times New Roman" w:hAnsi="Times New Roman" w:cs="Times New Roman"/>
          <w:color w:val="000000"/>
        </w:rPr>
        <w:t>www.fund001.com</w:t>
      </w:r>
      <w:r>
        <w:rPr>
          <w:rFonts w:ascii="Times New Roman" w:hAnsi="Times New Roman" w:cs="Times New Roman" w:hint="eastAsia"/>
          <w:color w:val="000000"/>
        </w:rPr>
        <w:t>）或拨打本基金管理人的客户服务电话</w:t>
      </w:r>
      <w:r>
        <w:rPr>
          <w:rFonts w:ascii="Times New Roman" w:hAnsi="Times New Roman" w:cs="Times New Roman"/>
          <w:color w:val="000000"/>
        </w:rPr>
        <w:t>400-700-5000</w:t>
      </w:r>
      <w:r>
        <w:rPr>
          <w:rFonts w:ascii="Times New Roman" w:hAnsi="Times New Roman" w:cs="Times New Roman" w:hint="eastAsia"/>
          <w:color w:val="000000"/>
        </w:rPr>
        <w:t>（免长途话费），（</w:t>
      </w:r>
      <w:r>
        <w:rPr>
          <w:rFonts w:ascii="Times New Roman" w:hAnsi="Times New Roman" w:cs="Times New Roman"/>
          <w:color w:val="000000"/>
        </w:rPr>
        <w:t>021</w:t>
      </w:r>
      <w:r>
        <w:rPr>
          <w:rFonts w:ascii="Times New Roman" w:hAnsi="Times New Roman" w:cs="Times New Roman" w:hint="eastAsia"/>
          <w:color w:val="000000"/>
        </w:rPr>
        <w:t>）</w:t>
      </w:r>
      <w:r>
        <w:rPr>
          <w:rFonts w:ascii="Times New Roman" w:hAnsi="Times New Roman" w:cs="Times New Roman"/>
          <w:color w:val="000000"/>
        </w:rPr>
        <w:t>61055000</w:t>
      </w:r>
      <w:r>
        <w:rPr>
          <w:rFonts w:ascii="Times New Roman" w:hAnsi="Times New Roman" w:cs="Times New Roman" w:hint="eastAsia"/>
          <w:color w:val="000000"/>
        </w:rPr>
        <w:t>进行咨询、查询。</w:t>
      </w:r>
    </w:p>
    <w:p w14:paraId="1D5F76F5" w14:textId="77777777" w:rsidR="00D27F7F" w:rsidRDefault="00A4337A">
      <w:pPr>
        <w:pStyle w:val="ad"/>
        <w:spacing w:line="360" w:lineRule="auto"/>
        <w:ind w:firstLineChars="200" w:firstLine="480"/>
        <w:rPr>
          <w:rFonts w:ascii="Times New Roman" w:hAnsi="Times New Roman" w:cs="Times New Roman"/>
          <w:color w:val="000000"/>
        </w:rPr>
      </w:pPr>
      <w:r>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726365B3" w14:textId="77777777" w:rsidR="00D27F7F" w:rsidRDefault="00A4337A">
      <w:pPr>
        <w:pStyle w:val="ad"/>
        <w:spacing w:before="0" w:beforeAutospacing="0" w:after="0" w:afterAutospacing="0" w:line="360" w:lineRule="auto"/>
        <w:ind w:firstLineChars="200" w:firstLine="480"/>
        <w:rPr>
          <w:rFonts w:ascii="Times New Roman" w:hAnsi="Times New Roman" w:cs="Times New Roman"/>
          <w:color w:val="000000"/>
        </w:rPr>
      </w:pPr>
      <w:r>
        <w:rPr>
          <w:rFonts w:ascii="Times New Roman" w:hAnsi="Times New Roman" w:cs="Times New Roman" w:hint="eastAsia"/>
          <w:color w:val="000000"/>
        </w:rPr>
        <w:t>特此公告。</w:t>
      </w:r>
    </w:p>
    <w:p w14:paraId="6A4175EB" w14:textId="77777777" w:rsidR="00D27F7F" w:rsidRDefault="00A4337A">
      <w:pPr>
        <w:pStyle w:val="ad"/>
        <w:spacing w:line="360" w:lineRule="auto"/>
        <w:jc w:val="right"/>
        <w:rPr>
          <w:rFonts w:ascii="Times New Roman" w:hAnsi="Times New Roman" w:cs="Times New Roman"/>
          <w:color w:val="000000"/>
        </w:rPr>
      </w:pPr>
      <w:r>
        <w:rPr>
          <w:rFonts w:ascii="Times New Roman" w:hAnsi="Times New Roman" w:cs="Times New Roman"/>
          <w:color w:val="000000"/>
        </w:rPr>
        <w:t>  </w:t>
      </w:r>
      <w:r>
        <w:rPr>
          <w:rFonts w:ascii="Times New Roman" w:hAnsi="Times New Roman" w:cs="Times New Roman" w:hint="eastAsia"/>
          <w:color w:val="000000"/>
        </w:rPr>
        <w:t>交银施罗德基金管理有限公司</w:t>
      </w:r>
    </w:p>
    <w:p w14:paraId="6C5595CE" w14:textId="3F45DDC7" w:rsidR="00D27F7F" w:rsidRDefault="00A4337A">
      <w:pPr>
        <w:pStyle w:val="ad"/>
        <w:spacing w:line="360" w:lineRule="auto"/>
        <w:jc w:val="right"/>
        <w:rPr>
          <w:rFonts w:ascii="Times New Roman" w:hAnsi="Times New Roman" w:cs="Times New Roman"/>
          <w:color w:val="000000"/>
        </w:rPr>
        <w:sectPr w:rsidR="00D27F7F">
          <w:pgSz w:w="11906" w:h="16838"/>
          <w:pgMar w:top="1440" w:right="1800" w:bottom="1440" w:left="1800" w:header="851" w:footer="992" w:gutter="0"/>
          <w:cols w:space="425"/>
          <w:docGrid w:type="lines" w:linePitch="312"/>
        </w:sectPr>
      </w:pPr>
      <w:r>
        <w:rPr>
          <w:rFonts w:ascii="Times New Roman" w:hAnsi="Times New Roman" w:cs="Times New Roman"/>
          <w:color w:val="000000"/>
        </w:rPr>
        <w:t>  </w:t>
      </w:r>
      <w:r>
        <w:rPr>
          <w:rFonts w:ascii="Times New Roman" w:hAnsi="Times New Roman" w:cs="Times New Roman" w:hint="eastAsia"/>
          <w:color w:val="000000"/>
        </w:rPr>
        <w:t>二〇二六年四月十四日</w:t>
      </w:r>
    </w:p>
    <w:p w14:paraId="2A60ED15" w14:textId="71048EB7" w:rsidR="00D27F7F" w:rsidRDefault="00A4337A">
      <w:pPr>
        <w:jc w:val="center"/>
        <w:rPr>
          <w:rFonts w:ascii="宋体" w:eastAsia="宋体" w:hAnsi="宋体"/>
          <w:b/>
        </w:rPr>
      </w:pPr>
      <w:r>
        <w:rPr>
          <w:rFonts w:ascii="宋体" w:eastAsia="宋体" w:hAnsi="宋体" w:hint="eastAsia"/>
          <w:b/>
        </w:rPr>
        <w:lastRenderedPageBreak/>
        <w:t>附件</w:t>
      </w:r>
      <w:r>
        <w:rPr>
          <w:rFonts w:ascii="宋体" w:eastAsia="宋体" w:hAnsi="宋体"/>
          <w:b/>
        </w:rPr>
        <w:t>1：</w:t>
      </w:r>
      <w:r>
        <w:rPr>
          <w:rFonts w:ascii="宋体" w:eastAsia="宋体" w:hAnsi="宋体" w:hint="eastAsia"/>
          <w:b/>
        </w:rPr>
        <w:t>《交银施罗德环球精选价值证券投资基金基金合同》修订前后对照表</w:t>
      </w:r>
    </w:p>
    <w:p w14:paraId="6374122C" w14:textId="77777777" w:rsidR="00D27F7F" w:rsidRDefault="00D27F7F">
      <w:pPr>
        <w:jc w:val="center"/>
        <w:rPr>
          <w:rFonts w:ascii="宋体" w:eastAsia="宋体" w:hAnsi="宋体"/>
          <w:b/>
        </w:rPr>
      </w:pPr>
    </w:p>
    <w:tbl>
      <w:tblPr>
        <w:tblStyle w:val="14"/>
        <w:tblW w:w="0" w:type="auto"/>
        <w:tblLook w:val="04A0" w:firstRow="1" w:lastRow="0" w:firstColumn="1" w:lastColumn="0" w:noHBand="0" w:noVBand="1"/>
      </w:tblPr>
      <w:tblGrid>
        <w:gridCol w:w="1696"/>
        <w:gridCol w:w="6096"/>
        <w:gridCol w:w="6095"/>
      </w:tblGrid>
      <w:tr w:rsidR="00D27F7F" w14:paraId="6630C58A" w14:textId="77777777">
        <w:tc>
          <w:tcPr>
            <w:tcW w:w="1696" w:type="dxa"/>
          </w:tcPr>
          <w:p w14:paraId="76EA1020" w14:textId="77777777" w:rsidR="00D27F7F" w:rsidRDefault="00A4337A">
            <w:pPr>
              <w:spacing w:line="240" w:lineRule="atLeast"/>
              <w:jc w:val="center"/>
              <w:rPr>
                <w:rFonts w:ascii="宋体" w:eastAsia="宋体" w:hAnsi="宋体"/>
                <w:b/>
                <w:szCs w:val="21"/>
              </w:rPr>
            </w:pPr>
            <w:r>
              <w:rPr>
                <w:rFonts w:ascii="宋体" w:eastAsia="宋体" w:hAnsi="宋体" w:hint="eastAsia"/>
                <w:b/>
                <w:szCs w:val="21"/>
              </w:rPr>
              <w:t>章节</w:t>
            </w:r>
          </w:p>
        </w:tc>
        <w:tc>
          <w:tcPr>
            <w:tcW w:w="6096" w:type="dxa"/>
          </w:tcPr>
          <w:p w14:paraId="0C799C48" w14:textId="77777777" w:rsidR="00D27F7F" w:rsidRDefault="00A4337A">
            <w:pPr>
              <w:spacing w:line="240" w:lineRule="atLeast"/>
              <w:jc w:val="center"/>
              <w:rPr>
                <w:rFonts w:ascii="Times New Roman" w:eastAsia="宋体" w:hAnsi="Times New Roman" w:cs="Times New Roman"/>
                <w:b/>
                <w:szCs w:val="21"/>
              </w:rPr>
            </w:pPr>
            <w:r>
              <w:rPr>
                <w:rFonts w:ascii="Times New Roman" w:eastAsia="宋体" w:hAnsi="Times New Roman" w:cs="Times New Roman"/>
                <w:b/>
                <w:szCs w:val="21"/>
              </w:rPr>
              <w:t>修订</w:t>
            </w:r>
            <w:r>
              <w:rPr>
                <w:rFonts w:ascii="Times New Roman" w:eastAsia="宋体" w:hAnsi="Times New Roman" w:cs="Times New Roman" w:hint="eastAsia"/>
                <w:b/>
                <w:szCs w:val="21"/>
              </w:rPr>
              <w:t>前</w:t>
            </w:r>
          </w:p>
        </w:tc>
        <w:tc>
          <w:tcPr>
            <w:tcW w:w="6095" w:type="dxa"/>
          </w:tcPr>
          <w:p w14:paraId="306D24FD" w14:textId="77777777" w:rsidR="00D27F7F" w:rsidRDefault="00A4337A">
            <w:pPr>
              <w:spacing w:line="240" w:lineRule="atLeast"/>
              <w:jc w:val="center"/>
              <w:rPr>
                <w:rFonts w:ascii="Times New Roman" w:eastAsia="宋体" w:hAnsi="Times New Roman" w:cs="Times New Roman"/>
                <w:b/>
                <w:bCs/>
                <w:szCs w:val="21"/>
              </w:rPr>
            </w:pPr>
            <w:r>
              <w:rPr>
                <w:rFonts w:ascii="Times New Roman" w:eastAsia="宋体" w:hAnsi="Times New Roman" w:cs="Times New Roman"/>
                <w:b/>
                <w:bCs/>
                <w:szCs w:val="21"/>
              </w:rPr>
              <w:t>修订后</w:t>
            </w:r>
          </w:p>
        </w:tc>
      </w:tr>
      <w:tr w:rsidR="00D27F7F" w14:paraId="2D0F270F" w14:textId="77777777">
        <w:tc>
          <w:tcPr>
            <w:tcW w:w="1696" w:type="dxa"/>
          </w:tcPr>
          <w:p w14:paraId="64FA1D99" w14:textId="0236DD1F" w:rsidR="00D27F7F" w:rsidRDefault="00A4337A">
            <w:pPr>
              <w:spacing w:line="240" w:lineRule="atLeast"/>
              <w:rPr>
                <w:rFonts w:ascii="宋体" w:eastAsia="宋体" w:hAnsi="宋体"/>
                <w:b/>
                <w:szCs w:val="21"/>
              </w:rPr>
            </w:pPr>
            <w:bookmarkStart w:id="1" w:name="_Hlk143680778"/>
            <w:r>
              <w:rPr>
                <w:rFonts w:ascii="宋体" w:eastAsia="宋体" w:hAnsi="宋体" w:hint="eastAsia"/>
                <w:b/>
                <w:szCs w:val="21"/>
              </w:rPr>
              <w:t>二、</w:t>
            </w:r>
            <w:r>
              <w:rPr>
                <w:rFonts w:ascii="宋体" w:eastAsia="宋体" w:hAnsi="宋体"/>
                <w:b/>
                <w:szCs w:val="21"/>
              </w:rPr>
              <w:t>释义</w:t>
            </w:r>
          </w:p>
        </w:tc>
        <w:tc>
          <w:tcPr>
            <w:tcW w:w="6096" w:type="dxa"/>
          </w:tcPr>
          <w:p w14:paraId="6A4E689F" w14:textId="3268B7EA"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55.</w:t>
            </w:r>
            <w:r>
              <w:rPr>
                <w:rFonts w:ascii="Times New Roman" w:eastAsia="宋体" w:hAnsi="Times New Roman" w:cs="Times New Roman" w:hint="eastAsia"/>
                <w:bCs/>
                <w:szCs w:val="21"/>
              </w:rPr>
              <w:t>基金转换：指基金份额持有人按照本基金合同和基金管理人届时有效公告规定的条件，申请将其持有基金管理人管理的、某一基金的基金份额转换为基金管理人管理的、且由同一登记结算机构办理登记结算的其他基金基金份额的行为</w:t>
            </w:r>
            <w:r>
              <w:rPr>
                <w:rFonts w:ascii="Times New Roman" w:eastAsia="宋体" w:hAnsi="Times New Roman" w:cs="Times New Roman" w:hint="eastAsia"/>
                <w:bCs/>
                <w:szCs w:val="21"/>
              </w:rPr>
              <w:t xml:space="preserve"> </w:t>
            </w:r>
          </w:p>
        </w:tc>
        <w:tc>
          <w:tcPr>
            <w:tcW w:w="6095" w:type="dxa"/>
          </w:tcPr>
          <w:p w14:paraId="1AD65F35" w14:textId="1F5CC6D1"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55.</w:t>
            </w:r>
            <w:r>
              <w:rPr>
                <w:rFonts w:ascii="Times New Roman" w:eastAsia="宋体" w:hAnsi="Times New Roman" w:cs="Times New Roman" w:hint="eastAsia"/>
                <w:bCs/>
                <w:szCs w:val="21"/>
              </w:rPr>
              <w:t>基金转换：指基金份额持有人按照本基金合同和基金管理人届时有效公告规定的条件，申请将其持有基金管理人管理的、某一基金的基金份额转换为该基金其他份额（如有）或基金管理人管理的其他基金基金份额的行为</w:t>
            </w:r>
            <w:r>
              <w:rPr>
                <w:rFonts w:ascii="Times New Roman" w:eastAsia="宋体" w:hAnsi="Times New Roman" w:cs="Times New Roman" w:hint="eastAsia"/>
                <w:bCs/>
                <w:szCs w:val="21"/>
              </w:rPr>
              <w:t xml:space="preserve"> </w:t>
            </w:r>
          </w:p>
        </w:tc>
      </w:tr>
      <w:tr w:rsidR="00D27F7F" w14:paraId="0BCA05AF" w14:textId="77777777">
        <w:tc>
          <w:tcPr>
            <w:tcW w:w="1696" w:type="dxa"/>
          </w:tcPr>
          <w:p w14:paraId="395A23C5" w14:textId="5CD77154" w:rsidR="00D27F7F" w:rsidRDefault="00A4337A">
            <w:pPr>
              <w:spacing w:line="240" w:lineRule="atLeast"/>
              <w:rPr>
                <w:rFonts w:ascii="宋体" w:eastAsia="宋体" w:hAnsi="宋体"/>
                <w:b/>
                <w:szCs w:val="21"/>
              </w:rPr>
            </w:pPr>
            <w:r>
              <w:rPr>
                <w:rFonts w:ascii="宋体" w:eastAsia="宋体" w:hAnsi="宋体" w:hint="eastAsia"/>
                <w:b/>
                <w:szCs w:val="21"/>
              </w:rPr>
              <w:t>二、</w:t>
            </w:r>
            <w:r>
              <w:rPr>
                <w:rFonts w:ascii="宋体" w:eastAsia="宋体" w:hAnsi="宋体"/>
                <w:b/>
                <w:szCs w:val="21"/>
              </w:rPr>
              <w:t>释义</w:t>
            </w:r>
          </w:p>
        </w:tc>
        <w:tc>
          <w:tcPr>
            <w:tcW w:w="6096" w:type="dxa"/>
          </w:tcPr>
          <w:p w14:paraId="521B14AE" w14:textId="77777777" w:rsidR="00D27F7F" w:rsidRDefault="00D27F7F">
            <w:pPr>
              <w:spacing w:line="240" w:lineRule="atLeast"/>
              <w:rPr>
                <w:rFonts w:ascii="Times New Roman" w:eastAsia="宋体" w:hAnsi="Times New Roman" w:cs="Times New Roman"/>
                <w:bCs/>
                <w:szCs w:val="21"/>
              </w:rPr>
            </w:pPr>
          </w:p>
        </w:tc>
        <w:tc>
          <w:tcPr>
            <w:tcW w:w="6095" w:type="dxa"/>
          </w:tcPr>
          <w:p w14:paraId="73F5486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 xml:space="preserve">59. </w:t>
            </w:r>
            <w:r>
              <w:rPr>
                <w:rFonts w:ascii="Times New Roman" w:eastAsia="宋体" w:hAnsi="Times New Roman" w:cs="Times New Roman" w:hint="eastAsia"/>
                <w:bCs/>
                <w:szCs w:val="21"/>
              </w:rPr>
              <w:t>销售服务费：指从基金财产中计提的，用于本基金市场推广、销售以及基金份额持有人服务的费用</w:t>
            </w:r>
          </w:p>
          <w:p w14:paraId="23E8690C"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60.A</w:t>
            </w:r>
            <w:r>
              <w:rPr>
                <w:rFonts w:ascii="Times New Roman" w:eastAsia="宋体" w:hAnsi="Times New Roman" w:cs="Times New Roman" w:hint="eastAsia"/>
                <w:bCs/>
                <w:szCs w:val="21"/>
              </w:rPr>
              <w:t>类基金份额：指在投资人申购时收取申购费用且不从本类别基金资产中计提销售服务费的基金份额</w:t>
            </w:r>
          </w:p>
          <w:p w14:paraId="1CEC4172" w14:textId="19423695"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61.C</w:t>
            </w:r>
            <w:r>
              <w:rPr>
                <w:rFonts w:ascii="Times New Roman" w:eastAsia="宋体" w:hAnsi="Times New Roman" w:cs="Times New Roman" w:hint="eastAsia"/>
                <w:bCs/>
                <w:szCs w:val="21"/>
              </w:rPr>
              <w:t>类基金份额：指在投资人申购时不收取申购费用，并从本类别基金资产中计提销售服务费的基金份额（其中，对于投资人通过直销机构申购的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类基金份额，计提的销售服务费将在投资人赎回相应基金份额或基金合同终止时随赎回款或清算款一并返还给投资人；对于投资人通过其他销售机构申购的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类基金份额，持续持有超过一年（即</w:t>
            </w:r>
            <w:r>
              <w:rPr>
                <w:rFonts w:ascii="Times New Roman" w:eastAsia="宋体" w:hAnsi="Times New Roman" w:cs="Times New Roman" w:hint="eastAsia"/>
                <w:bCs/>
                <w:szCs w:val="21"/>
              </w:rPr>
              <w:t>365</w:t>
            </w:r>
            <w:r>
              <w:rPr>
                <w:rFonts w:ascii="Times New Roman" w:eastAsia="宋体" w:hAnsi="Times New Roman" w:cs="Times New Roman" w:hint="eastAsia"/>
                <w:bCs/>
                <w:szCs w:val="21"/>
              </w:rPr>
              <w:t>天，下同）后计提的销售服务费将在投资人赎回相应基金份额或基金合同终止时随赎回款或清算款一并返还给投资人）</w:t>
            </w:r>
          </w:p>
          <w:p w14:paraId="2E977C4B" w14:textId="77777777" w:rsidR="00D27F7F" w:rsidRDefault="00D27F7F">
            <w:pPr>
              <w:spacing w:line="240" w:lineRule="atLeast"/>
              <w:rPr>
                <w:rFonts w:ascii="Times New Roman" w:eastAsia="宋体" w:hAnsi="Times New Roman" w:cs="Times New Roman"/>
                <w:bCs/>
                <w:szCs w:val="21"/>
              </w:rPr>
            </w:pPr>
          </w:p>
          <w:p w14:paraId="048826D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64.</w:t>
            </w:r>
            <w:r>
              <w:rPr>
                <w:rFonts w:ascii="Times New Roman" w:eastAsia="宋体" w:hAnsi="Times New Roman" w:cs="Times New Roman" w:hint="eastAsia"/>
                <w:bCs/>
                <w:szCs w:val="21"/>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76468E3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65.</w:t>
            </w:r>
            <w:r>
              <w:rPr>
                <w:rFonts w:ascii="Times New Roman" w:eastAsia="宋体" w:hAnsi="Times New Roman" w:cs="Times New Roman" w:hint="eastAsia"/>
                <w:bCs/>
                <w:szCs w:val="21"/>
              </w:rPr>
              <w:t>特定资产：包括：（一）无可参考的活跃市场价格且采用估值技术仍导致公允价值存在重大不确定性的资产；（二）按摊余成本计</w:t>
            </w:r>
            <w:r>
              <w:rPr>
                <w:rFonts w:ascii="Times New Roman" w:eastAsia="宋体" w:hAnsi="Times New Roman" w:cs="Times New Roman" w:hint="eastAsia"/>
                <w:bCs/>
                <w:szCs w:val="21"/>
              </w:rPr>
              <w:lastRenderedPageBreak/>
              <w:t>量且计提资产减值准备仍导致资产价值存在重大不确定性的资产；（三）其他资产价值存在重大不确定性的资产</w:t>
            </w:r>
          </w:p>
        </w:tc>
      </w:tr>
      <w:tr w:rsidR="00D27F7F" w14:paraId="0793B5E5" w14:textId="77777777">
        <w:tc>
          <w:tcPr>
            <w:tcW w:w="1696" w:type="dxa"/>
          </w:tcPr>
          <w:p w14:paraId="6048C53E" w14:textId="2BBEF19A" w:rsidR="00D27F7F" w:rsidRDefault="00A4337A">
            <w:pPr>
              <w:spacing w:line="240" w:lineRule="atLeast"/>
              <w:rPr>
                <w:rFonts w:ascii="宋体" w:eastAsia="宋体" w:hAnsi="宋体"/>
                <w:b/>
                <w:szCs w:val="21"/>
              </w:rPr>
            </w:pPr>
            <w:r>
              <w:rPr>
                <w:rFonts w:ascii="宋体" w:eastAsia="宋体" w:hAnsi="宋体" w:hint="eastAsia"/>
                <w:b/>
                <w:szCs w:val="21"/>
              </w:rPr>
              <w:lastRenderedPageBreak/>
              <w:t>三、</w:t>
            </w:r>
            <w:r>
              <w:rPr>
                <w:rFonts w:ascii="宋体" w:eastAsia="宋体" w:hAnsi="宋体"/>
                <w:b/>
                <w:szCs w:val="21"/>
              </w:rPr>
              <w:t>基金的基本情况</w:t>
            </w:r>
          </w:p>
        </w:tc>
        <w:tc>
          <w:tcPr>
            <w:tcW w:w="6096" w:type="dxa"/>
          </w:tcPr>
          <w:p w14:paraId="62C3BDFA" w14:textId="77777777" w:rsidR="00D27F7F" w:rsidRDefault="00D27F7F">
            <w:pPr>
              <w:spacing w:line="240" w:lineRule="atLeast"/>
              <w:rPr>
                <w:rFonts w:ascii="Times New Roman" w:eastAsia="宋体" w:hAnsi="Times New Roman" w:cs="Times New Roman"/>
                <w:bCs/>
                <w:szCs w:val="21"/>
              </w:rPr>
            </w:pPr>
          </w:p>
          <w:p w14:paraId="0A5C1397" w14:textId="77777777" w:rsidR="00D27F7F" w:rsidRDefault="00D27F7F" w:rsidP="001B1DD3">
            <w:pPr>
              <w:rPr>
                <w:rFonts w:ascii="Times New Roman" w:eastAsia="宋体" w:hAnsi="Times New Roman" w:cs="Times New Roman"/>
                <w:szCs w:val="21"/>
              </w:rPr>
            </w:pPr>
          </w:p>
          <w:p w14:paraId="09682D53" w14:textId="77777777" w:rsidR="00D27F7F" w:rsidRDefault="00D27F7F">
            <w:pPr>
              <w:rPr>
                <w:rFonts w:ascii="Times New Roman" w:eastAsia="宋体" w:hAnsi="Times New Roman" w:cs="Times New Roman"/>
                <w:szCs w:val="21"/>
              </w:rPr>
            </w:pPr>
          </w:p>
          <w:p w14:paraId="7C9F75BB" w14:textId="77777777" w:rsidR="00D27F7F" w:rsidRDefault="00D27F7F" w:rsidP="001B1DD3">
            <w:pPr>
              <w:jc w:val="right"/>
              <w:rPr>
                <w:rFonts w:ascii="Times New Roman" w:eastAsia="宋体" w:hAnsi="Times New Roman" w:cs="Times New Roman"/>
                <w:szCs w:val="21"/>
              </w:rPr>
            </w:pPr>
          </w:p>
        </w:tc>
        <w:tc>
          <w:tcPr>
            <w:tcW w:w="6095" w:type="dxa"/>
          </w:tcPr>
          <w:p w14:paraId="0C748A1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八</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基金份额类别</w:t>
            </w:r>
          </w:p>
          <w:p w14:paraId="6DE1367E"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本基金根据申购费用、销售服务费收取方式的不同，将基金份额分为不同的类别。对投资人收取申购费用且不从本类别基金资产中计提销售服务费的，称为</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类基金份额；在投资人申购时不收取申购费用、从本类别基金资产中计提销售服务费的，称为</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类基金份额（其中，对于投资人通过直销机构申购的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类基金份额，计提的销售服务费将在投资人赎回相应基金份额或基金合同终止时随赎回款或清算款一并返还给投资人；对于投资人通过其他销售机构申购的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类基金份额，持续持有超过一年后计提的销售服务费将在投资人赎回相应基金份额或基金合同终止时随赎回款或清算款一并返还给投资人）。</w:t>
            </w:r>
          </w:p>
          <w:p w14:paraId="73F45FD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类基金份额分别设置基金代码。由于基金费用的不同，本基金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类基金份额将分别计算基金份额净值并单独公告。投资者可自行选择认购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申购的基金份额类别。本基金不同基金份额类别之间的转换规定请见招募说明书或相关公告。</w:t>
            </w:r>
          </w:p>
          <w:p w14:paraId="7988939C" w14:textId="06B8F464"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在不违反法律法规、基金合同的约定以及对基金份额持有人利益无实质性不利影响的情况下，根据基金实际运作情况，基金管理人和基金托管人协商一致后，可增加、减少或调整基金份额类别设置、对基金份额分类办法及规则进行调整并在调整实施前依照《信息披露办法》的有关规定在规定媒介上公告，而无需召开基金份额持有人大会。</w:t>
            </w:r>
          </w:p>
        </w:tc>
      </w:tr>
      <w:tr w:rsidR="00D27F7F" w14:paraId="39B2B937" w14:textId="77777777">
        <w:tc>
          <w:tcPr>
            <w:tcW w:w="1696" w:type="dxa"/>
          </w:tcPr>
          <w:p w14:paraId="48B5CD29" w14:textId="77777777" w:rsidR="00D27F7F" w:rsidRDefault="00A4337A">
            <w:pPr>
              <w:spacing w:line="240" w:lineRule="atLeast"/>
              <w:rPr>
                <w:rFonts w:ascii="宋体" w:eastAsia="宋体" w:hAnsi="宋体"/>
                <w:b/>
                <w:szCs w:val="21"/>
              </w:rPr>
            </w:pPr>
            <w:r>
              <w:rPr>
                <w:rFonts w:ascii="宋体" w:eastAsia="宋体" w:hAnsi="宋体" w:hint="eastAsia"/>
                <w:b/>
                <w:szCs w:val="21"/>
              </w:rPr>
              <w:t>六、</w:t>
            </w:r>
            <w:r>
              <w:rPr>
                <w:rFonts w:ascii="宋体" w:eastAsia="宋体" w:hAnsi="宋体"/>
                <w:b/>
                <w:szCs w:val="21"/>
              </w:rPr>
              <w:t>基金份额的申购与赎回</w:t>
            </w:r>
          </w:p>
        </w:tc>
        <w:tc>
          <w:tcPr>
            <w:tcW w:w="6096" w:type="dxa"/>
          </w:tcPr>
          <w:p w14:paraId="018C75D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申购与赎回的原则</w:t>
            </w:r>
          </w:p>
          <w:p w14:paraId="04925C3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“未知价”原则，即申购、赎回价格以申请当日收市后计算的基</w:t>
            </w:r>
            <w:r>
              <w:rPr>
                <w:rFonts w:ascii="Times New Roman" w:eastAsia="宋体" w:hAnsi="Times New Roman" w:cs="Times New Roman" w:hint="eastAsia"/>
                <w:bCs/>
                <w:szCs w:val="21"/>
              </w:rPr>
              <w:lastRenderedPageBreak/>
              <w:t>金份额净值为基准进行计算；</w:t>
            </w:r>
          </w:p>
        </w:tc>
        <w:tc>
          <w:tcPr>
            <w:tcW w:w="6095" w:type="dxa"/>
          </w:tcPr>
          <w:p w14:paraId="7DE80437"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lastRenderedPageBreak/>
              <w:t>(</w:t>
            </w:r>
            <w:r>
              <w:rPr>
                <w:rFonts w:ascii="Times New Roman" w:eastAsia="宋体" w:hAnsi="Times New Roman" w:cs="Times New Roman" w:hint="eastAsia"/>
                <w:bCs/>
                <w:szCs w:val="21"/>
              </w:rPr>
              <w:t>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申购与赎回的原则</w:t>
            </w:r>
          </w:p>
          <w:p w14:paraId="48F6A8B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“未知价”原则，即申购、赎回价格以申请当日收市后计算的该</w:t>
            </w:r>
            <w:r>
              <w:rPr>
                <w:rFonts w:ascii="Times New Roman" w:eastAsia="宋体" w:hAnsi="Times New Roman" w:cs="Times New Roman" w:hint="eastAsia"/>
                <w:bCs/>
                <w:szCs w:val="21"/>
              </w:rPr>
              <w:lastRenderedPageBreak/>
              <w:t>类基金份额净值为基准进行计算；</w:t>
            </w:r>
          </w:p>
        </w:tc>
      </w:tr>
      <w:tr w:rsidR="00D27F7F" w14:paraId="6A102E86" w14:textId="77777777">
        <w:tc>
          <w:tcPr>
            <w:tcW w:w="1696" w:type="dxa"/>
          </w:tcPr>
          <w:p w14:paraId="187832D2" w14:textId="71D75D40" w:rsidR="00D27F7F" w:rsidRDefault="00A4337A">
            <w:pPr>
              <w:spacing w:line="240" w:lineRule="atLeast"/>
              <w:rPr>
                <w:rFonts w:ascii="宋体" w:eastAsia="宋体" w:hAnsi="宋体"/>
                <w:b/>
                <w:szCs w:val="21"/>
              </w:rPr>
            </w:pPr>
            <w:r>
              <w:rPr>
                <w:rFonts w:ascii="宋体" w:eastAsia="宋体" w:hAnsi="宋体" w:hint="eastAsia"/>
                <w:b/>
                <w:szCs w:val="21"/>
              </w:rPr>
              <w:lastRenderedPageBreak/>
              <w:t>六、</w:t>
            </w:r>
            <w:r>
              <w:rPr>
                <w:rFonts w:ascii="宋体" w:eastAsia="宋体" w:hAnsi="宋体"/>
                <w:b/>
                <w:szCs w:val="21"/>
              </w:rPr>
              <w:t>基金份额的申购与赎回</w:t>
            </w:r>
          </w:p>
        </w:tc>
        <w:tc>
          <w:tcPr>
            <w:tcW w:w="6096" w:type="dxa"/>
          </w:tcPr>
          <w:p w14:paraId="38AF971A" w14:textId="08E273C2"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申购和赎回的价格、费用及其用途</w:t>
            </w:r>
          </w:p>
          <w:p w14:paraId="43449AE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1.T</w:t>
            </w:r>
            <w:r>
              <w:rPr>
                <w:rFonts w:ascii="Times New Roman" w:eastAsia="宋体" w:hAnsi="Times New Roman" w:cs="Times New Roman" w:hint="eastAsia"/>
                <w:bCs/>
                <w:szCs w:val="21"/>
              </w:rPr>
              <w:t>日的基金份额净值在</w:t>
            </w:r>
            <w:r>
              <w:rPr>
                <w:rFonts w:ascii="Times New Roman" w:eastAsia="宋体" w:hAnsi="Times New Roman" w:cs="Times New Roman" w:hint="eastAsia"/>
                <w:bCs/>
                <w:szCs w:val="21"/>
              </w:rPr>
              <w:t>T+1</w:t>
            </w:r>
            <w:r>
              <w:rPr>
                <w:rFonts w:ascii="Times New Roman" w:eastAsia="宋体" w:hAnsi="Times New Roman" w:cs="Times New Roman" w:hint="eastAsia"/>
                <w:bCs/>
                <w:szCs w:val="21"/>
              </w:rPr>
              <w:t>日计算，并在</w:t>
            </w:r>
            <w:r>
              <w:rPr>
                <w:rFonts w:ascii="Times New Roman" w:eastAsia="宋体" w:hAnsi="Times New Roman" w:cs="Times New Roman" w:hint="eastAsia"/>
                <w:bCs/>
                <w:szCs w:val="21"/>
              </w:rPr>
              <w:t>T+2</w:t>
            </w:r>
            <w:r>
              <w:rPr>
                <w:rFonts w:ascii="Times New Roman" w:eastAsia="宋体" w:hAnsi="Times New Roman" w:cs="Times New Roman" w:hint="eastAsia"/>
                <w:bCs/>
                <w:szCs w:val="21"/>
              </w:rPr>
              <w:t>日内公告。本基金份额净值的计算保留到小数点后</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位，小数点后第</w:t>
            </w:r>
            <w:r>
              <w:rPr>
                <w:rFonts w:ascii="Times New Roman" w:eastAsia="宋体" w:hAnsi="Times New Roman" w:cs="Times New Roman" w:hint="eastAsia"/>
                <w:bCs/>
                <w:szCs w:val="21"/>
              </w:rPr>
              <w:t>4</w:t>
            </w:r>
            <w:r>
              <w:rPr>
                <w:rFonts w:ascii="Times New Roman" w:eastAsia="宋体" w:hAnsi="Times New Roman" w:cs="Times New Roman" w:hint="eastAsia"/>
                <w:bCs/>
                <w:szCs w:val="21"/>
              </w:rPr>
              <w:t>位四舍五入。如遇特殊情况，经中国证监会同意，可以适当延迟计算或公告。</w:t>
            </w:r>
          </w:p>
          <w:p w14:paraId="39F6B32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两位，由此产生的收益或损失由基金财产承担。</w:t>
            </w:r>
          </w:p>
          <w:p w14:paraId="4843E45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赎回金额的计算及处理方式：本基金赎回金额的计算详见《招募说明书》，赎回金额单位为元。上述计算结果均按四舍五入方法，保留到小数点后两位，由此产生的收益或损失由基金财产承担。</w:t>
            </w:r>
            <w:r>
              <w:rPr>
                <w:rFonts w:ascii="Times New Roman" w:eastAsia="宋体" w:hAnsi="Times New Roman" w:cs="Times New Roman" w:hint="eastAsia"/>
                <w:bCs/>
                <w:szCs w:val="21"/>
              </w:rPr>
              <w:t xml:space="preserve">       </w:t>
            </w:r>
          </w:p>
          <w:p w14:paraId="6F9AC8A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申购费用由投资人承担，不列入基金财产，主要用于本基金的市场推广、销售、登记结算等各项费用。</w:t>
            </w:r>
          </w:p>
          <w:p w14:paraId="44F74598" w14:textId="20BE8511"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rPr>
              <w:t>赎回费用由赎回基金份额的基金份额持有人承担，在基金份额持有人赎回基金份额时收取。不低于赎回费总额的</w:t>
            </w:r>
            <w:r>
              <w:rPr>
                <w:rFonts w:ascii="Times New Roman" w:eastAsia="宋体" w:hAnsi="Times New Roman" w:cs="Times New Roman" w:hint="eastAsia"/>
                <w:bCs/>
                <w:szCs w:val="21"/>
              </w:rPr>
              <w:t>25%</w:t>
            </w:r>
            <w:r>
              <w:rPr>
                <w:rFonts w:ascii="Times New Roman" w:eastAsia="宋体" w:hAnsi="Times New Roman" w:cs="Times New Roman" w:hint="eastAsia"/>
                <w:bCs/>
                <w:szCs w:val="21"/>
              </w:rPr>
              <w:t>应归基金财产，其余用于支付登记结算费和其他必要的手续费。其中，对持续持有期少于</w:t>
            </w:r>
            <w:r>
              <w:rPr>
                <w:rFonts w:ascii="Times New Roman" w:eastAsia="宋体" w:hAnsi="Times New Roman" w:cs="Times New Roman" w:hint="eastAsia"/>
                <w:bCs/>
                <w:szCs w:val="21"/>
              </w:rPr>
              <w:t>7</w:t>
            </w:r>
            <w:r>
              <w:rPr>
                <w:rFonts w:ascii="Times New Roman" w:eastAsia="宋体" w:hAnsi="Times New Roman" w:cs="Times New Roman" w:hint="eastAsia"/>
                <w:bCs/>
                <w:szCs w:val="21"/>
              </w:rPr>
              <w:t>日的基金份额持有人收取不低于</w:t>
            </w:r>
            <w:r>
              <w:rPr>
                <w:rFonts w:ascii="Times New Roman" w:eastAsia="宋体" w:hAnsi="Times New Roman" w:cs="Times New Roman" w:hint="eastAsia"/>
                <w:bCs/>
                <w:szCs w:val="21"/>
              </w:rPr>
              <w:t>1.5%</w:t>
            </w:r>
            <w:r>
              <w:rPr>
                <w:rFonts w:ascii="Times New Roman" w:eastAsia="宋体" w:hAnsi="Times New Roman" w:cs="Times New Roman" w:hint="eastAsia"/>
                <w:bCs/>
                <w:szCs w:val="21"/>
              </w:rPr>
              <w:t>的赎回费并全额计入基金财产。</w:t>
            </w:r>
          </w:p>
        </w:tc>
        <w:tc>
          <w:tcPr>
            <w:tcW w:w="6095" w:type="dxa"/>
          </w:tcPr>
          <w:p w14:paraId="5D35C09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申购和赎回的价格、费用及其用途</w:t>
            </w:r>
          </w:p>
          <w:p w14:paraId="722A6207"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 xml:space="preserve">1. </w:t>
            </w:r>
            <w:r>
              <w:rPr>
                <w:rFonts w:ascii="Times New Roman" w:eastAsia="宋体" w:hAnsi="Times New Roman" w:cs="Times New Roman" w:hint="eastAsia"/>
                <w:bCs/>
                <w:szCs w:val="21"/>
              </w:rPr>
              <w:t>本基金基金份额分为</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类基金份额。投资人申购</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类基金份额在申购时支付申购费用、不从该类别基金资产中计提销售服务费；申购</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类基金份额不支付申购费用、从该类别基金资产中计提销售服务费（其中，对于投资人通过直销机构申购的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类基金份额，计提的销售服务费将在投资人赎回相应基金份额或基金合同终止时随赎回款或清算款一并返还给投资人；对于投资人通过其他销售机构申购的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类基金份额，持续持有超过一年后计提的销售服务费将在投资人赎回相应基金份额或基金合同终止时随赎回款或清算款一并返还给投资人）。</w:t>
            </w:r>
          </w:p>
          <w:p w14:paraId="5EFFAC7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2.T</w:t>
            </w:r>
            <w:r>
              <w:rPr>
                <w:rFonts w:ascii="Times New Roman" w:eastAsia="宋体" w:hAnsi="Times New Roman" w:cs="Times New Roman" w:hint="eastAsia"/>
                <w:bCs/>
                <w:szCs w:val="21"/>
              </w:rPr>
              <w:t>日的基金份额净值在</w:t>
            </w:r>
            <w:r>
              <w:rPr>
                <w:rFonts w:ascii="Times New Roman" w:eastAsia="宋体" w:hAnsi="Times New Roman" w:cs="Times New Roman" w:hint="eastAsia"/>
                <w:bCs/>
                <w:szCs w:val="21"/>
              </w:rPr>
              <w:t>T+1</w:t>
            </w:r>
            <w:r>
              <w:rPr>
                <w:rFonts w:ascii="Times New Roman" w:eastAsia="宋体" w:hAnsi="Times New Roman" w:cs="Times New Roman" w:hint="eastAsia"/>
                <w:bCs/>
                <w:szCs w:val="21"/>
              </w:rPr>
              <w:t>日计算，并在</w:t>
            </w:r>
            <w:r>
              <w:rPr>
                <w:rFonts w:ascii="Times New Roman" w:eastAsia="宋体" w:hAnsi="Times New Roman" w:cs="Times New Roman" w:hint="eastAsia"/>
                <w:bCs/>
                <w:szCs w:val="21"/>
              </w:rPr>
              <w:t>T+2</w:t>
            </w:r>
            <w:r>
              <w:rPr>
                <w:rFonts w:ascii="Times New Roman" w:eastAsia="宋体" w:hAnsi="Times New Roman" w:cs="Times New Roman" w:hint="eastAsia"/>
                <w:bCs/>
                <w:szCs w:val="21"/>
              </w:rPr>
              <w:t>日内公告。本基金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类基金份额的基金份额净值的计算，均保留到小数点后</w:t>
            </w:r>
            <w:r>
              <w:rPr>
                <w:rFonts w:ascii="Times New Roman" w:eastAsia="宋体" w:hAnsi="Times New Roman" w:cs="Times New Roman" w:hint="eastAsia"/>
                <w:bCs/>
                <w:szCs w:val="21"/>
              </w:rPr>
              <w:t>4</w:t>
            </w:r>
            <w:r>
              <w:rPr>
                <w:rFonts w:ascii="Times New Roman" w:eastAsia="宋体" w:hAnsi="Times New Roman" w:cs="Times New Roman" w:hint="eastAsia"/>
                <w:bCs/>
                <w:szCs w:val="21"/>
              </w:rPr>
              <w:t>位，小数点后第</w:t>
            </w:r>
            <w:r>
              <w:rPr>
                <w:rFonts w:ascii="Times New Roman" w:eastAsia="宋体" w:hAnsi="Times New Roman" w:cs="Times New Roman" w:hint="eastAsia"/>
                <w:bCs/>
                <w:szCs w:val="21"/>
              </w:rPr>
              <w:t>5</w:t>
            </w:r>
            <w:r>
              <w:rPr>
                <w:rFonts w:ascii="Times New Roman" w:eastAsia="宋体" w:hAnsi="Times New Roman" w:cs="Times New Roman" w:hint="eastAsia"/>
                <w:bCs/>
                <w:szCs w:val="21"/>
              </w:rPr>
              <w:t>位四舍五入。如遇特殊情况，经中国证监会同意，可以适当延迟计算或公告。</w:t>
            </w:r>
          </w:p>
          <w:p w14:paraId="1187354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申购份额的计算及余额的处理方式：本基金申购份额的计算详见《招募说明书》。本基金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类基金份额的申购费率由基金管理人决定，并在招募说明书中列示。申购</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类基金份额或</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类基金份额的有效份额为净申购金额除以当日该类基金份额的基金份额净值，有效份额单位为份，上述计算结果均按四舍五入方法，保留到小数点后两位，由此产生的收益或损失由基金财产承担。</w:t>
            </w:r>
          </w:p>
          <w:p w14:paraId="0B14CB67"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赎回金额的计算及处理方式：本基金赎回金额的计算详见《招募说明书》，赎回金额单位为元。上述计算结果均按四舍五入方法，保留到小数点后两位，由此产生的收益或损失由基金财产承担。</w:t>
            </w:r>
            <w:r>
              <w:rPr>
                <w:rFonts w:ascii="Times New Roman" w:eastAsia="宋体" w:hAnsi="Times New Roman" w:cs="Times New Roman" w:hint="eastAsia"/>
                <w:bCs/>
                <w:szCs w:val="21"/>
              </w:rPr>
              <w:t xml:space="preserve"> </w:t>
            </w:r>
          </w:p>
          <w:p w14:paraId="37CBEEA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其中，对于投资人通过直销机构申购的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类基金份额所计提的销</w:t>
            </w:r>
            <w:r>
              <w:rPr>
                <w:rFonts w:ascii="Times New Roman" w:eastAsia="宋体" w:hAnsi="Times New Roman" w:cs="Times New Roman" w:hint="eastAsia"/>
                <w:bCs/>
                <w:szCs w:val="21"/>
              </w:rPr>
              <w:lastRenderedPageBreak/>
              <w:t>售服务费，或者通过其他销售机构申购的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类基金份额持续持有超过一年后所计提的销售服务费，都将在投资人赎回相应基金份额时随赎回款一并返还给投资人。</w:t>
            </w:r>
            <w:r>
              <w:rPr>
                <w:rFonts w:ascii="Times New Roman" w:eastAsia="宋体" w:hAnsi="Times New Roman" w:cs="Times New Roman" w:hint="eastAsia"/>
                <w:bCs/>
                <w:szCs w:val="21"/>
              </w:rPr>
              <w:t xml:space="preserve">      </w:t>
            </w:r>
          </w:p>
          <w:p w14:paraId="258E89E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rPr>
              <w:t>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类基金份额的申购费用由申购</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类基金份额的投资人承担，不列入基金财产，主要用于本基金的市场推广、销售、登记结算等各项费用。</w:t>
            </w:r>
          </w:p>
          <w:p w14:paraId="7D2AB289" w14:textId="5746F8F2"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 xml:space="preserve">6. </w:t>
            </w:r>
            <w:r>
              <w:rPr>
                <w:rFonts w:ascii="Times New Roman" w:eastAsia="宋体" w:hAnsi="Times New Roman" w:cs="Times New Roman" w:hint="eastAsia"/>
                <w:bCs/>
                <w:szCs w:val="21"/>
              </w:rPr>
              <w:t>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类基金份额的赎回费用由赎回该类基金份额的基金份额持有人承担，在基金份额持有人赎回基金份额时收取。</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类基金份额赎回费用中不低于赎回费总额的</w:t>
            </w:r>
            <w:r>
              <w:rPr>
                <w:rFonts w:ascii="Times New Roman" w:eastAsia="宋体" w:hAnsi="Times New Roman" w:cs="Times New Roman" w:hint="eastAsia"/>
                <w:bCs/>
                <w:szCs w:val="21"/>
              </w:rPr>
              <w:t>25%</w:t>
            </w:r>
            <w:r>
              <w:rPr>
                <w:rFonts w:ascii="Times New Roman" w:eastAsia="宋体" w:hAnsi="Times New Roman" w:cs="Times New Roman" w:hint="eastAsia"/>
                <w:bCs/>
                <w:szCs w:val="21"/>
              </w:rPr>
              <w:t>应归基金财产，其余用于支付登记结算费和其他必要的手续费，对于</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类基金份额持有人收取的赎回费用全额计入基金资产。其中，对持续持有期少于</w:t>
            </w:r>
            <w:r>
              <w:rPr>
                <w:rFonts w:ascii="Times New Roman" w:eastAsia="宋体" w:hAnsi="Times New Roman" w:cs="Times New Roman" w:hint="eastAsia"/>
                <w:bCs/>
                <w:szCs w:val="21"/>
              </w:rPr>
              <w:t>7</w:t>
            </w:r>
            <w:r>
              <w:rPr>
                <w:rFonts w:ascii="Times New Roman" w:eastAsia="宋体" w:hAnsi="Times New Roman" w:cs="Times New Roman" w:hint="eastAsia"/>
                <w:bCs/>
                <w:szCs w:val="21"/>
              </w:rPr>
              <w:t>日的基金份额持有人收取不低于</w:t>
            </w:r>
            <w:r>
              <w:rPr>
                <w:rFonts w:ascii="Times New Roman" w:eastAsia="宋体" w:hAnsi="Times New Roman" w:cs="Times New Roman" w:hint="eastAsia"/>
                <w:bCs/>
                <w:szCs w:val="21"/>
              </w:rPr>
              <w:t>1.5%</w:t>
            </w:r>
            <w:r>
              <w:rPr>
                <w:rFonts w:ascii="Times New Roman" w:eastAsia="宋体" w:hAnsi="Times New Roman" w:cs="Times New Roman" w:hint="eastAsia"/>
                <w:bCs/>
                <w:szCs w:val="21"/>
              </w:rPr>
              <w:t>的赎回费并全额计入基金财产。</w:t>
            </w:r>
          </w:p>
        </w:tc>
      </w:tr>
      <w:tr w:rsidR="00D27F7F" w14:paraId="57F9C2A1" w14:textId="77777777">
        <w:tc>
          <w:tcPr>
            <w:tcW w:w="1696" w:type="dxa"/>
          </w:tcPr>
          <w:p w14:paraId="09D5B528" w14:textId="3A427D3C" w:rsidR="00D27F7F" w:rsidRDefault="00A4337A">
            <w:pPr>
              <w:spacing w:line="240" w:lineRule="atLeast"/>
              <w:rPr>
                <w:rFonts w:ascii="宋体" w:eastAsia="宋体" w:hAnsi="宋体"/>
                <w:b/>
                <w:szCs w:val="21"/>
              </w:rPr>
            </w:pPr>
            <w:r>
              <w:rPr>
                <w:rFonts w:ascii="宋体" w:eastAsia="宋体" w:hAnsi="宋体" w:hint="eastAsia"/>
                <w:b/>
                <w:szCs w:val="21"/>
              </w:rPr>
              <w:lastRenderedPageBreak/>
              <w:t>六、</w:t>
            </w:r>
            <w:r>
              <w:rPr>
                <w:rFonts w:ascii="宋体" w:eastAsia="宋体" w:hAnsi="宋体"/>
                <w:b/>
                <w:szCs w:val="21"/>
              </w:rPr>
              <w:t>基金份额的申购与赎回</w:t>
            </w:r>
          </w:p>
        </w:tc>
        <w:tc>
          <w:tcPr>
            <w:tcW w:w="6096" w:type="dxa"/>
          </w:tcPr>
          <w:p w14:paraId="66937747"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九</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巨额赎回的情形及处理方式</w:t>
            </w:r>
          </w:p>
          <w:p w14:paraId="4253BE07"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巨额赎回的认定</w:t>
            </w:r>
          </w:p>
          <w:p w14:paraId="21ADE737"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若本基金单个开放日内的基金份额净赎回申请</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赎回申请份额总数加上基金转换中转出申请份额总数后扣除申购申请份额总数及基金转换中转入申请份额总数后的余额</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超过前一开放日的基金总份额的</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，即认为是发生了巨额赎回。</w:t>
            </w:r>
          </w:p>
          <w:p w14:paraId="278BE63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巨额赎回的处理方式</w:t>
            </w:r>
          </w:p>
          <w:p w14:paraId="3D0AF55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当基金出现巨额赎回时，基金管理人可以根据基金当时的资产组合状况决定全额赎回或部分延期赎回。</w:t>
            </w:r>
          </w:p>
          <w:p w14:paraId="6873CB8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全额赎回：当基金管理人认为有能力支付投资人的全部赎回申请时，按正常赎回程序执行。</w:t>
            </w:r>
          </w:p>
          <w:p w14:paraId="3D53AC3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部分延期赎回：当基金管理人认为支付投资人的赎回申请有困难或认为因支付投资人的赎回申请而进行的财产变现可能会对基</w:t>
            </w:r>
            <w:r>
              <w:rPr>
                <w:rFonts w:ascii="Times New Roman" w:eastAsia="宋体" w:hAnsi="Times New Roman" w:cs="Times New Roman" w:hint="eastAsia"/>
                <w:bCs/>
                <w:szCs w:val="21"/>
              </w:rPr>
              <w:lastRenderedPageBreak/>
              <w:t>金资产净值造成较大波动时，基金管理人在当日接受赎回比例不低于上一开放日基金总份额的</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56E72E02" w14:textId="081A38E4"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本基金发生巨额赎回且单个基金份额持有人的赎回申请超过上一日基金总份额</w:t>
            </w:r>
            <w:r>
              <w:rPr>
                <w:rFonts w:ascii="Times New Roman" w:eastAsia="宋体" w:hAnsi="Times New Roman" w:cs="Times New Roman" w:hint="eastAsia"/>
                <w:bCs/>
                <w:szCs w:val="21"/>
              </w:rPr>
              <w:t>20%</w:t>
            </w:r>
            <w:r>
              <w:rPr>
                <w:rFonts w:ascii="Times New Roman" w:eastAsia="宋体" w:hAnsi="Times New Roman" w:cs="Times New Roman" w:hint="eastAsia"/>
                <w:bCs/>
                <w:szCs w:val="21"/>
              </w:rPr>
              <w:t>的情形下，基金管理人有权采取如下措施：对于该类基金份额持有人当日超过</w:t>
            </w:r>
            <w:r>
              <w:rPr>
                <w:rFonts w:ascii="Times New Roman" w:eastAsia="宋体" w:hAnsi="Times New Roman" w:cs="Times New Roman" w:hint="eastAsia"/>
                <w:bCs/>
                <w:szCs w:val="21"/>
              </w:rPr>
              <w:t>20%</w:t>
            </w:r>
            <w:r>
              <w:rPr>
                <w:rFonts w:ascii="Times New Roman" w:eastAsia="宋体" w:hAnsi="Times New Roman" w:cs="Times New Roman" w:hint="eastAsia"/>
                <w:bCs/>
                <w:szCs w:val="21"/>
              </w:rPr>
              <w:t>的赎回申请，可以对其赎回申请延期办理；对于该类基金份额持有人未超过上述比例的部分，基金管理人可以根据前段“（</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）全额赎回”或“（</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）部分延期赎回”的约定方式与其他基金份额持有人的赎回申请一并办理。但是，如该类基金份额持有人在当日选择取消赎回，则其当日未获受理的部分赎回申请将被撤销。</w:t>
            </w:r>
          </w:p>
        </w:tc>
        <w:tc>
          <w:tcPr>
            <w:tcW w:w="6095" w:type="dxa"/>
          </w:tcPr>
          <w:p w14:paraId="7DDCE21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lastRenderedPageBreak/>
              <w:t>(</w:t>
            </w:r>
            <w:r>
              <w:rPr>
                <w:rFonts w:ascii="Times New Roman" w:eastAsia="宋体" w:hAnsi="Times New Roman" w:cs="Times New Roman" w:hint="eastAsia"/>
                <w:bCs/>
                <w:szCs w:val="21"/>
              </w:rPr>
              <w:t>九</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巨额赎回的情形及处理方式</w:t>
            </w:r>
          </w:p>
          <w:p w14:paraId="1DDB2EC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巨额赎回的认定</w:t>
            </w:r>
          </w:p>
          <w:p w14:paraId="7C9E63A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若本基金单个开放日内的基金份额净赎回申请</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赎回申请份额总数加上基金转换中转出申请份额总数后扣除申购申请份额总数及基金转换中转入申请份额总数后的余额</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超过前一开放日的基金总份额的</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，即认为是发生了巨额赎回。</w:t>
            </w:r>
          </w:p>
          <w:p w14:paraId="6361016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巨额赎回的处理方式</w:t>
            </w:r>
          </w:p>
          <w:p w14:paraId="1B80F989"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当基金出现巨额赎回时，基金管理人可以根据基金当时的资产组合状况决定全额赎回或部分延期赎回。</w:t>
            </w:r>
          </w:p>
          <w:p w14:paraId="3DF1BA1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全额赎回：当基金管理人认为有能力支付投资人的全部赎回申请时，按正常赎回程序执行。</w:t>
            </w:r>
          </w:p>
          <w:p w14:paraId="7D7BC19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部分延期赎回：当基金管理人认为支付投资人的赎回申请有困难或认为因支付投资人的赎回申请而进行的财产变现可能会对</w:t>
            </w:r>
            <w:r>
              <w:rPr>
                <w:rFonts w:ascii="Times New Roman" w:eastAsia="宋体" w:hAnsi="Times New Roman" w:cs="Times New Roman" w:hint="eastAsia"/>
                <w:bCs/>
                <w:szCs w:val="21"/>
              </w:rPr>
              <w:lastRenderedPageBreak/>
              <w:t>基金资产净值造成较大波动时，基金管理人在当日接受赎回比例不低于上一开放日基金总份额的</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09B0A014" w14:textId="6093E7E0"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本基金发生巨额赎回且单个基金份额持有人的赎回申请超过上一日基金总份额</w:t>
            </w:r>
            <w:r>
              <w:rPr>
                <w:rFonts w:ascii="Times New Roman" w:eastAsia="宋体" w:hAnsi="Times New Roman" w:cs="Times New Roman" w:hint="eastAsia"/>
                <w:bCs/>
                <w:szCs w:val="21"/>
              </w:rPr>
              <w:t>20%</w:t>
            </w:r>
            <w:r>
              <w:rPr>
                <w:rFonts w:ascii="Times New Roman" w:eastAsia="宋体" w:hAnsi="Times New Roman" w:cs="Times New Roman" w:hint="eastAsia"/>
                <w:bCs/>
                <w:szCs w:val="21"/>
              </w:rPr>
              <w:t>的情形下，基金管理人有权采取如下措施：对于基金份额持有人当日超过</w:t>
            </w:r>
            <w:r>
              <w:rPr>
                <w:rFonts w:ascii="Times New Roman" w:eastAsia="宋体" w:hAnsi="Times New Roman" w:cs="Times New Roman" w:hint="eastAsia"/>
                <w:bCs/>
                <w:szCs w:val="21"/>
              </w:rPr>
              <w:t>20%</w:t>
            </w:r>
            <w:r>
              <w:rPr>
                <w:rFonts w:ascii="Times New Roman" w:eastAsia="宋体" w:hAnsi="Times New Roman" w:cs="Times New Roman" w:hint="eastAsia"/>
                <w:bCs/>
                <w:szCs w:val="21"/>
              </w:rPr>
              <w:t>的赎回申请，可以对其赎回申请延期办理；对于基金份额持有人未超过上述比例的部分，基金管理人可以根据前段“（</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）全额赎回”或“（</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）部分延期赎回”的约定方式与其他基金份额持有人的赎回申请一并办理。但是，如基金份额持有人在当日选择取消赎回，则其当日未获受理的部分赎回申请将被撤销。</w:t>
            </w:r>
          </w:p>
        </w:tc>
      </w:tr>
      <w:tr w:rsidR="00D27F7F" w14:paraId="25C83BC3" w14:textId="77777777">
        <w:tc>
          <w:tcPr>
            <w:tcW w:w="1696" w:type="dxa"/>
          </w:tcPr>
          <w:p w14:paraId="23AC9081" w14:textId="428433D8" w:rsidR="00D27F7F" w:rsidRDefault="00A4337A">
            <w:pPr>
              <w:spacing w:line="240" w:lineRule="atLeast"/>
              <w:rPr>
                <w:rFonts w:ascii="宋体" w:eastAsia="宋体" w:hAnsi="宋体"/>
                <w:b/>
                <w:szCs w:val="21"/>
              </w:rPr>
            </w:pPr>
            <w:r>
              <w:rPr>
                <w:rFonts w:ascii="宋体" w:eastAsia="宋体" w:hAnsi="宋体" w:hint="eastAsia"/>
                <w:b/>
                <w:szCs w:val="21"/>
              </w:rPr>
              <w:lastRenderedPageBreak/>
              <w:t>六、</w:t>
            </w:r>
            <w:r>
              <w:rPr>
                <w:rFonts w:ascii="宋体" w:eastAsia="宋体" w:hAnsi="宋体"/>
                <w:b/>
                <w:szCs w:val="21"/>
              </w:rPr>
              <w:t>基金份额的申购与赎回</w:t>
            </w:r>
          </w:p>
        </w:tc>
        <w:tc>
          <w:tcPr>
            <w:tcW w:w="6096" w:type="dxa"/>
          </w:tcPr>
          <w:p w14:paraId="2E305B9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暂停申购或赎回的公告和重新开放申购或赎回的公告</w:t>
            </w:r>
          </w:p>
          <w:p w14:paraId="10356DB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如发生暂停的时间为</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日，基金管理人应于重新开放日，在指定媒介上刊登基金重新开放申购或赎回公告，并公布最近</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个开放日的基金份额净值。</w:t>
            </w:r>
          </w:p>
          <w:p w14:paraId="73A96604" w14:textId="7C23FD19"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如发生暂停的时间超过</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日，暂停结束，基金重新开放申购或赎回时，基金管理人应提前</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日在指定媒介上刊登基金重新开放申购或赎回公告，并公告最近</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个开放日的基金份额净值。</w:t>
            </w:r>
          </w:p>
        </w:tc>
        <w:tc>
          <w:tcPr>
            <w:tcW w:w="6095" w:type="dxa"/>
          </w:tcPr>
          <w:p w14:paraId="44BB9BA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暂停申购或赎回的公告和重新开放申购或赎回的公告</w:t>
            </w:r>
          </w:p>
          <w:p w14:paraId="6C4FBE7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如发生暂停的时间为</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日，基金管理人应于重新开放日，在指定媒介上刊登基金重新开放申购或赎回公告，并公布最近</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个开放日各类基金份额的基金份额净值。</w:t>
            </w:r>
          </w:p>
          <w:p w14:paraId="36DF0B7B" w14:textId="0CC71E0B"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如发生暂停的时间超过</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日，暂停结束，基金重新开放申购或赎回时，基金管理人应提前</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日在指定媒介上刊登基金重新开放申购或赎回公告，并公告最近</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个开放日各类基金份额的基金份</w:t>
            </w:r>
            <w:r>
              <w:rPr>
                <w:rFonts w:ascii="Times New Roman" w:eastAsia="宋体" w:hAnsi="Times New Roman" w:cs="Times New Roman" w:hint="eastAsia"/>
                <w:bCs/>
                <w:szCs w:val="21"/>
              </w:rPr>
              <w:lastRenderedPageBreak/>
              <w:t>额净值。</w:t>
            </w:r>
          </w:p>
        </w:tc>
      </w:tr>
      <w:tr w:rsidR="00D27F7F" w14:paraId="0B630C16" w14:textId="77777777">
        <w:tc>
          <w:tcPr>
            <w:tcW w:w="1696" w:type="dxa"/>
          </w:tcPr>
          <w:p w14:paraId="0DA965A9" w14:textId="77777777" w:rsidR="00D27F7F" w:rsidRDefault="00A4337A">
            <w:pPr>
              <w:spacing w:line="240" w:lineRule="atLeast"/>
              <w:rPr>
                <w:rFonts w:ascii="宋体" w:eastAsia="宋体" w:hAnsi="宋体"/>
                <w:b/>
                <w:szCs w:val="21"/>
              </w:rPr>
            </w:pPr>
            <w:r>
              <w:rPr>
                <w:rFonts w:ascii="宋体" w:eastAsia="宋体" w:hAnsi="宋体" w:hint="eastAsia"/>
                <w:b/>
                <w:szCs w:val="21"/>
              </w:rPr>
              <w:lastRenderedPageBreak/>
              <w:t>六、</w:t>
            </w:r>
            <w:r>
              <w:rPr>
                <w:rFonts w:ascii="宋体" w:eastAsia="宋体" w:hAnsi="宋体"/>
                <w:b/>
                <w:szCs w:val="21"/>
              </w:rPr>
              <w:t>基金份额的申购与赎回</w:t>
            </w:r>
          </w:p>
        </w:tc>
        <w:tc>
          <w:tcPr>
            <w:tcW w:w="6096" w:type="dxa"/>
          </w:tcPr>
          <w:p w14:paraId="36ADB24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十一</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基金转换</w:t>
            </w:r>
          </w:p>
          <w:p w14:paraId="409C216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基金管理人可以根据相关法律法规以及本基金合同的规定决定开办本基金与基金管理人管理的、且由同一登记结算机构办理登记结算的其他基金之间的转换业务，基金转换可以收取一定的转换费，相关规则由基金管理人届时根据相关法律法规及本基金合同的规定制定并公告，并提前告知基金托管人与相关机构。</w:t>
            </w:r>
          </w:p>
        </w:tc>
        <w:tc>
          <w:tcPr>
            <w:tcW w:w="6095" w:type="dxa"/>
          </w:tcPr>
          <w:p w14:paraId="40B9882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十一</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基金转换</w:t>
            </w:r>
          </w:p>
          <w:p w14:paraId="28A98BC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tc>
      </w:tr>
      <w:tr w:rsidR="00D27F7F" w14:paraId="4F61EF3F" w14:textId="77777777">
        <w:tc>
          <w:tcPr>
            <w:tcW w:w="1696" w:type="dxa"/>
          </w:tcPr>
          <w:p w14:paraId="71D35878" w14:textId="2A3C8826" w:rsidR="00D27F7F" w:rsidRDefault="00A4337A">
            <w:pPr>
              <w:spacing w:line="240" w:lineRule="atLeast"/>
              <w:rPr>
                <w:rFonts w:ascii="宋体" w:eastAsia="宋体" w:hAnsi="宋体"/>
                <w:b/>
                <w:szCs w:val="21"/>
              </w:rPr>
            </w:pPr>
            <w:r>
              <w:rPr>
                <w:rFonts w:ascii="宋体" w:eastAsia="宋体" w:hAnsi="宋体" w:hint="eastAsia"/>
                <w:b/>
                <w:szCs w:val="21"/>
              </w:rPr>
              <w:t>六、</w:t>
            </w:r>
            <w:r>
              <w:rPr>
                <w:rFonts w:ascii="宋体" w:eastAsia="宋体" w:hAnsi="宋体"/>
                <w:b/>
                <w:szCs w:val="21"/>
              </w:rPr>
              <w:t>基金份额的申购与赎回</w:t>
            </w:r>
          </w:p>
        </w:tc>
        <w:tc>
          <w:tcPr>
            <w:tcW w:w="6096" w:type="dxa"/>
          </w:tcPr>
          <w:p w14:paraId="53F5E170" w14:textId="77777777" w:rsidR="00D27F7F" w:rsidRDefault="00D27F7F">
            <w:pPr>
              <w:spacing w:line="240" w:lineRule="atLeast"/>
              <w:rPr>
                <w:rFonts w:ascii="Times New Roman" w:eastAsia="宋体" w:hAnsi="Times New Roman" w:cs="Times New Roman"/>
                <w:bCs/>
                <w:szCs w:val="21"/>
              </w:rPr>
            </w:pPr>
          </w:p>
        </w:tc>
        <w:tc>
          <w:tcPr>
            <w:tcW w:w="6095" w:type="dxa"/>
          </w:tcPr>
          <w:p w14:paraId="1AD66A9E"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实施侧袋机制期间本基金的申购与赎回</w:t>
            </w:r>
          </w:p>
          <w:p w14:paraId="561A70B0" w14:textId="2283AAA1"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本基金实施侧袋机制的，本基金的申购和赎回安排详见招募说明书或相关公告。</w:t>
            </w:r>
          </w:p>
        </w:tc>
      </w:tr>
      <w:tr w:rsidR="00D27F7F" w14:paraId="2BB5FE24" w14:textId="77777777">
        <w:tc>
          <w:tcPr>
            <w:tcW w:w="1696" w:type="dxa"/>
          </w:tcPr>
          <w:p w14:paraId="7B241F85" w14:textId="18056583" w:rsidR="00D27F7F" w:rsidRDefault="00A4337A">
            <w:pPr>
              <w:spacing w:line="240" w:lineRule="atLeast"/>
              <w:rPr>
                <w:rFonts w:ascii="宋体" w:eastAsia="宋体" w:hAnsi="宋体"/>
                <w:b/>
                <w:szCs w:val="21"/>
              </w:rPr>
            </w:pPr>
            <w:r>
              <w:rPr>
                <w:rFonts w:ascii="宋体" w:eastAsia="宋体" w:hAnsi="宋体" w:hint="eastAsia"/>
                <w:b/>
                <w:szCs w:val="21"/>
              </w:rPr>
              <w:t>七、</w:t>
            </w:r>
            <w:r>
              <w:rPr>
                <w:rFonts w:ascii="宋体" w:eastAsia="宋体" w:hAnsi="宋体"/>
                <w:b/>
                <w:szCs w:val="21"/>
              </w:rPr>
              <w:t>基金合同当事人及权利义务</w:t>
            </w:r>
          </w:p>
        </w:tc>
        <w:tc>
          <w:tcPr>
            <w:tcW w:w="6096" w:type="dxa"/>
          </w:tcPr>
          <w:p w14:paraId="33DA372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七</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基金托管人的义务</w:t>
            </w:r>
          </w:p>
          <w:p w14:paraId="5582237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8.</w:t>
            </w:r>
            <w:r>
              <w:rPr>
                <w:rFonts w:ascii="Times New Roman" w:eastAsia="宋体" w:hAnsi="Times New Roman" w:cs="Times New Roman" w:hint="eastAsia"/>
                <w:bCs/>
                <w:szCs w:val="21"/>
              </w:rPr>
              <w:t>确保基金的份额净值按照有关法律法规和基金合同规定的方法进行计算；</w:t>
            </w:r>
          </w:p>
          <w:p w14:paraId="76ABC20F" w14:textId="292210CD"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20.</w:t>
            </w:r>
            <w:r>
              <w:rPr>
                <w:rFonts w:ascii="Times New Roman" w:eastAsia="宋体" w:hAnsi="Times New Roman" w:cs="Times New Roman" w:hint="eastAsia"/>
                <w:bCs/>
                <w:szCs w:val="21"/>
              </w:rPr>
              <w:t>复核、审查基金管理人计算的基金资产净值、基金份额净值、基金份额申购、赎回价格；</w:t>
            </w:r>
          </w:p>
        </w:tc>
        <w:tc>
          <w:tcPr>
            <w:tcW w:w="6095" w:type="dxa"/>
          </w:tcPr>
          <w:p w14:paraId="3F50937C" w14:textId="13F01551"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七</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基金托管人的义务</w:t>
            </w:r>
          </w:p>
          <w:p w14:paraId="1136DC0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8.</w:t>
            </w:r>
            <w:r>
              <w:rPr>
                <w:rFonts w:ascii="Times New Roman" w:eastAsia="宋体" w:hAnsi="Times New Roman" w:cs="Times New Roman" w:hint="eastAsia"/>
                <w:bCs/>
                <w:szCs w:val="21"/>
              </w:rPr>
              <w:t>确保基金的各类基金份额净值按照有关法律法规和基金合同规定的方法进行计算；</w:t>
            </w:r>
          </w:p>
          <w:p w14:paraId="00A3EC89"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20.</w:t>
            </w:r>
            <w:r>
              <w:rPr>
                <w:rFonts w:ascii="Times New Roman" w:eastAsia="宋体" w:hAnsi="Times New Roman" w:cs="Times New Roman" w:hint="eastAsia"/>
                <w:bCs/>
                <w:szCs w:val="21"/>
              </w:rPr>
              <w:t>复核、审查基金管理人计算的基金资产净值、各类基金份额净值、基金份额申购、赎回价格；</w:t>
            </w:r>
          </w:p>
        </w:tc>
      </w:tr>
      <w:tr w:rsidR="00D27F7F" w14:paraId="7333068D" w14:textId="77777777">
        <w:tc>
          <w:tcPr>
            <w:tcW w:w="1696" w:type="dxa"/>
          </w:tcPr>
          <w:p w14:paraId="7FE371A8" w14:textId="3730F11D" w:rsidR="00D27F7F" w:rsidRDefault="00A4337A">
            <w:pPr>
              <w:spacing w:line="240" w:lineRule="atLeast"/>
              <w:rPr>
                <w:rFonts w:ascii="宋体" w:eastAsia="宋体" w:hAnsi="宋体"/>
                <w:b/>
                <w:szCs w:val="21"/>
              </w:rPr>
            </w:pPr>
            <w:r>
              <w:rPr>
                <w:rFonts w:ascii="宋体" w:eastAsia="宋体" w:hAnsi="宋体" w:hint="eastAsia"/>
                <w:b/>
                <w:szCs w:val="21"/>
              </w:rPr>
              <w:t>七、</w:t>
            </w:r>
            <w:r>
              <w:rPr>
                <w:rFonts w:ascii="宋体" w:eastAsia="宋体" w:hAnsi="宋体"/>
                <w:b/>
                <w:szCs w:val="21"/>
              </w:rPr>
              <w:t>基金合同当事人及权利义务</w:t>
            </w:r>
          </w:p>
        </w:tc>
        <w:tc>
          <w:tcPr>
            <w:tcW w:w="6096" w:type="dxa"/>
          </w:tcPr>
          <w:p w14:paraId="47F756BF" w14:textId="4323A2ED"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八</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基金份额持有人的权利</w:t>
            </w:r>
          </w:p>
          <w:p w14:paraId="76C7B619" w14:textId="492E4905"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每份基金份额具有同等的合法权益。</w:t>
            </w:r>
          </w:p>
        </w:tc>
        <w:tc>
          <w:tcPr>
            <w:tcW w:w="6095" w:type="dxa"/>
          </w:tcPr>
          <w:p w14:paraId="66A1DFAE"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八</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基金份额持有人的权利</w:t>
            </w:r>
          </w:p>
          <w:p w14:paraId="3A914C90" w14:textId="2A8F4185"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同一类别的每份基金份额具有同等的合法权益。</w:t>
            </w:r>
          </w:p>
        </w:tc>
      </w:tr>
      <w:tr w:rsidR="00D27F7F" w14:paraId="281E98A8" w14:textId="77777777">
        <w:tc>
          <w:tcPr>
            <w:tcW w:w="1696" w:type="dxa"/>
          </w:tcPr>
          <w:p w14:paraId="078F520D" w14:textId="7E6D94DB" w:rsidR="00D27F7F" w:rsidRDefault="00A4337A">
            <w:pPr>
              <w:spacing w:line="240" w:lineRule="atLeast"/>
              <w:rPr>
                <w:rFonts w:ascii="宋体" w:eastAsia="宋体" w:hAnsi="宋体"/>
                <w:b/>
                <w:szCs w:val="21"/>
              </w:rPr>
            </w:pPr>
            <w:r>
              <w:rPr>
                <w:rFonts w:ascii="宋体" w:eastAsia="宋体" w:hAnsi="宋体" w:hint="eastAsia"/>
                <w:b/>
                <w:szCs w:val="21"/>
              </w:rPr>
              <w:t>八、</w:t>
            </w:r>
            <w:r>
              <w:rPr>
                <w:rFonts w:ascii="宋体" w:eastAsia="宋体" w:hAnsi="宋体"/>
                <w:b/>
                <w:szCs w:val="21"/>
              </w:rPr>
              <w:t>基金份额持有人大会</w:t>
            </w:r>
          </w:p>
        </w:tc>
        <w:tc>
          <w:tcPr>
            <w:tcW w:w="6096" w:type="dxa"/>
          </w:tcPr>
          <w:p w14:paraId="204B75E5" w14:textId="77777777" w:rsidR="00D27F7F" w:rsidRDefault="00A4337A" w:rsidP="001B1DD3">
            <w:pPr>
              <w:pStyle w:val="af4"/>
              <w:ind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二</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召开事由</w:t>
            </w:r>
          </w:p>
          <w:p w14:paraId="09F69C6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当出现或需要决定下列事由之一的，经基金管理人、基金托管人或持有基金份额</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以上</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含</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，下同</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的基金份额持有人</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以基金管理人收到提议当日的基金份额计算，下同</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提议时，应当召开基金份额持有人大会：</w:t>
            </w:r>
          </w:p>
          <w:p w14:paraId="54D9BB9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(7)</w:t>
            </w:r>
            <w:r>
              <w:rPr>
                <w:rFonts w:ascii="Times New Roman" w:eastAsia="宋体" w:hAnsi="Times New Roman" w:cs="Times New Roman" w:hint="eastAsia"/>
                <w:bCs/>
                <w:szCs w:val="21"/>
              </w:rPr>
              <w:t>提高基金管理人、基金托管人的报酬标准，但法律法规要求提高该等报酬标准的除外；</w:t>
            </w:r>
          </w:p>
          <w:p w14:paraId="3FFF1402" w14:textId="77777777" w:rsidR="00D27F7F" w:rsidRDefault="00D27F7F">
            <w:pPr>
              <w:spacing w:line="240" w:lineRule="atLeast"/>
              <w:rPr>
                <w:rFonts w:ascii="Times New Roman" w:eastAsia="宋体" w:hAnsi="Times New Roman" w:cs="Times New Roman"/>
                <w:bCs/>
                <w:szCs w:val="21"/>
              </w:rPr>
            </w:pPr>
          </w:p>
          <w:p w14:paraId="37AF5D6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出现以下情形之一的，可由基金管理人和基金托管人协商后修</w:t>
            </w:r>
            <w:r>
              <w:rPr>
                <w:rFonts w:ascii="Times New Roman" w:eastAsia="宋体" w:hAnsi="Times New Roman" w:cs="Times New Roman" w:hint="eastAsia"/>
                <w:bCs/>
                <w:szCs w:val="21"/>
              </w:rPr>
              <w:lastRenderedPageBreak/>
              <w:t>改基金合同，不需召开基金份额持有人大会：</w:t>
            </w:r>
          </w:p>
          <w:p w14:paraId="5D9E251C"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）调低基金管理费、基金托管费和其他应由基金承担的费用；</w:t>
            </w:r>
          </w:p>
          <w:p w14:paraId="73EFC7D5" w14:textId="6E9EA612"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）在法律法规和本基金合同规定的范围内变更基金的申购费率、赎回费率或收费方式；</w:t>
            </w:r>
          </w:p>
        </w:tc>
        <w:tc>
          <w:tcPr>
            <w:tcW w:w="6095" w:type="dxa"/>
          </w:tcPr>
          <w:p w14:paraId="28E9E1E2" w14:textId="166D8D1F"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lastRenderedPageBreak/>
              <w:t>(</w:t>
            </w:r>
            <w:r>
              <w:rPr>
                <w:rFonts w:ascii="Times New Roman" w:eastAsia="宋体" w:hAnsi="Times New Roman" w:cs="Times New Roman" w:hint="eastAsia"/>
                <w:bCs/>
                <w:szCs w:val="21"/>
              </w:rPr>
              <w:t>二</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召开事由</w:t>
            </w:r>
          </w:p>
          <w:p w14:paraId="2F8B521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当出现或需要决定下列事由之一的，经基金管理人、基金托管人或持有基金份额</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以上</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含</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，下同</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的基金份额持有人</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以基金管理人收到提议当日的基金份额计算，下同</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提议时，应当召开基金份额持有人大会：</w:t>
            </w:r>
          </w:p>
          <w:p w14:paraId="0ED96F5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(7)</w:t>
            </w:r>
            <w:r>
              <w:rPr>
                <w:rFonts w:ascii="Times New Roman" w:eastAsia="宋体" w:hAnsi="Times New Roman" w:cs="Times New Roman" w:hint="eastAsia"/>
                <w:bCs/>
                <w:szCs w:val="21"/>
              </w:rPr>
              <w:t>提高基金管理人、基金托管人的报酬标准或提高销售服务费率，但法律法规要求提高该等报酬标准的除外；</w:t>
            </w:r>
          </w:p>
          <w:p w14:paraId="4691F3F0" w14:textId="77777777" w:rsidR="00D27F7F" w:rsidRDefault="00D27F7F">
            <w:pPr>
              <w:spacing w:line="240" w:lineRule="atLeast"/>
              <w:rPr>
                <w:rFonts w:ascii="Times New Roman" w:eastAsia="宋体" w:hAnsi="Times New Roman" w:cs="Times New Roman"/>
                <w:bCs/>
                <w:szCs w:val="21"/>
              </w:rPr>
            </w:pPr>
          </w:p>
          <w:p w14:paraId="68481E0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出现以下情形之一的，可由基金管理人和基金托管人协商后修</w:t>
            </w:r>
            <w:r>
              <w:rPr>
                <w:rFonts w:ascii="Times New Roman" w:eastAsia="宋体" w:hAnsi="Times New Roman" w:cs="Times New Roman" w:hint="eastAsia"/>
                <w:bCs/>
                <w:szCs w:val="21"/>
              </w:rPr>
              <w:lastRenderedPageBreak/>
              <w:t>改基金合同，不需召开基金份额持有人大会：</w:t>
            </w:r>
          </w:p>
          <w:p w14:paraId="31B48BD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）调低基金管理费、基金托管费、销售服务费和其他应由基金承担的费用；</w:t>
            </w:r>
          </w:p>
          <w:p w14:paraId="7666AC9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）在法律法规和本基金合同规定的范围内变更基金的申购费率、赎回费率或收费方式；</w:t>
            </w:r>
          </w:p>
          <w:p w14:paraId="3EAA58D4" w14:textId="153B8D9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）调整基金份额类别设置、对基金份额分类办法及规则进行调整；</w:t>
            </w:r>
          </w:p>
        </w:tc>
      </w:tr>
      <w:tr w:rsidR="00D27F7F" w14:paraId="51D14A59" w14:textId="77777777">
        <w:tc>
          <w:tcPr>
            <w:tcW w:w="1696" w:type="dxa"/>
          </w:tcPr>
          <w:p w14:paraId="38D31E21" w14:textId="0CA91763" w:rsidR="00D27F7F" w:rsidRDefault="00A4337A">
            <w:pPr>
              <w:spacing w:line="240" w:lineRule="atLeast"/>
              <w:rPr>
                <w:rFonts w:ascii="宋体" w:eastAsia="宋体" w:hAnsi="宋体"/>
                <w:b/>
                <w:szCs w:val="21"/>
              </w:rPr>
            </w:pPr>
            <w:r>
              <w:rPr>
                <w:rFonts w:ascii="宋体" w:eastAsia="宋体" w:hAnsi="宋体" w:hint="eastAsia"/>
                <w:b/>
                <w:szCs w:val="21"/>
              </w:rPr>
              <w:lastRenderedPageBreak/>
              <w:t>八、</w:t>
            </w:r>
            <w:r>
              <w:rPr>
                <w:rFonts w:ascii="宋体" w:eastAsia="宋体" w:hAnsi="宋体"/>
                <w:b/>
                <w:szCs w:val="21"/>
              </w:rPr>
              <w:t>基金份额持有人大会</w:t>
            </w:r>
          </w:p>
        </w:tc>
        <w:tc>
          <w:tcPr>
            <w:tcW w:w="6096" w:type="dxa"/>
          </w:tcPr>
          <w:p w14:paraId="16379B34" w14:textId="77777777" w:rsidR="00D27F7F" w:rsidRDefault="00D27F7F">
            <w:pPr>
              <w:spacing w:line="240" w:lineRule="atLeast"/>
              <w:rPr>
                <w:rFonts w:ascii="Times New Roman" w:eastAsia="宋体" w:hAnsi="Times New Roman" w:cs="Times New Roman"/>
                <w:bCs/>
                <w:szCs w:val="21"/>
              </w:rPr>
            </w:pPr>
          </w:p>
        </w:tc>
        <w:tc>
          <w:tcPr>
            <w:tcW w:w="6095" w:type="dxa"/>
          </w:tcPr>
          <w:p w14:paraId="6E49CABE"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实施侧袋机制期间基金份额持有人大会的特殊约定</w:t>
            </w:r>
          </w:p>
          <w:p w14:paraId="1FF3C559"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5E6B79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、基金份额持有人行使提议权、召集权、提名权所需单独或合计代表相关基金份额</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以上（含</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w:t>
            </w:r>
          </w:p>
          <w:p w14:paraId="5F1D973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、现场开会的到会者在权益登记日代表的基金份额不少于本基金在权益登记日相关基金份额的二分之一（含二分之一）；</w:t>
            </w:r>
          </w:p>
          <w:p w14:paraId="0D3EC26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、通讯开会的直接出具书面表决意见或授权他人代表出具书面表决意见的基金份额持有人所持有的基金份额不小于在权益登记日相关基金份额的二分之一（含二分之一）；</w:t>
            </w:r>
          </w:p>
          <w:p w14:paraId="3BB5478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、在参与基金份额持有人大会投票的基金份额持有人所持有的基金份额小于在权益登记日相关基金份额的二分之一、召集人在原公告的基金份额持有人大会召开时间的</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个月以后、</w:t>
            </w:r>
            <w:r>
              <w:rPr>
                <w:rFonts w:ascii="Times New Roman" w:eastAsia="宋体" w:hAnsi="Times New Roman" w:cs="Times New Roman" w:hint="eastAsia"/>
                <w:bCs/>
                <w:szCs w:val="21"/>
              </w:rPr>
              <w:t>6</w:t>
            </w:r>
            <w:r>
              <w:rPr>
                <w:rFonts w:ascii="Times New Roman" w:eastAsia="宋体" w:hAnsi="Times New Roman" w:cs="Times New Roman" w:hint="eastAsia"/>
                <w:bCs/>
                <w:szCs w:val="21"/>
              </w:rPr>
              <w:t>个月以内就原定审议事项重新召集的基金份额持有人大会应当有代表三分之一以上（含三分之一）相关基金份额的持有人参与或授权他人参与基金份额持有人大会投票；</w:t>
            </w:r>
          </w:p>
          <w:p w14:paraId="3485086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lastRenderedPageBreak/>
              <w:t>5</w:t>
            </w:r>
            <w:r>
              <w:rPr>
                <w:rFonts w:ascii="Times New Roman" w:eastAsia="宋体" w:hAnsi="Times New Roman" w:cs="Times New Roman" w:hint="eastAsia"/>
                <w:bCs/>
                <w:szCs w:val="21"/>
              </w:rPr>
              <w:t>、现场开会由出席大会的基金份额持有人和代理人所持表决权的</w:t>
            </w:r>
            <w:r>
              <w:rPr>
                <w:rFonts w:ascii="Times New Roman" w:eastAsia="宋体" w:hAnsi="Times New Roman" w:cs="Times New Roman" w:hint="eastAsia"/>
                <w:bCs/>
                <w:szCs w:val="21"/>
              </w:rPr>
              <w:t>50%</w:t>
            </w:r>
            <w:r>
              <w:rPr>
                <w:rFonts w:ascii="Times New Roman" w:eastAsia="宋体" w:hAnsi="Times New Roman" w:cs="Times New Roman" w:hint="eastAsia"/>
                <w:bCs/>
                <w:szCs w:val="21"/>
              </w:rPr>
              <w:t>以上（含</w:t>
            </w:r>
            <w:r>
              <w:rPr>
                <w:rFonts w:ascii="Times New Roman" w:eastAsia="宋体" w:hAnsi="Times New Roman" w:cs="Times New Roman" w:hint="eastAsia"/>
                <w:bCs/>
                <w:szCs w:val="21"/>
              </w:rPr>
              <w:t>50%</w:t>
            </w:r>
            <w:r>
              <w:rPr>
                <w:rFonts w:ascii="Times New Roman" w:eastAsia="宋体" w:hAnsi="Times New Roman" w:cs="Times New Roman" w:hint="eastAsia"/>
                <w:bCs/>
                <w:szCs w:val="21"/>
              </w:rPr>
              <w:t>）选举产生一名基金份额持有人或代理人作为该次基金份额持有人大会的主持人；</w:t>
            </w:r>
          </w:p>
          <w:p w14:paraId="6E9FA6B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w:t>
            </w:r>
            <w:r>
              <w:rPr>
                <w:rFonts w:ascii="Times New Roman" w:eastAsia="宋体" w:hAnsi="Times New Roman" w:cs="Times New Roman" w:hint="eastAsia"/>
                <w:bCs/>
                <w:szCs w:val="21"/>
              </w:rPr>
              <w:t>、一般决议须经参加大会的基金份额持有人或其代理人所持表决权的二分之一以上（含二分之一）通过；</w:t>
            </w:r>
          </w:p>
          <w:p w14:paraId="7DCB91C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7</w:t>
            </w:r>
            <w:r>
              <w:rPr>
                <w:rFonts w:ascii="Times New Roman" w:eastAsia="宋体" w:hAnsi="Times New Roman" w:cs="Times New Roman" w:hint="eastAsia"/>
                <w:bCs/>
                <w:szCs w:val="21"/>
              </w:rPr>
              <w:t>、特别决议应当经参加大会的基金份额持有人或其代理人所持表决权的三分之二以上（含三分之二）通过。</w:t>
            </w:r>
          </w:p>
          <w:p w14:paraId="316A3072" w14:textId="2BAC991C"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同一主侧袋账户内的每份基金份额具有平等的表决权。</w:t>
            </w:r>
          </w:p>
        </w:tc>
      </w:tr>
      <w:tr w:rsidR="00D27F7F" w14:paraId="39DA1B2F" w14:textId="77777777">
        <w:tc>
          <w:tcPr>
            <w:tcW w:w="1696" w:type="dxa"/>
          </w:tcPr>
          <w:p w14:paraId="651E21DE" w14:textId="5377A4AE" w:rsidR="00D27F7F" w:rsidRDefault="00A4337A">
            <w:pPr>
              <w:spacing w:line="240" w:lineRule="atLeast"/>
              <w:rPr>
                <w:rFonts w:ascii="宋体" w:eastAsia="宋体" w:hAnsi="宋体"/>
                <w:b/>
                <w:szCs w:val="21"/>
              </w:rPr>
            </w:pPr>
            <w:r>
              <w:rPr>
                <w:rFonts w:ascii="宋体" w:eastAsia="宋体" w:hAnsi="宋体" w:hint="eastAsia"/>
                <w:b/>
                <w:szCs w:val="21"/>
              </w:rPr>
              <w:lastRenderedPageBreak/>
              <w:t>十二、</w:t>
            </w:r>
            <w:r>
              <w:rPr>
                <w:rFonts w:ascii="宋体" w:eastAsia="宋体" w:hAnsi="宋体"/>
                <w:b/>
                <w:szCs w:val="21"/>
              </w:rPr>
              <w:t>基金的投资</w:t>
            </w:r>
          </w:p>
        </w:tc>
        <w:tc>
          <w:tcPr>
            <w:tcW w:w="6096" w:type="dxa"/>
          </w:tcPr>
          <w:p w14:paraId="50062899" w14:textId="77777777" w:rsidR="00D27F7F" w:rsidRDefault="00D27F7F">
            <w:pPr>
              <w:spacing w:line="240" w:lineRule="atLeast"/>
              <w:rPr>
                <w:rFonts w:ascii="Times New Roman" w:eastAsia="宋体" w:hAnsi="Times New Roman" w:cs="Times New Roman"/>
                <w:bCs/>
                <w:szCs w:val="21"/>
              </w:rPr>
            </w:pPr>
          </w:p>
        </w:tc>
        <w:tc>
          <w:tcPr>
            <w:tcW w:w="6095" w:type="dxa"/>
          </w:tcPr>
          <w:p w14:paraId="1750657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八</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侧袋机制的实施和投资运作安排</w:t>
            </w:r>
          </w:p>
          <w:p w14:paraId="0250CDE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70F7408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侧袋机制实施期间，本部分约定的投资组合比例、投资策略、组合限制、业绩比较基准、风险收益特征等约定仅适用于主袋账户。</w:t>
            </w:r>
          </w:p>
          <w:p w14:paraId="0CDA9D88" w14:textId="01C8EA2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侧袋账户的实施条件、实施程序、运作安排、投资安排、特定资产的处置变现和支付等对投资者权益有重大影响的事项详见招募说明书的规定。</w:t>
            </w:r>
          </w:p>
        </w:tc>
      </w:tr>
      <w:tr w:rsidR="00D27F7F" w14:paraId="1C07D8A3" w14:textId="77777777">
        <w:tc>
          <w:tcPr>
            <w:tcW w:w="1696" w:type="dxa"/>
          </w:tcPr>
          <w:p w14:paraId="7F51BD6D" w14:textId="2ACEF012" w:rsidR="00D27F7F" w:rsidRDefault="00A4337A">
            <w:pPr>
              <w:spacing w:line="240" w:lineRule="atLeast"/>
              <w:rPr>
                <w:rFonts w:ascii="宋体" w:eastAsia="宋体" w:hAnsi="宋体"/>
                <w:b/>
                <w:szCs w:val="21"/>
              </w:rPr>
            </w:pPr>
            <w:r>
              <w:rPr>
                <w:rFonts w:ascii="宋体" w:eastAsia="宋体" w:hAnsi="宋体" w:hint="eastAsia"/>
                <w:b/>
                <w:szCs w:val="21"/>
              </w:rPr>
              <w:t>十四、</w:t>
            </w:r>
            <w:r>
              <w:rPr>
                <w:rFonts w:ascii="宋体" w:eastAsia="宋体" w:hAnsi="宋体"/>
                <w:b/>
                <w:szCs w:val="21"/>
              </w:rPr>
              <w:t>基金资产估值</w:t>
            </w:r>
          </w:p>
        </w:tc>
        <w:tc>
          <w:tcPr>
            <w:tcW w:w="6096" w:type="dxa"/>
          </w:tcPr>
          <w:p w14:paraId="7DDCF94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（三）基金份额净值错误的处理方式</w:t>
            </w:r>
          </w:p>
          <w:p w14:paraId="215319C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差错处理原则</w:t>
            </w:r>
          </w:p>
          <w:p w14:paraId="0C1138D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因基金估值错误给基金投资人造成的损失应由基金托管人和基金管理人协商共同承担，基金托管人和基金管理人对不应由其承担的责任，有权根据过错原则，向过错人追偿，基金合同的当事人应将按照以下约定处理。</w:t>
            </w:r>
          </w:p>
          <w:p w14:paraId="0BBF785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4</w:t>
            </w:r>
            <w:r>
              <w:rPr>
                <w:rFonts w:ascii="Times New Roman" w:eastAsia="宋体" w:hAnsi="Times New Roman" w:cs="Times New Roman" w:hint="eastAsia"/>
                <w:bCs/>
                <w:szCs w:val="21"/>
              </w:rPr>
              <w:t>）基金份额净值计算差错小于基金份额净值</w:t>
            </w:r>
            <w:r>
              <w:rPr>
                <w:rFonts w:ascii="Times New Roman" w:eastAsia="宋体" w:hAnsi="Times New Roman" w:cs="Times New Roman" w:hint="eastAsia"/>
                <w:bCs/>
                <w:szCs w:val="21"/>
              </w:rPr>
              <w:t>0.5%</w:t>
            </w:r>
            <w:r>
              <w:rPr>
                <w:rFonts w:ascii="Times New Roman" w:eastAsia="宋体" w:hAnsi="Times New Roman" w:cs="Times New Roman" w:hint="eastAsia"/>
                <w:bCs/>
                <w:szCs w:val="21"/>
              </w:rPr>
              <w:t>时，基金管理人与基金托管人应在发现日对账务进行更正调整，不做追溯处</w:t>
            </w:r>
            <w:r>
              <w:rPr>
                <w:rFonts w:ascii="Times New Roman" w:eastAsia="宋体" w:hAnsi="Times New Roman" w:cs="Times New Roman" w:hint="eastAsia"/>
                <w:bCs/>
                <w:szCs w:val="21"/>
              </w:rPr>
              <w:lastRenderedPageBreak/>
              <w:t>理。</w:t>
            </w:r>
          </w:p>
          <w:p w14:paraId="4B7947D9" w14:textId="77777777" w:rsidR="00D27F7F" w:rsidRDefault="00D27F7F">
            <w:pPr>
              <w:spacing w:line="240" w:lineRule="atLeast"/>
              <w:rPr>
                <w:rFonts w:ascii="Times New Roman" w:eastAsia="宋体" w:hAnsi="Times New Roman" w:cs="Times New Roman"/>
                <w:bCs/>
                <w:szCs w:val="21"/>
              </w:rPr>
            </w:pPr>
          </w:p>
          <w:p w14:paraId="06C6354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差错处理程序</w:t>
            </w:r>
          </w:p>
          <w:p w14:paraId="7CF7091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差错被发现后，有关的当事人应当及时进行处理，处理的程序如下：</w:t>
            </w:r>
          </w:p>
          <w:p w14:paraId="2C255DF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）根据差错处理原则或当事人协商的方法由差错的责任方进行更正和赔偿损失；其中基金份额净值计算差错小于基金份额净值</w:t>
            </w:r>
            <w:r>
              <w:rPr>
                <w:rFonts w:ascii="Times New Roman" w:eastAsia="宋体" w:hAnsi="Times New Roman" w:cs="Times New Roman" w:hint="eastAsia"/>
                <w:bCs/>
                <w:szCs w:val="21"/>
              </w:rPr>
              <w:t>0.5%</w:t>
            </w:r>
            <w:r>
              <w:rPr>
                <w:rFonts w:ascii="Times New Roman" w:eastAsia="宋体" w:hAnsi="Times New Roman" w:cs="Times New Roman" w:hint="eastAsia"/>
                <w:bCs/>
                <w:szCs w:val="21"/>
              </w:rPr>
              <w:t>时，基金管理人与基金托管人应在发现日对账务进行更正调整，不做追溯处理；基金份额净值计算差错达到或超过基金份额净值</w:t>
            </w:r>
            <w:r>
              <w:rPr>
                <w:rFonts w:ascii="Times New Roman" w:eastAsia="宋体" w:hAnsi="Times New Roman" w:cs="Times New Roman" w:hint="eastAsia"/>
                <w:bCs/>
                <w:szCs w:val="21"/>
              </w:rPr>
              <w:t>0.5%</w:t>
            </w:r>
            <w:r>
              <w:rPr>
                <w:rFonts w:ascii="Times New Roman" w:eastAsia="宋体" w:hAnsi="Times New Roman" w:cs="Times New Roman" w:hint="eastAsia"/>
                <w:bCs/>
                <w:szCs w:val="21"/>
              </w:rPr>
              <w:t>时，基金管理人应当公告、通报基金托管人并报中国证监会备案；</w:t>
            </w:r>
          </w:p>
          <w:p w14:paraId="3092FB64" w14:textId="77777777" w:rsidR="00D27F7F" w:rsidRDefault="00D27F7F">
            <w:pPr>
              <w:spacing w:line="240" w:lineRule="atLeast"/>
              <w:rPr>
                <w:rFonts w:ascii="Times New Roman" w:eastAsia="宋体" w:hAnsi="Times New Roman" w:cs="Times New Roman"/>
                <w:bCs/>
                <w:szCs w:val="21"/>
              </w:rPr>
            </w:pPr>
          </w:p>
          <w:p w14:paraId="11C2EE5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．基金净值的确认</w:t>
            </w:r>
          </w:p>
          <w:p w14:paraId="7E3D5BBC"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用于基金信息披露的基金资产净值和基金份额净值由基金管理人负责计算，基金托管人负责进行复核。基金管理人应于每个工作日计算基金净值并发送给基金托管人。基金托管人对净值计算结果复核确认后发送给基金管理人，由基金管理人对基金净值予以公布。</w:t>
            </w:r>
            <w:r>
              <w:rPr>
                <w:rFonts w:ascii="Times New Roman" w:eastAsia="宋体" w:hAnsi="Times New Roman" w:cs="Times New Roman" w:hint="eastAsia"/>
                <w:bCs/>
                <w:szCs w:val="21"/>
              </w:rPr>
              <w:t xml:space="preserve">  </w:t>
            </w:r>
          </w:p>
          <w:p w14:paraId="2BAF8A69" w14:textId="404841B2" w:rsidR="00D27F7F" w:rsidRDefault="00D27F7F">
            <w:pPr>
              <w:spacing w:line="240" w:lineRule="atLeast"/>
              <w:rPr>
                <w:rFonts w:ascii="Times New Roman" w:eastAsia="宋体" w:hAnsi="Times New Roman" w:cs="Times New Roman"/>
                <w:bCs/>
                <w:szCs w:val="21"/>
              </w:rPr>
            </w:pPr>
          </w:p>
        </w:tc>
        <w:tc>
          <w:tcPr>
            <w:tcW w:w="6095" w:type="dxa"/>
          </w:tcPr>
          <w:p w14:paraId="085DB94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lastRenderedPageBreak/>
              <w:t>（三）基金份额净值错误的处理方式</w:t>
            </w:r>
          </w:p>
          <w:p w14:paraId="0E98EE0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差错处理原则</w:t>
            </w:r>
          </w:p>
          <w:p w14:paraId="1BF015E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因基金估值错误给基金投资人造成的损失应由基金托管人和基金管理人协商共同承担，基金托管人和基金管理人对不应由其承担的责任，有权根据过错原则，向过错人追偿，基金合同的当事人应将按照以下约定处理。</w:t>
            </w:r>
          </w:p>
          <w:p w14:paraId="648406F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4</w:t>
            </w:r>
            <w:r>
              <w:rPr>
                <w:rFonts w:ascii="Times New Roman" w:eastAsia="宋体" w:hAnsi="Times New Roman" w:cs="Times New Roman" w:hint="eastAsia"/>
                <w:bCs/>
                <w:szCs w:val="21"/>
              </w:rPr>
              <w:t>）基金份额净值计算差错小于该类基金份额净值</w:t>
            </w:r>
            <w:r>
              <w:rPr>
                <w:rFonts w:ascii="Times New Roman" w:eastAsia="宋体" w:hAnsi="Times New Roman" w:cs="Times New Roman" w:hint="eastAsia"/>
                <w:bCs/>
                <w:szCs w:val="21"/>
              </w:rPr>
              <w:t>0.5%</w:t>
            </w:r>
            <w:r>
              <w:rPr>
                <w:rFonts w:ascii="Times New Roman" w:eastAsia="宋体" w:hAnsi="Times New Roman" w:cs="Times New Roman" w:hint="eastAsia"/>
                <w:bCs/>
                <w:szCs w:val="21"/>
              </w:rPr>
              <w:t>时，基金管理人与基金托管人应在发现日对账务进行更正调整，不做追</w:t>
            </w:r>
            <w:r>
              <w:rPr>
                <w:rFonts w:ascii="Times New Roman" w:eastAsia="宋体" w:hAnsi="Times New Roman" w:cs="Times New Roman" w:hint="eastAsia"/>
                <w:bCs/>
                <w:szCs w:val="21"/>
              </w:rPr>
              <w:lastRenderedPageBreak/>
              <w:t>溯处理。</w:t>
            </w:r>
          </w:p>
          <w:p w14:paraId="380C34B5" w14:textId="77777777" w:rsidR="00D27F7F" w:rsidRDefault="00D27F7F">
            <w:pPr>
              <w:spacing w:line="240" w:lineRule="atLeast"/>
              <w:rPr>
                <w:rFonts w:ascii="Times New Roman" w:eastAsia="宋体" w:hAnsi="Times New Roman" w:cs="Times New Roman"/>
                <w:bCs/>
                <w:szCs w:val="21"/>
              </w:rPr>
            </w:pPr>
          </w:p>
          <w:p w14:paraId="474ECAB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差错处理程序</w:t>
            </w:r>
          </w:p>
          <w:p w14:paraId="34C3827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差错被发现后，有关的当事人应当及时进行处理，处理的程序如下：</w:t>
            </w:r>
          </w:p>
          <w:p w14:paraId="4B7184C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）根据差错处理原则或当事人协商的方法由差错的责任方进行更正和赔偿损失；其中基金份额净值计算差错小于该类基金份额净值</w:t>
            </w:r>
            <w:r>
              <w:rPr>
                <w:rFonts w:ascii="Times New Roman" w:eastAsia="宋体" w:hAnsi="Times New Roman" w:cs="Times New Roman" w:hint="eastAsia"/>
                <w:bCs/>
                <w:szCs w:val="21"/>
              </w:rPr>
              <w:t>0.5%</w:t>
            </w:r>
            <w:r>
              <w:rPr>
                <w:rFonts w:ascii="Times New Roman" w:eastAsia="宋体" w:hAnsi="Times New Roman" w:cs="Times New Roman" w:hint="eastAsia"/>
                <w:bCs/>
                <w:szCs w:val="21"/>
              </w:rPr>
              <w:t>时，基金管理人与基金托管人应在发现日对账务进行更正调整，不做追溯处理；基金份额净值计算差错达到或超过该类基金份额净值</w:t>
            </w:r>
            <w:r>
              <w:rPr>
                <w:rFonts w:ascii="Times New Roman" w:eastAsia="宋体" w:hAnsi="Times New Roman" w:cs="Times New Roman" w:hint="eastAsia"/>
                <w:bCs/>
                <w:szCs w:val="21"/>
              </w:rPr>
              <w:t>0.5%</w:t>
            </w:r>
            <w:r>
              <w:rPr>
                <w:rFonts w:ascii="Times New Roman" w:eastAsia="宋体" w:hAnsi="Times New Roman" w:cs="Times New Roman" w:hint="eastAsia"/>
                <w:bCs/>
                <w:szCs w:val="21"/>
              </w:rPr>
              <w:t>时，基金管理人应当公告、通报基金托管人并报中国证监会备案；</w:t>
            </w:r>
          </w:p>
          <w:p w14:paraId="5CFF5C78" w14:textId="77777777" w:rsidR="00D27F7F" w:rsidRDefault="00D27F7F">
            <w:pPr>
              <w:spacing w:line="240" w:lineRule="atLeast"/>
              <w:rPr>
                <w:rFonts w:ascii="Times New Roman" w:eastAsia="宋体" w:hAnsi="Times New Roman" w:cs="Times New Roman"/>
                <w:bCs/>
                <w:szCs w:val="21"/>
              </w:rPr>
            </w:pPr>
          </w:p>
          <w:p w14:paraId="4B8B5ECE"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．基金净值的确认</w:t>
            </w:r>
          </w:p>
          <w:p w14:paraId="3CC0DE4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用于基金信息披露的各类基金份额的基金资产净值和基金份额净值由基金管理人负责计算，基金托管人负责进行复核。基金管理人应于每个工作日计算基金净值并发送给基金托管人。基金托管人对净值计算结果复核确认后发送给基金管理人，由基金管理人对基金净值予以公布。</w:t>
            </w:r>
            <w:r>
              <w:rPr>
                <w:rFonts w:ascii="Times New Roman" w:eastAsia="宋体" w:hAnsi="Times New Roman" w:cs="Times New Roman" w:hint="eastAsia"/>
                <w:bCs/>
                <w:szCs w:val="21"/>
              </w:rPr>
              <w:t xml:space="preserve">  </w:t>
            </w:r>
          </w:p>
          <w:p w14:paraId="165D8018" w14:textId="5AD17BB3" w:rsidR="00D27F7F" w:rsidRDefault="00D27F7F">
            <w:pPr>
              <w:spacing w:line="240" w:lineRule="atLeast"/>
              <w:rPr>
                <w:rFonts w:ascii="Times New Roman" w:eastAsia="宋体" w:hAnsi="Times New Roman" w:cs="Times New Roman"/>
                <w:bCs/>
                <w:szCs w:val="21"/>
              </w:rPr>
            </w:pPr>
          </w:p>
        </w:tc>
      </w:tr>
      <w:tr w:rsidR="00D27F7F" w14:paraId="49E27C96" w14:textId="77777777">
        <w:tc>
          <w:tcPr>
            <w:tcW w:w="1696" w:type="dxa"/>
          </w:tcPr>
          <w:p w14:paraId="740E965D" w14:textId="3E43179C" w:rsidR="00D27F7F" w:rsidRDefault="00A4337A">
            <w:pPr>
              <w:spacing w:line="240" w:lineRule="atLeast"/>
              <w:rPr>
                <w:rFonts w:ascii="宋体" w:eastAsia="宋体" w:hAnsi="宋体"/>
                <w:b/>
                <w:szCs w:val="21"/>
              </w:rPr>
            </w:pPr>
            <w:r>
              <w:rPr>
                <w:rFonts w:ascii="宋体" w:eastAsia="宋体" w:hAnsi="宋体" w:hint="eastAsia"/>
                <w:b/>
                <w:szCs w:val="21"/>
              </w:rPr>
              <w:lastRenderedPageBreak/>
              <w:t>十四、</w:t>
            </w:r>
            <w:r>
              <w:rPr>
                <w:rFonts w:ascii="宋体" w:eastAsia="宋体" w:hAnsi="宋体"/>
                <w:b/>
                <w:szCs w:val="21"/>
              </w:rPr>
              <w:t>基金资产估值</w:t>
            </w:r>
          </w:p>
        </w:tc>
        <w:tc>
          <w:tcPr>
            <w:tcW w:w="6096" w:type="dxa"/>
          </w:tcPr>
          <w:p w14:paraId="6EAB73F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（四）暂停估值与公告基金份额净值的情形</w:t>
            </w:r>
          </w:p>
          <w:p w14:paraId="4168A8B8" w14:textId="749DE770"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rPr>
              <w:t>当前一估值日基金资产净值</w:t>
            </w:r>
            <w:r>
              <w:rPr>
                <w:rFonts w:ascii="Times New Roman" w:eastAsia="宋体" w:hAnsi="Times New Roman" w:cs="Times New Roman" w:hint="eastAsia"/>
                <w:bCs/>
                <w:szCs w:val="21"/>
              </w:rPr>
              <w:t>50%</w:t>
            </w:r>
            <w:r>
              <w:rPr>
                <w:rFonts w:ascii="Times New Roman" w:eastAsia="宋体" w:hAnsi="Times New Roman" w:cs="Times New Roman" w:hint="eastAsia"/>
                <w:bCs/>
                <w:szCs w:val="21"/>
              </w:rPr>
              <w:t>以上的资产出现无可参考的活跃市场价格且采用估值技术仍导致公允价值存在重大不确定性时，经与基金托管人协商一致的，基金管理人应当暂停估值；</w:t>
            </w:r>
          </w:p>
        </w:tc>
        <w:tc>
          <w:tcPr>
            <w:tcW w:w="6095" w:type="dxa"/>
          </w:tcPr>
          <w:p w14:paraId="671D638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（四）暂停估值与公告基金份额净值的情形</w:t>
            </w:r>
          </w:p>
          <w:p w14:paraId="5FAEA450" w14:textId="7D85E8CB"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rPr>
              <w:t>当特定资产占前一估值日基金资产净值</w:t>
            </w:r>
            <w:r>
              <w:rPr>
                <w:rFonts w:ascii="Times New Roman" w:eastAsia="宋体" w:hAnsi="Times New Roman" w:cs="Times New Roman" w:hint="eastAsia"/>
                <w:bCs/>
                <w:szCs w:val="21"/>
              </w:rPr>
              <w:t>50%</w:t>
            </w:r>
            <w:r>
              <w:rPr>
                <w:rFonts w:ascii="Times New Roman" w:eastAsia="宋体" w:hAnsi="Times New Roman" w:cs="Times New Roman" w:hint="eastAsia"/>
                <w:bCs/>
                <w:szCs w:val="21"/>
              </w:rPr>
              <w:t>以上的，经与基金托管人协商确认后，基金管理人应当暂停估值；</w:t>
            </w:r>
          </w:p>
        </w:tc>
      </w:tr>
      <w:tr w:rsidR="00D27F7F" w14:paraId="6D73A534" w14:textId="77777777">
        <w:tc>
          <w:tcPr>
            <w:tcW w:w="1696" w:type="dxa"/>
          </w:tcPr>
          <w:p w14:paraId="10D25312" w14:textId="1B24F21C" w:rsidR="00D27F7F" w:rsidRDefault="00A4337A">
            <w:pPr>
              <w:spacing w:line="240" w:lineRule="atLeast"/>
              <w:rPr>
                <w:rFonts w:ascii="宋体" w:eastAsia="宋体" w:hAnsi="宋体"/>
                <w:b/>
                <w:szCs w:val="21"/>
              </w:rPr>
            </w:pPr>
            <w:r>
              <w:rPr>
                <w:rFonts w:ascii="宋体" w:eastAsia="宋体" w:hAnsi="宋体" w:hint="eastAsia"/>
                <w:b/>
                <w:szCs w:val="21"/>
              </w:rPr>
              <w:t>十四、</w:t>
            </w:r>
            <w:r>
              <w:rPr>
                <w:rFonts w:ascii="宋体" w:eastAsia="宋体" w:hAnsi="宋体"/>
                <w:b/>
                <w:szCs w:val="21"/>
              </w:rPr>
              <w:t>基金资产估值</w:t>
            </w:r>
          </w:p>
        </w:tc>
        <w:tc>
          <w:tcPr>
            <w:tcW w:w="6096" w:type="dxa"/>
          </w:tcPr>
          <w:p w14:paraId="25DCB9F7" w14:textId="17FD26B7" w:rsidR="00D27F7F" w:rsidRDefault="00D27F7F">
            <w:pPr>
              <w:spacing w:line="240" w:lineRule="atLeast"/>
              <w:rPr>
                <w:rFonts w:ascii="Times New Roman" w:eastAsia="宋体" w:hAnsi="Times New Roman" w:cs="Times New Roman"/>
                <w:bCs/>
                <w:szCs w:val="21"/>
              </w:rPr>
            </w:pPr>
          </w:p>
        </w:tc>
        <w:tc>
          <w:tcPr>
            <w:tcW w:w="6095" w:type="dxa"/>
          </w:tcPr>
          <w:p w14:paraId="1FD7115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（五）实施侧袋机制期间的基金资产估值</w:t>
            </w:r>
          </w:p>
          <w:p w14:paraId="6EEF4D41" w14:textId="67FA90EF"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本基金实施侧袋机制的，应根据本部分的约定对主袋账户资产进行估值并披露主袋账户的基金净值信息，暂停披露侧袋账户份额</w:t>
            </w:r>
            <w:r>
              <w:rPr>
                <w:rFonts w:ascii="Times New Roman" w:eastAsia="宋体" w:hAnsi="Times New Roman" w:cs="Times New Roman" w:hint="eastAsia"/>
                <w:bCs/>
                <w:szCs w:val="21"/>
              </w:rPr>
              <w:lastRenderedPageBreak/>
              <w:t>净值。</w:t>
            </w:r>
          </w:p>
        </w:tc>
      </w:tr>
      <w:tr w:rsidR="00D27F7F" w14:paraId="420E7480" w14:textId="77777777">
        <w:tc>
          <w:tcPr>
            <w:tcW w:w="1696" w:type="dxa"/>
          </w:tcPr>
          <w:p w14:paraId="687EC7B3" w14:textId="6CAAEFB1" w:rsidR="00D27F7F" w:rsidRDefault="00A4337A">
            <w:pPr>
              <w:spacing w:line="240" w:lineRule="atLeast"/>
              <w:rPr>
                <w:rFonts w:ascii="宋体" w:eastAsia="宋体" w:hAnsi="宋体"/>
                <w:b/>
                <w:szCs w:val="21"/>
              </w:rPr>
            </w:pPr>
            <w:r>
              <w:rPr>
                <w:rFonts w:ascii="宋体" w:eastAsia="宋体" w:hAnsi="宋体" w:hint="eastAsia"/>
                <w:b/>
                <w:szCs w:val="21"/>
              </w:rPr>
              <w:lastRenderedPageBreak/>
              <w:t>十六、基金的费用与税收</w:t>
            </w:r>
          </w:p>
        </w:tc>
        <w:tc>
          <w:tcPr>
            <w:tcW w:w="6096" w:type="dxa"/>
          </w:tcPr>
          <w:p w14:paraId="7B7A9B76" w14:textId="2C47B8C4" w:rsidR="00D27F7F" w:rsidRDefault="00A4337A" w:rsidP="001B1DD3">
            <w:pPr>
              <w:pStyle w:val="af4"/>
              <w:ind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一</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基金费用的种类</w:t>
            </w:r>
          </w:p>
        </w:tc>
        <w:tc>
          <w:tcPr>
            <w:tcW w:w="6095" w:type="dxa"/>
          </w:tcPr>
          <w:p w14:paraId="29AAF7B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一</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基金费用的种类</w:t>
            </w:r>
          </w:p>
          <w:p w14:paraId="16BBEA0B" w14:textId="0A47E6F8"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11.</w:t>
            </w:r>
            <w:r>
              <w:rPr>
                <w:rFonts w:ascii="Times New Roman" w:eastAsia="宋体" w:hAnsi="Times New Roman" w:cs="Times New Roman" w:hint="eastAsia"/>
                <w:bCs/>
                <w:szCs w:val="21"/>
              </w:rPr>
              <w:t>本基金从</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类基金份额的基金财产中计提的销售服务费；</w:t>
            </w:r>
          </w:p>
        </w:tc>
      </w:tr>
      <w:tr w:rsidR="00D27F7F" w14:paraId="4098D522" w14:textId="77777777">
        <w:tc>
          <w:tcPr>
            <w:tcW w:w="1696" w:type="dxa"/>
          </w:tcPr>
          <w:p w14:paraId="3F98176F" w14:textId="060E6E46" w:rsidR="00D27F7F" w:rsidRDefault="00A4337A">
            <w:pPr>
              <w:spacing w:line="240" w:lineRule="atLeast"/>
              <w:rPr>
                <w:rFonts w:ascii="宋体" w:eastAsia="宋体" w:hAnsi="宋体"/>
                <w:b/>
                <w:szCs w:val="21"/>
              </w:rPr>
            </w:pPr>
            <w:r>
              <w:rPr>
                <w:rFonts w:ascii="宋体" w:eastAsia="宋体" w:hAnsi="宋体" w:hint="eastAsia"/>
                <w:b/>
                <w:szCs w:val="21"/>
              </w:rPr>
              <w:t>十六、基金的费用与税收</w:t>
            </w:r>
          </w:p>
        </w:tc>
        <w:tc>
          <w:tcPr>
            <w:tcW w:w="6096" w:type="dxa"/>
          </w:tcPr>
          <w:p w14:paraId="363730B0" w14:textId="5E4C23B1"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基金费用计提方法、计提标准和支付方式</w:t>
            </w:r>
          </w:p>
          <w:p w14:paraId="7E53A8B9" w14:textId="77777777" w:rsidR="00D27F7F" w:rsidRDefault="00D27F7F">
            <w:pPr>
              <w:spacing w:line="240" w:lineRule="atLeast"/>
              <w:rPr>
                <w:rFonts w:ascii="Times New Roman" w:eastAsia="宋体" w:hAnsi="Times New Roman" w:cs="Times New Roman"/>
                <w:bCs/>
                <w:szCs w:val="21"/>
              </w:rPr>
            </w:pPr>
          </w:p>
          <w:p w14:paraId="6A7CCAC6" w14:textId="77777777" w:rsidR="00D27F7F" w:rsidRDefault="00D27F7F">
            <w:pPr>
              <w:spacing w:line="240" w:lineRule="atLeast"/>
              <w:rPr>
                <w:rFonts w:ascii="Times New Roman" w:eastAsia="宋体" w:hAnsi="Times New Roman" w:cs="Times New Roman"/>
                <w:bCs/>
                <w:szCs w:val="21"/>
              </w:rPr>
            </w:pPr>
          </w:p>
          <w:p w14:paraId="507BFAA6" w14:textId="77777777" w:rsidR="00D27F7F" w:rsidRDefault="00D27F7F">
            <w:pPr>
              <w:spacing w:line="240" w:lineRule="atLeast"/>
              <w:rPr>
                <w:rFonts w:ascii="Times New Roman" w:eastAsia="宋体" w:hAnsi="Times New Roman" w:cs="Times New Roman"/>
                <w:bCs/>
                <w:szCs w:val="21"/>
              </w:rPr>
            </w:pPr>
          </w:p>
          <w:p w14:paraId="3F4BA1A6" w14:textId="77777777" w:rsidR="00D27F7F" w:rsidRDefault="00D27F7F">
            <w:pPr>
              <w:spacing w:line="240" w:lineRule="atLeast"/>
              <w:rPr>
                <w:rFonts w:ascii="Times New Roman" w:eastAsia="宋体" w:hAnsi="Times New Roman" w:cs="Times New Roman"/>
                <w:bCs/>
                <w:szCs w:val="21"/>
              </w:rPr>
            </w:pPr>
          </w:p>
          <w:p w14:paraId="538533FF" w14:textId="77777777" w:rsidR="00D27F7F" w:rsidRDefault="00D27F7F">
            <w:pPr>
              <w:spacing w:line="240" w:lineRule="atLeast"/>
              <w:rPr>
                <w:rFonts w:ascii="Times New Roman" w:eastAsia="宋体" w:hAnsi="Times New Roman" w:cs="Times New Roman"/>
                <w:bCs/>
                <w:szCs w:val="21"/>
              </w:rPr>
            </w:pPr>
          </w:p>
          <w:p w14:paraId="38289D8C" w14:textId="77777777" w:rsidR="00D27F7F" w:rsidRDefault="00D27F7F">
            <w:pPr>
              <w:spacing w:line="240" w:lineRule="atLeast"/>
              <w:rPr>
                <w:rFonts w:ascii="Times New Roman" w:eastAsia="宋体" w:hAnsi="Times New Roman" w:cs="Times New Roman"/>
                <w:bCs/>
                <w:szCs w:val="21"/>
              </w:rPr>
            </w:pPr>
          </w:p>
          <w:p w14:paraId="0930CA85" w14:textId="77777777" w:rsidR="00D27F7F" w:rsidRDefault="00D27F7F">
            <w:pPr>
              <w:spacing w:line="240" w:lineRule="atLeast"/>
              <w:rPr>
                <w:rFonts w:ascii="Times New Roman" w:eastAsia="宋体" w:hAnsi="Times New Roman" w:cs="Times New Roman"/>
                <w:bCs/>
                <w:szCs w:val="21"/>
              </w:rPr>
            </w:pPr>
          </w:p>
          <w:p w14:paraId="2FD60ECF" w14:textId="77777777" w:rsidR="00D27F7F" w:rsidRDefault="00D27F7F">
            <w:pPr>
              <w:spacing w:line="240" w:lineRule="atLeast"/>
              <w:rPr>
                <w:rFonts w:ascii="Times New Roman" w:eastAsia="宋体" w:hAnsi="Times New Roman" w:cs="Times New Roman"/>
                <w:bCs/>
                <w:szCs w:val="21"/>
              </w:rPr>
            </w:pPr>
          </w:p>
          <w:p w14:paraId="4202E168" w14:textId="77777777" w:rsidR="00D27F7F" w:rsidRDefault="00D27F7F">
            <w:pPr>
              <w:spacing w:line="240" w:lineRule="atLeast"/>
              <w:rPr>
                <w:rFonts w:ascii="Times New Roman" w:eastAsia="宋体" w:hAnsi="Times New Roman" w:cs="Times New Roman"/>
                <w:bCs/>
                <w:szCs w:val="21"/>
              </w:rPr>
            </w:pPr>
          </w:p>
          <w:p w14:paraId="038E3431" w14:textId="77777777" w:rsidR="00D27F7F" w:rsidRDefault="00D27F7F">
            <w:pPr>
              <w:spacing w:line="240" w:lineRule="atLeast"/>
              <w:rPr>
                <w:rFonts w:ascii="Times New Roman" w:eastAsia="宋体" w:hAnsi="Times New Roman" w:cs="Times New Roman"/>
                <w:bCs/>
                <w:szCs w:val="21"/>
              </w:rPr>
            </w:pPr>
          </w:p>
          <w:p w14:paraId="0174F460" w14:textId="77777777" w:rsidR="00D27F7F" w:rsidRDefault="00D27F7F">
            <w:pPr>
              <w:spacing w:line="240" w:lineRule="atLeast"/>
              <w:rPr>
                <w:rFonts w:ascii="Times New Roman" w:eastAsia="宋体" w:hAnsi="Times New Roman" w:cs="Times New Roman"/>
                <w:bCs/>
                <w:szCs w:val="21"/>
              </w:rPr>
            </w:pPr>
          </w:p>
          <w:p w14:paraId="7ECFBFAB" w14:textId="77777777" w:rsidR="00D27F7F" w:rsidRDefault="00D27F7F">
            <w:pPr>
              <w:spacing w:line="240" w:lineRule="atLeast"/>
              <w:rPr>
                <w:rFonts w:ascii="Times New Roman" w:eastAsia="宋体" w:hAnsi="Times New Roman" w:cs="Times New Roman"/>
                <w:bCs/>
                <w:szCs w:val="21"/>
              </w:rPr>
            </w:pPr>
          </w:p>
          <w:p w14:paraId="02F8F731" w14:textId="77777777" w:rsidR="00D27F7F" w:rsidRDefault="00D27F7F">
            <w:pPr>
              <w:spacing w:line="240" w:lineRule="atLeast"/>
              <w:rPr>
                <w:rFonts w:ascii="Times New Roman" w:eastAsia="宋体" w:hAnsi="Times New Roman" w:cs="Times New Roman"/>
                <w:bCs/>
                <w:szCs w:val="21"/>
              </w:rPr>
            </w:pPr>
          </w:p>
          <w:p w14:paraId="242FB964" w14:textId="77777777" w:rsidR="00D27F7F" w:rsidRDefault="00D27F7F">
            <w:pPr>
              <w:spacing w:line="240" w:lineRule="atLeast"/>
              <w:rPr>
                <w:rFonts w:ascii="Times New Roman" w:eastAsia="宋体" w:hAnsi="Times New Roman" w:cs="Times New Roman"/>
                <w:bCs/>
                <w:szCs w:val="21"/>
              </w:rPr>
            </w:pPr>
          </w:p>
          <w:p w14:paraId="55E7F9B6" w14:textId="77777777" w:rsidR="00D27F7F" w:rsidRDefault="00D27F7F">
            <w:pPr>
              <w:spacing w:line="240" w:lineRule="atLeast"/>
              <w:rPr>
                <w:rFonts w:ascii="Times New Roman" w:eastAsia="宋体" w:hAnsi="Times New Roman" w:cs="Times New Roman"/>
                <w:bCs/>
                <w:szCs w:val="21"/>
              </w:rPr>
            </w:pPr>
          </w:p>
          <w:p w14:paraId="3F63976E" w14:textId="77777777" w:rsidR="00D27F7F" w:rsidRDefault="00D27F7F">
            <w:pPr>
              <w:spacing w:line="240" w:lineRule="atLeast"/>
              <w:rPr>
                <w:rFonts w:ascii="Times New Roman" w:eastAsia="宋体" w:hAnsi="Times New Roman" w:cs="Times New Roman"/>
                <w:bCs/>
                <w:szCs w:val="21"/>
              </w:rPr>
            </w:pPr>
          </w:p>
          <w:p w14:paraId="6AB52868" w14:textId="77777777" w:rsidR="00D27F7F" w:rsidRDefault="00D27F7F">
            <w:pPr>
              <w:spacing w:line="240" w:lineRule="atLeast"/>
              <w:rPr>
                <w:rFonts w:ascii="Times New Roman" w:eastAsia="宋体" w:hAnsi="Times New Roman" w:cs="Times New Roman"/>
                <w:bCs/>
                <w:szCs w:val="21"/>
              </w:rPr>
            </w:pPr>
          </w:p>
          <w:p w14:paraId="42DC08A1" w14:textId="77777777" w:rsidR="00D27F7F" w:rsidRDefault="00D27F7F">
            <w:pPr>
              <w:spacing w:line="240" w:lineRule="atLeast"/>
              <w:rPr>
                <w:rFonts w:ascii="Times New Roman" w:eastAsia="宋体" w:hAnsi="Times New Roman" w:cs="Times New Roman"/>
                <w:bCs/>
                <w:szCs w:val="21"/>
              </w:rPr>
            </w:pPr>
          </w:p>
          <w:p w14:paraId="0E43E314" w14:textId="77777777" w:rsidR="00D27F7F" w:rsidRDefault="00D27F7F">
            <w:pPr>
              <w:spacing w:line="240" w:lineRule="atLeast"/>
              <w:rPr>
                <w:rFonts w:ascii="Times New Roman" w:eastAsia="宋体" w:hAnsi="Times New Roman" w:cs="Times New Roman"/>
                <w:bCs/>
                <w:szCs w:val="21"/>
              </w:rPr>
            </w:pPr>
          </w:p>
          <w:p w14:paraId="5D6B40E5" w14:textId="77777777" w:rsidR="00D27F7F" w:rsidRDefault="00D27F7F">
            <w:pPr>
              <w:spacing w:line="240" w:lineRule="atLeast"/>
              <w:rPr>
                <w:rFonts w:ascii="Times New Roman" w:eastAsia="宋体" w:hAnsi="Times New Roman" w:cs="Times New Roman"/>
                <w:bCs/>
                <w:szCs w:val="21"/>
              </w:rPr>
            </w:pPr>
          </w:p>
          <w:p w14:paraId="76A567BB" w14:textId="77777777" w:rsidR="00D27F7F" w:rsidRDefault="00D27F7F">
            <w:pPr>
              <w:spacing w:line="240" w:lineRule="atLeast"/>
              <w:rPr>
                <w:rFonts w:ascii="Times New Roman" w:eastAsia="宋体" w:hAnsi="Times New Roman" w:cs="Times New Roman"/>
                <w:bCs/>
                <w:szCs w:val="21"/>
              </w:rPr>
            </w:pPr>
          </w:p>
          <w:p w14:paraId="42896945" w14:textId="77777777" w:rsidR="00D27F7F" w:rsidRDefault="00D27F7F">
            <w:pPr>
              <w:spacing w:line="240" w:lineRule="atLeast"/>
              <w:rPr>
                <w:rFonts w:ascii="Times New Roman" w:eastAsia="宋体" w:hAnsi="Times New Roman" w:cs="Times New Roman"/>
                <w:bCs/>
                <w:szCs w:val="21"/>
              </w:rPr>
            </w:pPr>
          </w:p>
          <w:p w14:paraId="2C984B1E" w14:textId="77777777" w:rsidR="00D27F7F" w:rsidRDefault="00D27F7F">
            <w:pPr>
              <w:spacing w:line="240" w:lineRule="atLeast"/>
              <w:rPr>
                <w:rFonts w:ascii="Times New Roman" w:eastAsia="宋体" w:hAnsi="Times New Roman" w:cs="Times New Roman"/>
                <w:bCs/>
                <w:szCs w:val="21"/>
              </w:rPr>
            </w:pPr>
          </w:p>
          <w:p w14:paraId="69868993" w14:textId="446D4D84"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除管理费和托管费之外的基金费用，由基金托管人根据其他有关法规及相应协议的规定，按费用支出金额支付，列入或摊入当期基金费用。</w:t>
            </w:r>
          </w:p>
        </w:tc>
        <w:tc>
          <w:tcPr>
            <w:tcW w:w="6095" w:type="dxa"/>
          </w:tcPr>
          <w:p w14:paraId="6958B7C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lastRenderedPageBreak/>
              <w:t>(</w:t>
            </w:r>
            <w:r>
              <w:rPr>
                <w:rFonts w:ascii="Times New Roman" w:eastAsia="宋体" w:hAnsi="Times New Roman" w:cs="Times New Roman" w:hint="eastAsia"/>
                <w:bCs/>
                <w:szCs w:val="21"/>
              </w:rPr>
              <w:t>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基金费用计提方法、计提标准和支付方式</w:t>
            </w:r>
          </w:p>
          <w:p w14:paraId="0B8F0BF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 C</w:t>
            </w:r>
            <w:r>
              <w:rPr>
                <w:rFonts w:ascii="Times New Roman" w:eastAsia="宋体" w:hAnsi="Times New Roman" w:cs="Times New Roman" w:hint="eastAsia"/>
                <w:bCs/>
                <w:szCs w:val="21"/>
              </w:rPr>
              <w:t>类基金份额的销售服务费</w:t>
            </w:r>
          </w:p>
          <w:p w14:paraId="09C9A3F9"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类基金份额不收取销售服务费，</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类基金份额的销售服务费按前一日</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类基金资产净值的</w:t>
            </w:r>
            <w:r>
              <w:rPr>
                <w:rFonts w:ascii="Times New Roman" w:eastAsia="宋体" w:hAnsi="Times New Roman" w:cs="Times New Roman" w:hint="eastAsia"/>
                <w:bCs/>
                <w:szCs w:val="21"/>
              </w:rPr>
              <w:t>0.4%</w:t>
            </w:r>
            <w:r>
              <w:rPr>
                <w:rFonts w:ascii="Times New Roman" w:eastAsia="宋体" w:hAnsi="Times New Roman" w:cs="Times New Roman" w:hint="eastAsia"/>
                <w:bCs/>
                <w:szCs w:val="21"/>
              </w:rPr>
              <w:t>年费率计提。计算方法如下：</w:t>
            </w:r>
          </w:p>
          <w:p w14:paraId="17A43A4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H</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E</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0.4%</w:t>
            </w:r>
            <w:r>
              <w:rPr>
                <w:rFonts w:ascii="Times New Roman" w:eastAsia="宋体" w:hAnsi="Times New Roman" w:cs="Times New Roman" w:hint="eastAsia"/>
                <w:bCs/>
                <w:szCs w:val="21"/>
              </w:rPr>
              <w:t>÷当年天数</w:t>
            </w:r>
          </w:p>
          <w:p w14:paraId="125BD5A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H</w:t>
            </w:r>
            <w:r>
              <w:rPr>
                <w:rFonts w:ascii="Times New Roman" w:eastAsia="宋体" w:hAnsi="Times New Roman" w:cs="Times New Roman" w:hint="eastAsia"/>
                <w:bCs/>
                <w:szCs w:val="21"/>
              </w:rPr>
              <w:t>为</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类基金份额每日应计提的销售服务费</w:t>
            </w:r>
          </w:p>
          <w:p w14:paraId="68208C8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E</w:t>
            </w:r>
            <w:r>
              <w:rPr>
                <w:rFonts w:ascii="Times New Roman" w:eastAsia="宋体" w:hAnsi="Times New Roman" w:cs="Times New Roman" w:hint="eastAsia"/>
                <w:bCs/>
                <w:szCs w:val="21"/>
              </w:rPr>
              <w:t>为</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类基金份额前一日基金资产净值</w:t>
            </w:r>
          </w:p>
          <w:p w14:paraId="43BB487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类基金份额的销售服务费具体收取</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返还方式：</w:t>
            </w:r>
          </w:p>
          <w:p w14:paraId="02D7028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）通过直销机构申购的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w:t>
            </w:r>
          </w:p>
          <w:p w14:paraId="0D87AE1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对于</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类基金份额计提的销售服务费，在投资人赎回基金份额或基金合同终止时随赎回款或清算款一并返还给投资人。</w:t>
            </w:r>
          </w:p>
          <w:p w14:paraId="292F383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）通过其他销售机构申购的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w:t>
            </w:r>
          </w:p>
          <w:p w14:paraId="138BC6B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对于投资人持续持有期限未超过一年的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类基金份额，销售服务费每日计提，逐日累计至每月月末，按月支付。由基金管理人向基金托管人发送基金销售服务费划款指令，于次月首日起</w:t>
            </w:r>
            <w:r>
              <w:rPr>
                <w:rFonts w:ascii="Times New Roman" w:eastAsia="宋体" w:hAnsi="Times New Roman" w:cs="Times New Roman" w:hint="eastAsia"/>
                <w:bCs/>
                <w:szCs w:val="21"/>
              </w:rPr>
              <w:t>5</w:t>
            </w:r>
            <w:r>
              <w:rPr>
                <w:rFonts w:ascii="Times New Roman" w:eastAsia="宋体" w:hAnsi="Times New Roman" w:cs="Times New Roman" w:hint="eastAsia"/>
                <w:bCs/>
                <w:szCs w:val="21"/>
              </w:rPr>
              <w:t>个工作日内从基金财产中一次性支付给销售机构。若遇法定节假日、休息日或不可抗力致使无法按时支付的，顺延至最近可支付日支付。</w:t>
            </w:r>
          </w:p>
          <w:p w14:paraId="7452E0D9"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对于投资人持续持有期限超过一年的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类基金份额，持续持有超过一年后计提的销售服务费将在投资人赎回相应基金份额或基金合同终止时随赎回款或清算款一并返还给投资人。</w:t>
            </w:r>
          </w:p>
          <w:p w14:paraId="2A88CF8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类基金份额的销售服务费将专门用于本基金的推广、销售与基</w:t>
            </w:r>
            <w:r>
              <w:rPr>
                <w:rFonts w:ascii="Times New Roman" w:eastAsia="宋体" w:hAnsi="Times New Roman" w:cs="Times New Roman" w:hint="eastAsia"/>
                <w:bCs/>
                <w:szCs w:val="21"/>
              </w:rPr>
              <w:lastRenderedPageBreak/>
              <w:t>金份额持有人服务。</w:t>
            </w:r>
          </w:p>
          <w:p w14:paraId="29F895D5" w14:textId="7FFA8CBB"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除管理费、托管费和销售服务费之外的基金费用，由基金托管人根据其他有关法规及相应协议的规定，按费用支出金额支付，列入或摊入当期基金费用。</w:t>
            </w:r>
          </w:p>
        </w:tc>
      </w:tr>
      <w:tr w:rsidR="00D27F7F" w14:paraId="2AF6A042" w14:textId="77777777">
        <w:tc>
          <w:tcPr>
            <w:tcW w:w="1696" w:type="dxa"/>
          </w:tcPr>
          <w:p w14:paraId="42356181" w14:textId="41B08D13" w:rsidR="00D27F7F" w:rsidRDefault="00A4337A">
            <w:pPr>
              <w:spacing w:line="240" w:lineRule="atLeast"/>
              <w:rPr>
                <w:rFonts w:ascii="宋体" w:eastAsia="宋体" w:hAnsi="宋体"/>
                <w:b/>
                <w:szCs w:val="21"/>
              </w:rPr>
            </w:pPr>
            <w:r>
              <w:rPr>
                <w:rFonts w:ascii="宋体" w:eastAsia="宋体" w:hAnsi="宋体" w:hint="eastAsia"/>
                <w:b/>
                <w:szCs w:val="21"/>
              </w:rPr>
              <w:lastRenderedPageBreak/>
              <w:t>十六、基金的费用与税收</w:t>
            </w:r>
          </w:p>
        </w:tc>
        <w:tc>
          <w:tcPr>
            <w:tcW w:w="6096" w:type="dxa"/>
          </w:tcPr>
          <w:p w14:paraId="14EA57C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五</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基金管理人和基金托管人可根据基金发展情况调整基金管理费率和基金托管费率。基金管理人必须最迟于新的费率实施日</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日前在指定媒介上刊登公告。</w:t>
            </w:r>
          </w:p>
        </w:tc>
        <w:tc>
          <w:tcPr>
            <w:tcW w:w="6095" w:type="dxa"/>
          </w:tcPr>
          <w:p w14:paraId="1D88FA4A" w14:textId="105DFDBC"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五</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基金管理人和基金托管人可根据基金发展情况调整基金管理费率、基金托管费率和销售服务费率。基金管理人必须最迟于新的费率实施日</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日前在指定媒介上刊登公告。</w:t>
            </w:r>
          </w:p>
        </w:tc>
      </w:tr>
      <w:tr w:rsidR="00D27F7F" w14:paraId="15CBDD50" w14:textId="77777777">
        <w:tc>
          <w:tcPr>
            <w:tcW w:w="1696" w:type="dxa"/>
          </w:tcPr>
          <w:p w14:paraId="526EC05E" w14:textId="49A1F6BC" w:rsidR="00D27F7F" w:rsidRDefault="00A4337A">
            <w:pPr>
              <w:spacing w:line="240" w:lineRule="atLeast"/>
              <w:rPr>
                <w:rFonts w:ascii="宋体" w:eastAsia="宋体" w:hAnsi="宋体"/>
                <w:b/>
                <w:szCs w:val="21"/>
              </w:rPr>
            </w:pPr>
            <w:r>
              <w:rPr>
                <w:rFonts w:ascii="宋体" w:eastAsia="宋体" w:hAnsi="宋体" w:hint="eastAsia"/>
                <w:b/>
                <w:szCs w:val="21"/>
              </w:rPr>
              <w:t>十六、基金的费用与税收</w:t>
            </w:r>
          </w:p>
        </w:tc>
        <w:tc>
          <w:tcPr>
            <w:tcW w:w="6096" w:type="dxa"/>
          </w:tcPr>
          <w:p w14:paraId="7DD6BF6B" w14:textId="6583539D" w:rsidR="00D27F7F" w:rsidRDefault="00D27F7F">
            <w:pPr>
              <w:spacing w:line="240" w:lineRule="atLeast"/>
              <w:rPr>
                <w:rFonts w:ascii="Times New Roman" w:eastAsia="宋体" w:hAnsi="Times New Roman" w:cs="Times New Roman"/>
                <w:bCs/>
                <w:szCs w:val="21"/>
              </w:rPr>
            </w:pPr>
          </w:p>
        </w:tc>
        <w:tc>
          <w:tcPr>
            <w:tcW w:w="6095" w:type="dxa"/>
          </w:tcPr>
          <w:p w14:paraId="327A73F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实施侧袋机制期间的基金费用</w:t>
            </w:r>
          </w:p>
          <w:p w14:paraId="1EBEB8FF" w14:textId="7A2B90F0"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本基金实施侧袋机制的，与侧袋账户有关的费用可以从侧袋账户中列支，但应待侧袋账户资产变现后方可列支，有关费用可酌情收取或减免，但不得收取管理费，详见招募说明书的规定。</w:t>
            </w:r>
          </w:p>
        </w:tc>
      </w:tr>
      <w:tr w:rsidR="00D27F7F" w14:paraId="0E1D3CA6" w14:textId="77777777">
        <w:tc>
          <w:tcPr>
            <w:tcW w:w="1696" w:type="dxa"/>
          </w:tcPr>
          <w:p w14:paraId="48F61543" w14:textId="47E2AB75" w:rsidR="00D27F7F" w:rsidRDefault="00A4337A">
            <w:pPr>
              <w:spacing w:line="240" w:lineRule="atLeast"/>
              <w:rPr>
                <w:rFonts w:ascii="宋体" w:eastAsia="宋体" w:hAnsi="宋体"/>
                <w:b/>
                <w:szCs w:val="21"/>
              </w:rPr>
            </w:pPr>
            <w:r>
              <w:rPr>
                <w:rFonts w:ascii="宋体" w:eastAsia="宋体" w:hAnsi="宋体" w:hint="eastAsia"/>
                <w:b/>
                <w:szCs w:val="21"/>
              </w:rPr>
              <w:t>十七、基金的收益与分配</w:t>
            </w:r>
          </w:p>
        </w:tc>
        <w:tc>
          <w:tcPr>
            <w:tcW w:w="6096" w:type="dxa"/>
          </w:tcPr>
          <w:p w14:paraId="239A84F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收益分配原则</w:t>
            </w:r>
          </w:p>
          <w:p w14:paraId="79EB67C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本基金收益分配应遵循下列原则：</w:t>
            </w:r>
          </w:p>
          <w:p w14:paraId="56F8D65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本基金的每份基金份额享有同等分配权；</w:t>
            </w:r>
          </w:p>
          <w:p w14:paraId="2342D50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收益分配时所发生的银行转账或其他手续费用由投资人自行承担。当投资人的现金红利小于一定金额，不足以支付银行转账或其他手续费用时，基金登记结算机构可将投资人的现金红利按红利划款日的基金份额净值自动转为基金份额。</w:t>
            </w:r>
          </w:p>
          <w:p w14:paraId="55F3C4E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本基金收益每年最多分配</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次，年度基金收益分配比例不低于年度可分配收益的</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w:t>
            </w:r>
          </w:p>
          <w:p w14:paraId="03D513A8" w14:textId="77777777" w:rsidR="00D27F7F" w:rsidRDefault="00D27F7F">
            <w:pPr>
              <w:spacing w:line="240" w:lineRule="atLeast"/>
              <w:rPr>
                <w:rFonts w:ascii="Times New Roman" w:eastAsia="宋体" w:hAnsi="Times New Roman" w:cs="Times New Roman"/>
                <w:bCs/>
                <w:szCs w:val="21"/>
              </w:rPr>
            </w:pPr>
          </w:p>
          <w:p w14:paraId="205FC9AF" w14:textId="77777777" w:rsidR="00D27F7F" w:rsidRDefault="00D27F7F">
            <w:pPr>
              <w:spacing w:line="240" w:lineRule="atLeast"/>
              <w:rPr>
                <w:rFonts w:ascii="Times New Roman" w:eastAsia="宋体" w:hAnsi="Times New Roman" w:cs="Times New Roman"/>
                <w:bCs/>
                <w:szCs w:val="21"/>
              </w:rPr>
            </w:pPr>
          </w:p>
          <w:p w14:paraId="15C8F427" w14:textId="77777777" w:rsidR="00D27F7F" w:rsidRDefault="00D27F7F">
            <w:pPr>
              <w:spacing w:line="240" w:lineRule="atLeast"/>
              <w:rPr>
                <w:rFonts w:ascii="Times New Roman" w:eastAsia="宋体" w:hAnsi="Times New Roman" w:cs="Times New Roman"/>
                <w:bCs/>
                <w:szCs w:val="21"/>
              </w:rPr>
            </w:pPr>
          </w:p>
          <w:p w14:paraId="594B2AC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rPr>
              <w:t>本基金收益分配方式分为两种：现金分红与红利再投资，投资人可选择现金红利或将现金红利按红利再投日的基金份额净值自动转为基金份额进行再投资；若投资人不选择，本基金默认的收</w:t>
            </w:r>
            <w:r>
              <w:rPr>
                <w:rFonts w:ascii="Times New Roman" w:eastAsia="宋体" w:hAnsi="Times New Roman" w:cs="Times New Roman" w:hint="eastAsia"/>
                <w:bCs/>
                <w:szCs w:val="21"/>
              </w:rPr>
              <w:lastRenderedPageBreak/>
              <w:t>益分配方式是现金分红；</w:t>
            </w:r>
          </w:p>
          <w:p w14:paraId="33B4C70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w:t>
            </w:r>
            <w:r>
              <w:rPr>
                <w:rFonts w:ascii="Times New Roman" w:eastAsia="宋体" w:hAnsi="Times New Roman" w:cs="Times New Roman" w:hint="eastAsia"/>
                <w:bCs/>
                <w:szCs w:val="21"/>
              </w:rPr>
              <w:t>基金投资当期出现净亏损，则不进行收益分配；</w:t>
            </w:r>
          </w:p>
          <w:p w14:paraId="775AB50F" w14:textId="30CAB5F5"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7.</w:t>
            </w:r>
            <w:r>
              <w:rPr>
                <w:rFonts w:ascii="Times New Roman" w:eastAsia="宋体" w:hAnsi="Times New Roman" w:cs="Times New Roman" w:hint="eastAsia"/>
                <w:bCs/>
                <w:szCs w:val="21"/>
              </w:rPr>
              <w:t>基金当期收益应先弥补上期亏损后，方可进行当期收益分配；</w:t>
            </w:r>
          </w:p>
        </w:tc>
        <w:tc>
          <w:tcPr>
            <w:tcW w:w="6095" w:type="dxa"/>
          </w:tcPr>
          <w:p w14:paraId="6DE0ECB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lastRenderedPageBreak/>
              <w:t>(</w:t>
            </w:r>
            <w:r>
              <w:rPr>
                <w:rFonts w:ascii="Times New Roman" w:eastAsia="宋体" w:hAnsi="Times New Roman" w:cs="Times New Roman" w:hint="eastAsia"/>
                <w:bCs/>
                <w:szCs w:val="21"/>
              </w:rPr>
              <w:t>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收益分配原则</w:t>
            </w:r>
          </w:p>
          <w:p w14:paraId="68E63AD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本基金收益分配应遵循下列原则：</w:t>
            </w:r>
          </w:p>
          <w:p w14:paraId="636B340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由于本基金</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类基金份额不收取销售服务费，</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类基金份额收取销售服务费，各基金份额类别对应的可供分配利润将有所不同；本基金同一基金份额类别的每份基金份额享有同等分配权；</w:t>
            </w:r>
          </w:p>
          <w:p w14:paraId="22B7AAB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收益分配时所发生的银行转账或其他手续费用由投资人自行承担。当投资人的现金红利小于一定金额，不足以支付银行转账或其他手续费用时，基金登记结算机构可将投资人的现金红利按红利划款日的基金份额净值自动转为相应类别的基金份额。</w:t>
            </w:r>
          </w:p>
          <w:p w14:paraId="7B1BF9F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本基金收益每年最多分配</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次，任一类基金份额年度基金收益分配比例不低于该类基金份额年度可分配收益的</w:t>
            </w:r>
            <w:r>
              <w:rPr>
                <w:rFonts w:ascii="Times New Roman" w:eastAsia="宋体" w:hAnsi="Times New Roman" w:cs="Times New Roman" w:hint="eastAsia"/>
                <w:bCs/>
                <w:szCs w:val="21"/>
              </w:rPr>
              <w:t>10%</w:t>
            </w:r>
            <w:r>
              <w:rPr>
                <w:rFonts w:ascii="Times New Roman" w:eastAsia="宋体" w:hAnsi="Times New Roman" w:cs="Times New Roman" w:hint="eastAsia"/>
                <w:bCs/>
                <w:szCs w:val="21"/>
              </w:rPr>
              <w:t>；</w:t>
            </w:r>
          </w:p>
          <w:p w14:paraId="7B51D611" w14:textId="77777777" w:rsidR="00D27F7F" w:rsidRDefault="00D27F7F">
            <w:pPr>
              <w:spacing w:line="240" w:lineRule="atLeast"/>
              <w:rPr>
                <w:rFonts w:ascii="Times New Roman" w:eastAsia="宋体" w:hAnsi="Times New Roman" w:cs="Times New Roman"/>
                <w:bCs/>
                <w:szCs w:val="21"/>
              </w:rPr>
            </w:pPr>
          </w:p>
          <w:p w14:paraId="0D8E39E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5.</w:t>
            </w:r>
            <w:r>
              <w:rPr>
                <w:rFonts w:ascii="Times New Roman" w:eastAsia="宋体" w:hAnsi="Times New Roman" w:cs="Times New Roman" w:hint="eastAsia"/>
                <w:bCs/>
                <w:szCs w:val="21"/>
              </w:rPr>
              <w:t>本基金收益分配方式分为两种：现金分红与红利再投资，投资人可选择现金红利或将现金红利按红利再投日的基金份额净值自动转为相应类别的基金份额进行再投资；若投资人不选择，本</w:t>
            </w:r>
            <w:r>
              <w:rPr>
                <w:rFonts w:ascii="Times New Roman" w:eastAsia="宋体" w:hAnsi="Times New Roman" w:cs="Times New Roman" w:hint="eastAsia"/>
                <w:bCs/>
                <w:szCs w:val="21"/>
              </w:rPr>
              <w:lastRenderedPageBreak/>
              <w:t>基金默认的收益分配方式是现金分红；基金份额持有人可对其持有的</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类基金份额分别选择不同的收益分配方式；</w:t>
            </w:r>
          </w:p>
          <w:p w14:paraId="244FD97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w:t>
            </w:r>
            <w:r>
              <w:rPr>
                <w:rFonts w:ascii="Times New Roman" w:eastAsia="宋体" w:hAnsi="Times New Roman" w:cs="Times New Roman" w:hint="eastAsia"/>
                <w:bCs/>
                <w:szCs w:val="21"/>
              </w:rPr>
              <w:t>基金任一类基金份额投资当期出现净亏损，则该类基金份额不进行收益分配；</w:t>
            </w:r>
          </w:p>
          <w:p w14:paraId="666364C1" w14:textId="79C0F939"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7.</w:t>
            </w:r>
            <w:r>
              <w:rPr>
                <w:rFonts w:ascii="Times New Roman" w:eastAsia="宋体" w:hAnsi="Times New Roman" w:cs="Times New Roman" w:hint="eastAsia"/>
                <w:bCs/>
                <w:szCs w:val="21"/>
              </w:rPr>
              <w:t>基金任一类基金份额当期收益应先弥补上期亏损后，方可进行该类基金份额当期收益分配；</w:t>
            </w:r>
          </w:p>
        </w:tc>
      </w:tr>
      <w:tr w:rsidR="00D27F7F" w14:paraId="04EA5CD6" w14:textId="77777777">
        <w:tc>
          <w:tcPr>
            <w:tcW w:w="1696" w:type="dxa"/>
          </w:tcPr>
          <w:p w14:paraId="500169C3" w14:textId="51830F07" w:rsidR="00D27F7F" w:rsidRDefault="00A4337A">
            <w:pPr>
              <w:spacing w:line="240" w:lineRule="atLeast"/>
              <w:rPr>
                <w:rFonts w:ascii="宋体" w:eastAsia="宋体" w:hAnsi="宋体"/>
                <w:b/>
                <w:szCs w:val="21"/>
              </w:rPr>
            </w:pPr>
            <w:r>
              <w:rPr>
                <w:rFonts w:ascii="宋体" w:eastAsia="宋体" w:hAnsi="宋体" w:hint="eastAsia"/>
                <w:b/>
                <w:szCs w:val="21"/>
              </w:rPr>
              <w:lastRenderedPageBreak/>
              <w:t>十七、基金的收益与分配</w:t>
            </w:r>
          </w:p>
        </w:tc>
        <w:tc>
          <w:tcPr>
            <w:tcW w:w="6096" w:type="dxa"/>
          </w:tcPr>
          <w:p w14:paraId="61433E6C" w14:textId="77777777" w:rsidR="00D27F7F" w:rsidRDefault="00D27F7F">
            <w:pPr>
              <w:spacing w:line="240" w:lineRule="atLeast"/>
              <w:rPr>
                <w:rFonts w:ascii="Times New Roman" w:eastAsia="宋体" w:hAnsi="Times New Roman" w:cs="Times New Roman"/>
                <w:bCs/>
                <w:szCs w:val="21"/>
              </w:rPr>
            </w:pPr>
          </w:p>
        </w:tc>
        <w:tc>
          <w:tcPr>
            <w:tcW w:w="6095" w:type="dxa"/>
          </w:tcPr>
          <w:p w14:paraId="6BBE943E"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实施侧袋机制期间的收益分配</w:t>
            </w:r>
          </w:p>
          <w:p w14:paraId="753B7452" w14:textId="07A36D35"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本基金实施侧袋机制的，侧袋账户不进行收益分配，详见招募说明书的规定。</w:t>
            </w:r>
          </w:p>
        </w:tc>
      </w:tr>
      <w:tr w:rsidR="00D27F7F" w14:paraId="12FE4802" w14:textId="77777777">
        <w:tc>
          <w:tcPr>
            <w:tcW w:w="1696" w:type="dxa"/>
          </w:tcPr>
          <w:p w14:paraId="5C6A5C3F" w14:textId="58918A69" w:rsidR="00D27F7F" w:rsidRDefault="00A4337A">
            <w:pPr>
              <w:spacing w:line="240" w:lineRule="atLeast"/>
              <w:rPr>
                <w:rFonts w:ascii="宋体" w:eastAsia="宋体" w:hAnsi="宋体"/>
                <w:b/>
                <w:szCs w:val="21"/>
              </w:rPr>
            </w:pPr>
            <w:r>
              <w:rPr>
                <w:rFonts w:ascii="宋体" w:eastAsia="宋体" w:hAnsi="宋体" w:hint="eastAsia"/>
                <w:b/>
                <w:szCs w:val="21"/>
              </w:rPr>
              <w:t>十九、基金的信息披露</w:t>
            </w:r>
          </w:p>
        </w:tc>
        <w:tc>
          <w:tcPr>
            <w:tcW w:w="6096" w:type="dxa"/>
          </w:tcPr>
          <w:p w14:paraId="7761B7B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基金净值信息</w:t>
            </w:r>
          </w:p>
          <w:p w14:paraId="7AD12D8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在开始办理基金份额申购或者赎回后，基金管理人应当在不晚于每个开放日后的</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个工作日内，通过指定网站、基金销售机构网站或者营业网点披露开放日的基金份额净值和基金份额累计净值；</w:t>
            </w:r>
          </w:p>
          <w:p w14:paraId="3032D714" w14:textId="031614F5"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基金管理人应当在不晚于半年度和年度最后一日后的</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个工作日内，在指定网站披露半年度和年度最后一日的基金份额净值和基金份额累计净值。</w:t>
            </w:r>
          </w:p>
        </w:tc>
        <w:tc>
          <w:tcPr>
            <w:tcW w:w="6095" w:type="dxa"/>
          </w:tcPr>
          <w:p w14:paraId="14359B68"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六</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基金净值信息</w:t>
            </w:r>
          </w:p>
          <w:p w14:paraId="679795EF"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hint="eastAsia"/>
                <w:bCs/>
                <w:szCs w:val="21"/>
              </w:rPr>
              <w:t>在开始办理基金份额申购或者赎回后，基金管理人应当在不晚于每个开放日后的</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个工作日内，通过指定网站、基金销售机构网站或者营业网点分别披露开放日</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类基金份额所对应的基金份额净值和基金份额累计净值；</w:t>
            </w:r>
          </w:p>
          <w:p w14:paraId="3D201624" w14:textId="59D1E178"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基金管理人应当在不晚于半年度和年度最后一日后的</w:t>
            </w:r>
            <w:r>
              <w:rPr>
                <w:rFonts w:ascii="Times New Roman" w:eastAsia="宋体" w:hAnsi="Times New Roman" w:cs="Times New Roman" w:hint="eastAsia"/>
                <w:bCs/>
                <w:szCs w:val="21"/>
              </w:rPr>
              <w:t>2</w:t>
            </w:r>
            <w:r>
              <w:rPr>
                <w:rFonts w:ascii="Times New Roman" w:eastAsia="宋体" w:hAnsi="Times New Roman" w:cs="Times New Roman" w:hint="eastAsia"/>
                <w:bCs/>
                <w:szCs w:val="21"/>
              </w:rPr>
              <w:t>个工作日内，在指定网站披露半年度和年度最后一日</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类基金份额和</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类基金份额所对应的基金份额净值和基金份额累计净值。</w:t>
            </w:r>
          </w:p>
        </w:tc>
      </w:tr>
      <w:tr w:rsidR="00D27F7F" w14:paraId="4B79A927" w14:textId="77777777">
        <w:tc>
          <w:tcPr>
            <w:tcW w:w="1696" w:type="dxa"/>
          </w:tcPr>
          <w:p w14:paraId="401D41E7" w14:textId="77777777" w:rsidR="00D27F7F" w:rsidRDefault="00A4337A">
            <w:pPr>
              <w:spacing w:line="240" w:lineRule="atLeast"/>
              <w:rPr>
                <w:rFonts w:ascii="宋体" w:eastAsia="宋体" w:hAnsi="宋体"/>
                <w:b/>
                <w:szCs w:val="21"/>
              </w:rPr>
            </w:pPr>
            <w:r>
              <w:rPr>
                <w:rFonts w:ascii="宋体" w:eastAsia="宋体" w:hAnsi="宋体" w:hint="eastAsia"/>
                <w:b/>
                <w:szCs w:val="21"/>
              </w:rPr>
              <w:t>十九、基金的信息披露</w:t>
            </w:r>
          </w:p>
        </w:tc>
        <w:tc>
          <w:tcPr>
            <w:tcW w:w="6096" w:type="dxa"/>
          </w:tcPr>
          <w:p w14:paraId="3D761834"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九</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临时报告与公告</w:t>
            </w:r>
          </w:p>
          <w:p w14:paraId="768B6232"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17.</w:t>
            </w:r>
            <w:r>
              <w:rPr>
                <w:rFonts w:ascii="Times New Roman" w:eastAsia="宋体" w:hAnsi="Times New Roman" w:cs="Times New Roman" w:hint="eastAsia"/>
                <w:bCs/>
                <w:szCs w:val="21"/>
              </w:rPr>
              <w:t>管理费、托管费、申购费、赎回费等费用计提标准、计提方式和费率发生变更；</w:t>
            </w:r>
          </w:p>
          <w:p w14:paraId="5C431A2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18.</w:t>
            </w:r>
            <w:r>
              <w:rPr>
                <w:rFonts w:ascii="Times New Roman" w:eastAsia="宋体" w:hAnsi="Times New Roman" w:cs="Times New Roman" w:hint="eastAsia"/>
                <w:bCs/>
                <w:szCs w:val="21"/>
              </w:rPr>
              <w:t>基金份额净值计价错误达基金份额净值百分之零点五；</w:t>
            </w:r>
          </w:p>
        </w:tc>
        <w:tc>
          <w:tcPr>
            <w:tcW w:w="6095" w:type="dxa"/>
          </w:tcPr>
          <w:p w14:paraId="154F9CC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Pr>
                <w:rFonts w:ascii="Times New Roman" w:eastAsia="宋体" w:hAnsi="Times New Roman" w:cs="Times New Roman" w:hint="eastAsia"/>
                <w:bCs/>
                <w:szCs w:val="21"/>
              </w:rPr>
              <w:t>九</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临时报告与公告</w:t>
            </w:r>
          </w:p>
          <w:p w14:paraId="2A3EE1E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17.</w:t>
            </w:r>
            <w:r>
              <w:rPr>
                <w:rFonts w:ascii="Times New Roman" w:eastAsia="宋体" w:hAnsi="Times New Roman" w:cs="Times New Roman" w:hint="eastAsia"/>
                <w:bCs/>
                <w:szCs w:val="21"/>
              </w:rPr>
              <w:t>管理费、托管费、销售服务费、申购费、赎回费等费用计提标准、计提方式和费率发生变更；</w:t>
            </w:r>
          </w:p>
          <w:p w14:paraId="496E143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18.</w:t>
            </w:r>
            <w:r>
              <w:rPr>
                <w:rFonts w:ascii="Times New Roman" w:eastAsia="宋体" w:hAnsi="Times New Roman" w:cs="Times New Roman" w:hint="eastAsia"/>
                <w:bCs/>
                <w:szCs w:val="21"/>
              </w:rPr>
              <w:t>任一类基金份额净值计价错误达该类基金份额净值百分之零点五；</w:t>
            </w:r>
          </w:p>
          <w:p w14:paraId="1F098680"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27.</w:t>
            </w:r>
            <w:r>
              <w:rPr>
                <w:rFonts w:ascii="Times New Roman" w:eastAsia="宋体" w:hAnsi="Times New Roman" w:cs="Times New Roman" w:hint="eastAsia"/>
                <w:bCs/>
                <w:szCs w:val="21"/>
              </w:rPr>
              <w:t>本基金增加或调整基金份额类别；</w:t>
            </w:r>
          </w:p>
        </w:tc>
      </w:tr>
      <w:tr w:rsidR="00D27F7F" w14:paraId="481D2CED" w14:textId="77777777">
        <w:tc>
          <w:tcPr>
            <w:tcW w:w="1696" w:type="dxa"/>
          </w:tcPr>
          <w:p w14:paraId="155B100B" w14:textId="4F8C0F15" w:rsidR="00D27F7F" w:rsidRDefault="00A4337A">
            <w:pPr>
              <w:spacing w:line="240" w:lineRule="atLeast"/>
              <w:rPr>
                <w:rFonts w:ascii="宋体" w:eastAsia="宋体" w:hAnsi="宋体"/>
                <w:b/>
                <w:szCs w:val="21"/>
              </w:rPr>
            </w:pPr>
            <w:r>
              <w:rPr>
                <w:rFonts w:ascii="宋体" w:eastAsia="宋体" w:hAnsi="宋体" w:hint="eastAsia"/>
                <w:b/>
                <w:szCs w:val="21"/>
              </w:rPr>
              <w:t>十九、基金的信息披露</w:t>
            </w:r>
          </w:p>
        </w:tc>
        <w:tc>
          <w:tcPr>
            <w:tcW w:w="6096" w:type="dxa"/>
          </w:tcPr>
          <w:p w14:paraId="7F3F9F9C" w14:textId="77777777" w:rsidR="00D27F7F" w:rsidRDefault="00D27F7F">
            <w:pPr>
              <w:spacing w:line="240" w:lineRule="atLeast"/>
              <w:rPr>
                <w:rFonts w:ascii="Times New Roman" w:eastAsia="宋体" w:hAnsi="Times New Roman" w:cs="Times New Roman"/>
                <w:bCs/>
                <w:szCs w:val="21"/>
              </w:rPr>
            </w:pPr>
          </w:p>
        </w:tc>
        <w:tc>
          <w:tcPr>
            <w:tcW w:w="6095" w:type="dxa"/>
          </w:tcPr>
          <w:p w14:paraId="5EC5A816"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十二</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实施侧袋机制期间的信息披露</w:t>
            </w:r>
          </w:p>
          <w:p w14:paraId="083082F9" w14:textId="18145FAC"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本基金实施侧袋机制的，相关信息披露义务人应当根据法律法</w:t>
            </w:r>
            <w:r>
              <w:rPr>
                <w:rFonts w:ascii="Times New Roman" w:eastAsia="宋体" w:hAnsi="Times New Roman" w:cs="Times New Roman" w:hint="eastAsia"/>
                <w:bCs/>
                <w:szCs w:val="21"/>
              </w:rPr>
              <w:lastRenderedPageBreak/>
              <w:t>规、基金合同和招募说明书的规定进行信息披露，详见招募说明书的规定。</w:t>
            </w:r>
          </w:p>
        </w:tc>
      </w:tr>
      <w:tr w:rsidR="00D27F7F" w14:paraId="5520D7E3" w14:textId="77777777">
        <w:tc>
          <w:tcPr>
            <w:tcW w:w="1696" w:type="dxa"/>
          </w:tcPr>
          <w:p w14:paraId="225148DB" w14:textId="3FAEDBB6" w:rsidR="00D27F7F" w:rsidRDefault="00A4337A">
            <w:pPr>
              <w:spacing w:line="240" w:lineRule="atLeast"/>
              <w:rPr>
                <w:rFonts w:ascii="宋体" w:eastAsia="宋体" w:hAnsi="宋体"/>
                <w:b/>
                <w:szCs w:val="21"/>
              </w:rPr>
            </w:pPr>
            <w:r>
              <w:rPr>
                <w:rFonts w:ascii="宋体" w:eastAsia="宋体" w:hAnsi="宋体" w:hint="eastAsia"/>
                <w:b/>
                <w:szCs w:val="21"/>
              </w:rPr>
              <w:lastRenderedPageBreak/>
              <w:t>十九、基金的信息披露</w:t>
            </w:r>
          </w:p>
        </w:tc>
        <w:tc>
          <w:tcPr>
            <w:tcW w:w="6096" w:type="dxa"/>
          </w:tcPr>
          <w:p w14:paraId="2364BB59"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信息披露事务管理</w:t>
            </w:r>
          </w:p>
          <w:p w14:paraId="00E00F10" w14:textId="4DD6180B"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tc>
        <w:tc>
          <w:tcPr>
            <w:tcW w:w="6095" w:type="dxa"/>
          </w:tcPr>
          <w:p w14:paraId="2EAE7B8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十三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信息披露事务管理</w:t>
            </w:r>
          </w:p>
          <w:p w14:paraId="7A0CB8F7" w14:textId="51EE1B1C"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tc>
      </w:tr>
      <w:tr w:rsidR="00D27F7F" w14:paraId="659E3526" w14:textId="77777777">
        <w:tc>
          <w:tcPr>
            <w:tcW w:w="1696" w:type="dxa"/>
          </w:tcPr>
          <w:p w14:paraId="6806F88D" w14:textId="77777777" w:rsidR="00D27F7F" w:rsidRDefault="00A4337A">
            <w:pPr>
              <w:spacing w:line="240" w:lineRule="atLeast"/>
              <w:rPr>
                <w:rFonts w:ascii="宋体" w:eastAsia="宋体" w:hAnsi="宋体"/>
                <w:b/>
                <w:szCs w:val="21"/>
              </w:rPr>
            </w:pPr>
            <w:r>
              <w:rPr>
                <w:rFonts w:ascii="宋体" w:eastAsia="宋体" w:hAnsi="宋体" w:hint="eastAsia"/>
                <w:b/>
                <w:szCs w:val="21"/>
              </w:rPr>
              <w:t>二十、基金合同的变更、终止与基金财产的清算</w:t>
            </w:r>
          </w:p>
        </w:tc>
        <w:tc>
          <w:tcPr>
            <w:tcW w:w="6096" w:type="dxa"/>
          </w:tcPr>
          <w:p w14:paraId="6E7A384C"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一</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基金合同的变更</w:t>
            </w:r>
          </w:p>
          <w:p w14:paraId="61CEBE3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基金合同变更内容对基金合同当事人权利、义务产生重大影响的，应召开基金份额持有人大会，基金合同变更的内容应经基金份额持有人大会决议同意。</w:t>
            </w:r>
          </w:p>
          <w:p w14:paraId="5363E82C"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w:t>
            </w:r>
            <w:r>
              <w:rPr>
                <w:rFonts w:ascii="Times New Roman" w:eastAsia="宋体" w:hAnsi="Times New Roman" w:cs="Times New Roman" w:hint="eastAsia"/>
                <w:bCs/>
                <w:szCs w:val="21"/>
              </w:rPr>
              <w:t>提高基金管理人、基金托管人的报酬标准。但根据适用的相关规定提高该等报酬标准的除外；</w:t>
            </w:r>
          </w:p>
          <w:p w14:paraId="3ACEAF8F" w14:textId="77777777" w:rsidR="00D27F7F" w:rsidRDefault="00D27F7F">
            <w:pPr>
              <w:spacing w:line="240" w:lineRule="atLeast"/>
              <w:rPr>
                <w:rFonts w:ascii="Times New Roman" w:eastAsia="宋体" w:hAnsi="Times New Roman" w:cs="Times New Roman"/>
                <w:bCs/>
                <w:szCs w:val="21"/>
              </w:rPr>
            </w:pPr>
          </w:p>
          <w:p w14:paraId="2631D70B"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但出现下列情况时，可不经基金份额持有人大会决议，由基金管理人和基金托管人同意变更后公布，并报中国证监会备案：</w:t>
            </w:r>
          </w:p>
          <w:p w14:paraId="61138F85"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调低基金管理费、基金托管费和其他应由基金承担的费用；</w:t>
            </w:r>
          </w:p>
        </w:tc>
        <w:tc>
          <w:tcPr>
            <w:tcW w:w="6095" w:type="dxa"/>
          </w:tcPr>
          <w:p w14:paraId="4675C8F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一</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基金合同的变更</w:t>
            </w:r>
          </w:p>
          <w:p w14:paraId="2FAAA769"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基金合同变更内容对基金合同当事人权利、义务产生重大影响的，应召开基金份额持有人大会，基金合同变更的内容应经基金份额持有人大会决议同意。</w:t>
            </w:r>
          </w:p>
          <w:p w14:paraId="40E5232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(6)</w:t>
            </w:r>
            <w:r>
              <w:rPr>
                <w:rFonts w:ascii="Times New Roman" w:eastAsia="宋体" w:hAnsi="Times New Roman" w:cs="Times New Roman" w:hint="eastAsia"/>
                <w:bCs/>
                <w:szCs w:val="21"/>
              </w:rPr>
              <w:t>提高基金管理人、基金托管人的报酬标准或提高销售服务费率。但根据适用的相关规定提高该等报酬标准的除外；</w:t>
            </w:r>
          </w:p>
          <w:p w14:paraId="3182C8B1" w14:textId="77777777" w:rsidR="00D27F7F" w:rsidRDefault="00D27F7F">
            <w:pPr>
              <w:spacing w:line="240" w:lineRule="atLeast"/>
              <w:rPr>
                <w:rFonts w:ascii="Times New Roman" w:eastAsia="宋体" w:hAnsi="Times New Roman" w:cs="Times New Roman"/>
                <w:bCs/>
                <w:szCs w:val="21"/>
              </w:rPr>
            </w:pPr>
          </w:p>
          <w:p w14:paraId="0159FE4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但出现下列情况时，可不经基金份额持有人大会决议，由基金管理人和基金托管人同意变更后公布，并报中国证监会备案：</w:t>
            </w:r>
          </w:p>
          <w:p w14:paraId="747BAFD1"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hint="eastAsia"/>
                <w:bCs/>
                <w:szCs w:val="21"/>
              </w:rPr>
              <w:t>调低基金管理费、基金托管费、销售服务费和其他应由基金承担的费用；</w:t>
            </w:r>
          </w:p>
          <w:p w14:paraId="4814EB93"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hint="eastAsia"/>
                <w:bCs/>
                <w:szCs w:val="21"/>
              </w:rPr>
              <w:t>调整基金份额类别设置、对基金份额分类办法及规则进行调整；</w:t>
            </w:r>
          </w:p>
        </w:tc>
      </w:tr>
      <w:tr w:rsidR="00D27F7F" w14:paraId="264A8AE6" w14:textId="77777777">
        <w:tc>
          <w:tcPr>
            <w:tcW w:w="1696" w:type="dxa"/>
          </w:tcPr>
          <w:p w14:paraId="0169EF57" w14:textId="77777777" w:rsidR="00D27F7F" w:rsidRDefault="00A4337A">
            <w:pPr>
              <w:spacing w:line="240" w:lineRule="atLeast"/>
              <w:rPr>
                <w:rFonts w:ascii="宋体" w:eastAsia="宋体" w:hAnsi="宋体"/>
                <w:b/>
                <w:szCs w:val="21"/>
              </w:rPr>
            </w:pPr>
            <w:r>
              <w:rPr>
                <w:rFonts w:ascii="宋体" w:eastAsia="宋体" w:hAnsi="宋体" w:hint="eastAsia"/>
                <w:b/>
                <w:szCs w:val="21"/>
              </w:rPr>
              <w:t>二十、基金合同的变更、终止与基金财产的清算</w:t>
            </w:r>
          </w:p>
        </w:tc>
        <w:tc>
          <w:tcPr>
            <w:tcW w:w="6096" w:type="dxa"/>
          </w:tcPr>
          <w:p w14:paraId="580F8BBC" w14:textId="77777777" w:rsidR="00D27F7F" w:rsidRDefault="00D27F7F">
            <w:pPr>
              <w:spacing w:line="240" w:lineRule="atLeast"/>
              <w:rPr>
                <w:rFonts w:ascii="Times New Roman" w:eastAsia="宋体" w:hAnsi="Times New Roman" w:cs="Times New Roman"/>
                <w:bCs/>
                <w:szCs w:val="21"/>
              </w:rPr>
            </w:pPr>
          </w:p>
        </w:tc>
        <w:tc>
          <w:tcPr>
            <w:tcW w:w="6095" w:type="dxa"/>
          </w:tcPr>
          <w:p w14:paraId="67708ECD"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w:t>
            </w:r>
            <w:r>
              <w:rPr>
                <w:rFonts w:ascii="Times New Roman" w:eastAsia="宋体" w:hAnsi="Times New Roman" w:cs="Times New Roman" w:hint="eastAsia"/>
                <w:bCs/>
                <w:szCs w:val="21"/>
              </w:rPr>
              <w:t>三</w:t>
            </w:r>
            <w:r>
              <w:rPr>
                <w:rFonts w:ascii="Times New Roman" w:eastAsia="宋体" w:hAnsi="Times New Roman" w:cs="Times New Roman" w:hint="eastAsia"/>
                <w:bCs/>
                <w:szCs w:val="21"/>
              </w:rPr>
              <w:t>)</w:t>
            </w:r>
            <w:r>
              <w:rPr>
                <w:rFonts w:ascii="Times New Roman" w:eastAsia="宋体" w:hAnsi="Times New Roman" w:cs="Times New Roman" w:hint="eastAsia"/>
                <w:bCs/>
                <w:szCs w:val="21"/>
              </w:rPr>
              <w:t>基金财产的清算</w:t>
            </w:r>
            <w:r>
              <w:rPr>
                <w:rFonts w:ascii="Times New Roman" w:eastAsia="宋体" w:hAnsi="Times New Roman" w:cs="Times New Roman" w:hint="eastAsia"/>
                <w:bCs/>
                <w:szCs w:val="21"/>
              </w:rPr>
              <w:t xml:space="preserve"> </w:t>
            </w:r>
          </w:p>
          <w:p w14:paraId="64233C2A"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4.</w:t>
            </w:r>
            <w:r>
              <w:rPr>
                <w:rFonts w:ascii="Times New Roman" w:eastAsia="宋体" w:hAnsi="Times New Roman" w:cs="Times New Roman" w:hint="eastAsia"/>
                <w:bCs/>
                <w:szCs w:val="21"/>
              </w:rPr>
              <w:t>基金财产按下列顺序清偿：</w:t>
            </w:r>
          </w:p>
          <w:p w14:paraId="36C81477" w14:textId="77777777" w:rsidR="00D27F7F" w:rsidRDefault="00D27F7F">
            <w:pPr>
              <w:spacing w:line="240" w:lineRule="atLeast"/>
              <w:rPr>
                <w:rFonts w:ascii="Times New Roman" w:eastAsia="宋体" w:hAnsi="Times New Roman" w:cs="Times New Roman"/>
                <w:bCs/>
                <w:szCs w:val="21"/>
              </w:rPr>
            </w:pPr>
          </w:p>
          <w:p w14:paraId="34C5E0B7" w14:textId="77777777" w:rsidR="00D27F7F" w:rsidRDefault="00A4337A">
            <w:pPr>
              <w:spacing w:line="240" w:lineRule="atLeast"/>
              <w:rPr>
                <w:rFonts w:ascii="Times New Roman" w:eastAsia="宋体" w:hAnsi="Times New Roman" w:cs="Times New Roman"/>
                <w:bCs/>
                <w:szCs w:val="21"/>
              </w:rPr>
            </w:pPr>
            <w:r>
              <w:rPr>
                <w:rFonts w:ascii="Times New Roman" w:eastAsia="宋体" w:hAnsi="Times New Roman" w:cs="Times New Roman" w:hint="eastAsia"/>
                <w:bCs/>
                <w:szCs w:val="21"/>
              </w:rPr>
              <w:t>对于投资人通过直销机构申购的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类基金份额所计提的销售服务费，或者通过其他销售机构申购的</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类基金份额持续持有超过一</w:t>
            </w:r>
            <w:r>
              <w:rPr>
                <w:rFonts w:ascii="Times New Roman" w:eastAsia="宋体" w:hAnsi="Times New Roman" w:cs="Times New Roman" w:hint="eastAsia"/>
                <w:bCs/>
                <w:szCs w:val="21"/>
              </w:rPr>
              <w:lastRenderedPageBreak/>
              <w:t>年后所计提的销售服务费，将在基金合同终止时随剩余资产分配款项一并返还给投资人。</w:t>
            </w:r>
          </w:p>
        </w:tc>
      </w:tr>
      <w:bookmarkEnd w:id="1"/>
    </w:tbl>
    <w:p w14:paraId="14BF58CC" w14:textId="77777777" w:rsidR="00D27F7F" w:rsidRDefault="00D27F7F">
      <w:pPr>
        <w:widowControl/>
        <w:jc w:val="center"/>
        <w:rPr>
          <w:rFonts w:ascii="宋体" w:eastAsia="宋体" w:hAnsi="宋体"/>
        </w:rPr>
      </w:pPr>
    </w:p>
    <w:p w14:paraId="0BBE4947" w14:textId="77777777" w:rsidR="00D27F7F" w:rsidRDefault="00A4337A">
      <w:pPr>
        <w:widowControl/>
        <w:jc w:val="left"/>
        <w:rPr>
          <w:rFonts w:ascii="宋体" w:eastAsia="宋体" w:hAnsi="宋体"/>
        </w:rPr>
      </w:pPr>
      <w:r>
        <w:rPr>
          <w:rFonts w:ascii="宋体" w:eastAsia="宋体" w:hAnsi="宋体"/>
        </w:rPr>
        <w:br w:type="page"/>
      </w:r>
    </w:p>
    <w:p w14:paraId="7E247F28" w14:textId="396B8138" w:rsidR="00D27F7F" w:rsidRDefault="00A4337A" w:rsidP="001B1DD3">
      <w:pPr>
        <w:widowControl/>
        <w:jc w:val="center"/>
        <w:rPr>
          <w:b/>
        </w:rPr>
      </w:pPr>
      <w:r>
        <w:rPr>
          <w:rFonts w:hint="eastAsia"/>
          <w:b/>
        </w:rPr>
        <w:lastRenderedPageBreak/>
        <w:t>附件</w:t>
      </w:r>
      <w:r>
        <w:rPr>
          <w:b/>
        </w:rPr>
        <w:t>2</w:t>
      </w:r>
      <w:r>
        <w:rPr>
          <w:b/>
        </w:rPr>
        <w:t>：</w:t>
      </w:r>
      <w:r>
        <w:rPr>
          <w:rFonts w:hint="eastAsia"/>
          <w:b/>
        </w:rPr>
        <w:t>《交银施罗德环球精选价值证券投资基金托管协议》修订前后对照表</w:t>
      </w:r>
    </w:p>
    <w:p w14:paraId="592F2DB9" w14:textId="77777777" w:rsidR="00D27F7F" w:rsidRDefault="00D27F7F">
      <w:pPr>
        <w:jc w:val="center"/>
        <w:rPr>
          <w:b/>
        </w:rPr>
      </w:pPr>
    </w:p>
    <w:tbl>
      <w:tblPr>
        <w:tblStyle w:val="11"/>
        <w:tblW w:w="0" w:type="auto"/>
        <w:tblLook w:val="04A0" w:firstRow="1" w:lastRow="0" w:firstColumn="1" w:lastColumn="0" w:noHBand="0" w:noVBand="1"/>
      </w:tblPr>
      <w:tblGrid>
        <w:gridCol w:w="1696"/>
        <w:gridCol w:w="6096"/>
        <w:gridCol w:w="6095"/>
      </w:tblGrid>
      <w:tr w:rsidR="00D27F7F" w14:paraId="43B47F6D" w14:textId="77777777">
        <w:tc>
          <w:tcPr>
            <w:tcW w:w="1696" w:type="dxa"/>
            <w:tcBorders>
              <w:top w:val="single" w:sz="4" w:space="0" w:color="auto"/>
              <w:left w:val="single" w:sz="4" w:space="0" w:color="auto"/>
              <w:bottom w:val="single" w:sz="4" w:space="0" w:color="auto"/>
              <w:right w:val="single" w:sz="4" w:space="0" w:color="auto"/>
            </w:tcBorders>
          </w:tcPr>
          <w:p w14:paraId="01F9E65B" w14:textId="77777777" w:rsidR="00D27F7F" w:rsidRDefault="00A4337A">
            <w:pPr>
              <w:jc w:val="center"/>
              <w:rPr>
                <w:rFonts w:eastAsia="宋体"/>
                <w:b/>
                <w:szCs w:val="21"/>
              </w:rPr>
            </w:pPr>
            <w:r>
              <w:rPr>
                <w:rFonts w:eastAsia="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tcPr>
          <w:p w14:paraId="6B06E3DC" w14:textId="77777777" w:rsidR="00D27F7F" w:rsidRDefault="00A4337A">
            <w:pPr>
              <w:jc w:val="center"/>
              <w:rPr>
                <w:rFonts w:ascii="Times New Roman" w:eastAsia="宋体" w:hAnsi="Times New Roman"/>
                <w:b/>
                <w:szCs w:val="21"/>
              </w:rPr>
            </w:pPr>
            <w:r>
              <w:rPr>
                <w:rFonts w:ascii="Times New Roman" w:eastAsia="宋体" w:hAnsi="Times New Roman"/>
                <w:b/>
                <w:szCs w:val="21"/>
              </w:rPr>
              <w:t>修订</w:t>
            </w:r>
            <w:r>
              <w:rPr>
                <w:rFonts w:ascii="Times New Roman" w:eastAsia="宋体" w:hAnsi="Times New Roman" w:hint="eastAsia"/>
                <w:b/>
                <w:szCs w:val="21"/>
              </w:rPr>
              <w:t>前</w:t>
            </w:r>
          </w:p>
        </w:tc>
        <w:tc>
          <w:tcPr>
            <w:tcW w:w="6095" w:type="dxa"/>
            <w:tcBorders>
              <w:top w:val="single" w:sz="4" w:space="0" w:color="auto"/>
              <w:left w:val="single" w:sz="4" w:space="0" w:color="auto"/>
              <w:bottom w:val="single" w:sz="4" w:space="0" w:color="auto"/>
              <w:right w:val="single" w:sz="4" w:space="0" w:color="auto"/>
            </w:tcBorders>
          </w:tcPr>
          <w:p w14:paraId="02604E9D" w14:textId="77777777" w:rsidR="00D27F7F" w:rsidRDefault="00A4337A">
            <w:pPr>
              <w:jc w:val="center"/>
              <w:rPr>
                <w:rFonts w:ascii="Times New Roman" w:eastAsia="宋体" w:hAnsi="Times New Roman"/>
                <w:b/>
                <w:szCs w:val="21"/>
              </w:rPr>
            </w:pPr>
            <w:r>
              <w:rPr>
                <w:rFonts w:ascii="Times New Roman" w:eastAsia="宋体" w:hAnsi="Times New Roman"/>
                <w:b/>
                <w:szCs w:val="21"/>
              </w:rPr>
              <w:t>修订后</w:t>
            </w:r>
          </w:p>
        </w:tc>
      </w:tr>
      <w:tr w:rsidR="00D27F7F" w14:paraId="41669F7A" w14:textId="77777777">
        <w:tc>
          <w:tcPr>
            <w:tcW w:w="1696" w:type="dxa"/>
            <w:tcBorders>
              <w:top w:val="single" w:sz="4" w:space="0" w:color="auto"/>
              <w:left w:val="single" w:sz="4" w:space="0" w:color="auto"/>
              <w:bottom w:val="single" w:sz="4" w:space="0" w:color="auto"/>
              <w:right w:val="single" w:sz="4" w:space="0" w:color="auto"/>
            </w:tcBorders>
          </w:tcPr>
          <w:p w14:paraId="7E8960BF" w14:textId="6C490C58" w:rsidR="00D27F7F" w:rsidRDefault="00D27F7F">
            <w:pPr>
              <w:rPr>
                <w:rFonts w:eastAsia="宋体"/>
                <w:b/>
                <w:szCs w:val="21"/>
              </w:rPr>
            </w:pPr>
          </w:p>
        </w:tc>
        <w:tc>
          <w:tcPr>
            <w:tcW w:w="6096" w:type="dxa"/>
            <w:tcBorders>
              <w:top w:val="single" w:sz="4" w:space="0" w:color="auto"/>
              <w:left w:val="single" w:sz="4" w:space="0" w:color="auto"/>
              <w:bottom w:val="single" w:sz="4" w:space="0" w:color="auto"/>
              <w:right w:val="single" w:sz="4" w:space="0" w:color="auto"/>
            </w:tcBorders>
          </w:tcPr>
          <w:p w14:paraId="7DF42B05" w14:textId="066B4142" w:rsidR="00D27F7F" w:rsidRDefault="00D27F7F">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58D6BEE8" w14:textId="6E113E57" w:rsidR="00D27F7F" w:rsidRDefault="00A4337A">
            <w:pPr>
              <w:rPr>
                <w:rFonts w:ascii="Times New Roman" w:eastAsia="宋体" w:hAnsi="Times New Roman"/>
                <w:szCs w:val="21"/>
              </w:rPr>
            </w:pPr>
            <w:r>
              <w:rPr>
                <w:rFonts w:ascii="Times New Roman" w:eastAsia="宋体" w:hAnsi="Times New Roman" w:hint="eastAsia"/>
                <w:szCs w:val="21"/>
              </w:rPr>
              <w:t>若本基金实施侧袋机制的，侧袋机制实施期间的相关安排见基金合同和招募说明书的规定。</w:t>
            </w:r>
          </w:p>
        </w:tc>
      </w:tr>
      <w:tr w:rsidR="00D27F7F" w14:paraId="1D46B5B3" w14:textId="77777777">
        <w:tc>
          <w:tcPr>
            <w:tcW w:w="1696" w:type="dxa"/>
            <w:tcBorders>
              <w:top w:val="single" w:sz="4" w:space="0" w:color="auto"/>
              <w:left w:val="single" w:sz="4" w:space="0" w:color="auto"/>
              <w:bottom w:val="single" w:sz="4" w:space="0" w:color="auto"/>
              <w:right w:val="single" w:sz="4" w:space="0" w:color="auto"/>
            </w:tcBorders>
          </w:tcPr>
          <w:p w14:paraId="1900D2F4" w14:textId="3569F66F" w:rsidR="00D27F7F" w:rsidRDefault="00A4337A">
            <w:pPr>
              <w:rPr>
                <w:rFonts w:eastAsia="宋体"/>
                <w:b/>
                <w:szCs w:val="21"/>
              </w:rPr>
            </w:pPr>
            <w:r>
              <w:rPr>
                <w:rFonts w:eastAsia="宋体" w:hint="eastAsia"/>
                <w:b/>
                <w:szCs w:val="21"/>
              </w:rPr>
              <w:t>一、基金托管协议当事人</w:t>
            </w:r>
          </w:p>
        </w:tc>
        <w:tc>
          <w:tcPr>
            <w:tcW w:w="6096" w:type="dxa"/>
            <w:tcBorders>
              <w:top w:val="single" w:sz="4" w:space="0" w:color="auto"/>
              <w:left w:val="single" w:sz="4" w:space="0" w:color="auto"/>
              <w:bottom w:val="single" w:sz="4" w:space="0" w:color="auto"/>
              <w:right w:val="single" w:sz="4" w:space="0" w:color="auto"/>
            </w:tcBorders>
          </w:tcPr>
          <w:p w14:paraId="4FA9A6FE" w14:textId="77777777" w:rsidR="00D27F7F" w:rsidRDefault="00A4337A">
            <w:pPr>
              <w:rPr>
                <w:rFonts w:ascii="Times New Roman" w:eastAsia="宋体" w:hAnsi="Times New Roman"/>
                <w:szCs w:val="21"/>
              </w:rPr>
            </w:pPr>
            <w:r>
              <w:rPr>
                <w:rFonts w:ascii="Times New Roman" w:eastAsia="宋体" w:hAnsi="Times New Roman" w:hint="eastAsia"/>
                <w:szCs w:val="21"/>
              </w:rPr>
              <w:t>（一）基金管理人</w:t>
            </w:r>
          </w:p>
          <w:p w14:paraId="3A783BA2" w14:textId="77777777" w:rsidR="00D27F7F" w:rsidRDefault="00A4337A">
            <w:pPr>
              <w:rPr>
                <w:rFonts w:ascii="Times New Roman" w:eastAsia="宋体" w:hAnsi="Times New Roman"/>
                <w:szCs w:val="21"/>
              </w:rPr>
            </w:pPr>
            <w:r>
              <w:rPr>
                <w:rFonts w:ascii="Times New Roman" w:eastAsia="宋体" w:hAnsi="Times New Roman" w:hint="eastAsia"/>
                <w:szCs w:val="21"/>
              </w:rPr>
              <w:t>经营范围：基金管理业务、发起设立基金及中国证券监督管理委员会批准的其他业务</w:t>
            </w:r>
          </w:p>
        </w:tc>
        <w:tc>
          <w:tcPr>
            <w:tcW w:w="6095" w:type="dxa"/>
            <w:tcBorders>
              <w:top w:val="single" w:sz="4" w:space="0" w:color="auto"/>
              <w:left w:val="single" w:sz="4" w:space="0" w:color="auto"/>
              <w:bottom w:val="single" w:sz="4" w:space="0" w:color="auto"/>
              <w:right w:val="single" w:sz="4" w:space="0" w:color="auto"/>
            </w:tcBorders>
          </w:tcPr>
          <w:p w14:paraId="31949C21" w14:textId="77777777" w:rsidR="00D27F7F" w:rsidRDefault="00A4337A">
            <w:pPr>
              <w:rPr>
                <w:rFonts w:ascii="Times New Roman" w:eastAsia="宋体" w:hAnsi="Times New Roman"/>
                <w:szCs w:val="21"/>
              </w:rPr>
            </w:pPr>
            <w:r>
              <w:rPr>
                <w:rFonts w:ascii="Times New Roman" w:eastAsia="宋体" w:hAnsi="Times New Roman" w:hint="eastAsia"/>
                <w:szCs w:val="21"/>
              </w:rPr>
              <w:t>（一）基金管理人</w:t>
            </w:r>
          </w:p>
          <w:p w14:paraId="2D367582" w14:textId="3D1FDEE2" w:rsidR="00D27F7F" w:rsidRDefault="00A4337A">
            <w:pPr>
              <w:rPr>
                <w:rFonts w:ascii="Times New Roman" w:eastAsia="宋体" w:hAnsi="Times New Roman"/>
                <w:szCs w:val="21"/>
              </w:rPr>
            </w:pPr>
            <w:r>
              <w:rPr>
                <w:rFonts w:ascii="Times New Roman" w:eastAsia="宋体" w:hAnsi="Times New Roman" w:hint="eastAsia"/>
                <w:szCs w:val="21"/>
              </w:rPr>
              <w:t>经营范围：基金募集、基金销售、资产管理和中国证监会许可的其他业务</w:t>
            </w:r>
          </w:p>
        </w:tc>
      </w:tr>
      <w:tr w:rsidR="00D27F7F" w14:paraId="257F5D0E" w14:textId="77777777">
        <w:tc>
          <w:tcPr>
            <w:tcW w:w="1696" w:type="dxa"/>
            <w:tcBorders>
              <w:top w:val="single" w:sz="4" w:space="0" w:color="auto"/>
              <w:left w:val="single" w:sz="4" w:space="0" w:color="auto"/>
              <w:bottom w:val="single" w:sz="4" w:space="0" w:color="auto"/>
              <w:right w:val="single" w:sz="4" w:space="0" w:color="auto"/>
            </w:tcBorders>
          </w:tcPr>
          <w:p w14:paraId="3CB553B8" w14:textId="0AB666C9" w:rsidR="00D27F7F" w:rsidRDefault="00A4337A">
            <w:pPr>
              <w:rPr>
                <w:rFonts w:eastAsia="宋体"/>
                <w:b/>
                <w:szCs w:val="21"/>
              </w:rPr>
            </w:pPr>
            <w:r>
              <w:rPr>
                <w:rFonts w:eastAsia="宋体" w:hint="eastAsia"/>
                <w:b/>
                <w:szCs w:val="21"/>
              </w:rPr>
              <w:t>三、基金托管人的受托职责和托管职责</w:t>
            </w:r>
          </w:p>
        </w:tc>
        <w:tc>
          <w:tcPr>
            <w:tcW w:w="6096" w:type="dxa"/>
            <w:tcBorders>
              <w:top w:val="single" w:sz="4" w:space="0" w:color="auto"/>
              <w:left w:val="single" w:sz="4" w:space="0" w:color="auto"/>
              <w:bottom w:val="single" w:sz="4" w:space="0" w:color="auto"/>
              <w:right w:val="single" w:sz="4" w:space="0" w:color="auto"/>
            </w:tcBorders>
          </w:tcPr>
          <w:p w14:paraId="13597C75" w14:textId="1291E8F7" w:rsidR="00D27F7F" w:rsidRDefault="00A4337A">
            <w:pPr>
              <w:rPr>
                <w:rFonts w:ascii="Times New Roman" w:eastAsia="宋体" w:hAnsi="Times New Roman"/>
                <w:szCs w:val="21"/>
              </w:rPr>
            </w:pPr>
            <w:r>
              <w:rPr>
                <w:rFonts w:ascii="Times New Roman" w:eastAsia="宋体" w:hAnsi="Times New Roman" w:hint="eastAsia"/>
                <w:szCs w:val="21"/>
              </w:rPr>
              <w:t>（一）基金托管人应当按照有关法律法规履行下列受托人职责：</w:t>
            </w:r>
          </w:p>
          <w:p w14:paraId="6B085A56" w14:textId="02A30B33" w:rsidR="00D27F7F" w:rsidRDefault="00A4337A">
            <w:pP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确保基金的份额净值按照有关法律法规、基金合同规定的方法进行计算；</w:t>
            </w:r>
          </w:p>
        </w:tc>
        <w:tc>
          <w:tcPr>
            <w:tcW w:w="6095" w:type="dxa"/>
            <w:tcBorders>
              <w:top w:val="single" w:sz="4" w:space="0" w:color="auto"/>
              <w:left w:val="single" w:sz="4" w:space="0" w:color="auto"/>
              <w:bottom w:val="single" w:sz="4" w:space="0" w:color="auto"/>
              <w:right w:val="single" w:sz="4" w:space="0" w:color="auto"/>
            </w:tcBorders>
          </w:tcPr>
          <w:p w14:paraId="3A7E7A2C" w14:textId="77777777" w:rsidR="00D27F7F" w:rsidRDefault="00A4337A">
            <w:pPr>
              <w:rPr>
                <w:rFonts w:ascii="Times New Roman" w:eastAsia="宋体" w:hAnsi="Times New Roman"/>
                <w:szCs w:val="21"/>
              </w:rPr>
            </w:pPr>
            <w:r>
              <w:rPr>
                <w:rFonts w:ascii="Times New Roman" w:eastAsia="宋体" w:hAnsi="Times New Roman" w:hint="eastAsia"/>
                <w:szCs w:val="21"/>
              </w:rPr>
              <w:t>（一）基金托管人应当按照有关法律法规履行下列受托人职责：</w:t>
            </w:r>
          </w:p>
          <w:p w14:paraId="2121B73D" w14:textId="43F1513C" w:rsidR="00D27F7F" w:rsidRDefault="00A4337A">
            <w:pP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确保基金的各类基金份额净值按照有关法律法规、基金合同规定的方法进行计算；</w:t>
            </w:r>
          </w:p>
        </w:tc>
      </w:tr>
      <w:tr w:rsidR="00D27F7F" w14:paraId="7EBB4B22" w14:textId="77777777">
        <w:tc>
          <w:tcPr>
            <w:tcW w:w="1696" w:type="dxa"/>
            <w:tcBorders>
              <w:top w:val="single" w:sz="4" w:space="0" w:color="auto"/>
              <w:left w:val="single" w:sz="4" w:space="0" w:color="auto"/>
              <w:bottom w:val="single" w:sz="4" w:space="0" w:color="auto"/>
              <w:right w:val="single" w:sz="4" w:space="0" w:color="auto"/>
            </w:tcBorders>
          </w:tcPr>
          <w:p w14:paraId="222196EA" w14:textId="1F1ED715" w:rsidR="00D27F7F" w:rsidRDefault="00A4337A">
            <w:pPr>
              <w:rPr>
                <w:rFonts w:eastAsia="宋体"/>
                <w:b/>
                <w:szCs w:val="21"/>
              </w:rPr>
            </w:pPr>
            <w:r>
              <w:rPr>
                <w:rFonts w:eastAsia="宋体" w:hint="eastAsia"/>
                <w:b/>
                <w:szCs w:val="21"/>
              </w:rPr>
              <w:t>四、基金托管人对基金管理人的业务监督和核查</w:t>
            </w:r>
          </w:p>
        </w:tc>
        <w:tc>
          <w:tcPr>
            <w:tcW w:w="6096" w:type="dxa"/>
            <w:tcBorders>
              <w:top w:val="single" w:sz="4" w:space="0" w:color="auto"/>
              <w:left w:val="single" w:sz="4" w:space="0" w:color="auto"/>
              <w:bottom w:val="single" w:sz="4" w:space="0" w:color="auto"/>
              <w:right w:val="single" w:sz="4" w:space="0" w:color="auto"/>
            </w:tcBorders>
          </w:tcPr>
          <w:p w14:paraId="7DA744A7" w14:textId="7D2E0F4D" w:rsidR="00D27F7F" w:rsidRDefault="00A4337A">
            <w:pPr>
              <w:rPr>
                <w:rFonts w:ascii="Times New Roman" w:eastAsia="宋体" w:hAnsi="Times New Roman"/>
                <w:szCs w:val="21"/>
              </w:rPr>
            </w:pPr>
            <w:r>
              <w:rPr>
                <w:rFonts w:ascii="Times New Roman" w:eastAsia="宋体" w:hAnsi="Times New Roman" w:hint="eastAsia"/>
                <w:szCs w:val="21"/>
              </w:rPr>
              <w:t>（四）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tc>
        <w:tc>
          <w:tcPr>
            <w:tcW w:w="6095" w:type="dxa"/>
            <w:tcBorders>
              <w:top w:val="single" w:sz="4" w:space="0" w:color="auto"/>
              <w:left w:val="single" w:sz="4" w:space="0" w:color="auto"/>
              <w:bottom w:val="single" w:sz="4" w:space="0" w:color="auto"/>
              <w:right w:val="single" w:sz="4" w:space="0" w:color="auto"/>
            </w:tcBorders>
          </w:tcPr>
          <w:p w14:paraId="1501BCF9" w14:textId="111E4B76" w:rsidR="00D27F7F" w:rsidRDefault="00A4337A">
            <w:pPr>
              <w:rPr>
                <w:rFonts w:ascii="Times New Roman" w:eastAsia="宋体" w:hAnsi="Times New Roman"/>
                <w:szCs w:val="21"/>
              </w:rPr>
            </w:pPr>
            <w:r>
              <w:rPr>
                <w:rFonts w:ascii="Times New Roman" w:eastAsia="宋体" w:hAnsi="Times New Roman" w:hint="eastAsia"/>
                <w:szCs w:val="21"/>
              </w:rPr>
              <w:t>（四）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tc>
      </w:tr>
      <w:tr w:rsidR="00D27F7F" w14:paraId="7D719038" w14:textId="77777777">
        <w:tc>
          <w:tcPr>
            <w:tcW w:w="1696" w:type="dxa"/>
            <w:tcBorders>
              <w:top w:val="single" w:sz="4" w:space="0" w:color="auto"/>
              <w:left w:val="single" w:sz="4" w:space="0" w:color="auto"/>
              <w:bottom w:val="single" w:sz="4" w:space="0" w:color="auto"/>
              <w:right w:val="single" w:sz="4" w:space="0" w:color="auto"/>
            </w:tcBorders>
          </w:tcPr>
          <w:p w14:paraId="723E5DC5" w14:textId="60185F21" w:rsidR="00D27F7F" w:rsidRDefault="00A4337A">
            <w:pPr>
              <w:jc w:val="left"/>
              <w:rPr>
                <w:rFonts w:eastAsia="宋体"/>
                <w:b/>
                <w:szCs w:val="21"/>
              </w:rPr>
            </w:pPr>
            <w:r>
              <w:rPr>
                <w:rFonts w:eastAsia="宋体" w:hint="eastAsia"/>
                <w:b/>
                <w:szCs w:val="21"/>
              </w:rPr>
              <w:t>五、基金管理人对基金托管人的业务核查</w:t>
            </w:r>
          </w:p>
        </w:tc>
        <w:tc>
          <w:tcPr>
            <w:tcW w:w="6096" w:type="dxa"/>
            <w:tcBorders>
              <w:top w:val="single" w:sz="4" w:space="0" w:color="auto"/>
              <w:left w:val="single" w:sz="4" w:space="0" w:color="auto"/>
              <w:bottom w:val="single" w:sz="4" w:space="0" w:color="auto"/>
              <w:right w:val="single" w:sz="4" w:space="0" w:color="auto"/>
            </w:tcBorders>
          </w:tcPr>
          <w:p w14:paraId="0FB701E4" w14:textId="07F0445B" w:rsidR="00D27F7F" w:rsidRDefault="00A4337A">
            <w:pPr>
              <w:rPr>
                <w:rFonts w:ascii="Times New Roman" w:eastAsia="宋体" w:hAnsi="Times New Roman"/>
                <w:szCs w:val="21"/>
              </w:rPr>
            </w:pPr>
            <w:r>
              <w:rPr>
                <w:rFonts w:ascii="Times New Roman" w:eastAsia="宋体" w:hAnsi="Times New Roman" w:hint="eastAsia"/>
                <w:szCs w:val="21"/>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tc>
        <w:tc>
          <w:tcPr>
            <w:tcW w:w="6095" w:type="dxa"/>
            <w:tcBorders>
              <w:top w:val="single" w:sz="4" w:space="0" w:color="auto"/>
              <w:left w:val="single" w:sz="4" w:space="0" w:color="auto"/>
              <w:bottom w:val="single" w:sz="4" w:space="0" w:color="auto"/>
              <w:right w:val="single" w:sz="4" w:space="0" w:color="auto"/>
            </w:tcBorders>
          </w:tcPr>
          <w:p w14:paraId="217E1829" w14:textId="230A7095" w:rsidR="00D27F7F" w:rsidRDefault="00A4337A">
            <w:pPr>
              <w:rPr>
                <w:rFonts w:ascii="Times New Roman" w:eastAsia="宋体" w:hAnsi="Times New Roman"/>
                <w:szCs w:val="21"/>
              </w:rPr>
            </w:pPr>
            <w:r>
              <w:rPr>
                <w:rFonts w:ascii="Times New Roman" w:eastAsia="宋体" w:hAnsi="Times New Roman" w:hint="eastAsia"/>
                <w:szCs w:val="21"/>
              </w:rPr>
              <w:t>（一）基金管理人对基金托管人履行托管职责情况进行核查，核查事项包括基金托管人安全保管基金财产、开设基金财产的资金账户和证券账户、复核基金管理人计算的基金资产净值和各类基金份额净值、根据基金管理人指令办理清算交收、相关信息披露和监督基金投资运作等行为。</w:t>
            </w:r>
          </w:p>
        </w:tc>
      </w:tr>
      <w:tr w:rsidR="00D27F7F" w14:paraId="706BB115" w14:textId="77777777">
        <w:tc>
          <w:tcPr>
            <w:tcW w:w="1696" w:type="dxa"/>
            <w:tcBorders>
              <w:top w:val="single" w:sz="4" w:space="0" w:color="auto"/>
              <w:left w:val="single" w:sz="4" w:space="0" w:color="auto"/>
              <w:bottom w:val="single" w:sz="4" w:space="0" w:color="auto"/>
              <w:right w:val="single" w:sz="4" w:space="0" w:color="auto"/>
            </w:tcBorders>
          </w:tcPr>
          <w:p w14:paraId="08B69E72" w14:textId="77777777" w:rsidR="00D27F7F" w:rsidRDefault="00A4337A">
            <w:pPr>
              <w:jc w:val="left"/>
              <w:rPr>
                <w:rFonts w:eastAsia="宋体"/>
                <w:b/>
                <w:szCs w:val="21"/>
              </w:rPr>
            </w:pPr>
            <w:r>
              <w:rPr>
                <w:rFonts w:eastAsia="宋体" w:hint="eastAsia"/>
                <w:b/>
                <w:szCs w:val="21"/>
              </w:rPr>
              <w:t>九、基金申购、赎回与分红安排</w:t>
            </w:r>
          </w:p>
        </w:tc>
        <w:tc>
          <w:tcPr>
            <w:tcW w:w="6096" w:type="dxa"/>
            <w:tcBorders>
              <w:top w:val="single" w:sz="4" w:space="0" w:color="auto"/>
              <w:left w:val="single" w:sz="4" w:space="0" w:color="auto"/>
              <w:bottom w:val="single" w:sz="4" w:space="0" w:color="auto"/>
              <w:right w:val="single" w:sz="4" w:space="0" w:color="auto"/>
            </w:tcBorders>
          </w:tcPr>
          <w:p w14:paraId="60E936AE" w14:textId="77777777" w:rsidR="00D27F7F" w:rsidRDefault="00A4337A">
            <w:pPr>
              <w:rPr>
                <w:rFonts w:ascii="Times New Roman" w:eastAsia="宋体" w:hAnsi="Times New Roman"/>
                <w:szCs w:val="21"/>
              </w:rPr>
            </w:pPr>
            <w:r>
              <w:rPr>
                <w:rFonts w:ascii="Times New Roman" w:eastAsia="宋体" w:hAnsi="Times New Roman" w:hint="eastAsia"/>
                <w:szCs w:val="21"/>
              </w:rPr>
              <w:t>（三）赎回资金</w:t>
            </w:r>
          </w:p>
          <w:p w14:paraId="6DE3A50C"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基金管理人在账户资金充足、划款指令于</w:t>
            </w:r>
            <w:r>
              <w:rPr>
                <w:rFonts w:ascii="Times New Roman" w:eastAsia="宋体" w:hAnsi="Times New Roman" w:hint="eastAsia"/>
                <w:szCs w:val="21"/>
              </w:rPr>
              <w:t>T+3</w:t>
            </w:r>
            <w:r>
              <w:rPr>
                <w:rFonts w:ascii="Times New Roman" w:eastAsia="宋体" w:hAnsi="Times New Roman" w:hint="eastAsia"/>
                <w:szCs w:val="21"/>
              </w:rPr>
              <w:t>日</w:t>
            </w:r>
            <w:r>
              <w:rPr>
                <w:rFonts w:ascii="Times New Roman" w:eastAsia="宋体" w:hAnsi="Times New Roman" w:hint="eastAsia"/>
                <w:szCs w:val="21"/>
              </w:rPr>
              <w:t>10</w:t>
            </w:r>
            <w:r>
              <w:rPr>
                <w:rFonts w:ascii="Times New Roman" w:eastAsia="宋体" w:hAnsi="Times New Roman" w:hint="eastAsia"/>
                <w:szCs w:val="21"/>
              </w:rPr>
              <w:t>：</w:t>
            </w:r>
            <w:r>
              <w:rPr>
                <w:rFonts w:ascii="Times New Roman" w:eastAsia="宋体" w:hAnsi="Times New Roman" w:hint="eastAsia"/>
                <w:szCs w:val="21"/>
              </w:rPr>
              <w:t>30</w:t>
            </w:r>
            <w:r>
              <w:rPr>
                <w:rFonts w:ascii="Times New Roman" w:eastAsia="宋体" w:hAnsi="Times New Roman" w:hint="eastAsia"/>
                <w:szCs w:val="21"/>
              </w:rPr>
              <w:t>前向基金托管人发出的条件下，基金托管人将赎回资金</w:t>
            </w:r>
            <w:r>
              <w:rPr>
                <w:rFonts w:ascii="Times New Roman" w:eastAsia="宋体" w:hAnsi="Times New Roman" w:hint="eastAsia"/>
                <w:szCs w:val="21"/>
              </w:rPr>
              <w:t>(</w:t>
            </w:r>
            <w:r>
              <w:rPr>
                <w:rFonts w:ascii="Times New Roman" w:eastAsia="宋体" w:hAnsi="Times New Roman" w:hint="eastAsia"/>
                <w:szCs w:val="21"/>
              </w:rPr>
              <w:t>含赎回费</w:t>
            </w:r>
            <w:r>
              <w:rPr>
                <w:rFonts w:ascii="Times New Roman" w:eastAsia="宋体" w:hAnsi="Times New Roman" w:hint="eastAsia"/>
                <w:szCs w:val="21"/>
              </w:rPr>
              <w:t>)</w:t>
            </w:r>
            <w:r>
              <w:rPr>
                <w:rFonts w:ascii="Times New Roman" w:eastAsia="宋体" w:hAnsi="Times New Roman" w:hint="eastAsia"/>
                <w:szCs w:val="21"/>
              </w:rPr>
              <w:t>于</w:t>
            </w:r>
            <w:r>
              <w:rPr>
                <w:rFonts w:ascii="Times New Roman" w:eastAsia="宋体" w:hAnsi="Times New Roman" w:hint="eastAsia"/>
                <w:szCs w:val="21"/>
              </w:rPr>
              <w:t>T</w:t>
            </w:r>
            <w:r>
              <w:rPr>
                <w:rFonts w:ascii="Times New Roman" w:eastAsia="宋体" w:hAnsi="Times New Roman"/>
                <w:szCs w:val="21"/>
              </w:rPr>
              <w:t>+7</w:t>
            </w:r>
            <w:r>
              <w:rPr>
                <w:rFonts w:ascii="Times New Roman" w:eastAsia="宋体" w:hAnsi="Times New Roman" w:hint="eastAsia"/>
                <w:szCs w:val="21"/>
              </w:rPr>
              <w:t>日</w:t>
            </w:r>
            <w:r>
              <w:rPr>
                <w:rFonts w:ascii="Times New Roman" w:eastAsia="宋体" w:hAnsi="Times New Roman" w:hint="eastAsia"/>
                <w:szCs w:val="21"/>
              </w:rPr>
              <w:t xml:space="preserve"> 10</w:t>
            </w:r>
            <w:r>
              <w:rPr>
                <w:rFonts w:ascii="Times New Roman" w:eastAsia="宋体" w:hAnsi="Times New Roman" w:hint="eastAsia"/>
                <w:szCs w:val="21"/>
              </w:rPr>
              <w:t>：</w:t>
            </w:r>
            <w:r>
              <w:rPr>
                <w:rFonts w:ascii="Times New Roman" w:eastAsia="宋体" w:hAnsi="Times New Roman" w:hint="eastAsia"/>
                <w:szCs w:val="21"/>
              </w:rPr>
              <w:t>30</w:t>
            </w:r>
            <w:r>
              <w:rPr>
                <w:rFonts w:ascii="Times New Roman" w:eastAsia="宋体" w:hAnsi="Times New Roman" w:hint="eastAsia"/>
                <w:szCs w:val="21"/>
              </w:rPr>
              <w:t>上午划往基金管理人指定的</w:t>
            </w:r>
            <w:r>
              <w:rPr>
                <w:rFonts w:ascii="Times New Roman" w:eastAsia="宋体" w:hAnsi="Times New Roman" w:hint="eastAsia"/>
                <w:szCs w:val="21"/>
              </w:rPr>
              <w:t>TA</w:t>
            </w:r>
            <w:r>
              <w:rPr>
                <w:rFonts w:ascii="Times New Roman" w:eastAsia="宋体" w:hAnsi="Times New Roman" w:hint="eastAsia"/>
                <w:szCs w:val="21"/>
              </w:rPr>
              <w:t>专用账户。特殊情况时，双方协商处理。划款当日基金管理人和基金托管人对赎回资金进行账务处理。</w:t>
            </w:r>
          </w:p>
        </w:tc>
        <w:tc>
          <w:tcPr>
            <w:tcW w:w="6095" w:type="dxa"/>
            <w:tcBorders>
              <w:top w:val="single" w:sz="4" w:space="0" w:color="auto"/>
              <w:left w:val="single" w:sz="4" w:space="0" w:color="auto"/>
              <w:bottom w:val="single" w:sz="4" w:space="0" w:color="auto"/>
              <w:right w:val="single" w:sz="4" w:space="0" w:color="auto"/>
            </w:tcBorders>
          </w:tcPr>
          <w:p w14:paraId="513FB685" w14:textId="77777777" w:rsidR="00D27F7F" w:rsidRDefault="00A4337A">
            <w:pPr>
              <w:rPr>
                <w:rFonts w:ascii="Times New Roman" w:eastAsia="宋体" w:hAnsi="Times New Roman"/>
                <w:szCs w:val="21"/>
              </w:rPr>
            </w:pPr>
            <w:r>
              <w:rPr>
                <w:rFonts w:ascii="Times New Roman" w:eastAsia="宋体" w:hAnsi="Times New Roman" w:hint="eastAsia"/>
                <w:szCs w:val="21"/>
              </w:rPr>
              <w:t>（三）赎回资金</w:t>
            </w:r>
          </w:p>
          <w:p w14:paraId="1449DB38"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基金管理人在账户资金充足、划款指令于</w:t>
            </w:r>
            <w:r>
              <w:rPr>
                <w:rFonts w:ascii="Times New Roman" w:eastAsia="宋体" w:hAnsi="Times New Roman" w:hint="eastAsia"/>
                <w:szCs w:val="21"/>
              </w:rPr>
              <w:t>T+3</w:t>
            </w:r>
            <w:r>
              <w:rPr>
                <w:rFonts w:ascii="Times New Roman" w:eastAsia="宋体" w:hAnsi="Times New Roman" w:hint="eastAsia"/>
                <w:szCs w:val="21"/>
              </w:rPr>
              <w:t>日</w:t>
            </w:r>
            <w:r>
              <w:rPr>
                <w:rFonts w:ascii="Times New Roman" w:eastAsia="宋体" w:hAnsi="Times New Roman" w:hint="eastAsia"/>
                <w:szCs w:val="21"/>
              </w:rPr>
              <w:t>10</w:t>
            </w:r>
            <w:r>
              <w:rPr>
                <w:rFonts w:ascii="Times New Roman" w:eastAsia="宋体" w:hAnsi="Times New Roman" w:hint="eastAsia"/>
                <w:szCs w:val="21"/>
              </w:rPr>
              <w:t>：</w:t>
            </w:r>
            <w:r>
              <w:rPr>
                <w:rFonts w:ascii="Times New Roman" w:eastAsia="宋体" w:hAnsi="Times New Roman" w:hint="eastAsia"/>
                <w:szCs w:val="21"/>
              </w:rPr>
              <w:t>30</w:t>
            </w:r>
            <w:r>
              <w:rPr>
                <w:rFonts w:ascii="Times New Roman" w:eastAsia="宋体" w:hAnsi="Times New Roman" w:hint="eastAsia"/>
                <w:szCs w:val="21"/>
              </w:rPr>
              <w:t>前向基金托管人发出的条件下，基金托管人将赎回资金</w:t>
            </w:r>
            <w:r>
              <w:rPr>
                <w:rFonts w:ascii="Times New Roman" w:eastAsia="宋体" w:hAnsi="Times New Roman" w:hint="eastAsia"/>
                <w:szCs w:val="21"/>
              </w:rPr>
              <w:t>(</w:t>
            </w:r>
            <w:r>
              <w:rPr>
                <w:rFonts w:ascii="Times New Roman" w:eastAsia="宋体" w:hAnsi="Times New Roman" w:hint="eastAsia"/>
                <w:szCs w:val="21"/>
              </w:rPr>
              <w:t>含赎回费</w:t>
            </w:r>
            <w:r>
              <w:rPr>
                <w:rFonts w:ascii="Times New Roman" w:eastAsia="宋体" w:hAnsi="Times New Roman" w:hint="eastAsia"/>
                <w:szCs w:val="21"/>
              </w:rPr>
              <w:t>)</w:t>
            </w:r>
            <w:r>
              <w:rPr>
                <w:rFonts w:ascii="Times New Roman" w:eastAsia="宋体" w:hAnsi="Times New Roman" w:hint="eastAsia"/>
                <w:szCs w:val="21"/>
              </w:rPr>
              <w:t>于</w:t>
            </w:r>
            <w:r>
              <w:rPr>
                <w:rFonts w:ascii="Times New Roman" w:eastAsia="宋体" w:hAnsi="Times New Roman" w:hint="eastAsia"/>
                <w:szCs w:val="21"/>
              </w:rPr>
              <w:t>T</w:t>
            </w:r>
            <w:r>
              <w:rPr>
                <w:rFonts w:ascii="Times New Roman" w:eastAsia="宋体" w:hAnsi="Times New Roman"/>
                <w:szCs w:val="21"/>
              </w:rPr>
              <w:t>+7</w:t>
            </w:r>
            <w:r>
              <w:rPr>
                <w:rFonts w:ascii="Times New Roman" w:eastAsia="宋体" w:hAnsi="Times New Roman" w:hint="eastAsia"/>
                <w:szCs w:val="21"/>
              </w:rPr>
              <w:t>日内</w:t>
            </w:r>
            <w:r>
              <w:rPr>
                <w:rFonts w:ascii="Times New Roman" w:eastAsia="宋体" w:hAnsi="Times New Roman" w:hint="eastAsia"/>
                <w:szCs w:val="21"/>
              </w:rPr>
              <w:t xml:space="preserve"> 10</w:t>
            </w:r>
            <w:r>
              <w:rPr>
                <w:rFonts w:ascii="Times New Roman" w:eastAsia="宋体" w:hAnsi="Times New Roman" w:hint="eastAsia"/>
                <w:szCs w:val="21"/>
              </w:rPr>
              <w:t>：</w:t>
            </w:r>
            <w:r>
              <w:rPr>
                <w:rFonts w:ascii="Times New Roman" w:eastAsia="宋体" w:hAnsi="Times New Roman" w:hint="eastAsia"/>
                <w:szCs w:val="21"/>
              </w:rPr>
              <w:t>30</w:t>
            </w:r>
            <w:r>
              <w:rPr>
                <w:rFonts w:ascii="Times New Roman" w:eastAsia="宋体" w:hAnsi="Times New Roman" w:hint="eastAsia"/>
                <w:szCs w:val="21"/>
              </w:rPr>
              <w:t>上午划往基金管理人指定的</w:t>
            </w:r>
            <w:r>
              <w:rPr>
                <w:rFonts w:ascii="Times New Roman" w:eastAsia="宋体" w:hAnsi="Times New Roman" w:hint="eastAsia"/>
                <w:szCs w:val="21"/>
              </w:rPr>
              <w:t>TA</w:t>
            </w:r>
            <w:r>
              <w:rPr>
                <w:rFonts w:ascii="Times New Roman" w:eastAsia="宋体" w:hAnsi="Times New Roman" w:hint="eastAsia"/>
                <w:szCs w:val="21"/>
              </w:rPr>
              <w:t>专用账户。特殊情况时，双方协商处理。划款当日基金管理人和基金托管人对赎回资金进行账务处理。</w:t>
            </w:r>
          </w:p>
        </w:tc>
      </w:tr>
      <w:tr w:rsidR="00D27F7F" w14:paraId="28EC0E17" w14:textId="77777777">
        <w:tc>
          <w:tcPr>
            <w:tcW w:w="1696" w:type="dxa"/>
            <w:tcBorders>
              <w:top w:val="single" w:sz="4" w:space="0" w:color="auto"/>
              <w:left w:val="single" w:sz="4" w:space="0" w:color="auto"/>
              <w:bottom w:val="single" w:sz="4" w:space="0" w:color="auto"/>
              <w:right w:val="single" w:sz="4" w:space="0" w:color="auto"/>
            </w:tcBorders>
          </w:tcPr>
          <w:p w14:paraId="6E75663E" w14:textId="71B28803" w:rsidR="00D27F7F" w:rsidRDefault="00A4337A">
            <w:pPr>
              <w:jc w:val="left"/>
              <w:rPr>
                <w:rFonts w:eastAsia="宋体"/>
                <w:b/>
                <w:szCs w:val="21"/>
              </w:rPr>
            </w:pPr>
            <w:r>
              <w:rPr>
                <w:rFonts w:eastAsia="宋体" w:hint="eastAsia"/>
                <w:b/>
                <w:szCs w:val="21"/>
              </w:rPr>
              <w:lastRenderedPageBreak/>
              <w:t>十、基金资产净值计算和会计核算</w:t>
            </w:r>
          </w:p>
        </w:tc>
        <w:tc>
          <w:tcPr>
            <w:tcW w:w="6096" w:type="dxa"/>
            <w:tcBorders>
              <w:top w:val="single" w:sz="4" w:space="0" w:color="auto"/>
              <w:left w:val="single" w:sz="4" w:space="0" w:color="auto"/>
              <w:bottom w:val="single" w:sz="4" w:space="0" w:color="auto"/>
              <w:right w:val="single" w:sz="4" w:space="0" w:color="auto"/>
            </w:tcBorders>
          </w:tcPr>
          <w:p w14:paraId="28E03CDB" w14:textId="77777777" w:rsidR="00D27F7F" w:rsidRDefault="00A4337A">
            <w:pPr>
              <w:rPr>
                <w:rFonts w:ascii="Times New Roman" w:eastAsia="宋体" w:hAnsi="Times New Roman"/>
                <w:szCs w:val="21"/>
              </w:rPr>
            </w:pPr>
            <w:r>
              <w:rPr>
                <w:rFonts w:ascii="Times New Roman" w:eastAsia="宋体" w:hAnsi="Times New Roman" w:hint="eastAsia"/>
                <w:szCs w:val="21"/>
              </w:rPr>
              <w:t>（一）基金资产净值的计算、复核与完成的时间及程序</w:t>
            </w:r>
          </w:p>
          <w:p w14:paraId="3D8B596D" w14:textId="77777777" w:rsidR="00D27F7F" w:rsidRDefault="00A4337A">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基金资产净值</w:t>
            </w:r>
          </w:p>
          <w:p w14:paraId="25F28975" w14:textId="77777777" w:rsidR="00D27F7F" w:rsidRDefault="00A4337A">
            <w:pPr>
              <w:rPr>
                <w:rFonts w:ascii="Times New Roman" w:eastAsia="宋体" w:hAnsi="Times New Roman"/>
                <w:szCs w:val="21"/>
              </w:rPr>
            </w:pPr>
            <w:r>
              <w:rPr>
                <w:rFonts w:ascii="Times New Roman" w:eastAsia="宋体" w:hAnsi="Times New Roman" w:hint="eastAsia"/>
                <w:szCs w:val="21"/>
              </w:rPr>
              <w:t>基金资产净值是指基金资产总值减去负债（含各项有关税收）后的金额。</w:t>
            </w:r>
          </w:p>
          <w:p w14:paraId="649025B1" w14:textId="77777777" w:rsidR="00D27F7F" w:rsidRDefault="00A4337A">
            <w:pPr>
              <w:rPr>
                <w:rFonts w:ascii="Times New Roman" w:eastAsia="宋体" w:hAnsi="Times New Roman"/>
                <w:szCs w:val="21"/>
              </w:rPr>
            </w:pPr>
            <w:r>
              <w:rPr>
                <w:rFonts w:ascii="Times New Roman" w:eastAsia="宋体" w:hAnsi="Times New Roman" w:hint="eastAsia"/>
                <w:szCs w:val="21"/>
              </w:rPr>
              <w:t>基金份额净值是指基金资产净值除以基金份额总数，基金份额净值的计算精确到</w:t>
            </w:r>
            <w:r>
              <w:rPr>
                <w:rFonts w:ascii="Times New Roman" w:eastAsia="宋体" w:hAnsi="Times New Roman" w:hint="eastAsia"/>
                <w:szCs w:val="21"/>
              </w:rPr>
              <w:t>0.001</w:t>
            </w:r>
            <w:r>
              <w:rPr>
                <w:rFonts w:ascii="Times New Roman" w:eastAsia="宋体" w:hAnsi="Times New Roman" w:hint="eastAsia"/>
                <w:szCs w:val="21"/>
              </w:rPr>
              <w:t>元，小数点后第四位四舍五入。国家另有规定的，从其规定。</w:t>
            </w:r>
          </w:p>
          <w:p w14:paraId="0902EF7D"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复核程序</w:t>
            </w:r>
          </w:p>
          <w:p w14:paraId="30B3DBDC" w14:textId="32508B5E" w:rsidR="00D27F7F" w:rsidRDefault="00A4337A">
            <w:pPr>
              <w:rPr>
                <w:rFonts w:ascii="Times New Roman" w:eastAsia="宋体" w:hAnsi="Times New Roman"/>
                <w:szCs w:val="21"/>
              </w:rPr>
            </w:pPr>
            <w:r>
              <w:rPr>
                <w:rFonts w:ascii="Times New Roman" w:eastAsia="宋体" w:hAnsi="Times New Roman" w:hint="eastAsia"/>
                <w:szCs w:val="21"/>
              </w:rPr>
              <w:t>用于基金信息披露的基金资产净值和基金份额净值由基金管理人负责计算，基金托管人负责进行复核。基金管理人应于每个工作日计算基金净值并发送给基金托管人。基金托管人对净值计算结果复核确认后发送给基金管理人，由基金管理人对基金净值予以公布。</w:t>
            </w:r>
          </w:p>
        </w:tc>
        <w:tc>
          <w:tcPr>
            <w:tcW w:w="6095" w:type="dxa"/>
            <w:tcBorders>
              <w:top w:val="single" w:sz="4" w:space="0" w:color="auto"/>
              <w:left w:val="single" w:sz="4" w:space="0" w:color="auto"/>
              <w:bottom w:val="single" w:sz="4" w:space="0" w:color="auto"/>
              <w:right w:val="single" w:sz="4" w:space="0" w:color="auto"/>
            </w:tcBorders>
          </w:tcPr>
          <w:p w14:paraId="7F06536C" w14:textId="77777777" w:rsidR="00D27F7F" w:rsidRDefault="00A4337A">
            <w:pPr>
              <w:rPr>
                <w:rFonts w:ascii="Times New Roman" w:eastAsia="宋体" w:hAnsi="Times New Roman"/>
                <w:szCs w:val="21"/>
              </w:rPr>
            </w:pPr>
            <w:r>
              <w:rPr>
                <w:rFonts w:ascii="Times New Roman" w:eastAsia="宋体" w:hAnsi="Times New Roman" w:hint="eastAsia"/>
                <w:szCs w:val="21"/>
              </w:rPr>
              <w:t>（一）基金资产净值的计算、复核与完成的时间及程序</w:t>
            </w:r>
          </w:p>
          <w:p w14:paraId="30BB4188" w14:textId="77777777" w:rsidR="00D27F7F" w:rsidRDefault="00A4337A">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基金资产净值</w:t>
            </w:r>
          </w:p>
          <w:p w14:paraId="1ACDDC72" w14:textId="77777777" w:rsidR="00D27F7F" w:rsidRDefault="00A4337A">
            <w:pPr>
              <w:rPr>
                <w:rFonts w:ascii="Times New Roman" w:eastAsia="宋体" w:hAnsi="Times New Roman"/>
                <w:szCs w:val="21"/>
              </w:rPr>
            </w:pPr>
            <w:r>
              <w:rPr>
                <w:rFonts w:ascii="Times New Roman" w:eastAsia="宋体" w:hAnsi="Times New Roman" w:hint="eastAsia"/>
                <w:szCs w:val="21"/>
              </w:rPr>
              <w:t>基金资产净值是指基金资产总值减去负债（含各项有关税收）后的金额。</w:t>
            </w:r>
          </w:p>
          <w:p w14:paraId="668EB350" w14:textId="77777777" w:rsidR="00D27F7F" w:rsidRDefault="00A4337A">
            <w:pPr>
              <w:rPr>
                <w:rFonts w:ascii="Times New Roman" w:eastAsia="宋体" w:hAnsi="Times New Roman"/>
                <w:szCs w:val="21"/>
              </w:rPr>
            </w:pPr>
            <w:r>
              <w:rPr>
                <w:rFonts w:ascii="Times New Roman" w:eastAsia="宋体" w:hAnsi="Times New Roman" w:hint="eastAsia"/>
                <w:szCs w:val="21"/>
              </w:rPr>
              <w:t>各类基金份额的基金份额净值是指该类基金份额的基金资产净值除以该类基金份额总数，基金份额净值的计算精确到</w:t>
            </w:r>
            <w:r>
              <w:rPr>
                <w:rFonts w:ascii="Times New Roman" w:eastAsia="宋体" w:hAnsi="Times New Roman" w:hint="eastAsia"/>
                <w:szCs w:val="21"/>
              </w:rPr>
              <w:t>0.0001</w:t>
            </w:r>
            <w:r>
              <w:rPr>
                <w:rFonts w:ascii="Times New Roman" w:eastAsia="宋体" w:hAnsi="Times New Roman" w:hint="eastAsia"/>
                <w:szCs w:val="21"/>
              </w:rPr>
              <w:t>元，小数点后第五位四舍五入。国家另有规定的，从其规定。</w:t>
            </w:r>
          </w:p>
          <w:p w14:paraId="0B820338"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复核程序</w:t>
            </w:r>
          </w:p>
          <w:p w14:paraId="56F24FCB" w14:textId="454C198D" w:rsidR="00D27F7F" w:rsidRDefault="00A4337A">
            <w:pPr>
              <w:rPr>
                <w:rFonts w:ascii="Times New Roman" w:eastAsia="宋体" w:hAnsi="Times New Roman"/>
                <w:szCs w:val="21"/>
              </w:rPr>
            </w:pPr>
            <w:r>
              <w:rPr>
                <w:rFonts w:ascii="Times New Roman" w:eastAsia="宋体" w:hAnsi="Times New Roman" w:hint="eastAsia"/>
                <w:szCs w:val="21"/>
              </w:rPr>
              <w:t>用于基金信息披露的各类基金份额的基金资产净值和基金份额净值由基金管理人负责计算，基金托管人负责进行复核。基金管理人应于每个工作日计算基金净值并发送给基金托管人。基金托管人对净值计算结果复核确认后发送给基金管理人，由基金管理人对基金净值予以公布。</w:t>
            </w:r>
          </w:p>
        </w:tc>
      </w:tr>
      <w:tr w:rsidR="00D27F7F" w14:paraId="18450677" w14:textId="77777777">
        <w:tc>
          <w:tcPr>
            <w:tcW w:w="1696" w:type="dxa"/>
            <w:tcBorders>
              <w:top w:val="single" w:sz="4" w:space="0" w:color="auto"/>
              <w:left w:val="single" w:sz="4" w:space="0" w:color="auto"/>
              <w:bottom w:val="single" w:sz="4" w:space="0" w:color="auto"/>
              <w:right w:val="single" w:sz="4" w:space="0" w:color="auto"/>
            </w:tcBorders>
          </w:tcPr>
          <w:p w14:paraId="02E55F0D" w14:textId="415C5649" w:rsidR="00D27F7F" w:rsidRDefault="00A4337A">
            <w:pPr>
              <w:jc w:val="left"/>
              <w:rPr>
                <w:rFonts w:eastAsia="宋体"/>
                <w:b/>
                <w:szCs w:val="21"/>
              </w:rPr>
            </w:pPr>
            <w:r>
              <w:rPr>
                <w:rFonts w:eastAsia="宋体" w:hint="eastAsia"/>
                <w:b/>
                <w:szCs w:val="21"/>
              </w:rPr>
              <w:t>十、基金资产净值计算和会计核算</w:t>
            </w:r>
          </w:p>
        </w:tc>
        <w:tc>
          <w:tcPr>
            <w:tcW w:w="6096" w:type="dxa"/>
            <w:tcBorders>
              <w:top w:val="single" w:sz="4" w:space="0" w:color="auto"/>
              <w:left w:val="single" w:sz="4" w:space="0" w:color="auto"/>
              <w:bottom w:val="single" w:sz="4" w:space="0" w:color="auto"/>
              <w:right w:val="single" w:sz="4" w:space="0" w:color="auto"/>
            </w:tcBorders>
          </w:tcPr>
          <w:p w14:paraId="347C2F45" w14:textId="77777777" w:rsidR="00D27F7F" w:rsidRDefault="00A4337A">
            <w:pPr>
              <w:rPr>
                <w:rFonts w:ascii="Times New Roman" w:eastAsia="宋体" w:hAnsi="Times New Roman"/>
                <w:szCs w:val="21"/>
              </w:rPr>
            </w:pPr>
            <w:r>
              <w:rPr>
                <w:rFonts w:ascii="Times New Roman" w:eastAsia="宋体" w:hAnsi="Times New Roman" w:hint="eastAsia"/>
                <w:szCs w:val="21"/>
              </w:rPr>
              <w:t>（三）基金份额净值错误的处理方式</w:t>
            </w:r>
          </w:p>
          <w:p w14:paraId="1B2E30BB"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差错处理原则</w:t>
            </w:r>
          </w:p>
          <w:p w14:paraId="56102510" w14:textId="77777777" w:rsidR="00D27F7F" w:rsidRDefault="00A4337A">
            <w:pPr>
              <w:rPr>
                <w:rFonts w:ascii="Times New Roman" w:eastAsia="宋体" w:hAnsi="Times New Roman"/>
                <w:szCs w:val="21"/>
              </w:rPr>
            </w:pPr>
            <w:r>
              <w:rPr>
                <w:rFonts w:ascii="Times New Roman" w:eastAsia="宋体" w:hAnsi="Times New Roman" w:hint="eastAsia"/>
                <w:szCs w:val="21"/>
              </w:rPr>
              <w:t>因基金估值错误给基金投资人造成的损失应由基金托管人和基金管理人协商共同承担，基金托管人和基金管理人对不应由其承担的责任，有权根据过错原则，向过错人追偿，基金合同的当事人应将按照以下约定处理。</w:t>
            </w:r>
          </w:p>
          <w:p w14:paraId="446ABA51" w14:textId="77777777" w:rsidR="00D27F7F" w:rsidRDefault="00A4337A">
            <w:pPr>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hint="eastAsia"/>
                <w:szCs w:val="21"/>
              </w:rPr>
              <w:t>4</w:t>
            </w:r>
            <w:r>
              <w:rPr>
                <w:rFonts w:ascii="Times New Roman" w:eastAsia="宋体" w:hAnsi="Times New Roman" w:hint="eastAsia"/>
                <w:szCs w:val="21"/>
              </w:rPr>
              <w:t>）基金份额净值计算差错小于基金份额净值</w:t>
            </w:r>
            <w:r>
              <w:rPr>
                <w:rFonts w:ascii="Times New Roman" w:eastAsia="宋体" w:hAnsi="Times New Roman" w:hint="eastAsia"/>
                <w:szCs w:val="21"/>
              </w:rPr>
              <w:t>0.5%</w:t>
            </w:r>
            <w:r>
              <w:rPr>
                <w:rFonts w:ascii="Times New Roman" w:eastAsia="宋体" w:hAnsi="Times New Roman" w:hint="eastAsia"/>
                <w:szCs w:val="21"/>
              </w:rPr>
              <w:t>时，基金管理人与基金托管人应在发现日对账务进行更正调整，不做追溯处理。</w:t>
            </w:r>
          </w:p>
          <w:p w14:paraId="7318E6E3" w14:textId="77777777" w:rsidR="00D27F7F" w:rsidRDefault="00A4337A">
            <w:pPr>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差错处理程序</w:t>
            </w:r>
          </w:p>
          <w:p w14:paraId="4FEE3EB6" w14:textId="224C457E" w:rsidR="00D27F7F" w:rsidRDefault="00A4337A">
            <w:pPr>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hint="eastAsia"/>
                <w:szCs w:val="21"/>
              </w:rPr>
              <w:t>3</w:t>
            </w:r>
            <w:r>
              <w:rPr>
                <w:rFonts w:ascii="Times New Roman" w:eastAsia="宋体" w:hAnsi="Times New Roman" w:hint="eastAsia"/>
                <w:szCs w:val="21"/>
              </w:rPr>
              <w:t>）根据差错处理原则或当事人协商的方法由差错的责任方进行更正和赔偿损失；其中基金份额净值计算差错小于基金份额净值</w:t>
            </w:r>
            <w:r>
              <w:rPr>
                <w:rFonts w:ascii="Times New Roman" w:eastAsia="宋体" w:hAnsi="Times New Roman" w:hint="eastAsia"/>
                <w:szCs w:val="21"/>
              </w:rPr>
              <w:t>0.5%</w:t>
            </w:r>
            <w:r>
              <w:rPr>
                <w:rFonts w:ascii="Times New Roman" w:eastAsia="宋体" w:hAnsi="Times New Roman" w:hint="eastAsia"/>
                <w:szCs w:val="21"/>
              </w:rPr>
              <w:t>时，基金管理人与基金托管人应在发现日对账务进行更正调</w:t>
            </w:r>
            <w:r>
              <w:rPr>
                <w:rFonts w:ascii="Times New Roman" w:eastAsia="宋体" w:hAnsi="Times New Roman" w:hint="eastAsia"/>
                <w:szCs w:val="21"/>
              </w:rPr>
              <w:lastRenderedPageBreak/>
              <w:t>整，不做追溯处理；基金份额净值计算差错达到或超过基金份额净值</w:t>
            </w:r>
            <w:r>
              <w:rPr>
                <w:rFonts w:ascii="Times New Roman" w:eastAsia="宋体" w:hAnsi="Times New Roman" w:hint="eastAsia"/>
                <w:szCs w:val="21"/>
              </w:rPr>
              <w:t>0.5%</w:t>
            </w:r>
            <w:r>
              <w:rPr>
                <w:rFonts w:ascii="Times New Roman" w:eastAsia="宋体" w:hAnsi="Times New Roman" w:hint="eastAsia"/>
                <w:szCs w:val="21"/>
              </w:rPr>
              <w:t>时，基金管理人应当公告、通报基金托管人并报中国证监会备案；</w:t>
            </w:r>
          </w:p>
        </w:tc>
        <w:tc>
          <w:tcPr>
            <w:tcW w:w="6095" w:type="dxa"/>
            <w:tcBorders>
              <w:top w:val="single" w:sz="4" w:space="0" w:color="auto"/>
              <w:left w:val="single" w:sz="4" w:space="0" w:color="auto"/>
              <w:bottom w:val="single" w:sz="4" w:space="0" w:color="auto"/>
              <w:right w:val="single" w:sz="4" w:space="0" w:color="auto"/>
            </w:tcBorders>
          </w:tcPr>
          <w:p w14:paraId="01E8BA6A" w14:textId="77777777" w:rsidR="00D27F7F" w:rsidRDefault="00A4337A">
            <w:pPr>
              <w:rPr>
                <w:rFonts w:ascii="Times New Roman" w:eastAsia="宋体" w:hAnsi="Times New Roman"/>
                <w:szCs w:val="21"/>
              </w:rPr>
            </w:pPr>
            <w:r>
              <w:rPr>
                <w:rFonts w:ascii="Times New Roman" w:eastAsia="宋体" w:hAnsi="Times New Roman" w:hint="eastAsia"/>
                <w:szCs w:val="21"/>
              </w:rPr>
              <w:lastRenderedPageBreak/>
              <w:t>（三）基金份额净值错误的处理方式</w:t>
            </w:r>
          </w:p>
          <w:p w14:paraId="5844365E"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差错处理原则</w:t>
            </w:r>
          </w:p>
          <w:p w14:paraId="4BE6A764" w14:textId="77777777" w:rsidR="00D27F7F" w:rsidRDefault="00A4337A">
            <w:pPr>
              <w:rPr>
                <w:rFonts w:ascii="Times New Roman" w:eastAsia="宋体" w:hAnsi="Times New Roman"/>
                <w:szCs w:val="21"/>
              </w:rPr>
            </w:pPr>
            <w:r>
              <w:rPr>
                <w:rFonts w:ascii="Times New Roman" w:eastAsia="宋体" w:hAnsi="Times New Roman" w:hint="eastAsia"/>
                <w:szCs w:val="21"/>
              </w:rPr>
              <w:t>因基金估值错误给基金投资人造成的损失应由基金托管人和基金管理人协商共同承担，基金托管人和基金管理人对不应由其承担的责任，有权根据过错原则，向过错人追偿，基金合同的当事人应将按照以下约定处理。</w:t>
            </w:r>
          </w:p>
          <w:p w14:paraId="6AB07FBE" w14:textId="77777777" w:rsidR="00D27F7F" w:rsidRDefault="00A4337A">
            <w:pPr>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hint="eastAsia"/>
                <w:szCs w:val="21"/>
              </w:rPr>
              <w:t>4</w:t>
            </w:r>
            <w:r>
              <w:rPr>
                <w:rFonts w:ascii="Times New Roman" w:eastAsia="宋体" w:hAnsi="Times New Roman" w:hint="eastAsia"/>
                <w:szCs w:val="21"/>
              </w:rPr>
              <w:t>）基金份额净值计算差错小于该类基金份额净值</w:t>
            </w:r>
            <w:r>
              <w:rPr>
                <w:rFonts w:ascii="Times New Roman" w:eastAsia="宋体" w:hAnsi="Times New Roman" w:hint="eastAsia"/>
                <w:szCs w:val="21"/>
              </w:rPr>
              <w:t>0.5%</w:t>
            </w:r>
            <w:r>
              <w:rPr>
                <w:rFonts w:ascii="Times New Roman" w:eastAsia="宋体" w:hAnsi="Times New Roman" w:hint="eastAsia"/>
                <w:szCs w:val="21"/>
              </w:rPr>
              <w:t>时，基金管理人与基金托管人应在发现日对账务进行更正调整，不做追溯处理。</w:t>
            </w:r>
          </w:p>
          <w:p w14:paraId="70A1DAB6" w14:textId="77777777" w:rsidR="00D27F7F" w:rsidRDefault="00A4337A">
            <w:pPr>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差错处理程序</w:t>
            </w:r>
          </w:p>
          <w:p w14:paraId="035613DF" w14:textId="5B8F3CDF" w:rsidR="00D27F7F" w:rsidRDefault="00A4337A">
            <w:pPr>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hint="eastAsia"/>
                <w:szCs w:val="21"/>
              </w:rPr>
              <w:t>3</w:t>
            </w:r>
            <w:r>
              <w:rPr>
                <w:rFonts w:ascii="Times New Roman" w:eastAsia="宋体" w:hAnsi="Times New Roman" w:hint="eastAsia"/>
                <w:szCs w:val="21"/>
              </w:rPr>
              <w:t>）根据差错处理原则或当事人协商的方法由差错的责任方进行更正和赔偿损失；其中基金份额净值计算差错小于该类基金份额净值</w:t>
            </w:r>
            <w:r>
              <w:rPr>
                <w:rFonts w:ascii="Times New Roman" w:eastAsia="宋体" w:hAnsi="Times New Roman" w:hint="eastAsia"/>
                <w:szCs w:val="21"/>
              </w:rPr>
              <w:t>0.5%</w:t>
            </w:r>
            <w:r>
              <w:rPr>
                <w:rFonts w:ascii="Times New Roman" w:eastAsia="宋体" w:hAnsi="Times New Roman" w:hint="eastAsia"/>
                <w:szCs w:val="21"/>
              </w:rPr>
              <w:t>时，基金管理人与基金托管人应在发现日对账务进行</w:t>
            </w:r>
            <w:r>
              <w:rPr>
                <w:rFonts w:ascii="Times New Roman" w:eastAsia="宋体" w:hAnsi="Times New Roman" w:hint="eastAsia"/>
                <w:szCs w:val="21"/>
              </w:rPr>
              <w:lastRenderedPageBreak/>
              <w:t>更正调整，不做追溯处理；基金份额净值计算差错达到或超过该类基金份额净值</w:t>
            </w:r>
            <w:r>
              <w:rPr>
                <w:rFonts w:ascii="Times New Roman" w:eastAsia="宋体" w:hAnsi="Times New Roman" w:hint="eastAsia"/>
                <w:szCs w:val="21"/>
              </w:rPr>
              <w:t>0.5%</w:t>
            </w:r>
            <w:r>
              <w:rPr>
                <w:rFonts w:ascii="Times New Roman" w:eastAsia="宋体" w:hAnsi="Times New Roman" w:hint="eastAsia"/>
                <w:szCs w:val="21"/>
              </w:rPr>
              <w:t>时，基金管理人应当公告、通报基金托管人并报中国证监会备案；</w:t>
            </w:r>
          </w:p>
        </w:tc>
      </w:tr>
      <w:tr w:rsidR="00D27F7F" w14:paraId="434B4D5A" w14:textId="77777777">
        <w:tc>
          <w:tcPr>
            <w:tcW w:w="1696" w:type="dxa"/>
            <w:tcBorders>
              <w:top w:val="single" w:sz="4" w:space="0" w:color="auto"/>
              <w:left w:val="single" w:sz="4" w:space="0" w:color="auto"/>
              <w:bottom w:val="single" w:sz="4" w:space="0" w:color="auto"/>
              <w:right w:val="single" w:sz="4" w:space="0" w:color="auto"/>
            </w:tcBorders>
          </w:tcPr>
          <w:p w14:paraId="2B15BC67" w14:textId="77777777" w:rsidR="00D27F7F" w:rsidRDefault="00A4337A">
            <w:pPr>
              <w:jc w:val="left"/>
              <w:rPr>
                <w:rFonts w:eastAsia="宋体"/>
                <w:b/>
                <w:szCs w:val="21"/>
              </w:rPr>
            </w:pPr>
            <w:r>
              <w:rPr>
                <w:rFonts w:eastAsia="宋体" w:hint="eastAsia"/>
                <w:b/>
                <w:szCs w:val="21"/>
              </w:rPr>
              <w:lastRenderedPageBreak/>
              <w:t>十、基金资产净值计算和会计核算</w:t>
            </w:r>
          </w:p>
        </w:tc>
        <w:tc>
          <w:tcPr>
            <w:tcW w:w="6096" w:type="dxa"/>
            <w:tcBorders>
              <w:top w:val="single" w:sz="4" w:space="0" w:color="auto"/>
              <w:left w:val="single" w:sz="4" w:space="0" w:color="auto"/>
              <w:bottom w:val="single" w:sz="4" w:space="0" w:color="auto"/>
              <w:right w:val="single" w:sz="4" w:space="0" w:color="auto"/>
            </w:tcBorders>
          </w:tcPr>
          <w:p w14:paraId="7BE98598" w14:textId="77777777" w:rsidR="00D27F7F" w:rsidRDefault="00A4337A">
            <w:pPr>
              <w:rPr>
                <w:rFonts w:ascii="Times New Roman" w:eastAsia="宋体" w:hAnsi="Times New Roman"/>
                <w:szCs w:val="21"/>
              </w:rPr>
            </w:pPr>
            <w:r>
              <w:rPr>
                <w:rFonts w:ascii="Times New Roman" w:eastAsia="宋体" w:hAnsi="Times New Roman" w:hint="eastAsia"/>
                <w:szCs w:val="21"/>
              </w:rPr>
              <w:t>（四）暂停估值与公告基金份额净值的情形</w:t>
            </w:r>
          </w:p>
          <w:p w14:paraId="48B711AD" w14:textId="77777777" w:rsidR="00D27F7F" w:rsidRDefault="00A4337A">
            <w:pP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当前一估值日基金资产净值</w:t>
            </w:r>
            <w:r>
              <w:rPr>
                <w:rFonts w:ascii="Times New Roman" w:eastAsia="宋体" w:hAnsi="Times New Roman" w:hint="eastAsia"/>
                <w:szCs w:val="21"/>
              </w:rPr>
              <w:t>50%</w:t>
            </w:r>
            <w:r>
              <w:rPr>
                <w:rFonts w:ascii="Times New Roman" w:eastAsia="宋体" w:hAnsi="Times New Roman" w:hint="eastAsia"/>
                <w:szCs w:val="21"/>
              </w:rPr>
              <w:t>以上的资产出现无可参考的活跃市场价格且采用估值技术仍导致公允价值存在重大不确定性时，经与基金托管人协商一致的，基金管理人应当暂停估值；</w:t>
            </w:r>
          </w:p>
        </w:tc>
        <w:tc>
          <w:tcPr>
            <w:tcW w:w="6095" w:type="dxa"/>
            <w:tcBorders>
              <w:top w:val="single" w:sz="4" w:space="0" w:color="auto"/>
              <w:left w:val="single" w:sz="4" w:space="0" w:color="auto"/>
              <w:bottom w:val="single" w:sz="4" w:space="0" w:color="auto"/>
              <w:right w:val="single" w:sz="4" w:space="0" w:color="auto"/>
            </w:tcBorders>
          </w:tcPr>
          <w:p w14:paraId="322E049F" w14:textId="77777777" w:rsidR="00D27F7F" w:rsidRDefault="00A4337A">
            <w:pPr>
              <w:rPr>
                <w:rFonts w:ascii="Times New Roman" w:eastAsia="宋体" w:hAnsi="Times New Roman"/>
                <w:szCs w:val="21"/>
              </w:rPr>
            </w:pPr>
            <w:r>
              <w:rPr>
                <w:rFonts w:ascii="Times New Roman" w:eastAsia="宋体" w:hAnsi="Times New Roman" w:hint="eastAsia"/>
                <w:szCs w:val="21"/>
              </w:rPr>
              <w:t>（四）暂停估值与公告基金份额净值的情形</w:t>
            </w:r>
          </w:p>
          <w:p w14:paraId="2A741B62" w14:textId="77777777" w:rsidR="00D27F7F" w:rsidRDefault="00A4337A">
            <w:pP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当特定资产占前一估值日基金资产净值</w:t>
            </w:r>
            <w:r>
              <w:rPr>
                <w:rFonts w:ascii="Times New Roman" w:eastAsia="宋体" w:hAnsi="Times New Roman" w:hint="eastAsia"/>
                <w:szCs w:val="21"/>
              </w:rPr>
              <w:t>50%</w:t>
            </w:r>
            <w:r>
              <w:rPr>
                <w:rFonts w:ascii="Times New Roman" w:eastAsia="宋体" w:hAnsi="Times New Roman" w:hint="eastAsia"/>
                <w:szCs w:val="21"/>
              </w:rPr>
              <w:t>以上的，经与基金托管人协商确认后，基金管理人应当暂停估值；</w:t>
            </w:r>
          </w:p>
        </w:tc>
      </w:tr>
      <w:tr w:rsidR="00D27F7F" w14:paraId="71BF2376" w14:textId="77777777">
        <w:tc>
          <w:tcPr>
            <w:tcW w:w="1696" w:type="dxa"/>
            <w:tcBorders>
              <w:top w:val="single" w:sz="4" w:space="0" w:color="auto"/>
              <w:left w:val="single" w:sz="4" w:space="0" w:color="auto"/>
              <w:bottom w:val="single" w:sz="4" w:space="0" w:color="auto"/>
              <w:right w:val="single" w:sz="4" w:space="0" w:color="auto"/>
            </w:tcBorders>
          </w:tcPr>
          <w:p w14:paraId="3AE34BDD" w14:textId="77777777" w:rsidR="00D27F7F" w:rsidRDefault="00A4337A">
            <w:pPr>
              <w:jc w:val="left"/>
              <w:rPr>
                <w:rFonts w:eastAsia="宋体"/>
                <w:b/>
                <w:szCs w:val="21"/>
              </w:rPr>
            </w:pPr>
            <w:r>
              <w:rPr>
                <w:rFonts w:eastAsia="宋体" w:hint="eastAsia"/>
                <w:b/>
                <w:szCs w:val="21"/>
              </w:rPr>
              <w:t>十、基金资产净值计算和会计核算</w:t>
            </w:r>
          </w:p>
        </w:tc>
        <w:tc>
          <w:tcPr>
            <w:tcW w:w="6096" w:type="dxa"/>
            <w:tcBorders>
              <w:top w:val="single" w:sz="4" w:space="0" w:color="auto"/>
              <w:left w:val="single" w:sz="4" w:space="0" w:color="auto"/>
              <w:bottom w:val="single" w:sz="4" w:space="0" w:color="auto"/>
              <w:right w:val="single" w:sz="4" w:space="0" w:color="auto"/>
            </w:tcBorders>
          </w:tcPr>
          <w:p w14:paraId="3CE232C7" w14:textId="77777777" w:rsidR="00D27F7F" w:rsidRDefault="00D27F7F">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4CC2DFCC" w14:textId="77777777" w:rsidR="00D27F7F" w:rsidRDefault="00A4337A">
            <w:pPr>
              <w:rPr>
                <w:rFonts w:ascii="Times New Roman" w:eastAsia="宋体" w:hAnsi="Times New Roman"/>
                <w:szCs w:val="21"/>
              </w:rPr>
            </w:pPr>
            <w:r>
              <w:rPr>
                <w:rFonts w:ascii="Times New Roman" w:eastAsia="宋体" w:hAnsi="Times New Roman" w:hint="eastAsia"/>
                <w:szCs w:val="21"/>
              </w:rPr>
              <w:t>（五）实施侧袋机制期间的基金资产估值</w:t>
            </w:r>
          </w:p>
          <w:p w14:paraId="6B107757" w14:textId="77777777" w:rsidR="00D27F7F" w:rsidRDefault="00A4337A">
            <w:pPr>
              <w:rPr>
                <w:rFonts w:ascii="Times New Roman" w:eastAsia="宋体" w:hAnsi="Times New Roman"/>
                <w:szCs w:val="21"/>
              </w:rPr>
            </w:pPr>
            <w:r>
              <w:rPr>
                <w:rFonts w:ascii="Times New Roman" w:eastAsia="宋体" w:hAnsi="Times New Roman" w:hint="eastAsia"/>
                <w:szCs w:val="21"/>
              </w:rPr>
              <w:t>本基金实施侧袋机制的，应根据基金合同的约定对主袋账户资产进行估值并披露主袋账户的基金净值信息，暂停披露侧袋账户份额净值。</w:t>
            </w:r>
          </w:p>
        </w:tc>
      </w:tr>
      <w:tr w:rsidR="00D27F7F" w14:paraId="79207FDA" w14:textId="77777777">
        <w:tc>
          <w:tcPr>
            <w:tcW w:w="1696" w:type="dxa"/>
            <w:tcBorders>
              <w:top w:val="single" w:sz="4" w:space="0" w:color="auto"/>
              <w:left w:val="single" w:sz="4" w:space="0" w:color="auto"/>
              <w:bottom w:val="single" w:sz="4" w:space="0" w:color="auto"/>
              <w:right w:val="single" w:sz="4" w:space="0" w:color="auto"/>
            </w:tcBorders>
          </w:tcPr>
          <w:p w14:paraId="4CC06492" w14:textId="211F1D97" w:rsidR="00D27F7F" w:rsidRDefault="00A4337A">
            <w:pPr>
              <w:rPr>
                <w:rFonts w:eastAsia="宋体"/>
                <w:b/>
                <w:szCs w:val="21"/>
              </w:rPr>
            </w:pPr>
            <w:r>
              <w:rPr>
                <w:rFonts w:eastAsia="宋体" w:hint="eastAsia"/>
                <w:b/>
                <w:szCs w:val="21"/>
              </w:rPr>
              <w:t>十一、基金收益分配</w:t>
            </w:r>
          </w:p>
        </w:tc>
        <w:tc>
          <w:tcPr>
            <w:tcW w:w="6096" w:type="dxa"/>
            <w:tcBorders>
              <w:top w:val="single" w:sz="4" w:space="0" w:color="auto"/>
              <w:left w:val="single" w:sz="4" w:space="0" w:color="auto"/>
              <w:bottom w:val="single" w:sz="4" w:space="0" w:color="auto"/>
              <w:right w:val="single" w:sz="4" w:space="0" w:color="auto"/>
            </w:tcBorders>
          </w:tcPr>
          <w:p w14:paraId="0BDF14E0" w14:textId="77777777" w:rsidR="00D27F7F" w:rsidRDefault="00A4337A">
            <w:pPr>
              <w:rPr>
                <w:rFonts w:ascii="Times New Roman" w:eastAsia="宋体" w:hAnsi="Times New Roman"/>
                <w:szCs w:val="21"/>
              </w:rPr>
            </w:pPr>
            <w:r>
              <w:rPr>
                <w:rFonts w:ascii="Times New Roman" w:eastAsia="宋体" w:hAnsi="Times New Roman" w:hint="eastAsia"/>
                <w:szCs w:val="21"/>
              </w:rPr>
              <w:t>（一）基金收益分配的原则</w:t>
            </w:r>
          </w:p>
          <w:p w14:paraId="08309511" w14:textId="77777777" w:rsidR="00D27F7F" w:rsidRDefault="00A4337A">
            <w:pPr>
              <w:rPr>
                <w:rFonts w:ascii="Times New Roman" w:eastAsia="宋体" w:hAnsi="Times New Roman"/>
                <w:szCs w:val="21"/>
              </w:rPr>
            </w:pPr>
            <w:r>
              <w:rPr>
                <w:rFonts w:ascii="Times New Roman" w:eastAsia="宋体" w:hAnsi="Times New Roman" w:hint="eastAsia"/>
                <w:szCs w:val="21"/>
              </w:rPr>
              <w:t>基金收益分配应遵循下列原则：</w:t>
            </w:r>
          </w:p>
          <w:p w14:paraId="4AD36FC9" w14:textId="77777777" w:rsidR="00D27F7F" w:rsidRDefault="00A4337A">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本基金的每份基金份额享有同等分配权；</w:t>
            </w:r>
          </w:p>
          <w:p w14:paraId="2C745E38"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收益分配时所发生的银行转账或其他手续费用由投资人自行承担。当投资人的现金红利小于一定金额，不足以支付银行转账或其他手续费用时，基金登记结算机构可将投资人的现金红利按红利划款日的基金份额净值自动转为基金份额。</w:t>
            </w:r>
          </w:p>
          <w:p w14:paraId="074F48EA" w14:textId="77777777" w:rsidR="00D27F7F" w:rsidRDefault="00A4337A">
            <w:pPr>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本基金收益每年最多分配</w:t>
            </w:r>
            <w:r>
              <w:rPr>
                <w:rFonts w:ascii="Times New Roman" w:eastAsia="宋体" w:hAnsi="Times New Roman" w:hint="eastAsia"/>
                <w:szCs w:val="21"/>
              </w:rPr>
              <w:t>10</w:t>
            </w:r>
            <w:r>
              <w:rPr>
                <w:rFonts w:ascii="Times New Roman" w:eastAsia="宋体" w:hAnsi="Times New Roman" w:hint="eastAsia"/>
                <w:szCs w:val="21"/>
              </w:rPr>
              <w:t>次，年度基金收益分配比例不低于年度可分配收益的</w:t>
            </w:r>
            <w:r>
              <w:rPr>
                <w:rFonts w:ascii="Times New Roman" w:eastAsia="宋体" w:hAnsi="Times New Roman" w:hint="eastAsia"/>
                <w:szCs w:val="21"/>
              </w:rPr>
              <w:t>10%</w:t>
            </w:r>
            <w:r>
              <w:rPr>
                <w:rFonts w:ascii="Times New Roman" w:eastAsia="宋体" w:hAnsi="Times New Roman" w:hint="eastAsia"/>
                <w:szCs w:val="21"/>
              </w:rPr>
              <w:t>；</w:t>
            </w:r>
          </w:p>
          <w:p w14:paraId="07ACDFD3" w14:textId="77777777" w:rsidR="00D27F7F" w:rsidRDefault="00D27F7F">
            <w:pPr>
              <w:rPr>
                <w:rFonts w:ascii="Times New Roman" w:eastAsia="宋体" w:hAnsi="Times New Roman"/>
                <w:szCs w:val="21"/>
              </w:rPr>
            </w:pPr>
          </w:p>
          <w:p w14:paraId="0E135894" w14:textId="77777777" w:rsidR="00D27F7F" w:rsidRDefault="00D27F7F">
            <w:pPr>
              <w:rPr>
                <w:rFonts w:ascii="Times New Roman" w:eastAsia="宋体" w:hAnsi="Times New Roman"/>
                <w:szCs w:val="21"/>
              </w:rPr>
            </w:pPr>
          </w:p>
          <w:p w14:paraId="1739DEB7" w14:textId="77777777" w:rsidR="00D27F7F" w:rsidRDefault="00D27F7F">
            <w:pPr>
              <w:rPr>
                <w:rFonts w:ascii="Times New Roman" w:eastAsia="宋体" w:hAnsi="Times New Roman"/>
                <w:szCs w:val="21"/>
              </w:rPr>
            </w:pPr>
          </w:p>
          <w:p w14:paraId="2221C7C2" w14:textId="77777777" w:rsidR="00D27F7F" w:rsidRDefault="00A4337A">
            <w:pP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本基金收益分配方式分为两种：现金分红与红利再投资，投资人可选择现金红利或将现金红利按红利再投日的基金份额净值自动转为基金份额进行再投资；若投资人不选择，本基金默认的收</w:t>
            </w:r>
            <w:r>
              <w:rPr>
                <w:rFonts w:ascii="Times New Roman" w:eastAsia="宋体" w:hAnsi="Times New Roman" w:hint="eastAsia"/>
                <w:szCs w:val="21"/>
              </w:rPr>
              <w:lastRenderedPageBreak/>
              <w:t>益分配方式是现金分红；</w:t>
            </w:r>
          </w:p>
          <w:p w14:paraId="04F91693" w14:textId="77777777" w:rsidR="00D27F7F" w:rsidRDefault="00A4337A">
            <w:pPr>
              <w:rPr>
                <w:rFonts w:ascii="Times New Roman" w:eastAsia="宋体" w:hAnsi="Times New Roman"/>
                <w:szCs w:val="21"/>
              </w:rPr>
            </w:pPr>
            <w:r>
              <w:rPr>
                <w:rFonts w:ascii="Times New Roman" w:eastAsia="宋体" w:hAnsi="Times New Roman" w:hint="eastAsia"/>
                <w:szCs w:val="21"/>
              </w:rPr>
              <w:t>6.</w:t>
            </w:r>
            <w:r>
              <w:rPr>
                <w:rFonts w:ascii="Times New Roman" w:eastAsia="宋体" w:hAnsi="Times New Roman" w:hint="eastAsia"/>
                <w:szCs w:val="21"/>
              </w:rPr>
              <w:t>基金投资当期出现净亏损，则不进行收益分配；</w:t>
            </w:r>
          </w:p>
          <w:p w14:paraId="4907A0B7" w14:textId="40B185AE" w:rsidR="00D27F7F" w:rsidRDefault="00A4337A">
            <w:pPr>
              <w:rPr>
                <w:rFonts w:ascii="Times New Roman" w:eastAsia="宋体" w:hAnsi="Times New Roman"/>
                <w:szCs w:val="21"/>
              </w:rPr>
            </w:pPr>
            <w:r>
              <w:rPr>
                <w:rFonts w:ascii="Times New Roman" w:eastAsia="宋体" w:hAnsi="Times New Roman" w:hint="eastAsia"/>
                <w:szCs w:val="21"/>
              </w:rPr>
              <w:t>7.</w:t>
            </w:r>
            <w:r>
              <w:rPr>
                <w:rFonts w:ascii="Times New Roman" w:eastAsia="宋体" w:hAnsi="Times New Roman" w:hint="eastAsia"/>
                <w:szCs w:val="21"/>
              </w:rPr>
              <w:t>基金当期收益应先弥补上期亏损后，方可进行当期收益分配；</w:t>
            </w:r>
          </w:p>
        </w:tc>
        <w:tc>
          <w:tcPr>
            <w:tcW w:w="6095" w:type="dxa"/>
            <w:tcBorders>
              <w:top w:val="single" w:sz="4" w:space="0" w:color="auto"/>
              <w:left w:val="single" w:sz="4" w:space="0" w:color="auto"/>
              <w:bottom w:val="single" w:sz="4" w:space="0" w:color="auto"/>
              <w:right w:val="single" w:sz="4" w:space="0" w:color="auto"/>
            </w:tcBorders>
          </w:tcPr>
          <w:p w14:paraId="44AD6379" w14:textId="77777777" w:rsidR="00D27F7F" w:rsidRDefault="00A4337A">
            <w:pPr>
              <w:rPr>
                <w:rFonts w:ascii="Times New Roman" w:eastAsia="宋体" w:hAnsi="Times New Roman"/>
                <w:szCs w:val="21"/>
              </w:rPr>
            </w:pPr>
            <w:r>
              <w:rPr>
                <w:rFonts w:ascii="Times New Roman" w:eastAsia="宋体" w:hAnsi="Times New Roman" w:hint="eastAsia"/>
                <w:szCs w:val="21"/>
              </w:rPr>
              <w:lastRenderedPageBreak/>
              <w:t>（一）基金收益分配的原则</w:t>
            </w:r>
          </w:p>
          <w:p w14:paraId="4ACDEE60" w14:textId="77777777" w:rsidR="00D27F7F" w:rsidRDefault="00A4337A">
            <w:pPr>
              <w:rPr>
                <w:rFonts w:ascii="Times New Roman" w:eastAsia="宋体" w:hAnsi="Times New Roman"/>
                <w:szCs w:val="21"/>
              </w:rPr>
            </w:pPr>
            <w:r>
              <w:rPr>
                <w:rFonts w:ascii="Times New Roman" w:eastAsia="宋体" w:hAnsi="Times New Roman" w:hint="eastAsia"/>
                <w:szCs w:val="21"/>
              </w:rPr>
              <w:t>基金收益分配应遵循下列原则：</w:t>
            </w:r>
          </w:p>
          <w:p w14:paraId="593EB569" w14:textId="77777777" w:rsidR="00D27F7F" w:rsidRDefault="00A4337A">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由于本基金</w:t>
            </w:r>
            <w:r>
              <w:rPr>
                <w:rFonts w:ascii="Times New Roman" w:eastAsia="宋体" w:hAnsi="Times New Roman" w:hint="eastAsia"/>
                <w:szCs w:val="21"/>
              </w:rPr>
              <w:t>A</w:t>
            </w:r>
            <w:r>
              <w:rPr>
                <w:rFonts w:ascii="Times New Roman" w:eastAsia="宋体" w:hAnsi="Times New Roman" w:hint="eastAsia"/>
                <w:szCs w:val="21"/>
              </w:rPr>
              <w:t>类基金份额不收取销售服务费，</w:t>
            </w:r>
            <w:r>
              <w:rPr>
                <w:rFonts w:ascii="Times New Roman" w:eastAsia="宋体" w:hAnsi="Times New Roman" w:hint="eastAsia"/>
                <w:szCs w:val="21"/>
              </w:rPr>
              <w:t>C</w:t>
            </w:r>
            <w:r>
              <w:rPr>
                <w:rFonts w:ascii="Times New Roman" w:eastAsia="宋体" w:hAnsi="Times New Roman" w:hint="eastAsia"/>
                <w:szCs w:val="21"/>
              </w:rPr>
              <w:t>类基金份额收取销售服务费，各基金份额类别对应的可供分配利润将有所不同；本基金同一基金份额类别的每份基金份额享有同等分配权；</w:t>
            </w:r>
          </w:p>
          <w:p w14:paraId="55C2637F"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收益分配时所发生的银行转账或其他手续费用由投资人自行承担。当投资人的现金红利小于一定金额，不足以支付银行转账或其他手续费用时，基金登记结算机构可将投资人的现金红利按红利划款日的基金份额净值自动转为相应类别的基金份额。</w:t>
            </w:r>
          </w:p>
          <w:p w14:paraId="1D6FDDA0" w14:textId="77777777" w:rsidR="00D27F7F" w:rsidRDefault="00A4337A">
            <w:pPr>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hint="eastAsia"/>
                <w:szCs w:val="21"/>
              </w:rPr>
              <w:t>本基金收益每年最多分配</w:t>
            </w:r>
            <w:r>
              <w:rPr>
                <w:rFonts w:ascii="Times New Roman" w:eastAsia="宋体" w:hAnsi="Times New Roman" w:hint="eastAsia"/>
                <w:szCs w:val="21"/>
              </w:rPr>
              <w:t>10</w:t>
            </w:r>
            <w:r>
              <w:rPr>
                <w:rFonts w:ascii="Times New Roman" w:eastAsia="宋体" w:hAnsi="Times New Roman" w:hint="eastAsia"/>
                <w:szCs w:val="21"/>
              </w:rPr>
              <w:t>次，任一类基金份额年度基金收益分配比例不低于该类基金份额年度可分配收益的</w:t>
            </w:r>
            <w:r>
              <w:rPr>
                <w:rFonts w:ascii="Times New Roman" w:eastAsia="宋体" w:hAnsi="Times New Roman" w:hint="eastAsia"/>
                <w:szCs w:val="21"/>
              </w:rPr>
              <w:t>10%</w:t>
            </w:r>
            <w:r>
              <w:rPr>
                <w:rFonts w:ascii="Times New Roman" w:eastAsia="宋体" w:hAnsi="Times New Roman" w:hint="eastAsia"/>
                <w:szCs w:val="21"/>
              </w:rPr>
              <w:t>；</w:t>
            </w:r>
          </w:p>
          <w:p w14:paraId="6795F879" w14:textId="77777777" w:rsidR="00D27F7F" w:rsidRDefault="00D27F7F">
            <w:pPr>
              <w:rPr>
                <w:rFonts w:ascii="Times New Roman" w:eastAsia="宋体" w:hAnsi="Times New Roman"/>
                <w:szCs w:val="21"/>
              </w:rPr>
            </w:pPr>
          </w:p>
          <w:p w14:paraId="7F6A2061" w14:textId="77777777" w:rsidR="00D27F7F" w:rsidRDefault="00A4337A">
            <w:pPr>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hint="eastAsia"/>
                <w:szCs w:val="21"/>
              </w:rPr>
              <w:t>本基金收益分配方式分为两种：现金分红与红利再投资，投资人可选择现金红利或将现金红利按红利再投日的基金份额净值自动转为相应类别的基金份额进行再投资；若投资人不选择，本</w:t>
            </w:r>
            <w:r>
              <w:rPr>
                <w:rFonts w:ascii="Times New Roman" w:eastAsia="宋体" w:hAnsi="Times New Roman" w:hint="eastAsia"/>
                <w:szCs w:val="21"/>
              </w:rPr>
              <w:lastRenderedPageBreak/>
              <w:t>基金默认的收益分配方式是现金分红；基金份额持有人可对其持有的</w:t>
            </w:r>
            <w:r>
              <w:rPr>
                <w:rFonts w:ascii="Times New Roman" w:eastAsia="宋体" w:hAnsi="Times New Roman" w:hint="eastAsia"/>
                <w:szCs w:val="21"/>
              </w:rPr>
              <w:t>A</w:t>
            </w:r>
            <w:r>
              <w:rPr>
                <w:rFonts w:ascii="Times New Roman" w:eastAsia="宋体" w:hAnsi="Times New Roman" w:hint="eastAsia"/>
                <w:szCs w:val="21"/>
              </w:rPr>
              <w:t>类基金份额和</w:t>
            </w:r>
            <w:r>
              <w:rPr>
                <w:rFonts w:ascii="Times New Roman" w:eastAsia="宋体" w:hAnsi="Times New Roman" w:hint="eastAsia"/>
                <w:szCs w:val="21"/>
              </w:rPr>
              <w:t>C</w:t>
            </w:r>
            <w:r>
              <w:rPr>
                <w:rFonts w:ascii="Times New Roman" w:eastAsia="宋体" w:hAnsi="Times New Roman" w:hint="eastAsia"/>
                <w:szCs w:val="21"/>
              </w:rPr>
              <w:t>类基金份额分别选择不同的收益分配方式；</w:t>
            </w:r>
          </w:p>
          <w:p w14:paraId="2569350E" w14:textId="77777777" w:rsidR="00D27F7F" w:rsidRDefault="00A4337A">
            <w:pPr>
              <w:rPr>
                <w:rFonts w:ascii="Times New Roman" w:eastAsia="宋体" w:hAnsi="Times New Roman"/>
                <w:szCs w:val="21"/>
              </w:rPr>
            </w:pPr>
            <w:r>
              <w:rPr>
                <w:rFonts w:ascii="Times New Roman" w:eastAsia="宋体" w:hAnsi="Times New Roman" w:hint="eastAsia"/>
                <w:szCs w:val="21"/>
              </w:rPr>
              <w:t>6.</w:t>
            </w:r>
            <w:r>
              <w:rPr>
                <w:rFonts w:ascii="Times New Roman" w:eastAsia="宋体" w:hAnsi="Times New Roman" w:hint="eastAsia"/>
                <w:szCs w:val="21"/>
              </w:rPr>
              <w:t>基金任一类基金份额投资当期出现净亏损，则该类基金份额不进行收益分配；</w:t>
            </w:r>
          </w:p>
          <w:p w14:paraId="0376A18E" w14:textId="1C00D962" w:rsidR="00D27F7F" w:rsidRDefault="00A4337A">
            <w:pPr>
              <w:rPr>
                <w:rFonts w:ascii="Times New Roman" w:eastAsia="宋体" w:hAnsi="Times New Roman"/>
                <w:szCs w:val="21"/>
              </w:rPr>
            </w:pPr>
            <w:r>
              <w:rPr>
                <w:rFonts w:ascii="Times New Roman" w:eastAsia="宋体" w:hAnsi="Times New Roman" w:hint="eastAsia"/>
                <w:szCs w:val="21"/>
              </w:rPr>
              <w:t>7.</w:t>
            </w:r>
            <w:r>
              <w:rPr>
                <w:rFonts w:ascii="Times New Roman" w:eastAsia="宋体" w:hAnsi="Times New Roman" w:hint="eastAsia"/>
                <w:szCs w:val="21"/>
              </w:rPr>
              <w:t>基金任一类基金份额当期收益应先弥补上期亏损后，方可进行该类基金份额当期收益分配；</w:t>
            </w:r>
          </w:p>
        </w:tc>
      </w:tr>
      <w:tr w:rsidR="00D27F7F" w14:paraId="61E11462" w14:textId="77777777">
        <w:tc>
          <w:tcPr>
            <w:tcW w:w="1696" w:type="dxa"/>
            <w:tcBorders>
              <w:top w:val="single" w:sz="4" w:space="0" w:color="auto"/>
              <w:left w:val="single" w:sz="4" w:space="0" w:color="auto"/>
              <w:bottom w:val="single" w:sz="4" w:space="0" w:color="auto"/>
              <w:right w:val="single" w:sz="4" w:space="0" w:color="auto"/>
            </w:tcBorders>
          </w:tcPr>
          <w:p w14:paraId="6ED5C208" w14:textId="77777777" w:rsidR="00D27F7F" w:rsidRDefault="00A4337A">
            <w:pPr>
              <w:rPr>
                <w:rFonts w:eastAsia="宋体"/>
                <w:b/>
                <w:szCs w:val="21"/>
              </w:rPr>
            </w:pPr>
            <w:r>
              <w:rPr>
                <w:rFonts w:eastAsia="宋体" w:hint="eastAsia"/>
                <w:b/>
                <w:szCs w:val="21"/>
              </w:rPr>
              <w:lastRenderedPageBreak/>
              <w:t>十一、基金收益分配</w:t>
            </w:r>
          </w:p>
        </w:tc>
        <w:tc>
          <w:tcPr>
            <w:tcW w:w="6096" w:type="dxa"/>
            <w:tcBorders>
              <w:top w:val="single" w:sz="4" w:space="0" w:color="auto"/>
              <w:left w:val="single" w:sz="4" w:space="0" w:color="auto"/>
              <w:bottom w:val="single" w:sz="4" w:space="0" w:color="auto"/>
              <w:right w:val="single" w:sz="4" w:space="0" w:color="auto"/>
            </w:tcBorders>
          </w:tcPr>
          <w:p w14:paraId="1981A638" w14:textId="77777777" w:rsidR="00D27F7F" w:rsidRDefault="00D27F7F">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1DD268D2" w14:textId="77777777" w:rsidR="00D27F7F" w:rsidRDefault="00A4337A">
            <w:pPr>
              <w:rPr>
                <w:rFonts w:ascii="Times New Roman" w:eastAsia="宋体" w:hAnsi="Times New Roman"/>
                <w:szCs w:val="21"/>
              </w:rPr>
            </w:pPr>
            <w:r>
              <w:rPr>
                <w:rFonts w:ascii="Times New Roman" w:eastAsia="宋体" w:hAnsi="Times New Roman" w:hint="eastAsia"/>
                <w:szCs w:val="21"/>
              </w:rPr>
              <w:t>（三）实施侧袋机制期间的收益分配</w:t>
            </w:r>
          </w:p>
          <w:p w14:paraId="2C0BF5CA" w14:textId="77777777" w:rsidR="00D27F7F" w:rsidRDefault="00A4337A">
            <w:pPr>
              <w:rPr>
                <w:rFonts w:ascii="Times New Roman" w:eastAsia="宋体" w:hAnsi="Times New Roman"/>
                <w:szCs w:val="21"/>
              </w:rPr>
            </w:pPr>
            <w:r>
              <w:rPr>
                <w:rFonts w:ascii="Times New Roman" w:eastAsia="宋体" w:hAnsi="Times New Roman" w:hint="eastAsia"/>
                <w:szCs w:val="21"/>
              </w:rPr>
              <w:t>本基金实施侧袋机制的，侧袋账户不进行收益分配，详见招募说明书的规定。</w:t>
            </w:r>
          </w:p>
        </w:tc>
      </w:tr>
      <w:tr w:rsidR="00D27F7F" w14:paraId="104A86E9" w14:textId="77777777">
        <w:tc>
          <w:tcPr>
            <w:tcW w:w="1696" w:type="dxa"/>
            <w:tcBorders>
              <w:top w:val="single" w:sz="4" w:space="0" w:color="auto"/>
              <w:left w:val="single" w:sz="4" w:space="0" w:color="auto"/>
              <w:bottom w:val="single" w:sz="4" w:space="0" w:color="auto"/>
              <w:right w:val="single" w:sz="4" w:space="0" w:color="auto"/>
            </w:tcBorders>
          </w:tcPr>
          <w:p w14:paraId="12D7D0D1" w14:textId="77777777" w:rsidR="00D27F7F" w:rsidRDefault="00A4337A">
            <w:pPr>
              <w:rPr>
                <w:rFonts w:eastAsia="宋体"/>
                <w:b/>
                <w:szCs w:val="21"/>
              </w:rPr>
            </w:pPr>
            <w:r>
              <w:rPr>
                <w:rFonts w:eastAsia="宋体" w:hint="eastAsia"/>
                <w:b/>
                <w:szCs w:val="21"/>
              </w:rPr>
              <w:t>十二、</w:t>
            </w:r>
            <w:r>
              <w:rPr>
                <w:rFonts w:eastAsia="宋体"/>
                <w:b/>
                <w:szCs w:val="21"/>
              </w:rPr>
              <w:t>基金信息披露</w:t>
            </w:r>
          </w:p>
        </w:tc>
        <w:tc>
          <w:tcPr>
            <w:tcW w:w="6096" w:type="dxa"/>
            <w:tcBorders>
              <w:top w:val="single" w:sz="4" w:space="0" w:color="auto"/>
              <w:left w:val="single" w:sz="4" w:space="0" w:color="auto"/>
              <w:bottom w:val="single" w:sz="4" w:space="0" w:color="auto"/>
              <w:right w:val="single" w:sz="4" w:space="0" w:color="auto"/>
            </w:tcBorders>
          </w:tcPr>
          <w:p w14:paraId="7C7293E6" w14:textId="77777777" w:rsidR="00D27F7F" w:rsidRDefault="00A4337A">
            <w:pPr>
              <w:rPr>
                <w:rFonts w:ascii="Times New Roman" w:eastAsia="宋体" w:hAnsi="Times New Roman"/>
                <w:szCs w:val="21"/>
              </w:rPr>
            </w:pPr>
            <w:r>
              <w:rPr>
                <w:rFonts w:ascii="Times New Roman" w:eastAsia="宋体" w:hAnsi="Times New Roman" w:hint="eastAsia"/>
                <w:szCs w:val="21"/>
              </w:rPr>
              <w:t>（二）信息披露的内容</w:t>
            </w:r>
          </w:p>
          <w:p w14:paraId="0171A016" w14:textId="31DA63CF" w:rsidR="00D27F7F" w:rsidRDefault="00A4337A">
            <w:pPr>
              <w:rPr>
                <w:rFonts w:ascii="Times New Roman" w:eastAsia="宋体" w:hAnsi="Times New Roman"/>
                <w:szCs w:val="21"/>
              </w:rPr>
            </w:pPr>
            <w:r>
              <w:rPr>
                <w:rFonts w:ascii="Times New Roman" w:eastAsia="宋体" w:hAnsi="Times New Roman" w:hint="eastAsia"/>
                <w:szCs w:val="21"/>
              </w:rPr>
              <w:t>基金的信息披露内容主要包括基金招募说明书、基金合同、托管协议、基金份额发售公告、基金募集情况、基金合同生效公告、基金资产净值公告、基金份额净值公告、基金份额申购、赎回价格公告、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tc>
        <w:tc>
          <w:tcPr>
            <w:tcW w:w="6095" w:type="dxa"/>
            <w:tcBorders>
              <w:top w:val="single" w:sz="4" w:space="0" w:color="auto"/>
              <w:left w:val="single" w:sz="4" w:space="0" w:color="auto"/>
              <w:bottom w:val="single" w:sz="4" w:space="0" w:color="auto"/>
              <w:right w:val="single" w:sz="4" w:space="0" w:color="auto"/>
            </w:tcBorders>
          </w:tcPr>
          <w:p w14:paraId="7F171A4B" w14:textId="77777777" w:rsidR="00D27F7F" w:rsidRDefault="00A4337A">
            <w:pPr>
              <w:rPr>
                <w:rFonts w:ascii="Times New Roman" w:eastAsia="宋体" w:hAnsi="Times New Roman"/>
                <w:szCs w:val="21"/>
              </w:rPr>
            </w:pPr>
            <w:r>
              <w:rPr>
                <w:rFonts w:ascii="Times New Roman" w:eastAsia="宋体" w:hAnsi="Times New Roman" w:hint="eastAsia"/>
                <w:szCs w:val="21"/>
              </w:rPr>
              <w:t>（二）信息披露的内容</w:t>
            </w:r>
          </w:p>
          <w:p w14:paraId="4AC55B40" w14:textId="6829A30C" w:rsidR="00D27F7F" w:rsidRDefault="00A4337A">
            <w:pPr>
              <w:rPr>
                <w:rFonts w:ascii="Times New Roman" w:eastAsia="宋体" w:hAnsi="Times New Roman"/>
                <w:szCs w:val="21"/>
              </w:rPr>
            </w:pPr>
            <w:r>
              <w:rPr>
                <w:rFonts w:ascii="Times New Roman" w:eastAsia="宋体" w:hAnsi="Times New Roman" w:hint="eastAsia"/>
                <w:szCs w:val="21"/>
              </w:rPr>
              <w:t>基金的信息披露内容主要包括基金招募说明书、基金合同、托管协议、基金份额发售公告、基金募集情况、基金合同生效公告、基金资产净值公告、各类基金份额净值公告、基金份额申购、赎回价格公告、基金定期报告（包括基金年度报告、基金半年度报告和基金季度报告、临时报告）、澄清公告、基金份额持有人大会决议、实施侧袋机制期间的信息披露、中国证监会规定的其他信息。基金年度报告需经具有从事证券相关业务资格的会计师事务所审计后，方可披露。</w:t>
            </w:r>
          </w:p>
        </w:tc>
      </w:tr>
      <w:tr w:rsidR="00D27F7F" w14:paraId="4B6136C9" w14:textId="77777777">
        <w:tc>
          <w:tcPr>
            <w:tcW w:w="1696" w:type="dxa"/>
            <w:tcBorders>
              <w:top w:val="single" w:sz="4" w:space="0" w:color="auto"/>
              <w:left w:val="single" w:sz="4" w:space="0" w:color="auto"/>
              <w:bottom w:val="single" w:sz="4" w:space="0" w:color="auto"/>
              <w:right w:val="single" w:sz="4" w:space="0" w:color="auto"/>
            </w:tcBorders>
          </w:tcPr>
          <w:p w14:paraId="16265843" w14:textId="77777777" w:rsidR="00D27F7F" w:rsidRDefault="00A4337A">
            <w:pPr>
              <w:rPr>
                <w:rFonts w:eastAsia="宋体"/>
                <w:b/>
                <w:szCs w:val="21"/>
              </w:rPr>
            </w:pPr>
            <w:r>
              <w:rPr>
                <w:rFonts w:eastAsia="宋体" w:hint="eastAsia"/>
                <w:b/>
                <w:szCs w:val="21"/>
              </w:rPr>
              <w:t>十二、</w:t>
            </w:r>
            <w:r>
              <w:rPr>
                <w:rFonts w:eastAsia="宋体"/>
                <w:b/>
                <w:szCs w:val="21"/>
              </w:rPr>
              <w:t>基金信息披露</w:t>
            </w:r>
          </w:p>
        </w:tc>
        <w:tc>
          <w:tcPr>
            <w:tcW w:w="6096" w:type="dxa"/>
            <w:tcBorders>
              <w:top w:val="single" w:sz="4" w:space="0" w:color="auto"/>
              <w:left w:val="single" w:sz="4" w:space="0" w:color="auto"/>
              <w:bottom w:val="single" w:sz="4" w:space="0" w:color="auto"/>
              <w:right w:val="single" w:sz="4" w:space="0" w:color="auto"/>
            </w:tcBorders>
          </w:tcPr>
          <w:p w14:paraId="5814BDFB" w14:textId="77777777" w:rsidR="00D27F7F" w:rsidRDefault="00D27F7F">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2EC93681" w14:textId="77777777" w:rsidR="00D27F7F" w:rsidRDefault="00A4337A">
            <w:pPr>
              <w:rPr>
                <w:rFonts w:ascii="Times New Roman" w:eastAsia="宋体" w:hAnsi="Times New Roman"/>
                <w:szCs w:val="21"/>
              </w:rPr>
            </w:pPr>
            <w:r>
              <w:rPr>
                <w:rFonts w:ascii="Times New Roman" w:eastAsia="宋体" w:hAnsi="Times New Roman" w:hint="eastAsia"/>
                <w:szCs w:val="21"/>
              </w:rPr>
              <w:t>（五）实施侧袋机制期间的信息披露</w:t>
            </w:r>
          </w:p>
          <w:p w14:paraId="783CB10D" w14:textId="77777777" w:rsidR="00D27F7F" w:rsidRDefault="00A4337A">
            <w:pPr>
              <w:rPr>
                <w:rFonts w:ascii="Times New Roman" w:eastAsia="宋体" w:hAnsi="Times New Roman"/>
                <w:szCs w:val="21"/>
              </w:rPr>
            </w:pPr>
            <w:r>
              <w:rPr>
                <w:rFonts w:ascii="Times New Roman" w:eastAsia="宋体" w:hAnsi="Times New Roman" w:hint="eastAsia"/>
                <w:szCs w:val="21"/>
              </w:rPr>
              <w:t>本基金实施侧袋机制的，相关信息披露义务人应当根据法律法规、基金合同和招募说明书的规定进行信息披露，详见招募说明书的规定。</w:t>
            </w:r>
          </w:p>
        </w:tc>
      </w:tr>
      <w:tr w:rsidR="00D27F7F" w14:paraId="790575CE" w14:textId="77777777">
        <w:tc>
          <w:tcPr>
            <w:tcW w:w="1696" w:type="dxa"/>
            <w:tcBorders>
              <w:top w:val="single" w:sz="4" w:space="0" w:color="auto"/>
              <w:left w:val="single" w:sz="4" w:space="0" w:color="auto"/>
              <w:bottom w:val="single" w:sz="4" w:space="0" w:color="auto"/>
              <w:right w:val="single" w:sz="4" w:space="0" w:color="auto"/>
            </w:tcBorders>
          </w:tcPr>
          <w:p w14:paraId="6B7F889F" w14:textId="2060ED3C" w:rsidR="00D27F7F" w:rsidRDefault="00A4337A">
            <w:pPr>
              <w:rPr>
                <w:rFonts w:eastAsia="宋体"/>
                <w:b/>
                <w:szCs w:val="21"/>
              </w:rPr>
            </w:pPr>
            <w:r>
              <w:rPr>
                <w:rFonts w:eastAsia="宋体" w:hint="eastAsia"/>
                <w:b/>
                <w:szCs w:val="21"/>
              </w:rPr>
              <w:t>十三、基金费用和税收</w:t>
            </w:r>
          </w:p>
        </w:tc>
        <w:tc>
          <w:tcPr>
            <w:tcW w:w="6096" w:type="dxa"/>
            <w:tcBorders>
              <w:top w:val="single" w:sz="4" w:space="0" w:color="auto"/>
              <w:left w:val="single" w:sz="4" w:space="0" w:color="auto"/>
              <w:bottom w:val="single" w:sz="4" w:space="0" w:color="auto"/>
              <w:right w:val="single" w:sz="4" w:space="0" w:color="auto"/>
            </w:tcBorders>
          </w:tcPr>
          <w:p w14:paraId="16A9202B" w14:textId="77777777" w:rsidR="00D27F7F" w:rsidRDefault="00D27F7F">
            <w:pPr>
              <w:rPr>
                <w:rFonts w:ascii="Times New Roman" w:eastAsia="宋体" w:hAnsi="Times New Roman"/>
                <w:szCs w:val="21"/>
              </w:rPr>
            </w:pPr>
          </w:p>
          <w:p w14:paraId="7143D461" w14:textId="77777777" w:rsidR="00D27F7F" w:rsidRDefault="00D27F7F">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5237875F" w14:textId="77777777" w:rsidR="00D27F7F" w:rsidRDefault="00A4337A">
            <w:pPr>
              <w:rPr>
                <w:rFonts w:ascii="Times New Roman" w:eastAsia="宋体" w:hAnsi="Times New Roman"/>
                <w:szCs w:val="21"/>
              </w:rPr>
            </w:pPr>
            <w:r>
              <w:rPr>
                <w:rFonts w:ascii="Times New Roman" w:eastAsia="宋体" w:hAnsi="Times New Roman" w:hint="eastAsia"/>
                <w:szCs w:val="21"/>
              </w:rPr>
              <w:t>（四）</w:t>
            </w:r>
            <w:r>
              <w:rPr>
                <w:rFonts w:ascii="Times New Roman" w:eastAsia="宋体" w:hAnsi="Times New Roman" w:hint="eastAsia"/>
                <w:szCs w:val="21"/>
              </w:rPr>
              <w:t>C</w:t>
            </w:r>
            <w:r>
              <w:rPr>
                <w:rFonts w:ascii="Times New Roman" w:eastAsia="宋体" w:hAnsi="Times New Roman" w:hint="eastAsia"/>
                <w:szCs w:val="21"/>
              </w:rPr>
              <w:t>类基金份额的销售服务费</w:t>
            </w:r>
          </w:p>
          <w:p w14:paraId="37512459" w14:textId="77777777" w:rsidR="00D27F7F" w:rsidRDefault="00A4337A">
            <w:pPr>
              <w:rPr>
                <w:rFonts w:ascii="Times New Roman" w:eastAsia="宋体" w:hAnsi="Times New Roman"/>
                <w:szCs w:val="21"/>
              </w:rPr>
            </w:pPr>
            <w:r>
              <w:rPr>
                <w:rFonts w:ascii="Times New Roman" w:eastAsia="宋体" w:hAnsi="Times New Roman" w:hint="eastAsia"/>
                <w:szCs w:val="21"/>
              </w:rPr>
              <w:t>本基金</w:t>
            </w:r>
            <w:r>
              <w:rPr>
                <w:rFonts w:ascii="Times New Roman" w:eastAsia="宋体" w:hAnsi="Times New Roman" w:hint="eastAsia"/>
                <w:szCs w:val="21"/>
              </w:rPr>
              <w:t>A</w:t>
            </w:r>
            <w:r>
              <w:rPr>
                <w:rFonts w:ascii="Times New Roman" w:eastAsia="宋体" w:hAnsi="Times New Roman" w:hint="eastAsia"/>
                <w:szCs w:val="21"/>
              </w:rPr>
              <w:t>类基金份额不收取销售服务费，</w:t>
            </w:r>
            <w:r>
              <w:rPr>
                <w:rFonts w:ascii="Times New Roman" w:eastAsia="宋体" w:hAnsi="Times New Roman" w:hint="eastAsia"/>
                <w:szCs w:val="21"/>
              </w:rPr>
              <w:t>C</w:t>
            </w:r>
            <w:r>
              <w:rPr>
                <w:rFonts w:ascii="Times New Roman" w:eastAsia="宋体" w:hAnsi="Times New Roman" w:hint="eastAsia"/>
                <w:szCs w:val="21"/>
              </w:rPr>
              <w:t>类基金份额的销售服务费按前一日</w:t>
            </w:r>
            <w:r>
              <w:rPr>
                <w:rFonts w:ascii="Times New Roman" w:eastAsia="宋体" w:hAnsi="Times New Roman" w:hint="eastAsia"/>
                <w:szCs w:val="21"/>
              </w:rPr>
              <w:t>C</w:t>
            </w:r>
            <w:r>
              <w:rPr>
                <w:rFonts w:ascii="Times New Roman" w:eastAsia="宋体" w:hAnsi="Times New Roman" w:hint="eastAsia"/>
                <w:szCs w:val="21"/>
              </w:rPr>
              <w:t>类基金资产净值的</w:t>
            </w:r>
            <w:r>
              <w:rPr>
                <w:rFonts w:ascii="Times New Roman" w:eastAsia="宋体" w:hAnsi="Times New Roman" w:hint="eastAsia"/>
                <w:szCs w:val="21"/>
              </w:rPr>
              <w:t>0.4%</w:t>
            </w:r>
            <w:r>
              <w:rPr>
                <w:rFonts w:ascii="Times New Roman" w:eastAsia="宋体" w:hAnsi="Times New Roman" w:hint="eastAsia"/>
                <w:szCs w:val="21"/>
              </w:rPr>
              <w:t>年费率计提。计算方法</w:t>
            </w:r>
            <w:r>
              <w:rPr>
                <w:rFonts w:ascii="Times New Roman" w:eastAsia="宋体" w:hAnsi="Times New Roman" w:hint="eastAsia"/>
                <w:szCs w:val="21"/>
              </w:rPr>
              <w:lastRenderedPageBreak/>
              <w:t>如下：</w:t>
            </w:r>
          </w:p>
          <w:p w14:paraId="3EEC4632" w14:textId="77777777" w:rsidR="00D27F7F" w:rsidRDefault="00A4337A">
            <w:pPr>
              <w:rPr>
                <w:rFonts w:ascii="Times New Roman" w:eastAsia="宋体" w:hAnsi="Times New Roman"/>
                <w:szCs w:val="21"/>
              </w:rPr>
            </w:pPr>
            <w:r>
              <w:rPr>
                <w:rFonts w:ascii="Times New Roman" w:eastAsia="宋体" w:hAnsi="Times New Roman" w:hint="eastAsia"/>
                <w:szCs w:val="21"/>
              </w:rPr>
              <w:t>H</w:t>
            </w:r>
            <w:r>
              <w:rPr>
                <w:rFonts w:ascii="Times New Roman" w:eastAsia="宋体" w:hAnsi="Times New Roman" w:hint="eastAsia"/>
                <w:szCs w:val="21"/>
              </w:rPr>
              <w:t>＝</w:t>
            </w:r>
            <w:r>
              <w:rPr>
                <w:rFonts w:ascii="Times New Roman" w:eastAsia="宋体" w:hAnsi="Times New Roman" w:hint="eastAsia"/>
                <w:szCs w:val="21"/>
              </w:rPr>
              <w:t>E</w:t>
            </w:r>
            <w:r>
              <w:rPr>
                <w:rFonts w:ascii="Times New Roman" w:eastAsia="宋体" w:hAnsi="Times New Roman" w:hint="eastAsia"/>
                <w:szCs w:val="21"/>
              </w:rPr>
              <w:t>×</w:t>
            </w:r>
            <w:r>
              <w:rPr>
                <w:rFonts w:ascii="Times New Roman" w:eastAsia="宋体" w:hAnsi="Times New Roman" w:hint="eastAsia"/>
                <w:szCs w:val="21"/>
              </w:rPr>
              <w:t>0.4%</w:t>
            </w:r>
            <w:r>
              <w:rPr>
                <w:rFonts w:ascii="Times New Roman" w:eastAsia="宋体" w:hAnsi="Times New Roman" w:hint="eastAsia"/>
                <w:szCs w:val="21"/>
              </w:rPr>
              <w:t>÷当年天数</w:t>
            </w:r>
          </w:p>
          <w:p w14:paraId="094DBA2B" w14:textId="77777777" w:rsidR="00D27F7F" w:rsidRDefault="00A4337A">
            <w:pPr>
              <w:rPr>
                <w:rFonts w:ascii="Times New Roman" w:eastAsia="宋体" w:hAnsi="Times New Roman"/>
                <w:szCs w:val="21"/>
              </w:rPr>
            </w:pPr>
            <w:r>
              <w:rPr>
                <w:rFonts w:ascii="Times New Roman" w:eastAsia="宋体" w:hAnsi="Times New Roman" w:hint="eastAsia"/>
                <w:szCs w:val="21"/>
              </w:rPr>
              <w:t>H</w:t>
            </w:r>
            <w:r>
              <w:rPr>
                <w:rFonts w:ascii="Times New Roman" w:eastAsia="宋体" w:hAnsi="Times New Roman" w:hint="eastAsia"/>
                <w:szCs w:val="21"/>
              </w:rPr>
              <w:t>为</w:t>
            </w:r>
            <w:r>
              <w:rPr>
                <w:rFonts w:ascii="Times New Roman" w:eastAsia="宋体" w:hAnsi="Times New Roman" w:hint="eastAsia"/>
                <w:szCs w:val="21"/>
              </w:rPr>
              <w:t>C</w:t>
            </w:r>
            <w:r>
              <w:rPr>
                <w:rFonts w:ascii="Times New Roman" w:eastAsia="宋体" w:hAnsi="Times New Roman" w:hint="eastAsia"/>
                <w:szCs w:val="21"/>
              </w:rPr>
              <w:t>类基金份额每日应计提的销售服务费</w:t>
            </w:r>
          </w:p>
          <w:p w14:paraId="3E55B4CA" w14:textId="1FC40ED4" w:rsidR="00D27F7F" w:rsidRDefault="00A4337A">
            <w:pPr>
              <w:rPr>
                <w:rFonts w:ascii="Times New Roman" w:eastAsia="宋体" w:hAnsi="Times New Roman"/>
                <w:b/>
                <w:szCs w:val="21"/>
                <w:u w:val="single"/>
              </w:rPr>
            </w:pPr>
            <w:r>
              <w:rPr>
                <w:rFonts w:ascii="Times New Roman" w:eastAsia="宋体" w:hAnsi="Times New Roman" w:hint="eastAsia"/>
                <w:szCs w:val="21"/>
              </w:rPr>
              <w:t>E</w:t>
            </w:r>
            <w:r>
              <w:rPr>
                <w:rFonts w:ascii="Times New Roman" w:eastAsia="宋体" w:hAnsi="Times New Roman" w:hint="eastAsia"/>
                <w:szCs w:val="21"/>
              </w:rPr>
              <w:t>为</w:t>
            </w:r>
            <w:r>
              <w:rPr>
                <w:rFonts w:ascii="Times New Roman" w:eastAsia="宋体" w:hAnsi="Times New Roman" w:hint="eastAsia"/>
                <w:szCs w:val="21"/>
              </w:rPr>
              <w:t>C</w:t>
            </w:r>
            <w:r>
              <w:rPr>
                <w:rFonts w:ascii="Times New Roman" w:eastAsia="宋体" w:hAnsi="Times New Roman" w:hint="eastAsia"/>
                <w:szCs w:val="21"/>
              </w:rPr>
              <w:t>类基金份额前一日基金资产净值</w:t>
            </w:r>
          </w:p>
        </w:tc>
      </w:tr>
      <w:tr w:rsidR="00D27F7F" w14:paraId="292B811E" w14:textId="77777777">
        <w:tc>
          <w:tcPr>
            <w:tcW w:w="1696" w:type="dxa"/>
            <w:tcBorders>
              <w:top w:val="single" w:sz="4" w:space="0" w:color="auto"/>
              <w:left w:val="single" w:sz="4" w:space="0" w:color="auto"/>
              <w:bottom w:val="single" w:sz="4" w:space="0" w:color="auto"/>
              <w:right w:val="single" w:sz="4" w:space="0" w:color="auto"/>
            </w:tcBorders>
          </w:tcPr>
          <w:p w14:paraId="61856A87" w14:textId="3F799F93" w:rsidR="00D27F7F" w:rsidRDefault="00A4337A">
            <w:pPr>
              <w:rPr>
                <w:rFonts w:eastAsia="宋体"/>
                <w:b/>
                <w:szCs w:val="21"/>
              </w:rPr>
            </w:pPr>
            <w:r>
              <w:rPr>
                <w:rFonts w:eastAsia="宋体" w:hint="eastAsia"/>
                <w:b/>
                <w:szCs w:val="21"/>
              </w:rPr>
              <w:lastRenderedPageBreak/>
              <w:t>十三、基金费用和税收</w:t>
            </w:r>
          </w:p>
        </w:tc>
        <w:tc>
          <w:tcPr>
            <w:tcW w:w="6096" w:type="dxa"/>
            <w:tcBorders>
              <w:top w:val="single" w:sz="4" w:space="0" w:color="auto"/>
              <w:left w:val="single" w:sz="4" w:space="0" w:color="auto"/>
              <w:bottom w:val="single" w:sz="4" w:space="0" w:color="auto"/>
              <w:right w:val="single" w:sz="4" w:space="0" w:color="auto"/>
            </w:tcBorders>
          </w:tcPr>
          <w:p w14:paraId="56549F46" w14:textId="77777777" w:rsidR="00D27F7F" w:rsidRDefault="00A4337A">
            <w:pPr>
              <w:rPr>
                <w:rFonts w:ascii="Times New Roman" w:eastAsia="宋体" w:hAnsi="Times New Roman"/>
                <w:szCs w:val="21"/>
              </w:rPr>
            </w:pPr>
            <w:r>
              <w:rPr>
                <w:rFonts w:ascii="Times New Roman" w:eastAsia="宋体" w:hAnsi="Times New Roman" w:hint="eastAsia"/>
                <w:szCs w:val="21"/>
              </w:rPr>
              <w:t>（六）基金管理费和基金托管费的调整</w:t>
            </w:r>
          </w:p>
          <w:p w14:paraId="4D103213" w14:textId="54B0E24A" w:rsidR="00D27F7F" w:rsidRDefault="00A4337A">
            <w:pPr>
              <w:rPr>
                <w:rFonts w:ascii="Times New Roman" w:eastAsia="宋体" w:hAnsi="Times New Roman"/>
                <w:szCs w:val="21"/>
              </w:rPr>
            </w:pPr>
            <w:r>
              <w:rPr>
                <w:rFonts w:ascii="Times New Roman" w:eastAsia="宋体" w:hAnsi="Times New Roman" w:hint="eastAsia"/>
                <w:szCs w:val="21"/>
              </w:rPr>
              <w:t>基金管理人和基金托管人可协商酌情降低基金管理费和基金托管费，此项调整不需要基金份额持有人大会决议通过。基金管理人必须最迟于新的费率实施日</w:t>
            </w:r>
            <w:r>
              <w:rPr>
                <w:rFonts w:ascii="Times New Roman" w:eastAsia="宋体" w:hAnsi="Times New Roman" w:hint="eastAsia"/>
                <w:szCs w:val="21"/>
              </w:rPr>
              <w:t>2</w:t>
            </w:r>
            <w:r>
              <w:rPr>
                <w:rFonts w:ascii="Times New Roman" w:eastAsia="宋体" w:hAnsi="Times New Roman" w:hint="eastAsia"/>
                <w:szCs w:val="21"/>
              </w:rPr>
              <w:t>日前在指定媒体上刊登公告。</w:t>
            </w:r>
          </w:p>
        </w:tc>
        <w:tc>
          <w:tcPr>
            <w:tcW w:w="6095" w:type="dxa"/>
            <w:tcBorders>
              <w:top w:val="single" w:sz="4" w:space="0" w:color="auto"/>
              <w:left w:val="single" w:sz="4" w:space="0" w:color="auto"/>
              <w:bottom w:val="single" w:sz="4" w:space="0" w:color="auto"/>
              <w:right w:val="single" w:sz="4" w:space="0" w:color="auto"/>
            </w:tcBorders>
          </w:tcPr>
          <w:p w14:paraId="015DD4BA" w14:textId="77777777" w:rsidR="00D27F7F" w:rsidRDefault="00A4337A">
            <w:pPr>
              <w:rPr>
                <w:rFonts w:ascii="Times New Roman" w:eastAsia="宋体" w:hAnsi="Times New Roman"/>
                <w:szCs w:val="21"/>
              </w:rPr>
            </w:pPr>
            <w:r>
              <w:rPr>
                <w:rFonts w:ascii="Times New Roman" w:eastAsia="宋体" w:hAnsi="Times New Roman" w:hint="eastAsia"/>
                <w:szCs w:val="21"/>
              </w:rPr>
              <w:t>（七）基金管理费、基金托管费和销售服务费的调整</w:t>
            </w:r>
          </w:p>
          <w:p w14:paraId="04D2E1C2" w14:textId="306975C5" w:rsidR="00D27F7F" w:rsidRDefault="00A4337A">
            <w:pPr>
              <w:rPr>
                <w:rFonts w:ascii="Times New Roman" w:eastAsia="宋体" w:hAnsi="Times New Roman"/>
                <w:szCs w:val="21"/>
              </w:rPr>
            </w:pPr>
            <w:r>
              <w:rPr>
                <w:rFonts w:ascii="Times New Roman" w:eastAsia="宋体" w:hAnsi="Times New Roman" w:hint="eastAsia"/>
                <w:szCs w:val="21"/>
              </w:rPr>
              <w:t>基金管理人和基金托管人可协商酌情降低基金管理费、基金托管费和销售服务费，此项调整不需要基金份额持有人大会决议通过。基金管理人必须最迟于新的费率实施日</w:t>
            </w:r>
            <w:r>
              <w:rPr>
                <w:rFonts w:ascii="Times New Roman" w:eastAsia="宋体" w:hAnsi="Times New Roman" w:hint="eastAsia"/>
                <w:szCs w:val="21"/>
              </w:rPr>
              <w:t>2</w:t>
            </w:r>
            <w:r>
              <w:rPr>
                <w:rFonts w:ascii="Times New Roman" w:eastAsia="宋体" w:hAnsi="Times New Roman" w:hint="eastAsia"/>
                <w:szCs w:val="21"/>
              </w:rPr>
              <w:t>日前在指定媒体上刊登公告。</w:t>
            </w:r>
          </w:p>
        </w:tc>
      </w:tr>
      <w:tr w:rsidR="00D27F7F" w14:paraId="10370ED1" w14:textId="77777777">
        <w:tc>
          <w:tcPr>
            <w:tcW w:w="1696" w:type="dxa"/>
            <w:tcBorders>
              <w:top w:val="single" w:sz="4" w:space="0" w:color="auto"/>
              <w:left w:val="single" w:sz="4" w:space="0" w:color="auto"/>
              <w:bottom w:val="single" w:sz="4" w:space="0" w:color="auto"/>
              <w:right w:val="single" w:sz="4" w:space="0" w:color="auto"/>
            </w:tcBorders>
          </w:tcPr>
          <w:p w14:paraId="05052F7C" w14:textId="58D7C235" w:rsidR="00D27F7F" w:rsidRDefault="00A4337A">
            <w:pPr>
              <w:rPr>
                <w:rFonts w:eastAsia="宋体"/>
                <w:b/>
                <w:szCs w:val="21"/>
              </w:rPr>
            </w:pPr>
            <w:r>
              <w:rPr>
                <w:rFonts w:eastAsia="宋体" w:hint="eastAsia"/>
                <w:b/>
                <w:szCs w:val="21"/>
              </w:rPr>
              <w:t>十三、基金费用和税收</w:t>
            </w:r>
          </w:p>
        </w:tc>
        <w:tc>
          <w:tcPr>
            <w:tcW w:w="6096" w:type="dxa"/>
            <w:tcBorders>
              <w:top w:val="single" w:sz="4" w:space="0" w:color="auto"/>
              <w:left w:val="single" w:sz="4" w:space="0" w:color="auto"/>
              <w:bottom w:val="single" w:sz="4" w:space="0" w:color="auto"/>
              <w:right w:val="single" w:sz="4" w:space="0" w:color="auto"/>
            </w:tcBorders>
          </w:tcPr>
          <w:p w14:paraId="32FB6022" w14:textId="77777777" w:rsidR="00D27F7F" w:rsidRDefault="00A4337A">
            <w:pPr>
              <w:rPr>
                <w:rFonts w:ascii="Times New Roman" w:eastAsia="宋体" w:hAnsi="Times New Roman"/>
                <w:szCs w:val="21"/>
              </w:rPr>
            </w:pPr>
            <w:r>
              <w:rPr>
                <w:rFonts w:ascii="Times New Roman" w:eastAsia="宋体" w:hAnsi="Times New Roman" w:hint="eastAsia"/>
                <w:szCs w:val="21"/>
              </w:rPr>
              <w:t>（七）基金管理费和基金托管费的复核程序、支付方式和时间</w:t>
            </w:r>
          </w:p>
          <w:p w14:paraId="70A3BD65" w14:textId="77777777" w:rsidR="00D27F7F" w:rsidRDefault="00A4337A">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复核程序</w:t>
            </w:r>
          </w:p>
          <w:p w14:paraId="54A5C75C" w14:textId="77777777" w:rsidR="00D27F7F" w:rsidRDefault="00A4337A">
            <w:pPr>
              <w:rPr>
                <w:rFonts w:ascii="Times New Roman" w:eastAsia="宋体" w:hAnsi="Times New Roman"/>
                <w:szCs w:val="21"/>
              </w:rPr>
            </w:pPr>
            <w:r>
              <w:rPr>
                <w:rFonts w:ascii="Times New Roman" w:eastAsia="宋体" w:hAnsi="Times New Roman" w:hint="eastAsia"/>
                <w:szCs w:val="21"/>
              </w:rPr>
              <w:t>基金托管人对基金管理人计提的基金管理费和基金托管费等，根据本托管协议和基金合同的有关规定进行复核。</w:t>
            </w:r>
          </w:p>
          <w:p w14:paraId="76DDF9CC"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支付方式和时间</w:t>
            </w:r>
          </w:p>
          <w:p w14:paraId="3CC4FE19" w14:textId="77777777" w:rsidR="00D27F7F" w:rsidRDefault="00A4337A">
            <w:pPr>
              <w:rPr>
                <w:rFonts w:ascii="Times New Roman" w:eastAsia="宋体" w:hAnsi="Times New Roman"/>
                <w:szCs w:val="21"/>
              </w:rPr>
            </w:pPr>
            <w:r>
              <w:rPr>
                <w:rFonts w:ascii="Times New Roman" w:eastAsia="宋体" w:hAnsi="Times New Roman" w:hint="eastAsia"/>
                <w:szCs w:val="21"/>
              </w:rPr>
              <w:t>基金管理费、基金托管费每日计提，按月支付。由基金管理人向基金托管人发送基金管理费、基金托管费划付指令</w:t>
            </w:r>
            <w:r>
              <w:rPr>
                <w:rFonts w:ascii="Times New Roman" w:eastAsia="宋体" w:hAnsi="Times New Roman" w:hint="eastAsia"/>
                <w:szCs w:val="21"/>
              </w:rPr>
              <w:t>,</w:t>
            </w:r>
            <w:r>
              <w:rPr>
                <w:rFonts w:ascii="Times New Roman" w:eastAsia="宋体" w:hAnsi="Times New Roman" w:hint="eastAsia"/>
                <w:szCs w:val="21"/>
              </w:rPr>
              <w:t>经基金托管人复核后于次月首日起</w:t>
            </w:r>
            <w:r>
              <w:rPr>
                <w:rFonts w:ascii="Times New Roman" w:eastAsia="宋体" w:hAnsi="Times New Roman" w:hint="eastAsia"/>
                <w:szCs w:val="21"/>
              </w:rPr>
              <w:t>3</w:t>
            </w:r>
            <w:r>
              <w:rPr>
                <w:rFonts w:ascii="Times New Roman" w:eastAsia="宋体" w:hAnsi="Times New Roman" w:hint="eastAsia"/>
                <w:szCs w:val="21"/>
              </w:rPr>
              <w:t>个工作日内从基金财产中一次性支付给基金管理人和基金托管人。</w:t>
            </w:r>
          </w:p>
          <w:p w14:paraId="1EF2AB5C" w14:textId="78772510" w:rsidR="00D27F7F" w:rsidRDefault="00A4337A">
            <w:pPr>
              <w:rPr>
                <w:rFonts w:ascii="Times New Roman" w:eastAsia="宋体" w:hAnsi="Times New Roman"/>
                <w:szCs w:val="21"/>
              </w:rPr>
            </w:pPr>
            <w:r>
              <w:rPr>
                <w:rFonts w:ascii="Times New Roman" w:eastAsia="宋体" w:hAnsi="Times New Roman" w:hint="eastAsia"/>
                <w:szCs w:val="21"/>
              </w:rPr>
              <w:t>若遇法定节假日、休息日或不可抗力致使无法按时支付的，顺延至最近可支付日支付。</w:t>
            </w:r>
          </w:p>
        </w:tc>
        <w:tc>
          <w:tcPr>
            <w:tcW w:w="6095" w:type="dxa"/>
            <w:tcBorders>
              <w:top w:val="single" w:sz="4" w:space="0" w:color="auto"/>
              <w:left w:val="single" w:sz="4" w:space="0" w:color="auto"/>
              <w:bottom w:val="single" w:sz="4" w:space="0" w:color="auto"/>
              <w:right w:val="single" w:sz="4" w:space="0" w:color="auto"/>
            </w:tcBorders>
          </w:tcPr>
          <w:p w14:paraId="5EA49C32" w14:textId="77777777" w:rsidR="00D27F7F" w:rsidRDefault="00A4337A">
            <w:pPr>
              <w:rPr>
                <w:rFonts w:ascii="Times New Roman" w:eastAsia="宋体" w:hAnsi="Times New Roman"/>
                <w:szCs w:val="21"/>
              </w:rPr>
            </w:pPr>
            <w:r>
              <w:rPr>
                <w:rFonts w:ascii="Times New Roman" w:eastAsia="宋体" w:hAnsi="Times New Roman" w:hint="eastAsia"/>
                <w:szCs w:val="21"/>
              </w:rPr>
              <w:t>（八）基金管理费、基金托管费和销售服务费的复核程序、支付方式和时间</w:t>
            </w:r>
          </w:p>
          <w:p w14:paraId="6C0917B5" w14:textId="77777777" w:rsidR="00D27F7F" w:rsidRDefault="00A4337A">
            <w:pPr>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复核程序</w:t>
            </w:r>
          </w:p>
          <w:p w14:paraId="33DF6A06" w14:textId="77777777" w:rsidR="00D27F7F" w:rsidRDefault="00A4337A">
            <w:pPr>
              <w:rPr>
                <w:rFonts w:ascii="Times New Roman" w:eastAsia="宋体" w:hAnsi="Times New Roman"/>
                <w:szCs w:val="21"/>
              </w:rPr>
            </w:pPr>
            <w:r>
              <w:rPr>
                <w:rFonts w:ascii="Times New Roman" w:eastAsia="宋体" w:hAnsi="Times New Roman" w:hint="eastAsia"/>
                <w:szCs w:val="21"/>
              </w:rPr>
              <w:t>基金托管人对基金管理人计提的基金管理费和基金托管费等，根据本托管协议和基金合同的有关规定进行复核。</w:t>
            </w:r>
          </w:p>
          <w:p w14:paraId="1CF337FB" w14:textId="77777777" w:rsidR="00D27F7F" w:rsidRDefault="00A4337A">
            <w:pPr>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支付方式和时间</w:t>
            </w:r>
          </w:p>
          <w:p w14:paraId="39B75CD2" w14:textId="77777777" w:rsidR="00D27F7F" w:rsidRDefault="00A4337A">
            <w:pPr>
              <w:rPr>
                <w:rFonts w:ascii="Times New Roman" w:eastAsia="宋体" w:hAnsi="Times New Roman"/>
                <w:szCs w:val="21"/>
              </w:rPr>
            </w:pPr>
            <w:r>
              <w:rPr>
                <w:rFonts w:ascii="Times New Roman" w:eastAsia="宋体" w:hAnsi="Times New Roman" w:hint="eastAsia"/>
                <w:szCs w:val="21"/>
              </w:rPr>
              <w:t>基金管理费、基金托管费每日计提，按月支付。由基金管理人向基金托管人发送基金管理费、基金托管费划付指令</w:t>
            </w:r>
            <w:r>
              <w:rPr>
                <w:rFonts w:ascii="Times New Roman" w:eastAsia="宋体" w:hAnsi="Times New Roman" w:hint="eastAsia"/>
                <w:szCs w:val="21"/>
              </w:rPr>
              <w:t>,</w:t>
            </w:r>
            <w:r>
              <w:rPr>
                <w:rFonts w:ascii="Times New Roman" w:eastAsia="宋体" w:hAnsi="Times New Roman" w:hint="eastAsia"/>
                <w:szCs w:val="21"/>
              </w:rPr>
              <w:t>经基金托管人复核后于次月首日起</w:t>
            </w:r>
            <w:r>
              <w:rPr>
                <w:rFonts w:ascii="Times New Roman" w:eastAsia="宋体" w:hAnsi="Times New Roman" w:hint="eastAsia"/>
                <w:szCs w:val="21"/>
              </w:rPr>
              <w:t>3</w:t>
            </w:r>
            <w:r>
              <w:rPr>
                <w:rFonts w:ascii="Times New Roman" w:eastAsia="宋体" w:hAnsi="Times New Roman" w:hint="eastAsia"/>
                <w:szCs w:val="21"/>
              </w:rPr>
              <w:t>个工作日内从基金财产中一次性支付给基金管理人和基金托管人。</w:t>
            </w:r>
          </w:p>
          <w:p w14:paraId="4A70A673" w14:textId="77777777" w:rsidR="00D27F7F" w:rsidRDefault="00A4337A">
            <w:pPr>
              <w:rPr>
                <w:rFonts w:ascii="Times New Roman" w:eastAsia="宋体" w:hAnsi="Times New Roman"/>
                <w:szCs w:val="21"/>
              </w:rPr>
            </w:pPr>
            <w:r>
              <w:rPr>
                <w:rFonts w:ascii="Times New Roman" w:eastAsia="宋体" w:hAnsi="Times New Roman" w:hint="eastAsia"/>
                <w:szCs w:val="21"/>
              </w:rPr>
              <w:t>若遇法定节假日、休息日或不可抗力致使无法按时支付的，顺延至最近可支付日支付。</w:t>
            </w:r>
          </w:p>
          <w:p w14:paraId="5EAE7287" w14:textId="77777777" w:rsidR="00D27F7F" w:rsidRDefault="00A4337A">
            <w:pPr>
              <w:rPr>
                <w:rFonts w:ascii="Times New Roman" w:eastAsia="宋体" w:hAnsi="Times New Roman"/>
                <w:szCs w:val="21"/>
              </w:rPr>
            </w:pPr>
            <w:r>
              <w:rPr>
                <w:rFonts w:ascii="Times New Roman" w:eastAsia="宋体" w:hAnsi="Times New Roman" w:hint="eastAsia"/>
                <w:szCs w:val="21"/>
              </w:rPr>
              <w:t>C</w:t>
            </w:r>
            <w:r>
              <w:rPr>
                <w:rFonts w:ascii="Times New Roman" w:eastAsia="宋体" w:hAnsi="Times New Roman" w:hint="eastAsia"/>
                <w:szCs w:val="21"/>
              </w:rPr>
              <w:t>类基金份额的销售服务费具体收取</w:t>
            </w:r>
            <w:r>
              <w:rPr>
                <w:rFonts w:ascii="Times New Roman" w:eastAsia="宋体" w:hAnsi="Times New Roman" w:hint="eastAsia"/>
                <w:szCs w:val="21"/>
              </w:rPr>
              <w:t>/</w:t>
            </w:r>
            <w:r>
              <w:rPr>
                <w:rFonts w:ascii="Times New Roman" w:eastAsia="宋体" w:hAnsi="Times New Roman" w:hint="eastAsia"/>
                <w:szCs w:val="21"/>
              </w:rPr>
              <w:t>返还方式：</w:t>
            </w:r>
          </w:p>
          <w:p w14:paraId="656C7C55" w14:textId="77777777" w:rsidR="00D27F7F" w:rsidRDefault="00A4337A">
            <w:pPr>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hint="eastAsia"/>
                <w:szCs w:val="21"/>
              </w:rPr>
              <w:t>1</w:t>
            </w:r>
            <w:r>
              <w:rPr>
                <w:rFonts w:ascii="Times New Roman" w:eastAsia="宋体" w:hAnsi="Times New Roman" w:hint="eastAsia"/>
                <w:szCs w:val="21"/>
              </w:rPr>
              <w:t>）通过直销机构申购的</w:t>
            </w:r>
            <w:r>
              <w:rPr>
                <w:rFonts w:ascii="Times New Roman" w:eastAsia="宋体" w:hAnsi="Times New Roman" w:hint="eastAsia"/>
                <w:szCs w:val="21"/>
              </w:rPr>
              <w:t>C</w:t>
            </w:r>
            <w:r>
              <w:rPr>
                <w:rFonts w:ascii="Times New Roman" w:eastAsia="宋体" w:hAnsi="Times New Roman" w:hint="eastAsia"/>
                <w:szCs w:val="21"/>
              </w:rPr>
              <w:t>类基金份额</w:t>
            </w:r>
          </w:p>
          <w:p w14:paraId="0DEABA2D" w14:textId="77777777" w:rsidR="00D27F7F" w:rsidRDefault="00A4337A">
            <w:pPr>
              <w:rPr>
                <w:rFonts w:ascii="Times New Roman" w:eastAsia="宋体" w:hAnsi="Times New Roman"/>
                <w:szCs w:val="21"/>
              </w:rPr>
            </w:pPr>
            <w:r>
              <w:rPr>
                <w:rFonts w:ascii="Times New Roman" w:eastAsia="宋体" w:hAnsi="Times New Roman" w:hint="eastAsia"/>
                <w:szCs w:val="21"/>
              </w:rPr>
              <w:t>对于</w:t>
            </w:r>
            <w:r>
              <w:rPr>
                <w:rFonts w:ascii="Times New Roman" w:eastAsia="宋体" w:hAnsi="Times New Roman" w:hint="eastAsia"/>
                <w:szCs w:val="21"/>
              </w:rPr>
              <w:t>C</w:t>
            </w:r>
            <w:r>
              <w:rPr>
                <w:rFonts w:ascii="Times New Roman" w:eastAsia="宋体" w:hAnsi="Times New Roman" w:hint="eastAsia"/>
                <w:szCs w:val="21"/>
              </w:rPr>
              <w:t>类基金份额计提的销售服务费，在投资人赎回基金份额或基金合同终止时随赎回款或清算款一并返还给投资人。</w:t>
            </w:r>
          </w:p>
          <w:p w14:paraId="00F4F60A" w14:textId="77777777" w:rsidR="00D27F7F" w:rsidRDefault="00A4337A">
            <w:pPr>
              <w:rPr>
                <w:rFonts w:ascii="Times New Roman" w:eastAsia="宋体" w:hAnsi="Times New Roman"/>
                <w:szCs w:val="21"/>
              </w:rPr>
            </w:pPr>
            <w:r>
              <w:rPr>
                <w:rFonts w:ascii="Times New Roman" w:eastAsia="宋体" w:hAnsi="Times New Roman" w:hint="eastAsia"/>
                <w:szCs w:val="21"/>
              </w:rPr>
              <w:t>（</w:t>
            </w:r>
            <w:r>
              <w:rPr>
                <w:rFonts w:ascii="Times New Roman" w:eastAsia="宋体" w:hAnsi="Times New Roman" w:hint="eastAsia"/>
                <w:szCs w:val="21"/>
              </w:rPr>
              <w:t>2</w:t>
            </w:r>
            <w:r>
              <w:rPr>
                <w:rFonts w:ascii="Times New Roman" w:eastAsia="宋体" w:hAnsi="Times New Roman" w:hint="eastAsia"/>
                <w:szCs w:val="21"/>
              </w:rPr>
              <w:t>）通过其他销售机构申购的</w:t>
            </w:r>
            <w:r>
              <w:rPr>
                <w:rFonts w:ascii="Times New Roman" w:eastAsia="宋体" w:hAnsi="Times New Roman" w:hint="eastAsia"/>
                <w:szCs w:val="21"/>
              </w:rPr>
              <w:t>C</w:t>
            </w:r>
            <w:r>
              <w:rPr>
                <w:rFonts w:ascii="Times New Roman" w:eastAsia="宋体" w:hAnsi="Times New Roman" w:hint="eastAsia"/>
                <w:szCs w:val="21"/>
              </w:rPr>
              <w:t>类基金份额</w:t>
            </w:r>
          </w:p>
          <w:p w14:paraId="508F9F1F" w14:textId="77777777" w:rsidR="00D27F7F" w:rsidRDefault="00A4337A">
            <w:pPr>
              <w:rPr>
                <w:rFonts w:ascii="Times New Roman" w:eastAsia="宋体" w:hAnsi="Times New Roman"/>
                <w:szCs w:val="21"/>
              </w:rPr>
            </w:pPr>
            <w:r>
              <w:rPr>
                <w:rFonts w:ascii="Times New Roman" w:eastAsia="宋体" w:hAnsi="Times New Roman" w:hint="eastAsia"/>
                <w:szCs w:val="21"/>
              </w:rPr>
              <w:lastRenderedPageBreak/>
              <w:t>对于投资人持续持有期限未超过一年的</w:t>
            </w:r>
            <w:r>
              <w:rPr>
                <w:rFonts w:ascii="Times New Roman" w:eastAsia="宋体" w:hAnsi="Times New Roman" w:hint="eastAsia"/>
                <w:szCs w:val="21"/>
              </w:rPr>
              <w:t>C</w:t>
            </w:r>
            <w:r>
              <w:rPr>
                <w:rFonts w:ascii="Times New Roman" w:eastAsia="宋体" w:hAnsi="Times New Roman" w:hint="eastAsia"/>
                <w:szCs w:val="21"/>
              </w:rPr>
              <w:t>类基金份额，销售服务费每日计提，逐日累计至每月月末，按月支付。由基金管理人向基金托管人发送基金销售服务费划款指令，于次月首日起</w:t>
            </w:r>
            <w:r>
              <w:rPr>
                <w:rFonts w:ascii="Times New Roman" w:eastAsia="宋体" w:hAnsi="Times New Roman" w:hint="eastAsia"/>
                <w:szCs w:val="21"/>
              </w:rPr>
              <w:t>5</w:t>
            </w:r>
            <w:r>
              <w:rPr>
                <w:rFonts w:ascii="Times New Roman" w:eastAsia="宋体" w:hAnsi="Times New Roman" w:hint="eastAsia"/>
                <w:szCs w:val="21"/>
              </w:rPr>
              <w:t>个工作日内从基金财产中一次性支付给销售机构。若遇法定节假日、休息日或不可抗力致使无法按时支付的，顺延至最近可支付日支付。</w:t>
            </w:r>
          </w:p>
          <w:p w14:paraId="30D838AA" w14:textId="77777777" w:rsidR="00D27F7F" w:rsidRDefault="00A4337A">
            <w:pPr>
              <w:rPr>
                <w:rFonts w:ascii="Times New Roman" w:eastAsia="宋体" w:hAnsi="Times New Roman"/>
                <w:szCs w:val="21"/>
              </w:rPr>
            </w:pPr>
            <w:r>
              <w:rPr>
                <w:rFonts w:ascii="Times New Roman" w:eastAsia="宋体" w:hAnsi="Times New Roman" w:hint="eastAsia"/>
                <w:szCs w:val="21"/>
              </w:rPr>
              <w:t>对于投资人持续持有期限超过一年的</w:t>
            </w:r>
            <w:r>
              <w:rPr>
                <w:rFonts w:ascii="Times New Roman" w:eastAsia="宋体" w:hAnsi="Times New Roman" w:hint="eastAsia"/>
                <w:szCs w:val="21"/>
              </w:rPr>
              <w:t>C</w:t>
            </w:r>
            <w:r>
              <w:rPr>
                <w:rFonts w:ascii="Times New Roman" w:eastAsia="宋体" w:hAnsi="Times New Roman" w:hint="eastAsia"/>
                <w:szCs w:val="21"/>
              </w:rPr>
              <w:t>类基金份额，持续持有超过一年后计提的销售服务费将在投资人赎回相应基金份额或基金合同终止时随赎回款或清算款一并返还给投资人。</w:t>
            </w:r>
          </w:p>
          <w:p w14:paraId="72028CE0" w14:textId="77777777" w:rsidR="00D27F7F" w:rsidRDefault="00A4337A">
            <w:pPr>
              <w:rPr>
                <w:rFonts w:ascii="Times New Roman" w:eastAsia="宋体" w:hAnsi="Times New Roman"/>
                <w:szCs w:val="21"/>
              </w:rPr>
            </w:pPr>
            <w:r>
              <w:rPr>
                <w:rFonts w:ascii="Times New Roman" w:eastAsia="宋体" w:hAnsi="Times New Roman" w:hint="eastAsia"/>
                <w:szCs w:val="21"/>
              </w:rPr>
              <w:t>因涉及相关数据，应付销售服务费的计算和复核工作由基金管理人完成，相关信息以注册登记机构计算结果为准，基金托管人不承担复核责任。</w:t>
            </w:r>
          </w:p>
          <w:p w14:paraId="0BC7EF61" w14:textId="18436508" w:rsidR="00D27F7F" w:rsidRDefault="00A4337A">
            <w:pPr>
              <w:rPr>
                <w:rFonts w:ascii="Times New Roman" w:eastAsia="宋体" w:hAnsi="Times New Roman"/>
                <w:szCs w:val="21"/>
              </w:rPr>
            </w:pPr>
            <w:r>
              <w:rPr>
                <w:rFonts w:ascii="Times New Roman" w:eastAsia="宋体" w:hAnsi="Times New Roman" w:hint="eastAsia"/>
                <w:szCs w:val="21"/>
              </w:rPr>
              <w:t>C</w:t>
            </w:r>
            <w:r>
              <w:rPr>
                <w:rFonts w:ascii="Times New Roman" w:eastAsia="宋体" w:hAnsi="Times New Roman" w:hint="eastAsia"/>
                <w:szCs w:val="21"/>
              </w:rPr>
              <w:t>类基金份额的销售服务费将专门用于本基金的推广、销售与基金份额持有人服务。</w:t>
            </w:r>
          </w:p>
        </w:tc>
      </w:tr>
      <w:tr w:rsidR="00D27F7F" w14:paraId="1076C28C" w14:textId="77777777">
        <w:tc>
          <w:tcPr>
            <w:tcW w:w="1696" w:type="dxa"/>
            <w:tcBorders>
              <w:top w:val="single" w:sz="4" w:space="0" w:color="auto"/>
              <w:left w:val="single" w:sz="4" w:space="0" w:color="auto"/>
              <w:bottom w:val="single" w:sz="4" w:space="0" w:color="auto"/>
              <w:right w:val="single" w:sz="4" w:space="0" w:color="auto"/>
            </w:tcBorders>
          </w:tcPr>
          <w:p w14:paraId="2B4032B5" w14:textId="77777777" w:rsidR="00D27F7F" w:rsidRDefault="00A4337A">
            <w:pPr>
              <w:rPr>
                <w:rFonts w:eastAsia="宋体"/>
                <w:b/>
                <w:szCs w:val="21"/>
              </w:rPr>
            </w:pPr>
            <w:r>
              <w:rPr>
                <w:rFonts w:eastAsia="宋体" w:hint="eastAsia"/>
                <w:b/>
                <w:szCs w:val="21"/>
              </w:rPr>
              <w:lastRenderedPageBreak/>
              <w:t>十三、基金费用和税收</w:t>
            </w:r>
          </w:p>
        </w:tc>
        <w:tc>
          <w:tcPr>
            <w:tcW w:w="6096" w:type="dxa"/>
            <w:tcBorders>
              <w:top w:val="single" w:sz="4" w:space="0" w:color="auto"/>
              <w:left w:val="single" w:sz="4" w:space="0" w:color="auto"/>
              <w:bottom w:val="single" w:sz="4" w:space="0" w:color="auto"/>
              <w:right w:val="single" w:sz="4" w:space="0" w:color="auto"/>
            </w:tcBorders>
          </w:tcPr>
          <w:p w14:paraId="58E607DE" w14:textId="77777777" w:rsidR="00D27F7F" w:rsidRDefault="00D27F7F">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0BC8BFBF" w14:textId="77777777" w:rsidR="00D27F7F" w:rsidRDefault="00A4337A">
            <w:pPr>
              <w:rPr>
                <w:rFonts w:ascii="Times New Roman" w:eastAsia="宋体" w:hAnsi="Times New Roman"/>
                <w:szCs w:val="21"/>
              </w:rPr>
            </w:pPr>
            <w:r>
              <w:rPr>
                <w:rFonts w:ascii="Times New Roman" w:eastAsia="宋体" w:hAnsi="Times New Roman" w:hint="eastAsia"/>
                <w:szCs w:val="21"/>
              </w:rPr>
              <w:t>（十）实施侧袋机制期间的基金费用</w:t>
            </w:r>
          </w:p>
          <w:p w14:paraId="2F70ABAC" w14:textId="77777777" w:rsidR="00D27F7F" w:rsidRDefault="00A4337A">
            <w:pPr>
              <w:rPr>
                <w:rFonts w:ascii="Times New Roman" w:eastAsia="宋体" w:hAnsi="Times New Roman"/>
                <w:szCs w:val="21"/>
              </w:rPr>
            </w:pPr>
            <w:r>
              <w:rPr>
                <w:rFonts w:ascii="Times New Roman" w:eastAsia="宋体" w:hAnsi="Times New Roman" w:hint="eastAsia"/>
                <w:szCs w:val="21"/>
              </w:rPr>
              <w:t>本基金实施侧袋机制的，与侧袋账户有关的费用可以从侧袋账户中列支，但应待侧袋账户资产变现后方可列支，有关费用可酌情收取或减免，但不得收取管理费，详见招募说明书的规定。</w:t>
            </w:r>
          </w:p>
        </w:tc>
      </w:tr>
      <w:tr w:rsidR="00D27F7F" w14:paraId="68DA87E8" w14:textId="77777777">
        <w:tc>
          <w:tcPr>
            <w:tcW w:w="1696" w:type="dxa"/>
            <w:tcBorders>
              <w:top w:val="single" w:sz="4" w:space="0" w:color="auto"/>
              <w:left w:val="single" w:sz="4" w:space="0" w:color="auto"/>
              <w:bottom w:val="single" w:sz="4" w:space="0" w:color="auto"/>
              <w:right w:val="single" w:sz="4" w:space="0" w:color="auto"/>
            </w:tcBorders>
          </w:tcPr>
          <w:p w14:paraId="37123F44" w14:textId="77777777" w:rsidR="00D27F7F" w:rsidRDefault="00A4337A">
            <w:pPr>
              <w:rPr>
                <w:rFonts w:eastAsia="宋体"/>
                <w:b/>
                <w:szCs w:val="21"/>
              </w:rPr>
            </w:pPr>
            <w:r>
              <w:rPr>
                <w:rFonts w:eastAsia="宋体" w:hint="eastAsia"/>
                <w:b/>
                <w:szCs w:val="21"/>
              </w:rPr>
              <w:t>十八、托管协议的变更、终止与基金财产的清算</w:t>
            </w:r>
          </w:p>
        </w:tc>
        <w:tc>
          <w:tcPr>
            <w:tcW w:w="6096" w:type="dxa"/>
            <w:tcBorders>
              <w:top w:val="single" w:sz="4" w:space="0" w:color="auto"/>
              <w:left w:val="single" w:sz="4" w:space="0" w:color="auto"/>
              <w:bottom w:val="single" w:sz="4" w:space="0" w:color="auto"/>
              <w:right w:val="single" w:sz="4" w:space="0" w:color="auto"/>
            </w:tcBorders>
          </w:tcPr>
          <w:p w14:paraId="5211D557" w14:textId="77777777" w:rsidR="00D27F7F" w:rsidRDefault="00D27F7F">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113248F2" w14:textId="77777777" w:rsidR="00D27F7F" w:rsidRDefault="00A4337A">
            <w:pPr>
              <w:rPr>
                <w:rFonts w:ascii="Times New Roman" w:eastAsia="宋体" w:hAnsi="Times New Roman"/>
                <w:szCs w:val="21"/>
              </w:rPr>
            </w:pPr>
            <w:r>
              <w:rPr>
                <w:rFonts w:ascii="Times New Roman" w:eastAsia="宋体" w:hAnsi="Times New Roman" w:hint="eastAsia"/>
                <w:szCs w:val="21"/>
              </w:rPr>
              <w:t>（三）基金财产的清算</w:t>
            </w:r>
          </w:p>
          <w:p w14:paraId="51251353" w14:textId="77777777" w:rsidR="00D27F7F" w:rsidRDefault="00A4337A">
            <w:pPr>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hint="eastAsia"/>
                <w:szCs w:val="21"/>
              </w:rPr>
              <w:t>基金财产按下列顺序清偿：</w:t>
            </w:r>
          </w:p>
          <w:p w14:paraId="166345D3" w14:textId="77777777" w:rsidR="00D27F7F" w:rsidRDefault="00D27F7F">
            <w:pPr>
              <w:rPr>
                <w:rFonts w:ascii="Times New Roman" w:eastAsia="宋体" w:hAnsi="Times New Roman"/>
                <w:szCs w:val="21"/>
              </w:rPr>
            </w:pPr>
          </w:p>
          <w:p w14:paraId="797A6DFD" w14:textId="77777777" w:rsidR="00D27F7F" w:rsidRDefault="00A4337A">
            <w:pPr>
              <w:rPr>
                <w:rFonts w:ascii="Times New Roman" w:eastAsia="宋体" w:hAnsi="Times New Roman"/>
                <w:szCs w:val="21"/>
              </w:rPr>
            </w:pPr>
            <w:r>
              <w:rPr>
                <w:rFonts w:ascii="Times New Roman" w:eastAsia="宋体" w:hAnsi="Times New Roman" w:hint="eastAsia"/>
                <w:szCs w:val="21"/>
              </w:rPr>
              <w:t>对于投资人通过直销机构申购的</w:t>
            </w:r>
            <w:r>
              <w:rPr>
                <w:rFonts w:ascii="Times New Roman" w:eastAsia="宋体" w:hAnsi="Times New Roman" w:hint="eastAsia"/>
                <w:szCs w:val="21"/>
              </w:rPr>
              <w:t>C</w:t>
            </w:r>
            <w:r>
              <w:rPr>
                <w:rFonts w:ascii="Times New Roman" w:eastAsia="宋体" w:hAnsi="Times New Roman" w:hint="eastAsia"/>
                <w:szCs w:val="21"/>
              </w:rPr>
              <w:t>类基金份额所计提的销售服务费，或者通过其他销售机构申购的</w:t>
            </w:r>
            <w:r>
              <w:rPr>
                <w:rFonts w:ascii="Times New Roman" w:eastAsia="宋体" w:hAnsi="Times New Roman" w:hint="eastAsia"/>
                <w:szCs w:val="21"/>
              </w:rPr>
              <w:t>C</w:t>
            </w:r>
            <w:r>
              <w:rPr>
                <w:rFonts w:ascii="Times New Roman" w:eastAsia="宋体" w:hAnsi="Times New Roman" w:hint="eastAsia"/>
                <w:szCs w:val="21"/>
              </w:rPr>
              <w:t>类基金份额持续持有超过一年后所计提的销售服务费，将在基金合同终止时随剩余资产分配款项一并返还给投资人。</w:t>
            </w:r>
          </w:p>
        </w:tc>
      </w:tr>
    </w:tbl>
    <w:p w14:paraId="229CB902" w14:textId="77777777" w:rsidR="00D27F7F" w:rsidRDefault="00D27F7F">
      <w:pPr>
        <w:pStyle w:val="ad"/>
        <w:spacing w:line="20" w:lineRule="exact"/>
        <w:ind w:right="482"/>
        <w:rPr>
          <w:rFonts w:ascii="Times New Roman" w:hAnsi="Times New Roman" w:cs="Times New Roman"/>
        </w:rPr>
      </w:pPr>
    </w:p>
    <w:sectPr w:rsidR="00D27F7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26E4" w14:textId="77777777" w:rsidR="00A92F5A" w:rsidRDefault="00A92F5A" w:rsidP="00714721">
      <w:r>
        <w:separator/>
      </w:r>
    </w:p>
  </w:endnote>
  <w:endnote w:type="continuationSeparator" w:id="0">
    <w:p w14:paraId="52D3A814" w14:textId="77777777" w:rsidR="00A92F5A" w:rsidRDefault="00A92F5A" w:rsidP="0071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6FA77" w14:textId="77777777" w:rsidR="00A92F5A" w:rsidRDefault="00A92F5A" w:rsidP="00714721">
      <w:r>
        <w:separator/>
      </w:r>
    </w:p>
  </w:footnote>
  <w:footnote w:type="continuationSeparator" w:id="0">
    <w:p w14:paraId="01F7FED0" w14:textId="77777777" w:rsidR="00A92F5A" w:rsidRDefault="00A92F5A" w:rsidP="00714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05A7F"/>
    <w:multiLevelType w:val="multilevel"/>
    <w:tmpl w:val="47C05A7F"/>
    <w:lvl w:ilvl="0">
      <w:start w:val="1"/>
      <w:numFmt w:val="none"/>
      <w:lvlText w:val="一、"/>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1F1"/>
    <w:rsid w:val="000036BE"/>
    <w:rsid w:val="00004F62"/>
    <w:rsid w:val="000061A2"/>
    <w:rsid w:val="00006698"/>
    <w:rsid w:val="000068D4"/>
    <w:rsid w:val="00006C7D"/>
    <w:rsid w:val="00012BFD"/>
    <w:rsid w:val="00014922"/>
    <w:rsid w:val="00014DEB"/>
    <w:rsid w:val="000174CC"/>
    <w:rsid w:val="000277DA"/>
    <w:rsid w:val="00031078"/>
    <w:rsid w:val="00034218"/>
    <w:rsid w:val="00040052"/>
    <w:rsid w:val="000458A4"/>
    <w:rsid w:val="00050813"/>
    <w:rsid w:val="000540FE"/>
    <w:rsid w:val="00055C6B"/>
    <w:rsid w:val="00055F04"/>
    <w:rsid w:val="0006140E"/>
    <w:rsid w:val="00061F8F"/>
    <w:rsid w:val="00063809"/>
    <w:rsid w:val="00064928"/>
    <w:rsid w:val="0006726F"/>
    <w:rsid w:val="000708CC"/>
    <w:rsid w:val="00071A7D"/>
    <w:rsid w:val="00071D9E"/>
    <w:rsid w:val="00072602"/>
    <w:rsid w:val="00072969"/>
    <w:rsid w:val="00074216"/>
    <w:rsid w:val="000742FA"/>
    <w:rsid w:val="000748A9"/>
    <w:rsid w:val="000764D0"/>
    <w:rsid w:val="00080B76"/>
    <w:rsid w:val="00083D17"/>
    <w:rsid w:val="00085F92"/>
    <w:rsid w:val="00086110"/>
    <w:rsid w:val="000873ED"/>
    <w:rsid w:val="00090BA1"/>
    <w:rsid w:val="000910C2"/>
    <w:rsid w:val="00097C70"/>
    <w:rsid w:val="000A3905"/>
    <w:rsid w:val="000A540B"/>
    <w:rsid w:val="000B30E8"/>
    <w:rsid w:val="000B4BB5"/>
    <w:rsid w:val="000C0204"/>
    <w:rsid w:val="000C215A"/>
    <w:rsid w:val="000C338B"/>
    <w:rsid w:val="000C453D"/>
    <w:rsid w:val="000D00C7"/>
    <w:rsid w:val="000D0917"/>
    <w:rsid w:val="000D2663"/>
    <w:rsid w:val="000D284F"/>
    <w:rsid w:val="000D4906"/>
    <w:rsid w:val="000D6C64"/>
    <w:rsid w:val="000D7169"/>
    <w:rsid w:val="000D77E7"/>
    <w:rsid w:val="000D7BDD"/>
    <w:rsid w:val="000E0655"/>
    <w:rsid w:val="000E7168"/>
    <w:rsid w:val="000E7512"/>
    <w:rsid w:val="000E77C6"/>
    <w:rsid w:val="000F3CB6"/>
    <w:rsid w:val="000F5D4F"/>
    <w:rsid w:val="000F6BDA"/>
    <w:rsid w:val="000F7AFD"/>
    <w:rsid w:val="00102DA4"/>
    <w:rsid w:val="0010367D"/>
    <w:rsid w:val="00104082"/>
    <w:rsid w:val="00105F43"/>
    <w:rsid w:val="00106181"/>
    <w:rsid w:val="00110B9E"/>
    <w:rsid w:val="001126EF"/>
    <w:rsid w:val="00115E7F"/>
    <w:rsid w:val="00121B59"/>
    <w:rsid w:val="00123111"/>
    <w:rsid w:val="00124702"/>
    <w:rsid w:val="00124E75"/>
    <w:rsid w:val="001278EA"/>
    <w:rsid w:val="0013040F"/>
    <w:rsid w:val="00132E51"/>
    <w:rsid w:val="00134359"/>
    <w:rsid w:val="001346B4"/>
    <w:rsid w:val="00134CC8"/>
    <w:rsid w:val="00140277"/>
    <w:rsid w:val="001424F6"/>
    <w:rsid w:val="001527B0"/>
    <w:rsid w:val="00154213"/>
    <w:rsid w:val="00156835"/>
    <w:rsid w:val="001618F5"/>
    <w:rsid w:val="001666A1"/>
    <w:rsid w:val="00166D86"/>
    <w:rsid w:val="00167858"/>
    <w:rsid w:val="0017051E"/>
    <w:rsid w:val="00171CB5"/>
    <w:rsid w:val="00172984"/>
    <w:rsid w:val="00174E2D"/>
    <w:rsid w:val="00180E03"/>
    <w:rsid w:val="00184885"/>
    <w:rsid w:val="00184B95"/>
    <w:rsid w:val="0018510F"/>
    <w:rsid w:val="0018656D"/>
    <w:rsid w:val="001873F3"/>
    <w:rsid w:val="00187A00"/>
    <w:rsid w:val="00191075"/>
    <w:rsid w:val="00194AF7"/>
    <w:rsid w:val="001A017E"/>
    <w:rsid w:val="001A083A"/>
    <w:rsid w:val="001A1AD5"/>
    <w:rsid w:val="001A2373"/>
    <w:rsid w:val="001A3AD0"/>
    <w:rsid w:val="001A46D6"/>
    <w:rsid w:val="001A4E85"/>
    <w:rsid w:val="001A698B"/>
    <w:rsid w:val="001A6E1E"/>
    <w:rsid w:val="001B1DD3"/>
    <w:rsid w:val="001B3BB5"/>
    <w:rsid w:val="001B40BA"/>
    <w:rsid w:val="001B52BD"/>
    <w:rsid w:val="001B54B6"/>
    <w:rsid w:val="001B6C85"/>
    <w:rsid w:val="001B786C"/>
    <w:rsid w:val="001C059F"/>
    <w:rsid w:val="001C2429"/>
    <w:rsid w:val="001C3765"/>
    <w:rsid w:val="001C5444"/>
    <w:rsid w:val="001D083F"/>
    <w:rsid w:val="001D50DC"/>
    <w:rsid w:val="001D5120"/>
    <w:rsid w:val="001D5BEF"/>
    <w:rsid w:val="001D68B5"/>
    <w:rsid w:val="001D6BA1"/>
    <w:rsid w:val="001E1FE3"/>
    <w:rsid w:val="001E30B3"/>
    <w:rsid w:val="001E3B1D"/>
    <w:rsid w:val="001E735D"/>
    <w:rsid w:val="001F29E6"/>
    <w:rsid w:val="001F3136"/>
    <w:rsid w:val="001F46A9"/>
    <w:rsid w:val="001F78B4"/>
    <w:rsid w:val="0020730D"/>
    <w:rsid w:val="00215388"/>
    <w:rsid w:val="0022254D"/>
    <w:rsid w:val="002226B9"/>
    <w:rsid w:val="00223588"/>
    <w:rsid w:val="002245C5"/>
    <w:rsid w:val="00227080"/>
    <w:rsid w:val="00230266"/>
    <w:rsid w:val="002308FC"/>
    <w:rsid w:val="00233A57"/>
    <w:rsid w:val="00236CAB"/>
    <w:rsid w:val="002375A7"/>
    <w:rsid w:val="002401C5"/>
    <w:rsid w:val="00244ADC"/>
    <w:rsid w:val="00245008"/>
    <w:rsid w:val="00246885"/>
    <w:rsid w:val="00255441"/>
    <w:rsid w:val="00257436"/>
    <w:rsid w:val="0025749D"/>
    <w:rsid w:val="00257BC3"/>
    <w:rsid w:val="002606B5"/>
    <w:rsid w:val="00261460"/>
    <w:rsid w:val="0026322C"/>
    <w:rsid w:val="00263B34"/>
    <w:rsid w:val="002646FF"/>
    <w:rsid w:val="00267310"/>
    <w:rsid w:val="002708EF"/>
    <w:rsid w:val="0027106A"/>
    <w:rsid w:val="00273AFA"/>
    <w:rsid w:val="00280ECD"/>
    <w:rsid w:val="0028233E"/>
    <w:rsid w:val="00290567"/>
    <w:rsid w:val="00292E7A"/>
    <w:rsid w:val="00293634"/>
    <w:rsid w:val="00297699"/>
    <w:rsid w:val="002A0074"/>
    <w:rsid w:val="002A1523"/>
    <w:rsid w:val="002A1DA1"/>
    <w:rsid w:val="002A2102"/>
    <w:rsid w:val="002A4080"/>
    <w:rsid w:val="002A530E"/>
    <w:rsid w:val="002A5FB0"/>
    <w:rsid w:val="002A6F38"/>
    <w:rsid w:val="002A7767"/>
    <w:rsid w:val="002A7A09"/>
    <w:rsid w:val="002B0FEC"/>
    <w:rsid w:val="002B199B"/>
    <w:rsid w:val="002B7C2A"/>
    <w:rsid w:val="002C0603"/>
    <w:rsid w:val="002C2715"/>
    <w:rsid w:val="002C29FF"/>
    <w:rsid w:val="002C313C"/>
    <w:rsid w:val="002C471C"/>
    <w:rsid w:val="002C5DCD"/>
    <w:rsid w:val="002C680A"/>
    <w:rsid w:val="002D289C"/>
    <w:rsid w:val="002D2A11"/>
    <w:rsid w:val="002D35CA"/>
    <w:rsid w:val="002D3FBA"/>
    <w:rsid w:val="002D5348"/>
    <w:rsid w:val="002D5801"/>
    <w:rsid w:val="002E2019"/>
    <w:rsid w:val="002E5263"/>
    <w:rsid w:val="002E6C65"/>
    <w:rsid w:val="002E75B6"/>
    <w:rsid w:val="002F09AC"/>
    <w:rsid w:val="002F1720"/>
    <w:rsid w:val="002F2EBA"/>
    <w:rsid w:val="00300E3E"/>
    <w:rsid w:val="003065A5"/>
    <w:rsid w:val="003068EE"/>
    <w:rsid w:val="00310291"/>
    <w:rsid w:val="00313896"/>
    <w:rsid w:val="003179B9"/>
    <w:rsid w:val="00320090"/>
    <w:rsid w:val="00321F13"/>
    <w:rsid w:val="0032403D"/>
    <w:rsid w:val="0032437C"/>
    <w:rsid w:val="003248CE"/>
    <w:rsid w:val="0032585B"/>
    <w:rsid w:val="00326D55"/>
    <w:rsid w:val="00333C76"/>
    <w:rsid w:val="00334A3D"/>
    <w:rsid w:val="00335252"/>
    <w:rsid w:val="00335482"/>
    <w:rsid w:val="00335E45"/>
    <w:rsid w:val="00336362"/>
    <w:rsid w:val="003415CF"/>
    <w:rsid w:val="0034401E"/>
    <w:rsid w:val="0035120B"/>
    <w:rsid w:val="003523E0"/>
    <w:rsid w:val="00352F5F"/>
    <w:rsid w:val="00356D11"/>
    <w:rsid w:val="0035725F"/>
    <w:rsid w:val="00357B02"/>
    <w:rsid w:val="003603B0"/>
    <w:rsid w:val="00364655"/>
    <w:rsid w:val="0036603D"/>
    <w:rsid w:val="00370977"/>
    <w:rsid w:val="00370D0A"/>
    <w:rsid w:val="00374829"/>
    <w:rsid w:val="00377E18"/>
    <w:rsid w:val="00380DDF"/>
    <w:rsid w:val="0038243B"/>
    <w:rsid w:val="00383FC7"/>
    <w:rsid w:val="00385374"/>
    <w:rsid w:val="00386B6A"/>
    <w:rsid w:val="00387158"/>
    <w:rsid w:val="00387972"/>
    <w:rsid w:val="0039059A"/>
    <w:rsid w:val="003919E2"/>
    <w:rsid w:val="00393F21"/>
    <w:rsid w:val="003A20E8"/>
    <w:rsid w:val="003A3CAD"/>
    <w:rsid w:val="003A4247"/>
    <w:rsid w:val="003A6321"/>
    <w:rsid w:val="003A7BB6"/>
    <w:rsid w:val="003B0AE6"/>
    <w:rsid w:val="003B0F48"/>
    <w:rsid w:val="003B19AF"/>
    <w:rsid w:val="003B335D"/>
    <w:rsid w:val="003B4E5B"/>
    <w:rsid w:val="003B6E28"/>
    <w:rsid w:val="003B709C"/>
    <w:rsid w:val="003C42A4"/>
    <w:rsid w:val="003C5E98"/>
    <w:rsid w:val="003C5FA6"/>
    <w:rsid w:val="003D08D1"/>
    <w:rsid w:val="003D0ABE"/>
    <w:rsid w:val="003D1514"/>
    <w:rsid w:val="003E08D2"/>
    <w:rsid w:val="003E0E13"/>
    <w:rsid w:val="003F6964"/>
    <w:rsid w:val="004000FD"/>
    <w:rsid w:val="0041193A"/>
    <w:rsid w:val="00414F7B"/>
    <w:rsid w:val="00416BF0"/>
    <w:rsid w:val="0042074B"/>
    <w:rsid w:val="0043285A"/>
    <w:rsid w:val="0043382D"/>
    <w:rsid w:val="0043744B"/>
    <w:rsid w:val="00437946"/>
    <w:rsid w:val="00441ADF"/>
    <w:rsid w:val="0044463C"/>
    <w:rsid w:val="00451B05"/>
    <w:rsid w:val="00451B45"/>
    <w:rsid w:val="00455095"/>
    <w:rsid w:val="004557AB"/>
    <w:rsid w:val="00457ADE"/>
    <w:rsid w:val="004621C1"/>
    <w:rsid w:val="0046799A"/>
    <w:rsid w:val="00472168"/>
    <w:rsid w:val="0047240A"/>
    <w:rsid w:val="0047420B"/>
    <w:rsid w:val="0047470B"/>
    <w:rsid w:val="00476762"/>
    <w:rsid w:val="00480A4D"/>
    <w:rsid w:val="00480D08"/>
    <w:rsid w:val="00486A6C"/>
    <w:rsid w:val="004902E8"/>
    <w:rsid w:val="00490C6D"/>
    <w:rsid w:val="004920EA"/>
    <w:rsid w:val="00495473"/>
    <w:rsid w:val="00496E28"/>
    <w:rsid w:val="004A3EB7"/>
    <w:rsid w:val="004A4649"/>
    <w:rsid w:val="004A5B1E"/>
    <w:rsid w:val="004B134F"/>
    <w:rsid w:val="004B1C8A"/>
    <w:rsid w:val="004B1FED"/>
    <w:rsid w:val="004B6E26"/>
    <w:rsid w:val="004C25A7"/>
    <w:rsid w:val="004C50D4"/>
    <w:rsid w:val="004D05DD"/>
    <w:rsid w:val="004D0F8E"/>
    <w:rsid w:val="004D11AD"/>
    <w:rsid w:val="004D2BB2"/>
    <w:rsid w:val="004D5B8C"/>
    <w:rsid w:val="004D756A"/>
    <w:rsid w:val="004E0F6D"/>
    <w:rsid w:val="004E2AF7"/>
    <w:rsid w:val="004E6EC2"/>
    <w:rsid w:val="004E6F35"/>
    <w:rsid w:val="004F2B6D"/>
    <w:rsid w:val="004F4396"/>
    <w:rsid w:val="004F5D22"/>
    <w:rsid w:val="004F6469"/>
    <w:rsid w:val="00500CC3"/>
    <w:rsid w:val="00506E2C"/>
    <w:rsid w:val="0051110A"/>
    <w:rsid w:val="00511B61"/>
    <w:rsid w:val="0051263C"/>
    <w:rsid w:val="00512939"/>
    <w:rsid w:val="00512D08"/>
    <w:rsid w:val="005139AA"/>
    <w:rsid w:val="00513A96"/>
    <w:rsid w:val="0051696F"/>
    <w:rsid w:val="00521800"/>
    <w:rsid w:val="00521D1E"/>
    <w:rsid w:val="005226A5"/>
    <w:rsid w:val="00523BF6"/>
    <w:rsid w:val="00523E72"/>
    <w:rsid w:val="00523F3D"/>
    <w:rsid w:val="005255D7"/>
    <w:rsid w:val="00526BD0"/>
    <w:rsid w:val="00527244"/>
    <w:rsid w:val="00534D44"/>
    <w:rsid w:val="00537003"/>
    <w:rsid w:val="00551BB6"/>
    <w:rsid w:val="00551CE4"/>
    <w:rsid w:val="0055229F"/>
    <w:rsid w:val="00552487"/>
    <w:rsid w:val="0055311F"/>
    <w:rsid w:val="00554566"/>
    <w:rsid w:val="0055682C"/>
    <w:rsid w:val="00556957"/>
    <w:rsid w:val="0056018C"/>
    <w:rsid w:val="00561449"/>
    <w:rsid w:val="00565CEB"/>
    <w:rsid w:val="005668B8"/>
    <w:rsid w:val="00566B1C"/>
    <w:rsid w:val="005706E2"/>
    <w:rsid w:val="005732D9"/>
    <w:rsid w:val="00576873"/>
    <w:rsid w:val="005768AC"/>
    <w:rsid w:val="0057774E"/>
    <w:rsid w:val="005828E6"/>
    <w:rsid w:val="00583B5E"/>
    <w:rsid w:val="00587071"/>
    <w:rsid w:val="00590980"/>
    <w:rsid w:val="005926A3"/>
    <w:rsid w:val="00592E50"/>
    <w:rsid w:val="005A1702"/>
    <w:rsid w:val="005A1A43"/>
    <w:rsid w:val="005A1D7A"/>
    <w:rsid w:val="005A4570"/>
    <w:rsid w:val="005A7965"/>
    <w:rsid w:val="005B08C9"/>
    <w:rsid w:val="005B0E95"/>
    <w:rsid w:val="005B5654"/>
    <w:rsid w:val="005B58C0"/>
    <w:rsid w:val="005C0094"/>
    <w:rsid w:val="005C34D0"/>
    <w:rsid w:val="005C4CDB"/>
    <w:rsid w:val="005C6D1D"/>
    <w:rsid w:val="005D1CBA"/>
    <w:rsid w:val="005D2876"/>
    <w:rsid w:val="005E157D"/>
    <w:rsid w:val="005E41AE"/>
    <w:rsid w:val="005E4A1E"/>
    <w:rsid w:val="005E7F27"/>
    <w:rsid w:val="005F13D6"/>
    <w:rsid w:val="005F2AF7"/>
    <w:rsid w:val="0060060C"/>
    <w:rsid w:val="00601163"/>
    <w:rsid w:val="00603A15"/>
    <w:rsid w:val="00607FE6"/>
    <w:rsid w:val="0061186B"/>
    <w:rsid w:val="0061658F"/>
    <w:rsid w:val="00616C53"/>
    <w:rsid w:val="0062023F"/>
    <w:rsid w:val="00622E1C"/>
    <w:rsid w:val="00624E22"/>
    <w:rsid w:val="00630CF3"/>
    <w:rsid w:val="00631FC4"/>
    <w:rsid w:val="00635225"/>
    <w:rsid w:val="00636A65"/>
    <w:rsid w:val="006410B6"/>
    <w:rsid w:val="006413CB"/>
    <w:rsid w:val="0064199B"/>
    <w:rsid w:val="006426D0"/>
    <w:rsid w:val="00643583"/>
    <w:rsid w:val="00647C76"/>
    <w:rsid w:val="00653BDA"/>
    <w:rsid w:val="00660E52"/>
    <w:rsid w:val="006627D1"/>
    <w:rsid w:val="00662937"/>
    <w:rsid w:val="006641A8"/>
    <w:rsid w:val="006660FD"/>
    <w:rsid w:val="00667F9F"/>
    <w:rsid w:val="00671D42"/>
    <w:rsid w:val="006728A2"/>
    <w:rsid w:val="006737BF"/>
    <w:rsid w:val="00682D1C"/>
    <w:rsid w:val="00683553"/>
    <w:rsid w:val="0068381E"/>
    <w:rsid w:val="00685278"/>
    <w:rsid w:val="006878E4"/>
    <w:rsid w:val="00691024"/>
    <w:rsid w:val="006912CA"/>
    <w:rsid w:val="00692C89"/>
    <w:rsid w:val="00696384"/>
    <w:rsid w:val="00696762"/>
    <w:rsid w:val="00696AC2"/>
    <w:rsid w:val="00697276"/>
    <w:rsid w:val="006A012B"/>
    <w:rsid w:val="006A1BCB"/>
    <w:rsid w:val="006A3C1D"/>
    <w:rsid w:val="006A416A"/>
    <w:rsid w:val="006A766E"/>
    <w:rsid w:val="006A7BC8"/>
    <w:rsid w:val="006B1633"/>
    <w:rsid w:val="006B429D"/>
    <w:rsid w:val="006B62F0"/>
    <w:rsid w:val="006B7885"/>
    <w:rsid w:val="006C0580"/>
    <w:rsid w:val="006C2149"/>
    <w:rsid w:val="006C2288"/>
    <w:rsid w:val="006C6BB0"/>
    <w:rsid w:val="006C76AA"/>
    <w:rsid w:val="006D53EC"/>
    <w:rsid w:val="006D5D9E"/>
    <w:rsid w:val="006E17D1"/>
    <w:rsid w:val="006E38BB"/>
    <w:rsid w:val="006E48C0"/>
    <w:rsid w:val="006E491A"/>
    <w:rsid w:val="006E5AB6"/>
    <w:rsid w:val="006E5DFF"/>
    <w:rsid w:val="006F32CE"/>
    <w:rsid w:val="006F3CBB"/>
    <w:rsid w:val="006F5137"/>
    <w:rsid w:val="006F7123"/>
    <w:rsid w:val="00703B67"/>
    <w:rsid w:val="007078F5"/>
    <w:rsid w:val="00707EEF"/>
    <w:rsid w:val="00710BBA"/>
    <w:rsid w:val="00712D98"/>
    <w:rsid w:val="00713CC8"/>
    <w:rsid w:val="0071430B"/>
    <w:rsid w:val="00714721"/>
    <w:rsid w:val="00722154"/>
    <w:rsid w:val="00723FA5"/>
    <w:rsid w:val="007248C7"/>
    <w:rsid w:val="00724B97"/>
    <w:rsid w:val="00732E9D"/>
    <w:rsid w:val="007339C7"/>
    <w:rsid w:val="007350B3"/>
    <w:rsid w:val="0073563B"/>
    <w:rsid w:val="00735789"/>
    <w:rsid w:val="00737256"/>
    <w:rsid w:val="00737CA6"/>
    <w:rsid w:val="007426CB"/>
    <w:rsid w:val="00751469"/>
    <w:rsid w:val="00751941"/>
    <w:rsid w:val="007519DB"/>
    <w:rsid w:val="00751E2D"/>
    <w:rsid w:val="00751F60"/>
    <w:rsid w:val="00753FDD"/>
    <w:rsid w:val="00754A1E"/>
    <w:rsid w:val="0076366A"/>
    <w:rsid w:val="0076454E"/>
    <w:rsid w:val="00765E78"/>
    <w:rsid w:val="0076603A"/>
    <w:rsid w:val="00770880"/>
    <w:rsid w:val="00771C26"/>
    <w:rsid w:val="00772AEA"/>
    <w:rsid w:val="007767F0"/>
    <w:rsid w:val="00776E25"/>
    <w:rsid w:val="007838E3"/>
    <w:rsid w:val="00783A06"/>
    <w:rsid w:val="007847D5"/>
    <w:rsid w:val="00793205"/>
    <w:rsid w:val="00793B59"/>
    <w:rsid w:val="00796E15"/>
    <w:rsid w:val="007A340D"/>
    <w:rsid w:val="007A3DCA"/>
    <w:rsid w:val="007A57D1"/>
    <w:rsid w:val="007B04CE"/>
    <w:rsid w:val="007B073E"/>
    <w:rsid w:val="007B079D"/>
    <w:rsid w:val="007B0C76"/>
    <w:rsid w:val="007B138F"/>
    <w:rsid w:val="007B3FB0"/>
    <w:rsid w:val="007B45D6"/>
    <w:rsid w:val="007B70FF"/>
    <w:rsid w:val="007C0CC2"/>
    <w:rsid w:val="007C234F"/>
    <w:rsid w:val="007C5DC0"/>
    <w:rsid w:val="007C69E0"/>
    <w:rsid w:val="007C7602"/>
    <w:rsid w:val="007C774A"/>
    <w:rsid w:val="007D0CAF"/>
    <w:rsid w:val="007D0EB9"/>
    <w:rsid w:val="007D2545"/>
    <w:rsid w:val="007D453D"/>
    <w:rsid w:val="007D481D"/>
    <w:rsid w:val="007D6216"/>
    <w:rsid w:val="007D7463"/>
    <w:rsid w:val="007E0BE6"/>
    <w:rsid w:val="007E1DEE"/>
    <w:rsid w:val="007E3956"/>
    <w:rsid w:val="007E5DAC"/>
    <w:rsid w:val="007E6DFD"/>
    <w:rsid w:val="007F1F2B"/>
    <w:rsid w:val="007F2052"/>
    <w:rsid w:val="007F32D7"/>
    <w:rsid w:val="007F3AB2"/>
    <w:rsid w:val="007F4A23"/>
    <w:rsid w:val="007F60C9"/>
    <w:rsid w:val="0080027B"/>
    <w:rsid w:val="00800E38"/>
    <w:rsid w:val="00814CDB"/>
    <w:rsid w:val="00822060"/>
    <w:rsid w:val="00823ED8"/>
    <w:rsid w:val="00825504"/>
    <w:rsid w:val="0083006A"/>
    <w:rsid w:val="00832F32"/>
    <w:rsid w:val="008345DC"/>
    <w:rsid w:val="00840A38"/>
    <w:rsid w:val="0084399A"/>
    <w:rsid w:val="00843C9D"/>
    <w:rsid w:val="00844955"/>
    <w:rsid w:val="00852BA3"/>
    <w:rsid w:val="00853791"/>
    <w:rsid w:val="00855DF8"/>
    <w:rsid w:val="0085687D"/>
    <w:rsid w:val="00856C32"/>
    <w:rsid w:val="0086018E"/>
    <w:rsid w:val="0086045F"/>
    <w:rsid w:val="008607C8"/>
    <w:rsid w:val="0087001C"/>
    <w:rsid w:val="00870404"/>
    <w:rsid w:val="008704D6"/>
    <w:rsid w:val="008704EE"/>
    <w:rsid w:val="0087192D"/>
    <w:rsid w:val="0087503F"/>
    <w:rsid w:val="008756B2"/>
    <w:rsid w:val="00876021"/>
    <w:rsid w:val="008777F8"/>
    <w:rsid w:val="0088314E"/>
    <w:rsid w:val="00884135"/>
    <w:rsid w:val="00885517"/>
    <w:rsid w:val="008867E3"/>
    <w:rsid w:val="00887539"/>
    <w:rsid w:val="00887AE6"/>
    <w:rsid w:val="00893F10"/>
    <w:rsid w:val="00894114"/>
    <w:rsid w:val="0089532B"/>
    <w:rsid w:val="008A2BA2"/>
    <w:rsid w:val="008A4205"/>
    <w:rsid w:val="008A78D5"/>
    <w:rsid w:val="008B09A3"/>
    <w:rsid w:val="008B770D"/>
    <w:rsid w:val="008C103D"/>
    <w:rsid w:val="008C1BA3"/>
    <w:rsid w:val="008C3678"/>
    <w:rsid w:val="008D08F5"/>
    <w:rsid w:val="008D3272"/>
    <w:rsid w:val="008D33B8"/>
    <w:rsid w:val="008D3BA7"/>
    <w:rsid w:val="008D77BC"/>
    <w:rsid w:val="008E2FA6"/>
    <w:rsid w:val="008E3B48"/>
    <w:rsid w:val="008E4757"/>
    <w:rsid w:val="008E55B0"/>
    <w:rsid w:val="008E5A75"/>
    <w:rsid w:val="008E798C"/>
    <w:rsid w:val="008F71CF"/>
    <w:rsid w:val="008F77AA"/>
    <w:rsid w:val="00902C56"/>
    <w:rsid w:val="00911785"/>
    <w:rsid w:val="00912DA1"/>
    <w:rsid w:val="0091518A"/>
    <w:rsid w:val="009240FD"/>
    <w:rsid w:val="00924724"/>
    <w:rsid w:val="009260BE"/>
    <w:rsid w:val="009269AF"/>
    <w:rsid w:val="009338E4"/>
    <w:rsid w:val="009358EF"/>
    <w:rsid w:val="009367BB"/>
    <w:rsid w:val="00943114"/>
    <w:rsid w:val="00950822"/>
    <w:rsid w:val="009518D0"/>
    <w:rsid w:val="00952868"/>
    <w:rsid w:val="00953D64"/>
    <w:rsid w:val="00962858"/>
    <w:rsid w:val="00962FEC"/>
    <w:rsid w:val="00964AD4"/>
    <w:rsid w:val="0096762D"/>
    <w:rsid w:val="00967A4F"/>
    <w:rsid w:val="00970432"/>
    <w:rsid w:val="009704FA"/>
    <w:rsid w:val="00970875"/>
    <w:rsid w:val="00970BC0"/>
    <w:rsid w:val="00971E4D"/>
    <w:rsid w:val="00971F46"/>
    <w:rsid w:val="00975205"/>
    <w:rsid w:val="0097621A"/>
    <w:rsid w:val="009762B9"/>
    <w:rsid w:val="00981D7E"/>
    <w:rsid w:val="009839D6"/>
    <w:rsid w:val="00985196"/>
    <w:rsid w:val="00986C22"/>
    <w:rsid w:val="0098777C"/>
    <w:rsid w:val="00991494"/>
    <w:rsid w:val="009928B4"/>
    <w:rsid w:val="009979B4"/>
    <w:rsid w:val="009A41BA"/>
    <w:rsid w:val="009A72C0"/>
    <w:rsid w:val="009A7AEE"/>
    <w:rsid w:val="009B0DC3"/>
    <w:rsid w:val="009B6E17"/>
    <w:rsid w:val="009C18D0"/>
    <w:rsid w:val="009C4F61"/>
    <w:rsid w:val="009D07E4"/>
    <w:rsid w:val="009D4EEE"/>
    <w:rsid w:val="009E3192"/>
    <w:rsid w:val="009E6919"/>
    <w:rsid w:val="009E7DA1"/>
    <w:rsid w:val="009F4A64"/>
    <w:rsid w:val="00A03552"/>
    <w:rsid w:val="00A07DA5"/>
    <w:rsid w:val="00A10D7D"/>
    <w:rsid w:val="00A125A3"/>
    <w:rsid w:val="00A127CC"/>
    <w:rsid w:val="00A135DB"/>
    <w:rsid w:val="00A148E8"/>
    <w:rsid w:val="00A1586C"/>
    <w:rsid w:val="00A207AF"/>
    <w:rsid w:val="00A21B18"/>
    <w:rsid w:val="00A247EA"/>
    <w:rsid w:val="00A27A85"/>
    <w:rsid w:val="00A27BCC"/>
    <w:rsid w:val="00A338E7"/>
    <w:rsid w:val="00A37DDF"/>
    <w:rsid w:val="00A40AA4"/>
    <w:rsid w:val="00A40C80"/>
    <w:rsid w:val="00A4149A"/>
    <w:rsid w:val="00A42A8E"/>
    <w:rsid w:val="00A4337A"/>
    <w:rsid w:val="00A43C8D"/>
    <w:rsid w:val="00A43CEB"/>
    <w:rsid w:val="00A477F0"/>
    <w:rsid w:val="00A50C6D"/>
    <w:rsid w:val="00A53817"/>
    <w:rsid w:val="00A548DA"/>
    <w:rsid w:val="00A55768"/>
    <w:rsid w:val="00A55811"/>
    <w:rsid w:val="00A55FAE"/>
    <w:rsid w:val="00A560F2"/>
    <w:rsid w:val="00A57543"/>
    <w:rsid w:val="00A57F08"/>
    <w:rsid w:val="00A61226"/>
    <w:rsid w:val="00A64AA3"/>
    <w:rsid w:val="00A65DE7"/>
    <w:rsid w:val="00A71946"/>
    <w:rsid w:val="00A72B5D"/>
    <w:rsid w:val="00A75F40"/>
    <w:rsid w:val="00A76382"/>
    <w:rsid w:val="00A7643A"/>
    <w:rsid w:val="00A82CBE"/>
    <w:rsid w:val="00A83B7A"/>
    <w:rsid w:val="00A92F5A"/>
    <w:rsid w:val="00A94E4D"/>
    <w:rsid w:val="00A95A4B"/>
    <w:rsid w:val="00AA2E5A"/>
    <w:rsid w:val="00AA5A7B"/>
    <w:rsid w:val="00AA6AA1"/>
    <w:rsid w:val="00AB2F05"/>
    <w:rsid w:val="00AB390F"/>
    <w:rsid w:val="00AB713A"/>
    <w:rsid w:val="00AB7C73"/>
    <w:rsid w:val="00AC2B47"/>
    <w:rsid w:val="00AC4346"/>
    <w:rsid w:val="00AD29F4"/>
    <w:rsid w:val="00AD3A46"/>
    <w:rsid w:val="00AE0532"/>
    <w:rsid w:val="00AE0FB0"/>
    <w:rsid w:val="00AF299A"/>
    <w:rsid w:val="00AF45A4"/>
    <w:rsid w:val="00B00A5C"/>
    <w:rsid w:val="00B00B8E"/>
    <w:rsid w:val="00B045CD"/>
    <w:rsid w:val="00B04921"/>
    <w:rsid w:val="00B05537"/>
    <w:rsid w:val="00B063E7"/>
    <w:rsid w:val="00B07F67"/>
    <w:rsid w:val="00B10CF5"/>
    <w:rsid w:val="00B11669"/>
    <w:rsid w:val="00B128C1"/>
    <w:rsid w:val="00B134C3"/>
    <w:rsid w:val="00B1452A"/>
    <w:rsid w:val="00B221C5"/>
    <w:rsid w:val="00B23C45"/>
    <w:rsid w:val="00B2556D"/>
    <w:rsid w:val="00B26F8A"/>
    <w:rsid w:val="00B31E65"/>
    <w:rsid w:val="00B327A8"/>
    <w:rsid w:val="00B34ABA"/>
    <w:rsid w:val="00B3747E"/>
    <w:rsid w:val="00B40DDD"/>
    <w:rsid w:val="00B41DA1"/>
    <w:rsid w:val="00B4341A"/>
    <w:rsid w:val="00B447D8"/>
    <w:rsid w:val="00B50119"/>
    <w:rsid w:val="00B50FD9"/>
    <w:rsid w:val="00B5291C"/>
    <w:rsid w:val="00B54746"/>
    <w:rsid w:val="00B5546A"/>
    <w:rsid w:val="00B55A93"/>
    <w:rsid w:val="00B5637A"/>
    <w:rsid w:val="00B574D0"/>
    <w:rsid w:val="00B61C2D"/>
    <w:rsid w:val="00B62ACA"/>
    <w:rsid w:val="00B6624E"/>
    <w:rsid w:val="00B7286B"/>
    <w:rsid w:val="00B73233"/>
    <w:rsid w:val="00B73E48"/>
    <w:rsid w:val="00B75874"/>
    <w:rsid w:val="00B801E7"/>
    <w:rsid w:val="00B8047E"/>
    <w:rsid w:val="00B84BC8"/>
    <w:rsid w:val="00B90092"/>
    <w:rsid w:val="00B93560"/>
    <w:rsid w:val="00B94A55"/>
    <w:rsid w:val="00B9564F"/>
    <w:rsid w:val="00B96B38"/>
    <w:rsid w:val="00B97A59"/>
    <w:rsid w:val="00B97E46"/>
    <w:rsid w:val="00BA12B7"/>
    <w:rsid w:val="00BA7F03"/>
    <w:rsid w:val="00BB19DF"/>
    <w:rsid w:val="00BB2067"/>
    <w:rsid w:val="00BB4E10"/>
    <w:rsid w:val="00BC0934"/>
    <w:rsid w:val="00BC341D"/>
    <w:rsid w:val="00BC535A"/>
    <w:rsid w:val="00BD208B"/>
    <w:rsid w:val="00BD3BD6"/>
    <w:rsid w:val="00BD63CF"/>
    <w:rsid w:val="00BD6C0A"/>
    <w:rsid w:val="00BD73E7"/>
    <w:rsid w:val="00BE1BED"/>
    <w:rsid w:val="00BE2CAC"/>
    <w:rsid w:val="00BE5AB9"/>
    <w:rsid w:val="00BE67A5"/>
    <w:rsid w:val="00BE7FF0"/>
    <w:rsid w:val="00BF1D0F"/>
    <w:rsid w:val="00BF35FB"/>
    <w:rsid w:val="00BF455E"/>
    <w:rsid w:val="00C014C1"/>
    <w:rsid w:val="00C02027"/>
    <w:rsid w:val="00C021CA"/>
    <w:rsid w:val="00C023E1"/>
    <w:rsid w:val="00C02AB9"/>
    <w:rsid w:val="00C03283"/>
    <w:rsid w:val="00C034CB"/>
    <w:rsid w:val="00C05537"/>
    <w:rsid w:val="00C055C0"/>
    <w:rsid w:val="00C101B0"/>
    <w:rsid w:val="00C12E52"/>
    <w:rsid w:val="00C130C6"/>
    <w:rsid w:val="00C14C98"/>
    <w:rsid w:val="00C151FA"/>
    <w:rsid w:val="00C1585B"/>
    <w:rsid w:val="00C16FD6"/>
    <w:rsid w:val="00C21634"/>
    <w:rsid w:val="00C23710"/>
    <w:rsid w:val="00C24746"/>
    <w:rsid w:val="00C25DC7"/>
    <w:rsid w:val="00C32D83"/>
    <w:rsid w:val="00C33651"/>
    <w:rsid w:val="00C45625"/>
    <w:rsid w:val="00C461B1"/>
    <w:rsid w:val="00C4643E"/>
    <w:rsid w:val="00C479F6"/>
    <w:rsid w:val="00C47CE1"/>
    <w:rsid w:val="00C52778"/>
    <w:rsid w:val="00C5408F"/>
    <w:rsid w:val="00C5732F"/>
    <w:rsid w:val="00C57580"/>
    <w:rsid w:val="00C643C3"/>
    <w:rsid w:val="00C64CE3"/>
    <w:rsid w:val="00C673A8"/>
    <w:rsid w:val="00C72006"/>
    <w:rsid w:val="00C730FB"/>
    <w:rsid w:val="00C731EE"/>
    <w:rsid w:val="00C74778"/>
    <w:rsid w:val="00C8308E"/>
    <w:rsid w:val="00C83D95"/>
    <w:rsid w:val="00C86DF9"/>
    <w:rsid w:val="00C87E62"/>
    <w:rsid w:val="00C937B9"/>
    <w:rsid w:val="00C93C94"/>
    <w:rsid w:val="00C957B0"/>
    <w:rsid w:val="00CA1758"/>
    <w:rsid w:val="00CA211E"/>
    <w:rsid w:val="00CA7AC5"/>
    <w:rsid w:val="00CB0D8B"/>
    <w:rsid w:val="00CB3F34"/>
    <w:rsid w:val="00CB60AC"/>
    <w:rsid w:val="00CB6AA6"/>
    <w:rsid w:val="00CB6FAE"/>
    <w:rsid w:val="00CB758B"/>
    <w:rsid w:val="00CC0FF4"/>
    <w:rsid w:val="00CC103C"/>
    <w:rsid w:val="00CC4D4C"/>
    <w:rsid w:val="00CC77B2"/>
    <w:rsid w:val="00CD0C60"/>
    <w:rsid w:val="00CD1973"/>
    <w:rsid w:val="00CD247F"/>
    <w:rsid w:val="00CD6B9C"/>
    <w:rsid w:val="00CD7D2A"/>
    <w:rsid w:val="00CE1A4B"/>
    <w:rsid w:val="00CE246E"/>
    <w:rsid w:val="00CE2C69"/>
    <w:rsid w:val="00CE3AB5"/>
    <w:rsid w:val="00CE3B06"/>
    <w:rsid w:val="00CF2704"/>
    <w:rsid w:val="00CF5F49"/>
    <w:rsid w:val="00D0065F"/>
    <w:rsid w:val="00D017A6"/>
    <w:rsid w:val="00D05701"/>
    <w:rsid w:val="00D06A79"/>
    <w:rsid w:val="00D1232C"/>
    <w:rsid w:val="00D12A9B"/>
    <w:rsid w:val="00D14933"/>
    <w:rsid w:val="00D17B52"/>
    <w:rsid w:val="00D22114"/>
    <w:rsid w:val="00D22F1C"/>
    <w:rsid w:val="00D23B0A"/>
    <w:rsid w:val="00D27F7F"/>
    <w:rsid w:val="00D320E2"/>
    <w:rsid w:val="00D32D06"/>
    <w:rsid w:val="00D32F58"/>
    <w:rsid w:val="00D332C3"/>
    <w:rsid w:val="00D333B3"/>
    <w:rsid w:val="00D33C0B"/>
    <w:rsid w:val="00D340B4"/>
    <w:rsid w:val="00D361CE"/>
    <w:rsid w:val="00D41D6D"/>
    <w:rsid w:val="00D430C1"/>
    <w:rsid w:val="00D4337B"/>
    <w:rsid w:val="00D433F5"/>
    <w:rsid w:val="00D4370C"/>
    <w:rsid w:val="00D43D4A"/>
    <w:rsid w:val="00D515DF"/>
    <w:rsid w:val="00D5339D"/>
    <w:rsid w:val="00D54445"/>
    <w:rsid w:val="00D56F12"/>
    <w:rsid w:val="00D5745C"/>
    <w:rsid w:val="00D57B77"/>
    <w:rsid w:val="00D60C56"/>
    <w:rsid w:val="00D62135"/>
    <w:rsid w:val="00D638B1"/>
    <w:rsid w:val="00D63C15"/>
    <w:rsid w:val="00D6513E"/>
    <w:rsid w:val="00D651D5"/>
    <w:rsid w:val="00D6622A"/>
    <w:rsid w:val="00D6675A"/>
    <w:rsid w:val="00D66E36"/>
    <w:rsid w:val="00D71535"/>
    <w:rsid w:val="00D73B93"/>
    <w:rsid w:val="00D75630"/>
    <w:rsid w:val="00D756A9"/>
    <w:rsid w:val="00D8101D"/>
    <w:rsid w:val="00D82198"/>
    <w:rsid w:val="00D82225"/>
    <w:rsid w:val="00D859A0"/>
    <w:rsid w:val="00D85A41"/>
    <w:rsid w:val="00D85E06"/>
    <w:rsid w:val="00D90AED"/>
    <w:rsid w:val="00D90F47"/>
    <w:rsid w:val="00D93410"/>
    <w:rsid w:val="00D95208"/>
    <w:rsid w:val="00DA0E4C"/>
    <w:rsid w:val="00DA1170"/>
    <w:rsid w:val="00DA11FF"/>
    <w:rsid w:val="00DA163D"/>
    <w:rsid w:val="00DA209D"/>
    <w:rsid w:val="00DA320B"/>
    <w:rsid w:val="00DA4A20"/>
    <w:rsid w:val="00DA6465"/>
    <w:rsid w:val="00DB077C"/>
    <w:rsid w:val="00DB2381"/>
    <w:rsid w:val="00DB3848"/>
    <w:rsid w:val="00DC058F"/>
    <w:rsid w:val="00DC2988"/>
    <w:rsid w:val="00DC314F"/>
    <w:rsid w:val="00DC6C35"/>
    <w:rsid w:val="00DD104D"/>
    <w:rsid w:val="00DD17C4"/>
    <w:rsid w:val="00DD4D1E"/>
    <w:rsid w:val="00DD5A3F"/>
    <w:rsid w:val="00DE1729"/>
    <w:rsid w:val="00DE1D9C"/>
    <w:rsid w:val="00DE252A"/>
    <w:rsid w:val="00DE2BC3"/>
    <w:rsid w:val="00DE38B2"/>
    <w:rsid w:val="00DE3CC6"/>
    <w:rsid w:val="00DE4B68"/>
    <w:rsid w:val="00DE62C2"/>
    <w:rsid w:val="00DE71F7"/>
    <w:rsid w:val="00DF0AC7"/>
    <w:rsid w:val="00DF4A65"/>
    <w:rsid w:val="00DF7463"/>
    <w:rsid w:val="00E00BC1"/>
    <w:rsid w:val="00E018AC"/>
    <w:rsid w:val="00E03659"/>
    <w:rsid w:val="00E0547E"/>
    <w:rsid w:val="00E060EF"/>
    <w:rsid w:val="00E06E33"/>
    <w:rsid w:val="00E070FE"/>
    <w:rsid w:val="00E07E77"/>
    <w:rsid w:val="00E100CE"/>
    <w:rsid w:val="00E132CF"/>
    <w:rsid w:val="00E14AAF"/>
    <w:rsid w:val="00E16769"/>
    <w:rsid w:val="00E172ED"/>
    <w:rsid w:val="00E21C02"/>
    <w:rsid w:val="00E26CCF"/>
    <w:rsid w:val="00E306DA"/>
    <w:rsid w:val="00E307C8"/>
    <w:rsid w:val="00E32F3B"/>
    <w:rsid w:val="00E33314"/>
    <w:rsid w:val="00E336B9"/>
    <w:rsid w:val="00E359EA"/>
    <w:rsid w:val="00E36EC0"/>
    <w:rsid w:val="00E407E4"/>
    <w:rsid w:val="00E432C9"/>
    <w:rsid w:val="00E43B75"/>
    <w:rsid w:val="00E44E54"/>
    <w:rsid w:val="00E454D7"/>
    <w:rsid w:val="00E506A2"/>
    <w:rsid w:val="00E52F6E"/>
    <w:rsid w:val="00E5377B"/>
    <w:rsid w:val="00E54143"/>
    <w:rsid w:val="00E569E3"/>
    <w:rsid w:val="00E57747"/>
    <w:rsid w:val="00E6079F"/>
    <w:rsid w:val="00E620A7"/>
    <w:rsid w:val="00E7211D"/>
    <w:rsid w:val="00E7373E"/>
    <w:rsid w:val="00E73EE8"/>
    <w:rsid w:val="00E746EF"/>
    <w:rsid w:val="00E77765"/>
    <w:rsid w:val="00E77D58"/>
    <w:rsid w:val="00E802D0"/>
    <w:rsid w:val="00E81ADC"/>
    <w:rsid w:val="00E87253"/>
    <w:rsid w:val="00E92A3C"/>
    <w:rsid w:val="00EA47A7"/>
    <w:rsid w:val="00EA4B7E"/>
    <w:rsid w:val="00EA4F92"/>
    <w:rsid w:val="00EA5D98"/>
    <w:rsid w:val="00EA6CB1"/>
    <w:rsid w:val="00EB0AFA"/>
    <w:rsid w:val="00EB2B0E"/>
    <w:rsid w:val="00EB4847"/>
    <w:rsid w:val="00EB5DEA"/>
    <w:rsid w:val="00EB7781"/>
    <w:rsid w:val="00EC159D"/>
    <w:rsid w:val="00EC294E"/>
    <w:rsid w:val="00EC2D7F"/>
    <w:rsid w:val="00EC584A"/>
    <w:rsid w:val="00EC5FD0"/>
    <w:rsid w:val="00ED0C1F"/>
    <w:rsid w:val="00ED1C9B"/>
    <w:rsid w:val="00ED2D14"/>
    <w:rsid w:val="00ED2D75"/>
    <w:rsid w:val="00ED6506"/>
    <w:rsid w:val="00ED6B9C"/>
    <w:rsid w:val="00EE015B"/>
    <w:rsid w:val="00EE049E"/>
    <w:rsid w:val="00EE2F36"/>
    <w:rsid w:val="00EE6F50"/>
    <w:rsid w:val="00EF4017"/>
    <w:rsid w:val="00F02245"/>
    <w:rsid w:val="00F022B9"/>
    <w:rsid w:val="00F03DEE"/>
    <w:rsid w:val="00F04571"/>
    <w:rsid w:val="00F07E60"/>
    <w:rsid w:val="00F10752"/>
    <w:rsid w:val="00F1622A"/>
    <w:rsid w:val="00F170D6"/>
    <w:rsid w:val="00F23CAE"/>
    <w:rsid w:val="00F2465A"/>
    <w:rsid w:val="00F26475"/>
    <w:rsid w:val="00F2798C"/>
    <w:rsid w:val="00F32EF3"/>
    <w:rsid w:val="00F332E6"/>
    <w:rsid w:val="00F3615C"/>
    <w:rsid w:val="00F400D0"/>
    <w:rsid w:val="00F42A2E"/>
    <w:rsid w:val="00F42B09"/>
    <w:rsid w:val="00F4620B"/>
    <w:rsid w:val="00F47212"/>
    <w:rsid w:val="00F52B9A"/>
    <w:rsid w:val="00F55003"/>
    <w:rsid w:val="00F57809"/>
    <w:rsid w:val="00F57D67"/>
    <w:rsid w:val="00F601A2"/>
    <w:rsid w:val="00F624BB"/>
    <w:rsid w:val="00F64B98"/>
    <w:rsid w:val="00F65073"/>
    <w:rsid w:val="00F71D79"/>
    <w:rsid w:val="00F72B4C"/>
    <w:rsid w:val="00F74533"/>
    <w:rsid w:val="00F7540C"/>
    <w:rsid w:val="00F7664F"/>
    <w:rsid w:val="00F7740E"/>
    <w:rsid w:val="00F81507"/>
    <w:rsid w:val="00F8208C"/>
    <w:rsid w:val="00F85771"/>
    <w:rsid w:val="00F85C7B"/>
    <w:rsid w:val="00F931D8"/>
    <w:rsid w:val="00F93872"/>
    <w:rsid w:val="00F94B29"/>
    <w:rsid w:val="00FA1839"/>
    <w:rsid w:val="00FB280B"/>
    <w:rsid w:val="00FB3110"/>
    <w:rsid w:val="00FB4613"/>
    <w:rsid w:val="00FB54DA"/>
    <w:rsid w:val="00FC3A51"/>
    <w:rsid w:val="00FC3A74"/>
    <w:rsid w:val="00FC7BCF"/>
    <w:rsid w:val="00FD4857"/>
    <w:rsid w:val="00FD67A6"/>
    <w:rsid w:val="00FF21E0"/>
    <w:rsid w:val="00FF61DF"/>
    <w:rsid w:val="00FF701D"/>
    <w:rsid w:val="00FF7F32"/>
    <w:rsid w:val="0CF4311B"/>
    <w:rsid w:val="641C0F45"/>
    <w:rsid w:val="7D4B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6117"/>
  <w15:docId w15:val="{7B770FA3-2989-4A19-B436-5B264F36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color w:val="0000FF"/>
      <w:u w:val="single"/>
    </w:rPr>
  </w:style>
  <w:style w:type="character" w:styleId="af2">
    <w:name w:val="annotation reference"/>
    <w:basedOn w:val="a0"/>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5"/>
    <w:semiHidden/>
    <w:qFormat/>
  </w:style>
  <w:style w:type="character" w:customStyle="1" w:styleId="af">
    <w:name w:val="批注主题 字符"/>
    <w:basedOn w:val="a6"/>
    <w:link w:val="ae"/>
    <w:uiPriority w:val="99"/>
    <w:semiHidden/>
    <w:qFormat/>
    <w:rPr>
      <w:b/>
      <w:bCs/>
    </w:rPr>
  </w:style>
  <w:style w:type="paragraph" w:customStyle="1" w:styleId="1">
    <w:name w:val="修订1"/>
    <w:hidden/>
    <w:uiPriority w:val="99"/>
    <w:semiHidden/>
    <w:qFormat/>
    <w:rPr>
      <w:kern w:val="2"/>
      <w:sz w:val="21"/>
      <w:szCs w:val="22"/>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Char">
    <w:name w:val="Char"/>
    <w:basedOn w:val="a"/>
    <w:qFormat/>
    <w:rPr>
      <w:rFonts w:ascii="Times New Roman" w:eastAsia="宋体" w:hAnsi="Times New Roman" w:cs="Times New Roman"/>
      <w:szCs w:val="24"/>
    </w:rPr>
  </w:style>
  <w:style w:type="paragraph" w:customStyle="1" w:styleId="af3">
    <w:name w:val="项目"/>
    <w:basedOn w:val="4"/>
    <w:qFormat/>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paragraph" w:styleId="af4">
    <w:name w:val="List Paragraph"/>
    <w:basedOn w:val="a"/>
    <w:uiPriority w:val="34"/>
    <w:qFormat/>
    <w:pPr>
      <w:ind w:firstLineChars="200" w:firstLine="420"/>
    </w:pPr>
  </w:style>
  <w:style w:type="character" w:customStyle="1" w:styleId="10">
    <w:name w:val="批注文字 字符1"/>
    <w:qFormat/>
    <w:rPr>
      <w:kern w:val="2"/>
      <w:sz w:val="21"/>
      <w:lang w:val="zh-CN"/>
    </w:rPr>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a1"/>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paragraph" w:styleId="af5">
    <w:name w:val="Revision"/>
    <w:hidden/>
    <w:uiPriority w:val="99"/>
    <w:semiHidden/>
    <w:rsid w:val="0071472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F9BF3A-80AE-4008-81D5-08DA5E4C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24</Pages>
  <Words>3079</Words>
  <Characters>17551</Characters>
  <Application>Microsoft Office Word</Application>
  <DocSecurity>0</DocSecurity>
  <Lines>146</Lines>
  <Paragraphs>41</Paragraphs>
  <ScaleCrop>false</ScaleCrop>
  <Company>wind</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张婕茹</cp:lastModifiedBy>
  <cp:revision>121</cp:revision>
  <cp:lastPrinted>2015-11-11T11:21:00Z</cp:lastPrinted>
  <dcterms:created xsi:type="dcterms:W3CDTF">2023-09-08T06:39:00Z</dcterms:created>
  <dcterms:modified xsi:type="dcterms:W3CDTF">2026-04-13T03:07:00Z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614B2D6B3F5948DCA3AA02885DCD5321</vt:lpwstr>
  </property>
</Properties>
</file>