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imes New Roman" w:hAnsi="Times New Roman" w:eastAsia="宋体"/>
        </w:rPr>
      </w:pPr>
      <w:bookmarkStart w:id="0" w:name="_Toc435716465"/>
      <w:bookmarkEnd w:id="0"/>
      <w:bookmarkStart w:id="1" w:name="_Toc435537894"/>
      <w:bookmarkEnd w:id="1"/>
      <w:bookmarkStart w:id="2" w:name="_Toc510201001"/>
      <w:bookmarkEnd w:id="2"/>
      <w:bookmarkStart w:id="3" w:name="_Toc435538201"/>
      <w:bookmarkEnd w:id="3"/>
      <w:bookmarkStart w:id="4" w:name="_Toc436040501"/>
      <w:bookmarkEnd w:id="4"/>
      <w:bookmarkStart w:id="5" w:name="_Toc435538034"/>
      <w:bookmarkEnd w:id="5"/>
      <w:bookmarkStart w:id="6" w:name="_Toc435537850"/>
      <w:bookmarkEnd w:id="6"/>
      <w:r>
        <w:rPr>
          <w:rFonts w:ascii="Times New Roman" w:hAnsi="Times New Roman" w:eastAsia="宋体"/>
          <w:b/>
          <w:bCs/>
          <w:sz w:val="44"/>
          <w:szCs w:val="44"/>
        </w:rPr>
        <w:t>交银施罗德基金管理有限公司旗下公募基金通过证券公司证券交易及佣金支付情况</w:t>
      </w:r>
      <w:r>
        <w:rPr>
          <w:rFonts w:ascii="Times New Roman" w:hAnsi="Times New Roman" w:eastAsia="宋体"/>
          <w:b/>
          <w:bCs/>
          <w:sz w:val="44"/>
          <w:szCs w:val="44"/>
        </w:rPr>
        <w:br w:type="textWrapping"/>
      </w:r>
      <w:r>
        <w:rPr>
          <w:rFonts w:hint="eastAsia" w:ascii="Times New Roman" w:hAnsi="Times New Roman" w:eastAsia="宋体"/>
          <w:b/>
          <w:bCs/>
          <w:sz w:val="44"/>
          <w:szCs w:val="44"/>
          <w:lang w:eastAsia="zh-CN"/>
        </w:rPr>
        <w:t>（</w:t>
      </w:r>
      <w:r>
        <w:rPr>
          <w:rFonts w:ascii="Times New Roman" w:hAnsi="Times New Roman" w:eastAsia="宋体"/>
          <w:b/>
          <w:bCs/>
          <w:sz w:val="44"/>
          <w:szCs w:val="44"/>
        </w:rPr>
        <w:t>2025年度</w:t>
      </w:r>
      <w:r>
        <w:rPr>
          <w:rFonts w:hint="eastAsia" w:ascii="Times New Roman" w:hAnsi="Times New Roman" w:eastAsia="宋体"/>
          <w:b/>
          <w:bCs/>
          <w:sz w:val="44"/>
          <w:szCs w:val="44"/>
          <w:lang w:eastAsia="zh-CN"/>
        </w:rPr>
        <w:t>）</w:t>
      </w:r>
    </w:p>
    <w:p>
      <w:pPr>
        <w:spacing w:line="320" w:lineRule="exact"/>
        <w:jc w:val="left"/>
        <w:rPr>
          <w:rFonts w:hint="default" w:ascii="Times New Roman" w:hAnsi="Times New Roman" w:eastAsia="宋体" w:cs="宋体"/>
          <w:iCs/>
          <w:sz w:val="24"/>
          <w:szCs w:val="24"/>
        </w:rPr>
      </w:pPr>
      <w:r>
        <w:rPr>
          <w:rFonts w:ascii="Times New Roman" w:hAnsi="Times New Roman" w:eastAsia="宋体" w:cs="宋体"/>
          <w:iCs/>
          <w:sz w:val="24"/>
          <w:szCs w:val="24"/>
        </w:rPr>
        <w:t xml:space="preserve">　 </w:t>
      </w:r>
    </w:p>
    <w:p>
      <w:pPr>
        <w:pStyle w:val="25"/>
      </w:pPr>
      <w:bookmarkStart w:id="7" w:name="_Toc187947603"/>
      <w:r>
        <w:rPr>
          <w:rFonts w:hint="eastAsia" w:cs="黑体"/>
        </w:rPr>
        <w:t>选择证券公司参与证券交易的标准和程序</w:t>
      </w:r>
      <w:bookmarkEnd w:id="7"/>
      <w:r>
        <w:rPr>
          <w:rFonts w:hint="eastAsia" w:cs="黑体"/>
        </w:rPr>
        <w:t xml:space="preserve"> </w:t>
      </w:r>
    </w:p>
    <w:p>
      <w:pPr>
        <w:pStyle w:val="25"/>
        <w:numPr>
          <w:ilvl w:val="0"/>
          <w:numId w:val="0"/>
        </w:numPr>
        <w:spacing w:line="360" w:lineRule="auto"/>
        <w:contextualSpacing/>
        <w:rPr>
          <w:rFonts w:ascii="Times New Roman" w:hAnsi="Times New Roman" w:eastAsia="宋体" w:cs="宋体"/>
          <w:kern w:val="0"/>
          <w:sz w:val="24"/>
          <w:szCs w:val="24"/>
        </w:rPr>
      </w:pPr>
      <w:bookmarkStart w:id="8" w:name="_Toc187947604"/>
      <w:r>
        <w:rPr>
          <w:rFonts w:hint="eastAsia" w:ascii="Times New Roman" w:hAnsi="Times New Roman" w:eastAsia="宋体" w:cs="宋体"/>
          <w:kern w:val="0"/>
          <w:sz w:val="24"/>
          <w:szCs w:val="24"/>
        </w:rPr>
        <w:t>（一）基金管理人选择证券公司的标准</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w:t>
      </w:r>
      <w:r>
        <w:rPr>
          <w:rFonts w:hint="eastAsia" w:ascii="Times New Roman" w:hAnsi="Times New Roman" w:eastAsia="宋体"/>
          <w:kern w:val="0"/>
          <w:sz w:val="24"/>
          <w:szCs w:val="24"/>
        </w:rPr>
        <w:t>财务状况良好，经营行为规范，合规风控能力较强；</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2、</w:t>
      </w:r>
      <w:r>
        <w:rPr>
          <w:rFonts w:hint="eastAsia" w:ascii="Times New Roman" w:hAnsi="Times New Roman" w:eastAsia="宋体"/>
          <w:kern w:val="0"/>
          <w:sz w:val="24"/>
          <w:szCs w:val="24"/>
        </w:rPr>
        <w:t>交易、研究等服务能力较强；</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3、</w:t>
      </w:r>
      <w:r>
        <w:rPr>
          <w:rFonts w:hint="eastAsia" w:ascii="Times New Roman" w:hAnsi="Times New Roman" w:eastAsia="宋体"/>
          <w:kern w:val="0"/>
          <w:sz w:val="24"/>
          <w:szCs w:val="24"/>
        </w:rPr>
        <w:t>研究报告逻辑清晰、数据翔实、观点结论明确，报告内容与数量有连续性；</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4、</w:t>
      </w:r>
      <w:r>
        <w:rPr>
          <w:rFonts w:hint="eastAsia" w:ascii="Times New Roman" w:hAnsi="Times New Roman" w:eastAsia="宋体"/>
          <w:kern w:val="0"/>
          <w:sz w:val="24"/>
          <w:szCs w:val="24"/>
        </w:rPr>
        <w:t>能及时解决公司提出的研究需求，符合公司投资研究相关工作需要；</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5、</w:t>
      </w:r>
      <w:r>
        <w:rPr>
          <w:rFonts w:hint="eastAsia" w:ascii="Times New Roman" w:hAnsi="Times New Roman" w:eastAsia="宋体"/>
          <w:kern w:val="0"/>
          <w:sz w:val="24"/>
          <w:szCs w:val="24"/>
        </w:rPr>
        <w:t>投研团队认可度较高。</w:t>
      </w:r>
    </w:p>
    <w:p>
      <w:pPr>
        <w:pStyle w:val="25"/>
        <w:numPr>
          <w:ilvl w:val="0"/>
          <w:numId w:val="0"/>
        </w:numPr>
        <w:spacing w:line="360" w:lineRule="auto"/>
        <w:rPr>
          <w:rFonts w:ascii="Times New Roman" w:hAnsi="Times New Roman" w:eastAsia="宋体"/>
          <w:kern w:val="0"/>
          <w:sz w:val="24"/>
          <w:szCs w:val="24"/>
        </w:rPr>
      </w:pPr>
    </w:p>
    <w:p>
      <w:pPr>
        <w:pStyle w:val="25"/>
        <w:numPr>
          <w:ilvl w:val="0"/>
          <w:numId w:val="0"/>
        </w:numPr>
        <w:spacing w:line="360" w:lineRule="auto"/>
        <w:rPr>
          <w:rFonts w:ascii="Times New Roman" w:hAnsi="Times New Roman" w:eastAsia="宋体"/>
          <w:kern w:val="0"/>
          <w:sz w:val="24"/>
          <w:szCs w:val="24"/>
        </w:rPr>
      </w:pPr>
      <w:r>
        <w:rPr>
          <w:rFonts w:hint="eastAsia" w:ascii="Times New Roman" w:hAnsi="Times New Roman" w:eastAsia="宋体" w:cs="宋体"/>
          <w:kern w:val="0"/>
          <w:sz w:val="24"/>
          <w:szCs w:val="24"/>
        </w:rPr>
        <w:t>（二）</w:t>
      </w:r>
      <w:r>
        <w:rPr>
          <w:rFonts w:ascii="Times New Roman" w:hAnsi="Times New Roman" w:eastAsia="宋体" w:cs="宋体"/>
          <w:kern w:val="0"/>
          <w:sz w:val="24"/>
          <w:szCs w:val="24"/>
        </w:rPr>
        <w:t>基金管理人选择证券公司的</w:t>
      </w:r>
      <w:r>
        <w:rPr>
          <w:rFonts w:hint="eastAsia" w:ascii="Times New Roman" w:hAnsi="Times New Roman" w:eastAsia="宋体" w:cs="宋体"/>
          <w:kern w:val="0"/>
          <w:sz w:val="24"/>
          <w:szCs w:val="24"/>
        </w:rPr>
        <w:t>程序</w:t>
      </w:r>
    </w:p>
    <w:p>
      <w:pPr>
        <w:pStyle w:val="25"/>
        <w:numPr>
          <w:ilvl w:val="0"/>
          <w:numId w:val="0"/>
        </w:num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1、对于已参与考评的</w:t>
      </w:r>
      <w:r>
        <w:rPr>
          <w:rFonts w:ascii="Times New Roman" w:hAnsi="Times New Roman" w:eastAsia="宋体"/>
          <w:kern w:val="0"/>
          <w:sz w:val="24"/>
          <w:szCs w:val="24"/>
        </w:rPr>
        <w:t>证券公司</w:t>
      </w:r>
      <w:r>
        <w:rPr>
          <w:rFonts w:hint="eastAsia" w:ascii="Times New Roman" w:hAnsi="Times New Roman" w:eastAsia="宋体"/>
          <w:kern w:val="0"/>
          <w:sz w:val="24"/>
          <w:szCs w:val="24"/>
        </w:rPr>
        <w:t>，要求符合上述标准。参与考评券商名单每年提交公司投资决策委员会审议。</w:t>
      </w:r>
    </w:p>
    <w:p>
      <w:pPr>
        <w:pStyle w:val="25"/>
        <w:numPr>
          <w:ilvl w:val="0"/>
          <w:numId w:val="0"/>
        </w:num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2</w:t>
      </w:r>
      <w:r>
        <w:rPr>
          <w:rFonts w:hint="eastAsia" w:ascii="Times New Roman" w:hAnsi="Times New Roman" w:eastAsia="宋体"/>
          <w:kern w:val="0"/>
          <w:sz w:val="24"/>
          <w:szCs w:val="24"/>
        </w:rPr>
        <w:t>、对于未参与考评的券商，由公司权益研究部先对该券商进行研究对接，评估研究支持服务质量。若权益研究部评估该券商研究服务质量良好，符合公司投研工作需要，结合对券商开展的尽职调查，公司发起相应券商准入管理流程及提交投资决策委员会审议，通过后将该证券公司纳入券商服务质量考评体系。</w:t>
      </w:r>
    </w:p>
    <w:p>
      <w:pPr>
        <w:pStyle w:val="25"/>
        <w:numPr>
          <w:ilvl w:val="0"/>
          <w:numId w:val="0"/>
        </w:numPr>
        <w:ind w:firstLine="480" w:firstLineChars="200"/>
        <w:rPr>
          <w:rFonts w:ascii="Times New Roman" w:hAnsi="Times New Roman" w:eastAsia="宋体"/>
          <w:kern w:val="0"/>
          <w:sz w:val="24"/>
          <w:szCs w:val="24"/>
        </w:rPr>
      </w:pPr>
    </w:p>
    <w:p>
      <w:pPr>
        <w:pStyle w:val="25"/>
      </w:pPr>
      <w:r>
        <w:rPr>
          <w:rFonts w:hint="eastAsia" w:cs="黑体"/>
        </w:rPr>
        <w:t>交易量、交易佣金年度汇总及分配情况</w:t>
      </w:r>
      <w:bookmarkEnd w:id="8"/>
      <w:r>
        <w:rPr>
          <w:rFonts w:hint="eastAsia" w:cs="黑体"/>
        </w:rPr>
        <w:t xml:space="preserve"> </w:t>
      </w:r>
    </w:p>
    <w:p>
      <w:pPr>
        <w:pStyle w:val="28"/>
      </w:pPr>
      <w:bookmarkStart w:id="9" w:name="_Toc187947605"/>
      <w:r>
        <w:rPr>
          <w:rFonts w:hint="eastAsia" w:cs="楷体_GB2312"/>
        </w:rPr>
        <w:t>（一）租用证券公司交易单元进行证券投资及佣金支付情况</w:t>
      </w:r>
      <w:bookmarkEnd w:id="9"/>
      <w:r>
        <w:rPr>
          <w:rFonts w:hint="eastAsia" w:cs="楷体_GB2312"/>
        </w:rPr>
        <w:t xml:space="preserve"> </w:t>
      </w:r>
    </w:p>
    <w:p>
      <w:pPr>
        <w:pStyle w:val="31"/>
        <w:rPr>
          <w:rFonts w:hint="default" w:ascii="Times New Roman" w:hAnsi="Times New Roman"/>
        </w:rPr>
      </w:pPr>
      <w:bookmarkStart w:id="10" w:name="_Toc187947606"/>
      <w:r>
        <w:rPr>
          <w:rFonts w:ascii="Times New Roman" w:hAnsi="Times New Roman"/>
        </w:rPr>
        <w:t>1.股票投资及佣金支付情况</w:t>
      </w:r>
      <w:bookmarkEnd w:id="10"/>
    </w:p>
    <w:p>
      <w:pPr>
        <w:ind w:firstLine="5783" w:firstLineChars="2400"/>
        <w:jc w:val="right"/>
        <w:rPr>
          <w:rFonts w:hint="default" w:ascii="Times New Roman" w:hAnsi="Times New Roman"/>
        </w:rPr>
      </w:pPr>
      <w:r>
        <w:rPr>
          <w:rFonts w:ascii="Times New Roman" w:hAnsi="Times New Roman" w:eastAsia="宋体"/>
          <w:b/>
          <w:bCs/>
          <w:sz w:val="24"/>
          <w:szCs w:val="24"/>
        </w:rPr>
        <w:t>金额单位：人民币元</w:t>
      </w:r>
      <w:r>
        <w:rPr>
          <w:rFonts w:hint="default" w:ascii="Times New Roman" w:hAnsi="Times New Roman" w:eastAsia="宋体"/>
          <w:b/>
          <w:bCs/>
          <w:sz w:val="24"/>
          <w:szCs w:val="24"/>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4"/>
        <w:gridCol w:w="1270"/>
        <w:gridCol w:w="955"/>
        <w:gridCol w:w="825"/>
        <w:gridCol w:w="1470"/>
        <w:gridCol w:w="1155"/>
        <w:gridCol w:w="884"/>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2" w:hRule="atLeast"/>
          <w:jc w:val="center"/>
        </w:trPr>
        <w:tc>
          <w:tcPr>
            <w:tcW w:w="6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证券公司名称</w:t>
            </w:r>
            <w:r>
              <w:rPr>
                <w:rFonts w:hint="default" w:ascii="Times New Roman" w:hAnsi="Times New Roman"/>
                <w:b/>
                <w:bCs/>
                <w:sz w:val="24"/>
                <w:szCs w:val="24"/>
              </w:rPr>
              <w:t xml:space="preserve"> </w:t>
            </w:r>
          </w:p>
        </w:tc>
        <w:tc>
          <w:tcPr>
            <w:tcW w:w="1875"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被动股票型基金</w:t>
            </w:r>
            <w:r>
              <w:rPr>
                <w:rFonts w:hint="default" w:ascii="Times New Roman" w:hAnsi="Times New Roman"/>
                <w:b/>
                <w:bCs/>
                <w:sz w:val="24"/>
                <w:szCs w:val="24"/>
              </w:rPr>
              <w:t xml:space="preserve"> </w:t>
            </w:r>
          </w:p>
        </w:tc>
        <w:tc>
          <w:tcPr>
            <w:tcW w:w="1875" w:type="pct"/>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其他类型基金</w:t>
            </w:r>
            <w:r>
              <w:rPr>
                <w:rFonts w:hint="default" w:ascii="Times New Roman" w:hAnsi="Times New Roman"/>
                <w:b/>
                <w:bCs/>
                <w:sz w:val="24"/>
                <w:szCs w:val="24"/>
              </w:rPr>
              <w:t xml:space="preserve"> </w:t>
            </w:r>
          </w:p>
        </w:tc>
        <w:tc>
          <w:tcPr>
            <w:tcW w:w="6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是否与管理人存在关联关系</w:t>
            </w:r>
            <w:r>
              <w:rPr>
                <w:rFonts w:hint="default" w:ascii="Times New Roman" w:hAnsi="Times New Roman"/>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等线"/>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股票交易成交金额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应支付该证券公司的股票交易佣金金额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hint="default" w:ascii="Times New Roman" w:hAnsi="Times New Roman"/>
              </w:rPr>
            </w:pPr>
            <w:r>
              <w:rPr>
                <w:rFonts w:ascii="Times New Roman" w:hAnsi="Times New Roman" w:eastAsia="宋体" w:cs="宋体"/>
                <w:b/>
                <w:bCs/>
                <w:color w:val="000000"/>
                <w:kern w:val="0"/>
                <w:sz w:val="24"/>
                <w:szCs w:val="24"/>
                <w:lang w:bidi="ar"/>
              </w:rPr>
              <w:t>平均佣金费率（</w:t>
            </w:r>
            <w:r>
              <w:rPr>
                <w:rFonts w:hint="default" w:ascii="Times New Roman" w:hAnsi="Times New Roman" w:eastAsia="宋体"/>
                <w:b/>
                <w:bCs/>
                <w:color w:val="000000"/>
                <w:kern w:val="0"/>
                <w:sz w:val="24"/>
                <w:szCs w:val="24"/>
                <w:lang w:bidi="ar"/>
              </w:rPr>
              <w:t>‰</w:t>
            </w:r>
            <w:r>
              <w:rPr>
                <w:rFonts w:ascii="Times New Roman" w:hAnsi="Times New Roman" w:eastAsia="宋体" w:cs="宋体"/>
                <w:b/>
                <w:bCs/>
                <w:color w:val="000000"/>
                <w:kern w:val="0"/>
                <w:sz w:val="24"/>
                <w:szCs w:val="24"/>
                <w:lang w:bidi="ar"/>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股票交易成交金额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应支付该证券公司的股票交易佣金金额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cs="宋体"/>
                <w:b/>
                <w:bCs/>
                <w:color w:val="000000"/>
                <w:kern w:val="0"/>
                <w:sz w:val="24"/>
                <w:szCs w:val="24"/>
                <w:lang w:bidi="ar"/>
              </w:rPr>
              <w:t>平均佣金费率（</w:t>
            </w:r>
            <w:r>
              <w:rPr>
                <w:rFonts w:hint="default" w:ascii="Times New Roman" w:hAnsi="Times New Roman" w:eastAsia="宋体"/>
                <w:b/>
                <w:bCs/>
                <w:color w:val="000000"/>
                <w:kern w:val="0"/>
                <w:sz w:val="24"/>
                <w:szCs w:val="24"/>
                <w:lang w:bidi="ar"/>
              </w:rPr>
              <w:t>‰</w:t>
            </w:r>
            <w:r>
              <w:rPr>
                <w:rFonts w:ascii="Times New Roman" w:hAnsi="Times New Roman" w:eastAsia="宋体" w:cs="宋体"/>
                <w:b/>
                <w:bCs/>
                <w:color w:val="000000"/>
                <w:kern w:val="0"/>
                <w:sz w:val="24"/>
                <w:szCs w:val="24"/>
                <w:lang w:bidi="ar"/>
              </w:rPr>
              <w:t>）</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1,041,128,357.97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201,237.38</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35,579,105,494.06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16,645,744.30</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0.47</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招商证券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850,039,495.98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158,024.98</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28,321,221,571.07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12,345,674.16</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中金公司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791,910,904.80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14</w:t>
            </w:r>
            <w:r>
              <w:rPr>
                <w:rFonts w:hint="default" w:ascii="Times New Roman" w:hAnsi="Times New Roman" w:eastAsia="宋体"/>
                <w:kern w:val="0"/>
                <w:sz w:val="18"/>
              </w:rPr>
              <w:t>9</w:t>
            </w:r>
            <w:r>
              <w:rPr>
                <w:rFonts w:ascii="Times New Roman" w:hAnsi="Times New Roman" w:eastAsia="宋体"/>
                <w:kern w:val="0"/>
                <w:sz w:val="18"/>
              </w:rPr>
              <w:t>,</w:t>
            </w:r>
            <w:r>
              <w:rPr>
                <w:rFonts w:hint="default" w:ascii="Times New Roman" w:hAnsi="Times New Roman" w:eastAsia="宋体"/>
                <w:kern w:val="0"/>
                <w:sz w:val="18"/>
              </w:rPr>
              <w:t>728</w:t>
            </w:r>
            <w:r>
              <w:rPr>
                <w:rFonts w:ascii="Times New Roman" w:hAnsi="Times New Roman" w:eastAsia="宋体"/>
                <w:kern w:val="0"/>
                <w:sz w:val="18"/>
              </w:rPr>
              <w:t>.</w:t>
            </w:r>
            <w:r>
              <w:rPr>
                <w:rFonts w:hint="default" w:ascii="Times New Roman" w:hAnsi="Times New Roman" w:eastAsia="宋体"/>
                <w:kern w:val="0"/>
                <w:sz w:val="18"/>
              </w:rPr>
              <w:t>61</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28,182,617,438.35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12,450,599.52</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中信建投证券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17,219,331.69</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3,201.14</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28,264,919,798.81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12,548,369.58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国泰海通证券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546,912,162.58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101,699.88</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26,941,644,243.37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11,896,235.31</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长江证券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59,936,498.81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11,143.57</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25,964,497,167.52</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11,317,298.69</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国金证券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27,762,348.55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5,161.17</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21,469,158,442.31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9,689,562.09</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华泰证券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20,399,565,139.06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8,892,845.67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浙商证券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585,819,938.09</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108,904.01</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19,241,864,041.37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8,387,600.00</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广发证券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1,499,692,343.85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278,794.51</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18,100,095,898.51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8,296,120.58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0.46</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中泰证券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12,145,260.00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2,258.17</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18,782,055,147.94</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8,190,516.44</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东方证券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157,166,273.05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29,224.74</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18,623,613,393.77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8,118,289.81</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天风证券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18,255,791,984.46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7,958,149.15</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华创证券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17,849,479,936.76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7,780,908.84</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民生证券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15,356,498,164.31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6,694,454.98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华福证券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15,098,174,251.31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6,581,252.17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国联证券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14,881,875,748.16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6,487,044.36</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国海证券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14,152,666,511.16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6,169,171.97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申万宏源证券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198,748,732.20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43,767.96</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0.22</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12,847,446,354.98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5,822,225.07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东吴证券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661,655.75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122.96</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12,648,970,464.41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5,513,703.75</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兴业证券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293,897,289.71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54,638.85</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11,086,188,964.16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5,004,325.96</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国盛证券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49,068,593.98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9,121.57</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9,518,074,212.24</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4,289,514.72</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开源证券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9,462,724,477.03</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4,125,066.09</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华西证券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8,659,256,591.80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3,927,279.37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国信证券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6,825,994,351.41</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2,975,485.77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财通证券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5,650,358,576.19</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2,463,483.63</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西部证券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3,920,765,327.86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1,709,160.58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华鑫证券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3,685,281,994.20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1,606,413.47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信达证券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3,572,729,222.59</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1,557,834.52</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方正证券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2,942,928,265.63</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1,282,795.58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东北证券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2,541,331,395.90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1,107,769.40</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西南证券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1,757,397,078.30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766,060.64</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光大证券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1,712,031,605.55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761,296.68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野村东方国际证券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1,503,646,996.77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655,439.12</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摩根大通证券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1,328,617,287.86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579,143.48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汇丰前海证券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1,290,946,336.52</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562,731.07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瑞银证券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1,031,451,330.82</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449,622.65</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银河证券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44,025,073.04</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8,184.09</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高盛中国</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14,995,100.00</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6,689.77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国投证券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7,928,344.25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3,563.87</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东方财富证券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国元证券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第一创业证券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德邦证券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川财证券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诚通证券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长城证券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中银国际证券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渤海证券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东兴证券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华安证券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华宝证券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华信证券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中金财富证券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英大证券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平安证券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上海证券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太平洋证券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合</w:t>
            </w:r>
            <w:r>
              <w:rPr>
                <w:rFonts w:hint="default" w:ascii="Times New Roman" w:hAnsi="Times New Roman"/>
                <w:b/>
                <w:bCs/>
                <w:sz w:val="24"/>
                <w:szCs w:val="24"/>
              </w:rPr>
              <w:t xml:space="preserve">  </w:t>
            </w:r>
            <w:r>
              <w:rPr>
                <w:rFonts w:ascii="Times New Roman" w:hAnsi="Times New Roman" w:eastAsia="宋体"/>
                <w:b/>
                <w:bCs/>
                <w:sz w:val="24"/>
                <w:szCs w:val="24"/>
              </w:rPr>
              <w:t>计</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6,176,134,260.05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1,16</w:t>
            </w:r>
            <w:r>
              <w:rPr>
                <w:rFonts w:hint="eastAsia" w:ascii="Times New Roman" w:hAnsi="Times New Roman" w:eastAsia="宋体"/>
                <w:kern w:val="0"/>
                <w:sz w:val="18"/>
                <w:lang w:val="en-US" w:eastAsia="zh-CN"/>
              </w:rPr>
              <w:t>5</w:t>
            </w:r>
            <w:r>
              <w:rPr>
                <w:rFonts w:ascii="Times New Roman" w:hAnsi="Times New Roman" w:eastAsia="宋体"/>
                <w:kern w:val="0"/>
                <w:sz w:val="18"/>
              </w:rPr>
              <w:t>,</w:t>
            </w:r>
            <w:r>
              <w:rPr>
                <w:rFonts w:hint="eastAsia" w:ascii="Times New Roman" w:hAnsi="Times New Roman" w:eastAsia="宋体"/>
                <w:kern w:val="0"/>
                <w:sz w:val="18"/>
                <w:lang w:val="en-US" w:eastAsia="zh-CN"/>
              </w:rPr>
              <w:t>213</w:t>
            </w:r>
            <w:r>
              <w:rPr>
                <w:rFonts w:ascii="Times New Roman" w:hAnsi="Times New Roman" w:eastAsia="宋体"/>
                <w:kern w:val="0"/>
                <w:sz w:val="18"/>
              </w:rPr>
              <w:t>.</w:t>
            </w:r>
            <w:r>
              <w:rPr>
                <w:rFonts w:hint="eastAsia" w:ascii="Times New Roman" w:hAnsi="Times New Roman" w:eastAsia="宋体"/>
                <w:kern w:val="0"/>
                <w:sz w:val="18"/>
                <w:lang w:val="en-US" w:eastAsia="zh-CN"/>
              </w:rPr>
              <w:t>59</w:t>
            </w:r>
            <w:r>
              <w:rPr>
                <w:rFonts w:hint="default" w:ascii="Times New Roman" w:hAnsi="Times New Roman"/>
                <w:sz w:val="24"/>
                <w:szCs w:val="24"/>
              </w:rPr>
              <w:t xml:space="preserve"> </w:t>
            </w:r>
          </w:p>
        </w:tc>
        <w:tc>
          <w:tcPr>
            <w:tcW w:w="6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487,473,908,650.77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215,619,442.81</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0.44</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hint="default" w:ascii="Times New Roman" w:hAnsi="Times New Roman"/>
                <w:sz w:val="24"/>
                <w:szCs w:val="24"/>
              </w:rPr>
              <w:t xml:space="preserve">- </w:t>
            </w:r>
          </w:p>
        </w:tc>
      </w:tr>
    </w:tbl>
    <w:p>
      <w:pPr>
        <w:spacing w:line="360" w:lineRule="auto"/>
        <w:rPr>
          <w:rFonts w:hint="default" w:ascii="Times New Roman" w:hAnsi="Times New Roman" w:eastAsia="宋体" w:cs="宋体"/>
          <w:kern w:val="0"/>
          <w:sz w:val="24"/>
          <w:szCs w:val="24"/>
        </w:rPr>
      </w:pPr>
      <w:r>
        <w:rPr>
          <w:rFonts w:ascii="Times New Roman" w:hAnsi="Times New Roman"/>
          <w:color w:val="0000FF"/>
          <w:kern w:val="0"/>
          <w:sz w:val="18"/>
        </w:rPr>
        <w:t xml:space="preserve">　 </w:t>
      </w:r>
      <w:r>
        <w:rPr>
          <w:rFonts w:ascii="Times New Roman" w:hAnsi="Times New Roman" w:eastAsia="宋体" w:cs="宋体"/>
          <w:kern w:val="0"/>
          <w:sz w:val="24"/>
          <w:szCs w:val="24"/>
        </w:rPr>
        <w:t>注：根据《公开募集证券投资基金证券交易费用管理规定》的相关要求，</w:t>
      </w:r>
      <w:r>
        <w:rPr>
          <w:rFonts w:hint="eastAsia" w:ascii="Times New Roman" w:hAnsi="Times New Roman" w:eastAsia="宋体" w:cs="宋体"/>
          <w:kern w:val="0"/>
          <w:sz w:val="24"/>
          <w:szCs w:val="24"/>
          <w:lang w:val="en-US" w:eastAsia="zh-CN"/>
        </w:rPr>
        <w:t>本次报告披露的报告期为2025年1月1日至2025年12月31日，</w:t>
      </w:r>
      <w:r>
        <w:rPr>
          <w:rFonts w:ascii="Times New Roman" w:hAnsi="Times New Roman" w:eastAsia="宋体" w:cs="宋体"/>
          <w:kern w:val="0"/>
          <w:sz w:val="24"/>
          <w:szCs w:val="24"/>
        </w:rPr>
        <w:t>报告统计范围为报告期间存续过的所有公募基金，包括报告期间成立、清算、转型的公募基金。下同。</w:t>
      </w:r>
    </w:p>
    <w:p>
      <w:pPr>
        <w:jc w:val="left"/>
        <w:rPr>
          <w:rFonts w:hint="default" w:ascii="Times New Roman" w:hAnsi="Times New Roman"/>
          <w:color w:val="0000FF"/>
          <w:kern w:val="0"/>
          <w:sz w:val="18"/>
        </w:rPr>
      </w:pPr>
    </w:p>
    <w:p>
      <w:pPr>
        <w:pStyle w:val="31"/>
        <w:rPr>
          <w:rFonts w:hint="default" w:ascii="Times New Roman" w:hAnsi="Times New Roman"/>
        </w:rPr>
      </w:pPr>
      <w:bookmarkStart w:id="11" w:name="_Toc187947607"/>
      <w:r>
        <w:rPr>
          <w:rFonts w:ascii="Times New Roman" w:hAnsi="Times New Roman"/>
        </w:rPr>
        <w:t>2.证券投资佣金支付及分配情况</w:t>
      </w:r>
      <w:bookmarkEnd w:id="11"/>
    </w:p>
    <w:p>
      <w:pPr>
        <w:ind w:firstLine="5783" w:firstLineChars="2400"/>
        <w:jc w:val="right"/>
        <w:rPr>
          <w:rFonts w:hint="default" w:ascii="Times New Roman" w:hAnsi="Times New Roman"/>
        </w:rPr>
      </w:pPr>
      <w:r>
        <w:rPr>
          <w:rFonts w:ascii="Times New Roman" w:hAnsi="Times New Roman" w:eastAsia="宋体"/>
          <w:b/>
          <w:bCs/>
          <w:sz w:val="24"/>
          <w:szCs w:val="24"/>
        </w:rPr>
        <w:t>金额单位：人民币元</w:t>
      </w:r>
      <w:r>
        <w:rPr>
          <w:rFonts w:hint="default" w:ascii="Times New Roman" w:hAnsi="Times New Roman" w:eastAsia="宋体"/>
          <w:b/>
          <w:bCs/>
          <w:sz w:val="24"/>
          <w:szCs w:val="24"/>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704"/>
        <w:gridCol w:w="3409"/>
        <w:gridCol w:w="340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证券公司名称</w:t>
            </w:r>
          </w:p>
        </w:tc>
        <w:tc>
          <w:tcPr>
            <w:tcW w:w="20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应支付该证券公司的证券交</w:t>
            </w:r>
            <w:r>
              <w:rPr>
                <w:rFonts w:hint="default" w:ascii="Times New Roman" w:hAnsi="Times New Roman"/>
                <w:b/>
                <w:bCs/>
                <w:sz w:val="24"/>
                <w:szCs w:val="24"/>
              </w:rPr>
              <w:t xml:space="preserve"> </w:t>
            </w:r>
          </w:p>
          <w:p>
            <w:pPr>
              <w:widowControl/>
              <w:jc w:val="center"/>
              <w:rPr>
                <w:rFonts w:hint="default" w:ascii="Times New Roman" w:hAnsi="Times New Roman"/>
              </w:rPr>
            </w:pPr>
            <w:r>
              <w:rPr>
                <w:rFonts w:ascii="Times New Roman" w:hAnsi="Times New Roman" w:eastAsia="宋体"/>
                <w:b/>
                <w:bCs/>
                <w:sz w:val="24"/>
                <w:szCs w:val="24"/>
              </w:rPr>
              <w:t>易佣金金额</w:t>
            </w:r>
          </w:p>
        </w:tc>
        <w:tc>
          <w:tcPr>
            <w:tcW w:w="20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占年度该交易模式证券交易佣</w:t>
            </w:r>
            <w:r>
              <w:rPr>
                <w:rFonts w:hint="default" w:ascii="Times New Roman" w:hAnsi="Times New Roman"/>
                <w:b/>
                <w:bCs/>
                <w:sz w:val="24"/>
                <w:szCs w:val="24"/>
              </w:rPr>
              <w:t xml:space="preserve"> </w:t>
            </w:r>
          </w:p>
          <w:p>
            <w:pPr>
              <w:widowControl/>
              <w:jc w:val="center"/>
              <w:rPr>
                <w:rFonts w:hint="default" w:ascii="Times New Roman" w:hAnsi="Times New Roman"/>
              </w:rPr>
            </w:pPr>
            <w:r>
              <w:rPr>
                <w:rFonts w:ascii="Times New Roman" w:hAnsi="Times New Roman" w:eastAsia="宋体"/>
                <w:b/>
                <w:bCs/>
                <w:sz w:val="24"/>
                <w:szCs w:val="24"/>
              </w:rPr>
              <w:t>金总额比例</w:t>
            </w:r>
            <w:r>
              <w:rPr>
                <w:rFonts w:ascii="Times New Roman" w:hAnsi="Times New Roman" w:eastAsia="宋体" w:cs="宋体"/>
                <w:b/>
                <w:bCs/>
                <w:color w:val="000000"/>
                <w:kern w:val="0"/>
                <w:sz w:val="24"/>
                <w:szCs w:val="24"/>
                <w:lang w:bidi="ar"/>
              </w:rPr>
              <w:t>（</w:t>
            </w:r>
            <w:r>
              <w:rPr>
                <w:rFonts w:hint="default" w:ascii="Times New Roman" w:hAnsi="Times New Roman" w:eastAsia="宋体"/>
                <w:b/>
                <w:bCs/>
                <w:color w:val="000000"/>
                <w:kern w:val="0"/>
                <w:sz w:val="24"/>
                <w:szCs w:val="24"/>
                <w:lang w:bidi="ar"/>
              </w:rPr>
              <w:t>%</w:t>
            </w:r>
            <w:r>
              <w:rPr>
                <w:rFonts w:ascii="Times New Roman" w:hAnsi="Times New Roman" w:eastAsia="宋体" w:cs="宋体"/>
                <w:b/>
                <w:bCs/>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16,846,981.68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中金公司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w:t>
            </w:r>
            <w:r>
              <w:rPr>
                <w:rFonts w:hint="default" w:ascii="Times New Roman" w:hAnsi="Times New Roman" w:eastAsia="宋体"/>
                <w:kern w:val="0"/>
                <w:sz w:val="18"/>
              </w:rPr>
              <w:t>600</w:t>
            </w:r>
            <w:r>
              <w:rPr>
                <w:rFonts w:ascii="Times New Roman" w:hAnsi="Times New Roman" w:eastAsia="宋体"/>
                <w:kern w:val="0"/>
                <w:sz w:val="18"/>
              </w:rPr>
              <w:t>,</w:t>
            </w:r>
            <w:r>
              <w:rPr>
                <w:rFonts w:hint="default" w:ascii="Times New Roman" w:hAnsi="Times New Roman" w:eastAsia="宋体"/>
                <w:kern w:val="0"/>
                <w:sz w:val="18"/>
              </w:rPr>
              <w:t>328</w:t>
            </w:r>
            <w:r>
              <w:rPr>
                <w:rFonts w:ascii="Times New Roman" w:hAnsi="Times New Roman" w:eastAsia="宋体"/>
                <w:kern w:val="0"/>
                <w:sz w:val="18"/>
              </w:rPr>
              <w:t>.</w:t>
            </w:r>
            <w:r>
              <w:rPr>
                <w:rFonts w:hint="default" w:ascii="Times New Roman" w:hAnsi="Times New Roman" w:eastAsia="宋体"/>
                <w:kern w:val="0"/>
                <w:sz w:val="18"/>
              </w:rPr>
              <w:t>13</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5.81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中信建投证券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12,551,570.72</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招商证券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12,503,699.14</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国泰海通证券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11,997,935.19</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5.53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长江证券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11,328,442.26</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5.23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国金证券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9,694,723.26</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4.47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华泰证券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8,892,845.67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广发证券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8,574,915.09</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3.96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浙商证券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8,496,504.01</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3.92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中泰证券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8,192,774.61</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3.78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东方证券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8,147,514.55</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3.76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天风证券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7,958,149.15</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3.67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华创证券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7,780,908.84</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民生证券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6,694,454.98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3.09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华福证券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6,581,252.17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3.04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国联证券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6,487,044.36</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2.99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国海证券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6,169,171.97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2.85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申万宏源证券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5,865,993.03</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2.71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东吴证券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5,513,826.71</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2.54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兴业证券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5,058,964.81</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国盛证券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4,298,636.29</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开源证券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4,125,066.09</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华西证券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3,927,279.37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1.81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国信证券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2,975,485.77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1.37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财通证券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2,463,483.63</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西部证券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1,709,160.58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华鑫证券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1,606,413.47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信达证券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1,557,834.52</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0.72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方正证券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1,282,795.58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东北证券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1,107,769.40</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0.51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西南证券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766,060.64</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0.35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光大证券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761,296.68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0.35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野村东方国际证券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655,439.12</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摩根大通证券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579,143.48</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汇丰前海证券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562,731.07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0.26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瑞银证券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449,622.65</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银河证券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8,184.09</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高盛中国</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6,689.77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国投证券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3,563.87</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第一创业证券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华宝证券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华安证券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国元证券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东兴证券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英大证券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德邦证券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川财证券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中金财富证券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诚通证券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长城证券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渤海证券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太平洋证券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中银国际证券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上海证券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平安证券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华信证券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东方财富证券</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jc w:val="center"/>
        </w:trPr>
        <w:tc>
          <w:tcPr>
            <w:tcW w:w="1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合</w:t>
            </w:r>
            <w:r>
              <w:rPr>
                <w:rFonts w:hint="default" w:ascii="Times New Roman" w:hAnsi="Times New Roman"/>
                <w:b/>
                <w:bCs/>
                <w:sz w:val="24"/>
                <w:szCs w:val="24"/>
              </w:rPr>
              <w:t xml:space="preserve">  </w:t>
            </w:r>
            <w:r>
              <w:rPr>
                <w:rFonts w:ascii="Times New Roman" w:hAnsi="Times New Roman" w:eastAsia="宋体"/>
                <w:b/>
                <w:bCs/>
                <w:sz w:val="24"/>
                <w:szCs w:val="24"/>
              </w:rPr>
              <w:t>计</w:t>
            </w:r>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lang w:val="en-US" w:eastAsia="zh-CN"/>
              </w:rPr>
            </w:pPr>
            <w:r>
              <w:rPr>
                <w:rFonts w:ascii="Times New Roman" w:hAnsi="Times New Roman" w:eastAsia="宋体"/>
                <w:kern w:val="0"/>
                <w:sz w:val="18"/>
              </w:rPr>
              <w:t>216,78</w:t>
            </w:r>
            <w:r>
              <w:rPr>
                <w:rFonts w:hint="eastAsia" w:ascii="Times New Roman" w:hAnsi="Times New Roman" w:eastAsia="宋体"/>
                <w:kern w:val="0"/>
                <w:sz w:val="18"/>
                <w:lang w:val="en-US" w:eastAsia="zh-CN"/>
              </w:rPr>
              <w:t>4</w:t>
            </w:r>
            <w:r>
              <w:rPr>
                <w:rFonts w:ascii="Times New Roman" w:hAnsi="Times New Roman" w:eastAsia="宋体"/>
                <w:kern w:val="0"/>
                <w:sz w:val="18"/>
              </w:rPr>
              <w:t>,</w:t>
            </w:r>
            <w:r>
              <w:rPr>
                <w:rFonts w:hint="eastAsia" w:ascii="Times New Roman" w:hAnsi="Times New Roman" w:eastAsia="宋体"/>
                <w:kern w:val="0"/>
                <w:sz w:val="18"/>
                <w:lang w:val="en-US" w:eastAsia="zh-CN"/>
              </w:rPr>
              <w:t>656</w:t>
            </w:r>
            <w:r>
              <w:rPr>
                <w:rFonts w:ascii="Times New Roman" w:hAnsi="Times New Roman" w:eastAsia="宋体"/>
                <w:kern w:val="0"/>
                <w:sz w:val="18"/>
              </w:rPr>
              <w:t>.</w:t>
            </w:r>
            <w:r>
              <w:rPr>
                <w:rFonts w:hint="eastAsia" w:ascii="Times New Roman" w:hAnsi="Times New Roman" w:eastAsia="宋体"/>
                <w:kern w:val="0"/>
                <w:sz w:val="18"/>
                <w:lang w:val="en-US" w:eastAsia="zh-CN"/>
              </w:rPr>
              <w:t>40</w:t>
            </w:r>
            <w:bookmarkStart w:id="13" w:name="_GoBack"/>
            <w:bookmarkEnd w:id="13"/>
          </w:p>
        </w:tc>
        <w:tc>
          <w:tcPr>
            <w:tcW w:w="20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100.00</w:t>
            </w:r>
          </w:p>
        </w:tc>
      </w:tr>
    </w:tbl>
    <w:p>
      <w:pPr>
        <w:rPr>
          <w:rFonts w:hint="default" w:ascii="Times New Roman" w:hAnsi="Times New Roman"/>
        </w:rPr>
      </w:pPr>
      <w:r>
        <w:rPr>
          <w:rFonts w:ascii="Times New Roman" w:hAnsi="Times New Roman"/>
        </w:rPr>
        <w:t xml:space="preserve">　 </w:t>
      </w:r>
    </w:p>
    <w:p>
      <w:pPr>
        <w:pStyle w:val="28"/>
      </w:pPr>
      <w:bookmarkStart w:id="12" w:name="_Toc187947608"/>
      <w:r>
        <w:rPr>
          <w:rFonts w:hint="eastAsia" w:cs="楷体_GB2312"/>
        </w:rPr>
        <w:t>（二）委托证券公司办理股票投资及佣金支付情况</w:t>
      </w:r>
      <w:bookmarkEnd w:id="12"/>
      <w:r>
        <w:rPr>
          <w:rFonts w:hint="eastAsia" w:cs="楷体_GB2312"/>
        </w:rPr>
        <w:t xml:space="preserve"> </w:t>
      </w:r>
    </w:p>
    <w:p>
      <w:pPr>
        <w:ind w:firstLine="5783" w:firstLineChars="2400"/>
        <w:jc w:val="right"/>
        <w:rPr>
          <w:rFonts w:hint="default" w:ascii="Times New Roman" w:hAnsi="Times New Roman"/>
        </w:rPr>
      </w:pPr>
      <w:r>
        <w:rPr>
          <w:rFonts w:ascii="Times New Roman" w:hAnsi="Times New Roman" w:eastAsia="宋体"/>
          <w:b/>
          <w:bCs/>
          <w:sz w:val="24"/>
          <w:szCs w:val="24"/>
        </w:rPr>
        <w:t>金额单位：人民币元</w:t>
      </w:r>
      <w:r>
        <w:rPr>
          <w:rFonts w:hint="default" w:ascii="Times New Roman" w:hAnsi="Times New Roman" w:eastAsia="宋体"/>
          <w:b/>
          <w:bCs/>
          <w:sz w:val="24"/>
          <w:szCs w:val="24"/>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9"/>
        <w:gridCol w:w="1270"/>
        <w:gridCol w:w="959"/>
        <w:gridCol w:w="959"/>
        <w:gridCol w:w="1290"/>
        <w:gridCol w:w="975"/>
        <w:gridCol w:w="944"/>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2" w:hRule="atLeast"/>
          <w:jc w:val="center"/>
        </w:trPr>
        <w:tc>
          <w:tcPr>
            <w:tcW w:w="62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证券公司名称</w:t>
            </w:r>
          </w:p>
        </w:tc>
        <w:tc>
          <w:tcPr>
            <w:tcW w:w="1875"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被动股票型基金</w:t>
            </w:r>
            <w:r>
              <w:rPr>
                <w:rFonts w:hint="default" w:ascii="Times New Roman" w:hAnsi="Times New Roman"/>
                <w:b/>
                <w:bCs/>
                <w:sz w:val="24"/>
                <w:szCs w:val="24"/>
              </w:rPr>
              <w:t xml:space="preserve"> </w:t>
            </w:r>
          </w:p>
        </w:tc>
        <w:tc>
          <w:tcPr>
            <w:tcW w:w="1875" w:type="pct"/>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其他类型基金</w:t>
            </w:r>
            <w:r>
              <w:rPr>
                <w:rFonts w:hint="default" w:ascii="Times New Roman" w:hAnsi="Times New Roman"/>
                <w:b/>
                <w:bCs/>
                <w:sz w:val="24"/>
                <w:szCs w:val="24"/>
              </w:rPr>
              <w:t xml:space="preserve"> </w:t>
            </w:r>
          </w:p>
        </w:tc>
        <w:tc>
          <w:tcPr>
            <w:tcW w:w="62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是否与管理人存在关联关系</w:t>
            </w:r>
            <w:r>
              <w:rPr>
                <w:rFonts w:hint="default" w:ascii="Times New Roman" w:hAnsi="Times New Roman"/>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62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等线"/>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股票交易成交金额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b/>
                <w:bCs/>
                <w:sz w:val="24"/>
                <w:szCs w:val="24"/>
              </w:rPr>
              <w:t>应支付该证券公司的股票交易佣金金额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hint="default" w:ascii="Times New Roman" w:hAnsi="Times New Roman"/>
              </w:rPr>
            </w:pPr>
            <w:r>
              <w:rPr>
                <w:rFonts w:ascii="Times New Roman" w:hAnsi="Times New Roman" w:eastAsia="宋体" w:cs="宋体"/>
                <w:b/>
                <w:bCs/>
                <w:color w:val="000000"/>
                <w:kern w:val="0"/>
                <w:sz w:val="24"/>
                <w:szCs w:val="24"/>
                <w:lang w:bidi="ar"/>
              </w:rPr>
              <w:t>平均佣金费率（</w:t>
            </w:r>
            <w:r>
              <w:rPr>
                <w:rFonts w:hint="default" w:ascii="Times New Roman" w:hAnsi="Times New Roman" w:eastAsia="宋体"/>
                <w:b/>
                <w:bCs/>
                <w:color w:val="000000"/>
                <w:kern w:val="0"/>
                <w:sz w:val="24"/>
                <w:szCs w:val="24"/>
                <w:lang w:bidi="ar"/>
              </w:rPr>
              <w:t>‰</w:t>
            </w:r>
            <w:r>
              <w:rPr>
                <w:rFonts w:ascii="Times New Roman" w:hAnsi="Times New Roman" w:eastAsia="宋体" w:cs="宋体"/>
                <w:b/>
                <w:bCs/>
                <w:color w:val="000000"/>
                <w:kern w:val="0"/>
                <w:sz w:val="24"/>
                <w:szCs w:val="24"/>
                <w:lang w:bidi="ar"/>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股票交易成交金额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b/>
                <w:bCs/>
                <w:sz w:val="24"/>
                <w:szCs w:val="24"/>
              </w:rPr>
              <w:t>应支付该证券公司的股票交易佣金金额</w:t>
            </w:r>
            <w:r>
              <w:rPr>
                <w:rFonts w:hint="default" w:ascii="Times New Roman" w:hAnsi="Times New Roman"/>
                <w:b/>
                <w:bCs/>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rPr>
            </w:pPr>
            <w:r>
              <w:rPr>
                <w:rFonts w:ascii="Times New Roman" w:hAnsi="Times New Roman" w:eastAsia="宋体" w:cs="宋体"/>
                <w:b/>
                <w:bCs/>
                <w:color w:val="000000"/>
                <w:kern w:val="0"/>
                <w:sz w:val="24"/>
                <w:szCs w:val="24"/>
                <w:lang w:bidi="ar"/>
              </w:rPr>
              <w:t>平均佣金费率（</w:t>
            </w:r>
            <w:r>
              <w:rPr>
                <w:rFonts w:hint="default" w:ascii="Times New Roman" w:hAnsi="Times New Roman" w:eastAsia="宋体"/>
                <w:b/>
                <w:bCs/>
                <w:color w:val="000000"/>
                <w:kern w:val="0"/>
                <w:sz w:val="24"/>
                <w:szCs w:val="24"/>
                <w:lang w:bidi="ar"/>
              </w:rPr>
              <w:t>‰</w:t>
            </w:r>
            <w:r>
              <w:rPr>
                <w:rFonts w:ascii="Times New Roman" w:hAnsi="Times New Roman" w:eastAsia="宋体" w:cs="宋体"/>
                <w:b/>
                <w:bCs/>
                <w:color w:val="000000"/>
                <w:kern w:val="0"/>
                <w:sz w:val="24"/>
                <w:szCs w:val="24"/>
                <w:lang w:bidi="ar"/>
              </w:rPr>
              <w:t>）</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国泰海通证券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532,241,377.87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102,983.99</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2,018,388,304.08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915,114.65</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兴业证券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2,333,088,688.25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1,055,283.65</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0.45</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1,303,912,714.62</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638,482.16</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0.49</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中信建投证券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125,069,950.26</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31,275.18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0.25</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951,769,239.67</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442,716.38</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0.47</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国金证券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663,185,318.25</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123,292.63</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0.19</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华鑫证券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广发证券</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否</w:t>
            </w:r>
            <w:r>
              <w:rPr>
                <w:rFonts w:hint="default"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b/>
                <w:bCs/>
                <w:sz w:val="24"/>
                <w:szCs w:val="24"/>
              </w:rPr>
              <w:t>合</w:t>
            </w:r>
            <w:r>
              <w:rPr>
                <w:rFonts w:hint="default" w:ascii="Times New Roman" w:hAnsi="Times New Roman"/>
                <w:b/>
                <w:bCs/>
                <w:sz w:val="24"/>
                <w:szCs w:val="24"/>
              </w:rPr>
              <w:t xml:space="preserve">  </w:t>
            </w:r>
            <w:r>
              <w:rPr>
                <w:rFonts w:ascii="Times New Roman" w:hAnsi="Times New Roman" w:eastAsia="宋体"/>
                <w:b/>
                <w:bCs/>
                <w:sz w:val="24"/>
                <w:szCs w:val="24"/>
              </w:rPr>
              <w:t>计</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1,320,496,646.38</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257,551.80</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0.20</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6,607,158,946.62</w:t>
            </w:r>
            <w:r>
              <w:rPr>
                <w:rFonts w:hint="default" w:ascii="Times New Roman" w:hAnsi="Times New Roman"/>
                <w:kern w:val="0"/>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imes New Roman" w:hAnsi="Times New Roman"/>
              </w:rPr>
            </w:pPr>
            <w:r>
              <w:rPr>
                <w:rFonts w:ascii="Times New Roman" w:hAnsi="Times New Roman" w:eastAsia="宋体"/>
                <w:kern w:val="0"/>
                <w:sz w:val="18"/>
              </w:rPr>
              <w:t>3,051,596.84</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rPr>
            </w:pPr>
            <w:r>
              <w:rPr>
                <w:rFonts w:ascii="Times New Roman" w:hAnsi="Times New Roman" w:eastAsia="宋体"/>
                <w:kern w:val="0"/>
                <w:sz w:val="18"/>
              </w:rPr>
              <w:t>0.46</w:t>
            </w:r>
            <w:r>
              <w:rPr>
                <w:rFonts w:hint="default" w:ascii="Times New Roman" w:hAnsi="Times New Roman"/>
                <w:sz w:val="24"/>
                <w:szCs w:val="24"/>
              </w:rPr>
              <w:t xml:space="preserve"> </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szCs w:val="24"/>
              </w:rPr>
            </w:pPr>
            <w:r>
              <w:rPr>
                <w:rFonts w:hint="default" w:ascii="Times New Roman" w:hAnsi="Times New Roman"/>
                <w:sz w:val="24"/>
                <w:szCs w:val="24"/>
              </w:rPr>
              <w:t xml:space="preserve">　 </w:t>
            </w:r>
          </w:p>
        </w:tc>
      </w:tr>
    </w:tbl>
    <w:p>
      <w:pPr>
        <w:rPr>
          <w:rFonts w:hint="default" w:ascii="Times New Roman" w:hAnsi="Times New Roman"/>
        </w:rPr>
      </w:pPr>
      <w:r>
        <w:rPr>
          <w:rFonts w:ascii="Times New Roman" w:hAnsi="Times New Roman"/>
        </w:rPr>
        <w:t xml:space="preserve">　 </w:t>
      </w:r>
    </w:p>
    <w:p>
      <w:pPr>
        <w:pStyle w:val="11"/>
        <w:tabs>
          <w:tab w:val="right" w:leader="dot" w:pos="8835"/>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"_Toc510201001" </w:instrText>
      </w:r>
      <w:r>
        <w:rPr>
          <w:rFonts w:ascii="Times New Roman" w:hAnsi="Times New Roman"/>
        </w:rPr>
        <w:fldChar w:fldCharType="separate"/>
      </w:r>
      <w:r>
        <w:rPr>
          <w:rStyle w:val="18"/>
          <w:rFonts w:ascii="Times New Roman" w:hAnsi="Times New Roman"/>
          <w:vanish/>
        </w:rPr>
        <w:t>0</w:t>
      </w:r>
      <w:r>
        <w:rPr>
          <w:rStyle w:val="18"/>
          <w:rFonts w:ascii="Times New Roman" w:hAnsi="Times New Roman" w:eastAsia="宋体" w:cs="宋体"/>
          <w:vanish/>
        </w:rPr>
        <w:t>、公告标题</w:t>
      </w:r>
      <w:r>
        <w:rPr>
          <w:rStyle w:val="18"/>
          <w:rFonts w:ascii="Times New Roman" w:hAnsi="Times New Roman" w:eastAsia="宋体" w:cs="宋体"/>
          <w:vanish/>
        </w:rPr>
        <w:fldChar w:fldCharType="end"/>
      </w:r>
    </w:p>
    <w:p>
      <w:pPr>
        <w:pStyle w:val="11"/>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"_Toc187947603" </w:instrText>
      </w:r>
      <w:r>
        <w:rPr>
          <w:rFonts w:ascii="Times New Roman" w:hAnsi="Times New Roman"/>
        </w:rPr>
        <w:fldChar w:fldCharType="separate"/>
      </w:r>
      <w:r>
        <w:rPr>
          <w:rStyle w:val="18"/>
          <w:rFonts w:ascii="Times New Roman" w:hAnsi="Times New Roman"/>
          <w:vanish/>
        </w:rPr>
        <w:t>一、 选择证券公司参与证券交易的标准和程序</w:t>
      </w:r>
      <w:r>
        <w:rPr>
          <w:rStyle w:val="18"/>
          <w:rFonts w:ascii="Times New Roman" w:hAnsi="Times New Roman"/>
          <w:vanish/>
        </w:rPr>
        <w:fldChar w:fldCharType="end"/>
      </w:r>
      <w:r>
        <w:rPr>
          <w:rFonts w:ascii="Times New Roman" w:hAnsi="Times New Roman"/>
          <w:vanish/>
        </w:rPr>
        <w:t xml:space="preserve"> </w:t>
      </w:r>
    </w:p>
    <w:p>
      <w:pPr>
        <w:pStyle w:val="11"/>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"_Toc187947604" </w:instrText>
      </w:r>
      <w:r>
        <w:rPr>
          <w:rFonts w:ascii="Times New Roman" w:hAnsi="Times New Roman"/>
        </w:rPr>
        <w:fldChar w:fldCharType="separate"/>
      </w:r>
      <w:r>
        <w:rPr>
          <w:rStyle w:val="18"/>
          <w:rFonts w:ascii="Times New Roman" w:hAnsi="Times New Roman"/>
          <w:vanish/>
        </w:rPr>
        <w:t>二、 交易量、交易佣金年度汇总及分配情况</w:t>
      </w:r>
      <w:r>
        <w:rPr>
          <w:rStyle w:val="18"/>
          <w:rFonts w:ascii="Times New Roman" w:hAnsi="Times New Roman"/>
          <w:vanish/>
        </w:rPr>
        <w:fldChar w:fldCharType="end"/>
      </w:r>
      <w:r>
        <w:rPr>
          <w:rFonts w:ascii="Times New Roman" w:hAnsi="Times New Roman"/>
          <w:vanish/>
        </w:rPr>
        <w:t xml:space="preserve"> </w:t>
      </w:r>
    </w:p>
    <w:p>
      <w:pPr>
        <w:pStyle w:val="12"/>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"_Toc187947605" </w:instrText>
      </w:r>
      <w:r>
        <w:rPr>
          <w:rFonts w:ascii="Times New Roman" w:hAnsi="Times New Roman"/>
        </w:rPr>
        <w:fldChar w:fldCharType="separate"/>
      </w:r>
      <w:r>
        <w:rPr>
          <w:rStyle w:val="18"/>
          <w:rFonts w:ascii="Times New Roman" w:hAnsi="Times New Roman"/>
          <w:vanish/>
        </w:rPr>
        <w:t>（一）租用证券公司交易单元进行证券投资及佣金支付情况</w:t>
      </w:r>
      <w:r>
        <w:rPr>
          <w:rStyle w:val="18"/>
          <w:rFonts w:ascii="Times New Roman" w:hAnsi="Times New Roman"/>
          <w:vanish/>
        </w:rPr>
        <w:fldChar w:fldCharType="end"/>
      </w:r>
      <w:r>
        <w:rPr>
          <w:rFonts w:ascii="Times New Roman" w:hAnsi="Times New Roman"/>
          <w:vanish/>
        </w:rPr>
        <w:t xml:space="preserve"> </w:t>
      </w:r>
    </w:p>
    <w:p>
      <w:pPr>
        <w:pStyle w:val="8"/>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"_Toc187947606" </w:instrText>
      </w:r>
      <w:r>
        <w:rPr>
          <w:rFonts w:ascii="Times New Roman" w:hAnsi="Times New Roman"/>
        </w:rPr>
        <w:fldChar w:fldCharType="separate"/>
      </w:r>
      <w:r>
        <w:rPr>
          <w:rStyle w:val="18"/>
          <w:rFonts w:ascii="Times New Roman" w:hAnsi="Times New Roman"/>
          <w:vanish/>
        </w:rPr>
        <w:t>1.股票投资及佣金支付情况</w:t>
      </w:r>
      <w:r>
        <w:rPr>
          <w:rStyle w:val="18"/>
          <w:rFonts w:ascii="Times New Roman" w:hAnsi="Times New Roman"/>
          <w:vanish/>
        </w:rPr>
        <w:fldChar w:fldCharType="end"/>
      </w:r>
      <w:r>
        <w:rPr>
          <w:rFonts w:ascii="Times New Roman" w:hAnsi="Times New Roman"/>
          <w:vanish/>
        </w:rPr>
        <w:t xml:space="preserve"> </w:t>
      </w:r>
    </w:p>
    <w:p>
      <w:pPr>
        <w:pStyle w:val="8"/>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"_Toc187947607" </w:instrText>
      </w:r>
      <w:r>
        <w:rPr>
          <w:rFonts w:ascii="Times New Roman" w:hAnsi="Times New Roman"/>
        </w:rPr>
        <w:fldChar w:fldCharType="separate"/>
      </w:r>
      <w:r>
        <w:rPr>
          <w:rStyle w:val="18"/>
          <w:rFonts w:ascii="Times New Roman" w:hAnsi="Times New Roman"/>
          <w:vanish/>
        </w:rPr>
        <w:t>2.证券投资佣金支付及分配情况</w:t>
      </w:r>
      <w:r>
        <w:rPr>
          <w:rStyle w:val="18"/>
          <w:rFonts w:ascii="Times New Roman" w:hAnsi="Times New Roman"/>
          <w:vanish/>
        </w:rPr>
        <w:fldChar w:fldCharType="end"/>
      </w:r>
      <w:r>
        <w:rPr>
          <w:rFonts w:ascii="Times New Roman" w:hAnsi="Times New Roman"/>
          <w:vanish/>
        </w:rPr>
        <w:t xml:space="preserve"> </w:t>
      </w:r>
    </w:p>
    <w:p>
      <w:pPr>
        <w:pStyle w:val="12"/>
        <w:tabs>
          <w:tab w:val="right" w:leader="dot" w:pos="8296"/>
        </w:tabs>
        <w:rPr>
          <w:rFonts w:hint="default" w:ascii="Times New Roman" w:hAnsi="Times New Roman"/>
          <w:vanish/>
        </w:rPr>
      </w:pPr>
      <w:r>
        <w:rPr>
          <w:rFonts w:ascii="Times New Roman" w:hAnsi="Times New Roman"/>
        </w:rPr>
        <w:fldChar w:fldCharType="begin"/>
      </w:r>
      <w:r>
        <w:rPr>
          <w:rFonts w:ascii="Times New Roman" w:hAnsi="Times New Roman"/>
        </w:rPr>
        <w:instrText xml:space="preserve"> HYPERLINK \l "_Toc187947608" </w:instrText>
      </w:r>
      <w:r>
        <w:rPr>
          <w:rFonts w:ascii="Times New Roman" w:hAnsi="Times New Roman"/>
        </w:rPr>
        <w:fldChar w:fldCharType="separate"/>
      </w:r>
      <w:r>
        <w:rPr>
          <w:rStyle w:val="18"/>
          <w:rFonts w:ascii="Times New Roman" w:hAnsi="Times New Roman"/>
          <w:vanish/>
        </w:rPr>
        <w:t>（二）委托证券公司办理股票投资及佣金支付情况</w:t>
      </w:r>
      <w:r>
        <w:rPr>
          <w:rStyle w:val="18"/>
          <w:rFonts w:ascii="Times New Roman" w:hAnsi="Times New Roman"/>
          <w:vanish/>
        </w:rPr>
        <w:fldChar w:fldCharType="end"/>
      </w:r>
      <w:r>
        <w:rPr>
          <w:rFonts w:ascii="Times New Roman" w:hAnsi="Times New Roman"/>
          <w:vanish/>
        </w:rPr>
        <w:t xml:space="preserve"> </w:t>
      </w:r>
    </w:p>
    <w:p>
      <w:pPr>
        <w:rPr>
          <w:rFonts w:hint="default" w:ascii="Times New Roman" w:hAnsi="Times New Roman"/>
          <w:vanish/>
        </w:rPr>
      </w:pPr>
      <w:r>
        <w:rPr>
          <w:rFonts w:ascii="Times New Roman" w:hAnsi="Times New Roman"/>
          <w:vanish/>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AF700"/>
    <w:multiLevelType w:val="multilevel"/>
    <w:tmpl w:val="B71AF700"/>
    <w:lvl w:ilvl="0" w:tentative="0">
      <w:start w:val="1"/>
      <w:numFmt w:val="decimal"/>
      <w:pStyle w:val="27"/>
      <w:suff w:val="space"/>
      <w:lvlText w:val="§%1"/>
      <w:lvlJc w:val="left"/>
      <w:pPr>
        <w:ind w:left="425" w:hanging="425"/>
      </w:pPr>
    </w:lvl>
    <w:lvl w:ilvl="1" w:tentative="0">
      <w:start w:val="1"/>
      <w:numFmt w:val="decimal"/>
      <w:suff w:val="space"/>
      <w:lvlText w:val="%1.%2"/>
      <w:lvlJc w:val="left"/>
      <w:pPr>
        <w:ind w:left="454" w:hanging="454"/>
      </w:pPr>
    </w:lvl>
    <w:lvl w:ilvl="2" w:tentative="0">
      <w:start w:val="1"/>
      <w:numFmt w:val="decimal"/>
      <w:suff w:val="space"/>
      <w:lvlText w:val="%1.%2.%3"/>
      <w:lvlJc w:val="left"/>
      <w:pPr>
        <w:ind w:left="624" w:hanging="624"/>
      </w:pPr>
      <w:rPr>
        <w:rFonts w:ascii="宋体" w:hAnsi="宋体" w:eastAsia="宋体"/>
      </w:rPr>
    </w:lvl>
    <w:lvl w:ilvl="3" w:tentative="0">
      <w:start w:val="1"/>
      <w:numFmt w:val="decimal"/>
      <w:suff w:val="space"/>
      <w:lvlText w:val="%1.%2.%3.%4"/>
      <w:lvlJc w:val="left"/>
      <w:pPr>
        <w:ind w:left="794" w:hanging="794"/>
      </w:pPr>
    </w:lvl>
    <w:lvl w:ilvl="4" w:tentative="0">
      <w:start w:val="1"/>
      <w:numFmt w:val="decimal"/>
      <w:suff w:val="space"/>
      <w:lvlText w:val="%1.%2.%3.%4.%5"/>
      <w:lvlJc w:val="left"/>
      <w:pPr>
        <w:ind w:left="1021" w:hanging="1021"/>
      </w:pPr>
    </w:lvl>
    <w:lvl w:ilvl="5" w:tentative="0">
      <w:start w:val="1"/>
      <w:numFmt w:val="decimal"/>
      <w:suff w:val="space"/>
      <w:lvlText w:val="%1.%2.%3.%4.%5.%6"/>
      <w:lvlJc w:val="left"/>
      <w:pPr>
        <w:ind w:left="1021" w:hanging="1021"/>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8D68BFC"/>
    <w:multiLevelType w:val="multilevel"/>
    <w:tmpl w:val="48D68BFC"/>
    <w:lvl w:ilvl="0" w:tentative="0">
      <w:start w:val="1"/>
      <w:numFmt w:val="chineseCounting"/>
      <w:pStyle w:val="25"/>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37"/>
    <w:rsid w:val="00292CE5"/>
    <w:rsid w:val="00551822"/>
    <w:rsid w:val="00643A37"/>
    <w:rsid w:val="0069611F"/>
    <w:rsid w:val="006E3952"/>
    <w:rsid w:val="009C1C3A"/>
    <w:rsid w:val="00AD36FC"/>
    <w:rsid w:val="00EA16ED"/>
    <w:rsid w:val="15B02D42"/>
    <w:rsid w:val="2E8F5880"/>
    <w:rsid w:val="327D2A10"/>
    <w:rsid w:val="3E810519"/>
    <w:rsid w:val="529F16FF"/>
    <w:rsid w:val="54177239"/>
    <w:rsid w:val="629D34A9"/>
    <w:rsid w:val="650B4A63"/>
    <w:rsid w:val="658B2578"/>
    <w:rsid w:val="67836275"/>
    <w:rsid w:val="6A5B08EC"/>
    <w:rsid w:val="6FFB54FB"/>
    <w:rsid w:val="73C3551C"/>
    <w:rsid w:val="7E095858"/>
    <w:rsid w:val="7F95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21"/>
    <w:qFormat/>
    <w:uiPriority w:val="9"/>
    <w:pPr>
      <w:keepNext/>
      <w:keepLines/>
      <w:spacing w:before="260" w:after="260" w:line="415" w:lineRule="auto"/>
      <w:outlineLvl w:val="1"/>
    </w:pPr>
    <w:rPr>
      <w:rFonts w:hint="default" w:ascii="等线 Light" w:hAnsi="等线 Light" w:eastAsia="等线 Light"/>
      <w:b/>
      <w:bCs/>
      <w:sz w:val="32"/>
      <w:szCs w:val="32"/>
    </w:rPr>
  </w:style>
  <w:style w:type="paragraph" w:styleId="4">
    <w:name w:val="heading 3"/>
    <w:basedOn w:val="1"/>
    <w:next w:val="1"/>
    <w:link w:val="22"/>
    <w:qFormat/>
    <w:uiPriority w:val="9"/>
    <w:pPr>
      <w:keepNext/>
      <w:keepLines/>
      <w:spacing w:before="260" w:after="260" w:line="415" w:lineRule="auto"/>
      <w:outlineLvl w:val="2"/>
    </w:pPr>
    <w:rPr>
      <w:b/>
      <w:bCs/>
      <w:sz w:val="32"/>
      <w:szCs w:val="32"/>
    </w:rPr>
  </w:style>
  <w:style w:type="paragraph" w:styleId="5">
    <w:name w:val="heading 4"/>
    <w:basedOn w:val="1"/>
    <w:next w:val="1"/>
    <w:qFormat/>
    <w:uiPriority w:val="9"/>
    <w:pPr>
      <w:widowControl/>
      <w:spacing w:before="100" w:beforeAutospacing="1" w:after="100" w:afterAutospacing="1"/>
      <w:jc w:val="left"/>
      <w:outlineLvl w:val="3"/>
    </w:pPr>
    <w:rPr>
      <w:rFonts w:ascii="宋体" w:hAnsi="宋体" w:eastAsia="宋体"/>
      <w:b/>
      <w:bCs/>
      <w:kern w:val="0"/>
      <w:sz w:val="24"/>
      <w:szCs w:val="24"/>
    </w:rPr>
  </w:style>
  <w:style w:type="paragraph" w:styleId="6">
    <w:name w:val="heading 5"/>
    <w:basedOn w:val="1"/>
    <w:next w:val="1"/>
    <w:qFormat/>
    <w:uiPriority w:val="9"/>
    <w:pPr>
      <w:widowControl/>
      <w:spacing w:before="100" w:beforeAutospacing="1" w:after="100" w:afterAutospacing="1"/>
      <w:jc w:val="left"/>
      <w:outlineLvl w:val="4"/>
    </w:pPr>
    <w:rPr>
      <w:rFonts w:ascii="宋体" w:hAnsi="宋体" w:eastAsia="宋体"/>
      <w:b/>
      <w:bCs/>
      <w:kern w:val="0"/>
      <w:sz w:val="20"/>
      <w:szCs w:val="20"/>
    </w:rPr>
  </w:style>
  <w:style w:type="paragraph" w:styleId="7">
    <w:name w:val="heading 6"/>
    <w:basedOn w:val="1"/>
    <w:next w:val="1"/>
    <w:qFormat/>
    <w:uiPriority w:val="9"/>
    <w:pPr>
      <w:widowControl/>
      <w:spacing w:before="100" w:beforeAutospacing="1" w:after="100" w:afterAutospacing="1"/>
      <w:jc w:val="left"/>
      <w:outlineLvl w:val="5"/>
    </w:pPr>
    <w:rPr>
      <w:rFonts w:ascii="宋体" w:hAnsi="宋体" w:eastAsia="宋体"/>
      <w:b/>
      <w:bCs/>
      <w:kern w:val="0"/>
      <w:sz w:val="15"/>
      <w:szCs w:val="15"/>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toc 3"/>
    <w:basedOn w:val="1"/>
    <w:next w:val="1"/>
    <w:qFormat/>
    <w:uiPriority w:val="39"/>
    <w:pPr>
      <w:ind w:left="840" w:leftChars="400"/>
    </w:p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style>
  <w:style w:type="paragraph" w:styleId="12">
    <w:name w:val="toc 2"/>
    <w:basedOn w:val="1"/>
    <w:next w:val="1"/>
    <w:uiPriority w:val="39"/>
    <w:pPr>
      <w:ind w:left="420" w:leftChars="200"/>
    </w:pPr>
  </w:style>
  <w:style w:type="paragraph" w:styleId="13">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4">
    <w:name w:val="Normal (Web)"/>
    <w:basedOn w:val="1"/>
    <w:unhideWhenUsed/>
    <w:uiPriority w:val="99"/>
    <w:pPr>
      <w:widowControl/>
      <w:spacing w:before="100" w:beforeAutospacing="1" w:after="100" w:afterAutospacing="1"/>
      <w:jc w:val="left"/>
    </w:pPr>
    <w:rPr>
      <w:rFonts w:hint="default" w:ascii="宋体" w:hAnsi="宋体" w:eastAsia="宋体"/>
      <w:kern w:val="0"/>
      <w:sz w:val="24"/>
      <w:szCs w:val="24"/>
    </w:rPr>
  </w:style>
  <w:style w:type="character" w:styleId="17">
    <w:name w:val="FollowedHyperlink"/>
    <w:basedOn w:val="16"/>
    <w:unhideWhenUsed/>
    <w:uiPriority w:val="99"/>
    <w:rPr>
      <w:color w:val="954F72"/>
      <w:u w:val="single"/>
    </w:rPr>
  </w:style>
  <w:style w:type="character" w:styleId="18">
    <w:name w:val="Hyperlink"/>
    <w:basedOn w:val="16"/>
    <w:unhideWhenUsed/>
    <w:qFormat/>
    <w:uiPriority w:val="99"/>
    <w:rPr>
      <w:color w:val="0563C1"/>
      <w:u w:val="single"/>
    </w:rPr>
  </w:style>
  <w:style w:type="character" w:styleId="19">
    <w:name w:val="footnote reference"/>
    <w:basedOn w:val="16"/>
    <w:qFormat/>
    <w:uiPriority w:val="0"/>
    <w:rPr>
      <w:vertAlign w:val="superscript"/>
    </w:rPr>
  </w:style>
  <w:style w:type="character" w:customStyle="1" w:styleId="20">
    <w:name w:val="标题 1 字符"/>
    <w:basedOn w:val="16"/>
    <w:link w:val="2"/>
    <w:qFormat/>
    <w:locked/>
    <w:uiPriority w:val="0"/>
    <w:rPr>
      <w:b/>
      <w:bCs/>
      <w:kern w:val="44"/>
      <w:sz w:val="44"/>
      <w:szCs w:val="44"/>
    </w:rPr>
  </w:style>
  <w:style w:type="character" w:customStyle="1" w:styleId="21">
    <w:name w:val="标题 2 字符"/>
    <w:basedOn w:val="16"/>
    <w:link w:val="3"/>
    <w:qFormat/>
    <w:locked/>
    <w:uiPriority w:val="0"/>
    <w:rPr>
      <w:rFonts w:hint="eastAsia" w:ascii="等线 Light" w:hAnsi="等线 Light" w:eastAsia="等线 Light" w:cs="Times New Roman"/>
      <w:b/>
      <w:bCs/>
      <w:sz w:val="32"/>
      <w:szCs w:val="32"/>
    </w:rPr>
  </w:style>
  <w:style w:type="character" w:customStyle="1" w:styleId="22">
    <w:name w:val="标题 3 字符"/>
    <w:basedOn w:val="16"/>
    <w:link w:val="4"/>
    <w:qFormat/>
    <w:locked/>
    <w:uiPriority w:val="0"/>
    <w:rPr>
      <w:b/>
      <w:bCs/>
      <w:sz w:val="32"/>
      <w:szCs w:val="32"/>
    </w:rPr>
  </w:style>
  <w:style w:type="character" w:customStyle="1" w:styleId="23">
    <w:name w:val="页脚 字符"/>
    <w:basedOn w:val="16"/>
    <w:link w:val="9"/>
    <w:qFormat/>
    <w:locked/>
    <w:uiPriority w:val="0"/>
    <w:rPr>
      <w:sz w:val="18"/>
      <w:szCs w:val="18"/>
    </w:rPr>
  </w:style>
  <w:style w:type="character" w:customStyle="1" w:styleId="24">
    <w:name w:val="页眉 字符"/>
    <w:basedOn w:val="16"/>
    <w:link w:val="10"/>
    <w:locked/>
    <w:uiPriority w:val="0"/>
    <w:rPr>
      <w:sz w:val="18"/>
      <w:szCs w:val="18"/>
    </w:rPr>
  </w:style>
  <w:style w:type="paragraph" w:customStyle="1" w:styleId="25">
    <w:name w:val="XBRLTitle1"/>
    <w:basedOn w:val="1"/>
    <w:link w:val="26"/>
    <w:qFormat/>
    <w:uiPriority w:val="0"/>
    <w:pPr>
      <w:numPr>
        <w:ilvl w:val="0"/>
        <w:numId w:val="1"/>
      </w:numPr>
      <w:jc w:val="left"/>
      <w:outlineLvl w:val="0"/>
    </w:pPr>
    <w:rPr>
      <w:rFonts w:hint="default" w:ascii="Times New Roman" w:hAnsi="Times New Roman" w:eastAsia="黑体"/>
      <w:sz w:val="32"/>
      <w:szCs w:val="32"/>
    </w:rPr>
  </w:style>
  <w:style w:type="character" w:customStyle="1" w:styleId="26">
    <w:name w:val="XBRLTitle1 Char"/>
    <w:basedOn w:val="16"/>
    <w:link w:val="25"/>
    <w:locked/>
    <w:uiPriority w:val="0"/>
    <w:rPr>
      <w:rFonts w:hint="default" w:ascii="Times New Roman" w:hAnsi="Times New Roman" w:eastAsia="黑体" w:cs="Times New Roman"/>
      <w:sz w:val="32"/>
      <w:szCs w:val="32"/>
    </w:rPr>
  </w:style>
  <w:style w:type="paragraph" w:customStyle="1" w:styleId="27">
    <w:name w:val="XBRLTitle11"/>
    <w:basedOn w:val="2"/>
    <w:next w:val="3"/>
    <w:uiPriority w:val="0"/>
    <w:pPr>
      <w:keepNext w:val="0"/>
      <w:keepLines w:val="0"/>
      <w:numPr>
        <w:ilvl w:val="0"/>
        <w:numId w:val="2"/>
      </w:numPr>
      <w:spacing w:before="0" w:after="0" w:line="360" w:lineRule="auto"/>
      <w:jc w:val="center"/>
    </w:pPr>
    <w:rPr>
      <w:rFonts w:ascii="宋体" w:hAnsi="宋体" w:eastAsia="宋体"/>
      <w:sz w:val="28"/>
    </w:rPr>
  </w:style>
  <w:style w:type="paragraph" w:customStyle="1" w:styleId="28">
    <w:name w:val="XBRLTitle2"/>
    <w:basedOn w:val="1"/>
    <w:link w:val="29"/>
    <w:uiPriority w:val="0"/>
    <w:pPr>
      <w:jc w:val="left"/>
      <w:outlineLvl w:val="0"/>
    </w:pPr>
    <w:rPr>
      <w:rFonts w:hint="default" w:ascii="Times New Roman" w:hAnsi="Times New Roman" w:eastAsia="楷体_GB2312"/>
      <w:b/>
      <w:bCs/>
      <w:sz w:val="32"/>
      <w:szCs w:val="32"/>
    </w:rPr>
  </w:style>
  <w:style w:type="character" w:customStyle="1" w:styleId="29">
    <w:name w:val="XBRLTitle2 Char"/>
    <w:basedOn w:val="16"/>
    <w:link w:val="28"/>
    <w:qFormat/>
    <w:locked/>
    <w:uiPriority w:val="0"/>
    <w:rPr>
      <w:rFonts w:hint="default" w:ascii="Times New Roman" w:hAnsi="Times New Roman" w:eastAsia="楷体_GB2312" w:cs="Times New Roman"/>
      <w:b/>
      <w:bCs/>
      <w:sz w:val="32"/>
      <w:szCs w:val="32"/>
    </w:rPr>
  </w:style>
  <w:style w:type="paragraph" w:customStyle="1" w:styleId="30">
    <w:name w:val="msolistparagraph"/>
    <w:basedOn w:val="1"/>
    <w:uiPriority w:val="0"/>
    <w:pPr>
      <w:ind w:firstLine="420" w:firstLineChars="200"/>
    </w:pPr>
  </w:style>
  <w:style w:type="paragraph" w:customStyle="1" w:styleId="31">
    <w:name w:val="XBRLTitle3"/>
    <w:basedOn w:val="1"/>
    <w:link w:val="32"/>
    <w:qFormat/>
    <w:uiPriority w:val="0"/>
    <w:pPr>
      <w:jc w:val="left"/>
      <w:outlineLvl w:val="2"/>
    </w:pPr>
    <w:rPr>
      <w:rFonts w:ascii="楷体_GB2312" w:hAnsi="宋体" w:eastAsia="楷体_GB2312"/>
      <w:b/>
      <w:bCs/>
      <w:sz w:val="32"/>
      <w:szCs w:val="32"/>
    </w:rPr>
  </w:style>
  <w:style w:type="character" w:customStyle="1" w:styleId="32">
    <w:name w:val="XBRLTitle3 Char"/>
    <w:basedOn w:val="16"/>
    <w:link w:val="31"/>
    <w:qFormat/>
    <w:locked/>
    <w:uiPriority w:val="0"/>
    <w:rPr>
      <w:rFonts w:hint="eastAsia" w:ascii="楷体" w:hAnsi="楷体" w:eastAsia="楷体" w:cs="楷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905</Words>
  <Characters>5163</Characters>
  <Lines>43</Lines>
  <Paragraphs>12</Paragraphs>
  <TotalTime>90</TotalTime>
  <ScaleCrop>false</ScaleCrop>
  <LinksUpToDate>false</LinksUpToDate>
  <CharactersWithSpaces>6056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2026-03-19T02:12:00Z</dcterms:created>
  <dc:creator>yss</dc:creator>
  <cp:lastModifiedBy>haotingting</cp:lastModifiedBy>
  <dcterms:modified xsi:type="dcterms:W3CDTF">2026-03-27T02:51:32Z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C1F072E495B74A9083A8A27FC355DE8B</vt:lpwstr>
  </property>
</Properties>
</file>