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30"/>
          <w:szCs w:val="30"/>
        </w:rPr>
      </w:pPr>
      <w:bookmarkStart w:id="1" w:name="_GoBack"/>
      <w:bookmarkEnd w:id="1"/>
      <w:bookmarkStart w:id="0" w:name="_Toc249760023"/>
      <w:r>
        <w:rPr>
          <w:rFonts w:hint="eastAsia"/>
          <w:b/>
          <w:bCs/>
          <w:color w:val="000000"/>
          <w:sz w:val="30"/>
          <w:szCs w:val="30"/>
        </w:rPr>
        <w:t>交银施罗德基金管理有限公司关于交银施罗德裕祥纯债债券型证券投资基金恢复大额申购</w:t>
      </w:r>
      <w:r>
        <w:rPr>
          <w:rFonts w:hint="eastAsia" w:eastAsiaTheme="minorEastAsia"/>
          <w:b/>
          <w:kern w:val="0"/>
          <w:sz w:val="30"/>
          <w:szCs w:val="30"/>
        </w:rPr>
        <w:t>（</w:t>
      </w:r>
      <w:r>
        <w:rPr>
          <w:rFonts w:eastAsiaTheme="minorEastAsia"/>
          <w:b/>
          <w:kern w:val="0"/>
          <w:sz w:val="30"/>
          <w:szCs w:val="30"/>
        </w:rPr>
        <w:t>转换转入</w:t>
      </w:r>
      <w:r>
        <w:rPr>
          <w:rFonts w:hint="eastAsia"/>
          <w:b/>
          <w:bCs/>
          <w:color w:val="000000"/>
          <w:sz w:val="30"/>
          <w:szCs w:val="30"/>
        </w:rPr>
        <w:t>、定期定额投资）业务的公告</w:t>
      </w:r>
    </w:p>
    <w:p>
      <w:pPr>
        <w:spacing w:line="360" w:lineRule="auto"/>
        <w:jc w:val="center"/>
        <w:rPr>
          <w:rFonts w:ascii="宋体" w:hAnsi="宋体"/>
          <w:b/>
          <w:sz w:val="24"/>
        </w:rPr>
      </w:pPr>
      <w:r>
        <w:rPr>
          <w:rFonts w:hint="eastAsia" w:ascii="宋体" w:hAnsi="宋体"/>
          <w:b/>
          <w:sz w:val="24"/>
        </w:rPr>
        <w:t>公告</w:t>
      </w:r>
      <w:r>
        <w:rPr>
          <w:rFonts w:ascii="宋体" w:hAnsi="宋体"/>
          <w:b/>
          <w:sz w:val="24"/>
        </w:rPr>
        <w:t>送出日期：202</w:t>
      </w:r>
      <w:r>
        <w:rPr>
          <w:rFonts w:hint="eastAsia" w:ascii="宋体" w:hAnsi="宋体"/>
          <w:b/>
          <w:sz w:val="24"/>
          <w:lang w:val="en-US" w:eastAsia="zh-CN"/>
        </w:rPr>
        <w:t>6</w:t>
      </w:r>
      <w:r>
        <w:rPr>
          <w:rFonts w:ascii="宋体" w:hAnsi="宋体"/>
          <w:b/>
          <w:sz w:val="24"/>
        </w:rPr>
        <w:t>年3月</w:t>
      </w:r>
      <w:r>
        <w:rPr>
          <w:rFonts w:hint="eastAsia" w:ascii="宋体" w:hAnsi="宋体"/>
          <w:b/>
          <w:sz w:val="24"/>
          <w:lang w:val="en-US" w:eastAsia="zh-CN"/>
        </w:rPr>
        <w:t>27</w:t>
      </w:r>
      <w:r>
        <w:rPr>
          <w:rFonts w:ascii="宋体" w:hAnsi="宋体"/>
          <w:b/>
          <w:sz w:val="24"/>
        </w:rPr>
        <w:t>日</w:t>
      </w:r>
    </w:p>
    <w:p>
      <w:pPr>
        <w:spacing w:line="360" w:lineRule="auto"/>
        <w:jc w:val="center"/>
        <w:rPr>
          <w:color w:val="000000"/>
          <w:sz w:val="24"/>
        </w:rPr>
      </w:pPr>
    </w:p>
    <w:bookmarkEnd w:id="0"/>
    <w:p>
      <w:pPr>
        <w:pStyle w:val="4"/>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26"/>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2"/>
        <w:gridCol w:w="3157"/>
        <w:gridCol w:w="3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42"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基金名称</w:t>
            </w:r>
          </w:p>
        </w:tc>
        <w:tc>
          <w:tcPr>
            <w:tcW w:w="6314" w:type="dxa"/>
            <w:gridSpan w:val="2"/>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交银施罗德裕祥纯债债券型证券投资基金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基金简称</w:t>
            </w:r>
          </w:p>
        </w:tc>
        <w:tc>
          <w:tcPr>
            <w:tcW w:w="6314" w:type="dxa"/>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sz w:val="24"/>
              </w:rPr>
              <w:t>交银裕祥纯债债券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基金主代码</w:t>
            </w:r>
          </w:p>
        </w:tc>
        <w:tc>
          <w:tcPr>
            <w:tcW w:w="6314" w:type="dxa"/>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006367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基金管理人名称</w:t>
            </w:r>
          </w:p>
        </w:tc>
        <w:tc>
          <w:tcPr>
            <w:tcW w:w="6314" w:type="dxa"/>
            <w:gridSpan w:val="2"/>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公告依据</w:t>
            </w:r>
          </w:p>
        </w:tc>
        <w:tc>
          <w:tcPr>
            <w:tcW w:w="6314" w:type="dxa"/>
            <w:gridSpan w:val="2"/>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《交银施罗德裕祥纯债债券型证券投资基金基金合同》、《交银施罗德裕祥纯债债券型证券投资基金招募说明书》等</w:t>
            </w:r>
          </w:p>
        </w:tc>
      </w:tr>
      <w:tr>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restart"/>
            <w:tcBorders>
              <w:top w:val="nil"/>
              <w:left w:val="single" w:color="000000" w:sz="4" w:space="0"/>
              <w:right w:val="single" w:color="000000" w:sz="4" w:space="0"/>
            </w:tcBorders>
            <w:vAlign w:val="center"/>
          </w:tcPr>
          <w:p>
            <w:pPr>
              <w:rPr>
                <w:sz w:val="24"/>
              </w:rPr>
            </w:pPr>
            <w:r>
              <w:rPr>
                <w:rFonts w:hint="eastAsia"/>
                <w:sz w:val="24"/>
              </w:rPr>
              <w:t>恢复相关业务的日期及原因说明</w:t>
            </w:r>
          </w:p>
          <w:p>
            <w:pPr>
              <w:rPr>
                <w:sz w:val="24"/>
              </w:rPr>
            </w:pPr>
            <w:r>
              <w:rPr>
                <w:color w:val="000000"/>
                <w:sz w:val="24"/>
              </w:rPr>
              <w:tab/>
            </w:r>
          </w:p>
        </w:tc>
        <w:tc>
          <w:tcPr>
            <w:tcW w:w="3157"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恢复大额申购日</w:t>
            </w:r>
          </w:p>
        </w:tc>
        <w:tc>
          <w:tcPr>
            <w:tcW w:w="3157" w:type="dxa"/>
            <w:tcBorders>
              <w:top w:val="single" w:color="000000" w:sz="4" w:space="0"/>
              <w:left w:val="single" w:color="000000" w:sz="4" w:space="0"/>
              <w:bottom w:val="single" w:color="000000" w:sz="4" w:space="0"/>
              <w:right w:val="single" w:color="000000" w:sz="4" w:space="0"/>
            </w:tcBorders>
          </w:tcPr>
          <w:p>
            <w:pPr>
              <w:rPr>
                <w:sz w:val="24"/>
              </w:rPr>
            </w:pPr>
            <w:r>
              <w:rPr>
                <w:sz w:val="24"/>
              </w:rPr>
              <w:t>202</w:t>
            </w:r>
            <w:r>
              <w:rPr>
                <w:rFonts w:hint="eastAsia"/>
                <w:sz w:val="24"/>
                <w:lang w:val="en-US" w:eastAsia="zh-CN"/>
              </w:rPr>
              <w:t>6</w:t>
            </w:r>
            <w:r>
              <w:rPr>
                <w:sz w:val="24"/>
              </w:rPr>
              <w:t>年3月</w:t>
            </w:r>
            <w:r>
              <w:rPr>
                <w:rFonts w:hint="eastAsia"/>
                <w:sz w:val="24"/>
                <w:lang w:val="en-US" w:eastAsia="zh-CN"/>
              </w:rPr>
              <w:t>30</w:t>
            </w:r>
            <w:r>
              <w:rPr>
                <w:sz w:val="24"/>
              </w:rPr>
              <w:t>日</w:t>
            </w:r>
          </w:p>
        </w:tc>
      </w:tr>
      <w:tr>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pPr>
              <w:rPr>
                <w:sz w:val="24"/>
              </w:rPr>
            </w:pP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ascii="宋体" w:hAnsi="宋体" w:cs="宋体"/>
                <w:kern w:val="0"/>
                <w:sz w:val="24"/>
              </w:rPr>
              <w:t>恢复大额转换转入日</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202</w:t>
            </w:r>
            <w:r>
              <w:rPr>
                <w:rFonts w:hint="eastAsia"/>
                <w:sz w:val="24"/>
                <w:lang w:val="en-US" w:eastAsia="zh-CN"/>
              </w:rPr>
              <w:t>6</w:t>
            </w:r>
            <w:r>
              <w:rPr>
                <w:sz w:val="24"/>
              </w:rPr>
              <w:t>年3月</w:t>
            </w:r>
            <w:r>
              <w:rPr>
                <w:rFonts w:hint="eastAsia"/>
                <w:sz w:val="24"/>
                <w:lang w:val="en-US" w:eastAsia="zh-CN"/>
              </w:rPr>
              <w:t>30</w:t>
            </w:r>
            <w:r>
              <w:rPr>
                <w:sz w:val="24"/>
              </w:rPr>
              <w:t>日</w:t>
            </w:r>
          </w:p>
        </w:tc>
      </w:tr>
      <w:tr>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pPr>
              <w:rPr>
                <w:sz w:val="24"/>
              </w:rPr>
            </w:pP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恢复</w:t>
            </w:r>
            <w:r>
              <w:rPr>
                <w:rFonts w:hint="eastAsia" w:ascii="宋体" w:hAnsi="宋体" w:cs="宋体"/>
                <w:kern w:val="0"/>
                <w:sz w:val="24"/>
              </w:rPr>
              <w:t>大额定期定额投资日</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202</w:t>
            </w:r>
            <w:r>
              <w:rPr>
                <w:rFonts w:hint="eastAsia"/>
                <w:sz w:val="24"/>
                <w:lang w:val="en-US" w:eastAsia="zh-CN"/>
              </w:rPr>
              <w:t>6</w:t>
            </w:r>
            <w:r>
              <w:rPr>
                <w:sz w:val="24"/>
              </w:rPr>
              <w:t>年3月</w:t>
            </w:r>
            <w:r>
              <w:rPr>
                <w:rFonts w:hint="eastAsia"/>
                <w:sz w:val="24"/>
                <w:lang w:val="en-US" w:eastAsia="zh-CN"/>
              </w:rPr>
              <w:t>30</w:t>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vMerge w:val="continue"/>
            <w:tcBorders>
              <w:left w:val="single" w:color="000000" w:sz="4" w:space="0"/>
              <w:right w:val="single" w:color="000000" w:sz="4" w:space="0"/>
            </w:tcBorders>
          </w:tcPr>
          <w:p>
            <w:pPr>
              <w:rPr>
                <w:sz w:val="24"/>
              </w:rPr>
            </w:pPr>
          </w:p>
        </w:tc>
        <w:tc>
          <w:tcPr>
            <w:tcW w:w="3157"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恢复大额申购</w:t>
            </w:r>
            <w:r>
              <w:rPr>
                <w:rFonts w:hint="eastAsia" w:ascii="宋体" w:hAnsi="宋体"/>
                <w:color w:val="000000"/>
                <w:sz w:val="24"/>
              </w:rPr>
              <w:t>（转换转入</w:t>
            </w:r>
            <w:r>
              <w:rPr>
                <w:rFonts w:hint="eastAsia"/>
                <w:sz w:val="24"/>
              </w:rPr>
              <w:t>、定期定额投资）业务的原因说明</w:t>
            </w:r>
          </w:p>
        </w:tc>
        <w:tc>
          <w:tcPr>
            <w:tcW w:w="3157" w:type="dxa"/>
            <w:tcBorders>
              <w:top w:val="single" w:color="000000" w:sz="4" w:space="0"/>
              <w:left w:val="single" w:color="000000" w:sz="4" w:space="0"/>
              <w:bottom w:val="single" w:color="000000" w:sz="4" w:space="0"/>
              <w:right w:val="single" w:color="000000" w:sz="4" w:space="0"/>
            </w:tcBorders>
          </w:tcPr>
          <w:p>
            <w:pPr>
              <w:rPr>
                <w:sz w:val="24"/>
              </w:rPr>
            </w:pPr>
            <w:r>
              <w:rPr>
                <w:rFonts w:hint="eastAsia"/>
                <w:sz w:val="24"/>
              </w:rPr>
              <w:t>本基金管理人考虑之前限制大额申购</w:t>
            </w:r>
            <w:r>
              <w:rPr>
                <w:rFonts w:hint="eastAsia" w:ascii="宋体" w:hAnsi="宋体"/>
                <w:color w:val="000000"/>
                <w:sz w:val="24"/>
              </w:rPr>
              <w:t>（转换转入</w:t>
            </w:r>
            <w:r>
              <w:rPr>
                <w:rFonts w:hint="eastAsia"/>
                <w:sz w:val="24"/>
              </w:rPr>
              <w:t>、定期定额投资）业务的因素对基金资产运作的影响已经减弱，为满足广大投资者的投资需求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left w:val="single" w:color="000000" w:sz="4" w:space="0"/>
              <w:right w:val="single" w:color="000000" w:sz="4" w:space="0"/>
            </w:tcBorders>
            <w:vAlign w:val="center"/>
          </w:tcPr>
          <w:p>
            <w:pPr>
              <w:rPr>
                <w:sz w:val="24"/>
              </w:rPr>
            </w:pPr>
            <w:r>
              <w:rPr>
                <w:rFonts w:eastAsiaTheme="minorEastAsia"/>
                <w:color w:val="000000"/>
                <w:sz w:val="24"/>
              </w:rPr>
              <w:t>下属分级基金的基金简称</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sz w:val="24"/>
              </w:rPr>
              <w:t>交银裕祥纯债债券</w:t>
            </w:r>
            <w:r>
              <w:rPr>
                <w:rFonts w:eastAsiaTheme="minorEastAsia"/>
                <w:sz w:val="24"/>
              </w:rPr>
              <w:t>A</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sz w:val="24"/>
              </w:rPr>
              <w:t>交银裕祥纯债债券</w:t>
            </w:r>
            <w:r>
              <w:rPr>
                <w:rFonts w:eastAsiaTheme="minorEastAsia"/>
                <w:sz w:val="24"/>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left w:val="single" w:color="000000" w:sz="4" w:space="0"/>
              <w:right w:val="single" w:color="000000" w:sz="4" w:space="0"/>
            </w:tcBorders>
            <w:vAlign w:val="center"/>
          </w:tcPr>
          <w:p>
            <w:pPr>
              <w:rPr>
                <w:sz w:val="24"/>
              </w:rPr>
            </w:pPr>
            <w:r>
              <w:rPr>
                <w:rFonts w:eastAsiaTheme="minorEastAsia"/>
                <w:color w:val="000000"/>
                <w:sz w:val="24"/>
              </w:rPr>
              <w:t>下属分级基金的交易代码</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kern w:val="0"/>
                <w:sz w:val="24"/>
              </w:rPr>
              <w:t>006367</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kern w:val="0"/>
                <w:sz w:val="24"/>
              </w:rPr>
              <w:t>00636</w:t>
            </w:r>
            <w:r>
              <w:rPr>
                <w:rFonts w:hint="eastAsia" w:eastAsiaTheme="minorEastAsia"/>
                <w:kern w:val="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left w:val="single" w:color="000000" w:sz="4" w:space="0"/>
              <w:bottom w:val="single" w:color="000000" w:sz="4" w:space="0"/>
              <w:right w:val="single" w:color="000000" w:sz="4" w:space="0"/>
            </w:tcBorders>
          </w:tcPr>
          <w:p>
            <w:pPr>
              <w:rPr>
                <w:sz w:val="24"/>
              </w:rPr>
            </w:pPr>
            <w:r>
              <w:rPr>
                <w:rFonts w:eastAsiaTheme="minorEastAsia"/>
                <w:color w:val="000000"/>
                <w:sz w:val="24"/>
              </w:rPr>
              <w:t>该分级基金是否</w:t>
            </w:r>
            <w:r>
              <w:rPr>
                <w:rFonts w:hint="eastAsia" w:eastAsiaTheme="minorEastAsia"/>
                <w:color w:val="000000"/>
                <w:sz w:val="24"/>
              </w:rPr>
              <w:t>恢复</w:t>
            </w:r>
            <w:r>
              <w:rPr>
                <w:rFonts w:eastAsiaTheme="minorEastAsia"/>
                <w:color w:val="000000"/>
                <w:sz w:val="24"/>
              </w:rPr>
              <w:t>大额申购</w:t>
            </w:r>
            <w:r>
              <w:rPr>
                <w:rFonts w:hint="eastAsia" w:eastAsiaTheme="minorEastAsia"/>
                <w:color w:val="000000"/>
                <w:sz w:val="24"/>
              </w:rPr>
              <w:t>（转换转入、</w:t>
            </w:r>
            <w:r>
              <w:rPr>
                <w:rFonts w:eastAsiaTheme="minorEastAsia"/>
                <w:color w:val="000000"/>
                <w:sz w:val="24"/>
              </w:rPr>
              <w:t>定期定额投资</w:t>
            </w:r>
            <w:r>
              <w:rPr>
                <w:rFonts w:hint="eastAsia" w:eastAsiaTheme="minorEastAsia"/>
                <w:color w:val="000000"/>
                <w:sz w:val="24"/>
              </w:rPr>
              <w:t>）业务</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sz w:val="24"/>
              </w:rPr>
              <w:t>是</w:t>
            </w:r>
          </w:p>
        </w:tc>
        <w:tc>
          <w:tcPr>
            <w:tcW w:w="3157" w:type="dxa"/>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eastAsiaTheme="minorEastAsia"/>
                <w:sz w:val="24"/>
              </w:rPr>
              <w:t>是</w:t>
            </w:r>
          </w:p>
        </w:tc>
      </w:tr>
    </w:tbl>
    <w:p>
      <w:pPr>
        <w:spacing w:line="360" w:lineRule="auto"/>
        <w:rPr>
          <w:color w:val="000000"/>
          <w:sz w:val="24"/>
        </w:rPr>
      </w:pPr>
    </w:p>
    <w:p>
      <w:pPr>
        <w:pStyle w:val="4"/>
        <w:keepNext w:val="0"/>
        <w:keepLines w:val="0"/>
        <w:spacing w:before="0" w:after="0" w:line="360" w:lineRule="auto"/>
        <w:rPr>
          <w:color w:val="000000"/>
          <w:sz w:val="24"/>
          <w:szCs w:val="24"/>
        </w:rPr>
      </w:pPr>
      <w:r>
        <w:rPr>
          <w:rFonts w:hint="eastAsia"/>
          <w:color w:val="000000"/>
          <w:sz w:val="24"/>
          <w:szCs w:val="24"/>
        </w:rPr>
        <w:t>2.其他需要提示的事项</w:t>
      </w:r>
    </w:p>
    <w:p>
      <w:pPr>
        <w:spacing w:line="360" w:lineRule="auto"/>
        <w:ind w:firstLine="480" w:firstLineChars="200"/>
        <w:rPr>
          <w:color w:val="000000"/>
          <w:sz w:val="24"/>
        </w:rPr>
      </w:pPr>
      <w:r>
        <w:rPr>
          <w:rFonts w:hint="eastAsia"/>
          <w:color w:val="000000"/>
          <w:sz w:val="24"/>
        </w:rPr>
        <w:t>投资者可以登录本公司网站（</w:t>
      </w:r>
      <w:r>
        <w:rPr>
          <w:rFonts w:hint="eastAsia"/>
          <w:sz w:val="24"/>
        </w:rPr>
        <w:t>www.fund001.com</w:t>
      </w:r>
      <w:r>
        <w:rPr>
          <w:rFonts w:hint="eastAsia"/>
          <w:color w:val="000000"/>
          <w:sz w:val="24"/>
        </w:rPr>
        <w:t>）或拨打客户服务电话（</w:t>
      </w:r>
      <w:r>
        <w:rPr>
          <w:rFonts w:hint="eastAsia"/>
          <w:sz w:val="24"/>
        </w:rPr>
        <w:t>400-700-5000</w:t>
      </w:r>
      <w:r>
        <w:rPr>
          <w:rFonts w:hint="eastAsia"/>
          <w:color w:val="000000"/>
          <w:sz w:val="24"/>
        </w:rPr>
        <w:t>，</w:t>
      </w:r>
      <w:r>
        <w:rPr>
          <w:rFonts w:hint="eastAsia"/>
          <w:sz w:val="24"/>
        </w:rPr>
        <w:t>021-61055000</w:t>
      </w:r>
      <w:r>
        <w:rPr>
          <w:rFonts w:hint="eastAsia"/>
          <w:color w:val="000000"/>
          <w:sz w:val="24"/>
        </w:rPr>
        <w:t>）咨询基金相关信息。</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sz w:val="24"/>
        </w:rPr>
      </w:pPr>
      <w:r>
        <w:rPr>
          <w:rFonts w:hint="eastAsia"/>
          <w:color w:val="000000"/>
          <w:sz w:val="24"/>
        </w:rPr>
        <w:t>特此公告。</w:t>
      </w:r>
    </w:p>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w:t>
    </w:r>
    <w:r>
      <w:rPr>
        <w:rStyle w:val="31"/>
      </w:rPr>
      <w:fldChar w:fldCharType="end"/>
    </w:r>
  </w:p>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32FB5"/>
    <w:multiLevelType w:val="multilevel"/>
    <w:tmpl w:val="64832FB5"/>
    <w:lvl w:ilvl="0" w:tentative="0">
      <w:start w:val="1"/>
      <w:numFmt w:val="decimal"/>
      <w:pStyle w:val="43"/>
      <w:lvlText w:val="%1）"/>
      <w:lvlJc w:val="left"/>
      <w:pPr>
        <w:tabs>
          <w:tab w:val="left" w:pos="360"/>
        </w:tabs>
        <w:ind w:left="360" w:hanging="360"/>
      </w:pPr>
      <w:rPr>
        <w:rFonts w:hint="default"/>
      </w:rPr>
    </w:lvl>
    <w:lvl w:ilvl="1" w:tentative="0">
      <w:start w:val="1"/>
      <w:numFmt w:val="lowerLetter"/>
      <w:pStyle w:val="4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5331"/>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5A7"/>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DED"/>
    <w:rsid w:val="000801B5"/>
    <w:rsid w:val="000805C2"/>
    <w:rsid w:val="000816D7"/>
    <w:rsid w:val="00083E2D"/>
    <w:rsid w:val="00084AB9"/>
    <w:rsid w:val="00086B61"/>
    <w:rsid w:val="000870C0"/>
    <w:rsid w:val="0008749A"/>
    <w:rsid w:val="000901A8"/>
    <w:rsid w:val="00090877"/>
    <w:rsid w:val="00090C1A"/>
    <w:rsid w:val="000916A3"/>
    <w:rsid w:val="00091B13"/>
    <w:rsid w:val="000926FC"/>
    <w:rsid w:val="00093212"/>
    <w:rsid w:val="00094A85"/>
    <w:rsid w:val="00094AC4"/>
    <w:rsid w:val="00095149"/>
    <w:rsid w:val="00095565"/>
    <w:rsid w:val="00095C68"/>
    <w:rsid w:val="00095DC9"/>
    <w:rsid w:val="000A0430"/>
    <w:rsid w:val="000A1095"/>
    <w:rsid w:val="000A34BA"/>
    <w:rsid w:val="000A485F"/>
    <w:rsid w:val="000A6E54"/>
    <w:rsid w:val="000A77B4"/>
    <w:rsid w:val="000A78D1"/>
    <w:rsid w:val="000B0673"/>
    <w:rsid w:val="000B101D"/>
    <w:rsid w:val="000B1E4A"/>
    <w:rsid w:val="000B1E7A"/>
    <w:rsid w:val="000B1EB8"/>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C7385"/>
    <w:rsid w:val="000D06C8"/>
    <w:rsid w:val="000D0D86"/>
    <w:rsid w:val="000D27DC"/>
    <w:rsid w:val="000D51E8"/>
    <w:rsid w:val="000D60C8"/>
    <w:rsid w:val="000D6DF7"/>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18"/>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238B"/>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AE3"/>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1D61"/>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5D2"/>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37CEC"/>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6B69"/>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6BA"/>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4AF5"/>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5C3F"/>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A6A94"/>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2D15"/>
    <w:rsid w:val="004536CB"/>
    <w:rsid w:val="00454121"/>
    <w:rsid w:val="00454528"/>
    <w:rsid w:val="00454784"/>
    <w:rsid w:val="00454B9B"/>
    <w:rsid w:val="00454E4D"/>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77E7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2FF7"/>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3C"/>
    <w:rsid w:val="005B3186"/>
    <w:rsid w:val="005B3C0B"/>
    <w:rsid w:val="005B4095"/>
    <w:rsid w:val="005B55B2"/>
    <w:rsid w:val="005B744C"/>
    <w:rsid w:val="005C0D69"/>
    <w:rsid w:val="005C1477"/>
    <w:rsid w:val="005C224D"/>
    <w:rsid w:val="005C3599"/>
    <w:rsid w:val="005C6066"/>
    <w:rsid w:val="005D05E5"/>
    <w:rsid w:val="005D363F"/>
    <w:rsid w:val="005D46D6"/>
    <w:rsid w:val="005D47D1"/>
    <w:rsid w:val="005E0C0B"/>
    <w:rsid w:val="005E0F3B"/>
    <w:rsid w:val="005E16B5"/>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17BA"/>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181"/>
    <w:rsid w:val="006B2BD3"/>
    <w:rsid w:val="006B45DD"/>
    <w:rsid w:val="006B53B8"/>
    <w:rsid w:val="006B5604"/>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9DA"/>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2E56"/>
    <w:rsid w:val="00785D7F"/>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B78E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559"/>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0B07"/>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30A"/>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559"/>
    <w:rsid w:val="008C27F5"/>
    <w:rsid w:val="008C3907"/>
    <w:rsid w:val="008C3922"/>
    <w:rsid w:val="008C5071"/>
    <w:rsid w:val="008C66CF"/>
    <w:rsid w:val="008C67FB"/>
    <w:rsid w:val="008D0EF7"/>
    <w:rsid w:val="008D10CF"/>
    <w:rsid w:val="008D11A1"/>
    <w:rsid w:val="008D24C7"/>
    <w:rsid w:val="008D2756"/>
    <w:rsid w:val="008D37A5"/>
    <w:rsid w:val="008D3B2A"/>
    <w:rsid w:val="008D485F"/>
    <w:rsid w:val="008D4AE4"/>
    <w:rsid w:val="008D5237"/>
    <w:rsid w:val="008D7674"/>
    <w:rsid w:val="008E0AA1"/>
    <w:rsid w:val="008E1CDB"/>
    <w:rsid w:val="008E2392"/>
    <w:rsid w:val="008E2A44"/>
    <w:rsid w:val="008E4D4C"/>
    <w:rsid w:val="008E53F7"/>
    <w:rsid w:val="008E6ADD"/>
    <w:rsid w:val="008E7CA0"/>
    <w:rsid w:val="008F0699"/>
    <w:rsid w:val="008F0DB1"/>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479"/>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275D"/>
    <w:rsid w:val="009C3EEB"/>
    <w:rsid w:val="009C3EF8"/>
    <w:rsid w:val="009C4B4F"/>
    <w:rsid w:val="009C5F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28CB"/>
    <w:rsid w:val="00A02B6E"/>
    <w:rsid w:val="00A04026"/>
    <w:rsid w:val="00A04B9C"/>
    <w:rsid w:val="00A057B3"/>
    <w:rsid w:val="00A0748A"/>
    <w:rsid w:val="00A07CD0"/>
    <w:rsid w:val="00A10106"/>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256BC"/>
    <w:rsid w:val="00A31C13"/>
    <w:rsid w:val="00A322AA"/>
    <w:rsid w:val="00A331B6"/>
    <w:rsid w:val="00A337C2"/>
    <w:rsid w:val="00A36732"/>
    <w:rsid w:val="00A369EB"/>
    <w:rsid w:val="00A36DBE"/>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33F"/>
    <w:rsid w:val="00A60669"/>
    <w:rsid w:val="00A60E19"/>
    <w:rsid w:val="00A614F0"/>
    <w:rsid w:val="00A623F7"/>
    <w:rsid w:val="00A62CD0"/>
    <w:rsid w:val="00A62F6A"/>
    <w:rsid w:val="00A63F1F"/>
    <w:rsid w:val="00A65155"/>
    <w:rsid w:val="00A66131"/>
    <w:rsid w:val="00A67201"/>
    <w:rsid w:val="00A67CAB"/>
    <w:rsid w:val="00A71E83"/>
    <w:rsid w:val="00A72C2B"/>
    <w:rsid w:val="00A734AE"/>
    <w:rsid w:val="00A73806"/>
    <w:rsid w:val="00A73B63"/>
    <w:rsid w:val="00A73F22"/>
    <w:rsid w:val="00A74B66"/>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5E4"/>
    <w:rsid w:val="00A93B96"/>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5B9C"/>
    <w:rsid w:val="00AF732C"/>
    <w:rsid w:val="00B024EC"/>
    <w:rsid w:val="00B03077"/>
    <w:rsid w:val="00B03149"/>
    <w:rsid w:val="00B03388"/>
    <w:rsid w:val="00B03A8C"/>
    <w:rsid w:val="00B03CD3"/>
    <w:rsid w:val="00B05465"/>
    <w:rsid w:val="00B058EC"/>
    <w:rsid w:val="00B05FA1"/>
    <w:rsid w:val="00B05FD4"/>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9D9"/>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20F"/>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D65"/>
    <w:rsid w:val="00C03DB0"/>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6D0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181"/>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083E"/>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3C4D"/>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07E0F"/>
    <w:rsid w:val="00E10BBF"/>
    <w:rsid w:val="00E10D16"/>
    <w:rsid w:val="00E10E2C"/>
    <w:rsid w:val="00E11C3D"/>
    <w:rsid w:val="00E1231C"/>
    <w:rsid w:val="00E1351C"/>
    <w:rsid w:val="00E13ED0"/>
    <w:rsid w:val="00E158A9"/>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0E"/>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113C"/>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7EB"/>
    <w:rsid w:val="00EC693F"/>
    <w:rsid w:val="00EC6D9E"/>
    <w:rsid w:val="00EC6E29"/>
    <w:rsid w:val="00EC7654"/>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198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034C"/>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0AD"/>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 w:val="08F25D7D"/>
    <w:rsid w:val="284B48E0"/>
    <w:rsid w:val="46E8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ind w:left="851" w:firstLine="200" w:firstLineChars="200"/>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ind w:left="851" w:firstLine="200" w:firstLineChars="200"/>
      <w:outlineLvl w:val="6"/>
    </w:pPr>
    <w:rPr>
      <w:b/>
      <w:bCs/>
      <w:sz w:val="24"/>
    </w:rPr>
  </w:style>
  <w:style w:type="paragraph" w:styleId="9">
    <w:name w:val="heading 8"/>
    <w:basedOn w:val="1"/>
    <w:next w:val="1"/>
    <w:qFormat/>
    <w:uiPriority w:val="0"/>
    <w:pPr>
      <w:keepNext/>
      <w:keepLines/>
      <w:spacing w:before="240" w:after="64" w:line="320" w:lineRule="auto"/>
      <w:ind w:left="851" w:firstLine="200" w:firstLineChars="200"/>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ind w:left="851" w:firstLine="200" w:firstLineChars="200"/>
      <w:outlineLvl w:val="8"/>
    </w:pPr>
    <w:rPr>
      <w:rFonts w:ascii="Arial" w:hAnsi="Arial" w:eastAsia="黑体"/>
      <w:sz w:val="24"/>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Document Map"/>
    <w:basedOn w:val="1"/>
    <w:semiHidden/>
    <w:qFormat/>
    <w:uiPriority w:val="0"/>
    <w:pPr>
      <w:shd w:val="clear" w:color="auto" w:fill="000080"/>
    </w:pPr>
  </w:style>
  <w:style w:type="paragraph" w:styleId="12">
    <w:name w:val="annotation text"/>
    <w:basedOn w:val="1"/>
    <w:link w:val="51"/>
    <w:semiHidden/>
    <w:qFormat/>
    <w:uiPriority w:val="0"/>
    <w:pPr>
      <w:jc w:val="left"/>
    </w:pPr>
  </w:style>
  <w:style w:type="paragraph" w:styleId="13">
    <w:name w:val="Body Text"/>
    <w:basedOn w:val="1"/>
    <w:qFormat/>
    <w:uiPriority w:val="0"/>
    <w:pPr>
      <w:adjustRightInd w:val="0"/>
      <w:snapToGrid w:val="0"/>
      <w:spacing w:line="324" w:lineRule="auto"/>
      <w:ind w:right="28"/>
      <w:jc w:val="left"/>
    </w:pPr>
    <w:rPr>
      <w:rFonts w:hint="eastAsia" w:ascii="仿宋_GB2312" w:eastAsia="仿宋_GB2312"/>
      <w:kern w:val="0"/>
      <w:sz w:val="28"/>
      <w:szCs w:val="20"/>
    </w:rPr>
  </w:style>
  <w:style w:type="paragraph" w:styleId="14">
    <w:name w:val="toc 3"/>
    <w:basedOn w:val="1"/>
    <w:next w:val="1"/>
    <w:qFormat/>
    <w:uiPriority w:val="0"/>
    <w:pPr>
      <w:tabs>
        <w:tab w:val="right" w:leader="dot" w:pos="8820"/>
      </w:tabs>
      <w:ind w:left="840" w:leftChars="400"/>
    </w:pPr>
  </w:style>
  <w:style w:type="paragraph" w:styleId="15">
    <w:name w:val="Plain Text"/>
    <w:basedOn w:val="1"/>
    <w:qFormat/>
    <w:uiPriority w:val="0"/>
    <w:rPr>
      <w:rFonts w:ascii="宋体" w:hAnsi="Courier New"/>
      <w:szCs w:val="21"/>
    </w:rPr>
  </w:style>
  <w:style w:type="paragraph" w:styleId="16">
    <w:name w:val="Date"/>
    <w:basedOn w:val="1"/>
    <w:next w:val="1"/>
    <w:qFormat/>
    <w:uiPriority w:val="0"/>
    <w:rPr>
      <w:sz w:val="24"/>
      <w:szCs w:val="20"/>
    </w:rPr>
  </w:style>
  <w:style w:type="paragraph" w:styleId="17">
    <w:name w:val="endnote text"/>
    <w:basedOn w:val="1"/>
    <w:semiHidden/>
    <w:qFormat/>
    <w:uiPriority w:val="0"/>
    <w:pPr>
      <w:snapToGrid w:val="0"/>
      <w:jc w:val="left"/>
    </w:pPr>
  </w:style>
  <w:style w:type="paragraph" w:styleId="18">
    <w:name w:val="Balloon Text"/>
    <w:basedOn w:val="1"/>
    <w:semiHidden/>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0"/>
    <w:pPr>
      <w:tabs>
        <w:tab w:val="left" w:pos="1260"/>
        <w:tab w:val="right" w:leader="dot" w:pos="8834"/>
      </w:tabs>
      <w:ind w:left="420" w:leftChars="200"/>
    </w:pPr>
  </w:style>
  <w:style w:type="paragraph" w:styleId="23">
    <w:name w:val="Body Text 2"/>
    <w:basedOn w:val="1"/>
    <w:qFormat/>
    <w:uiPriority w:val="0"/>
    <w:pPr>
      <w:spacing w:after="120" w:line="480" w:lineRule="auto"/>
    </w:pPr>
    <w:rPr>
      <w:szCs w:val="20"/>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annotation subject"/>
    <w:basedOn w:val="12"/>
    <w:next w:val="12"/>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endnote reference"/>
    <w:semiHidden/>
    <w:qFormat/>
    <w:uiPriority w:val="0"/>
    <w:rPr>
      <w:vertAlign w:val="superscript"/>
    </w:rPr>
  </w:style>
  <w:style w:type="character" w:styleId="31">
    <w:name w:val="page number"/>
    <w:basedOn w:val="28"/>
    <w:qFormat/>
    <w:uiPriority w:val="0"/>
  </w:style>
  <w:style w:type="character" w:styleId="32">
    <w:name w:val="Hyperlink"/>
    <w:qFormat/>
    <w:uiPriority w:val="0"/>
    <w:rPr>
      <w:color w:val="0000FF"/>
      <w:u w:val="single"/>
    </w:rPr>
  </w:style>
  <w:style w:type="character" w:styleId="33">
    <w:name w:val="annotation reference"/>
    <w:semiHidden/>
    <w:qFormat/>
    <w:uiPriority w:val="0"/>
    <w:rPr>
      <w:sz w:val="21"/>
      <w:szCs w:val="21"/>
    </w:rPr>
  </w:style>
  <w:style w:type="character" w:styleId="34">
    <w:name w:val="footnote reference"/>
    <w:semiHidden/>
    <w:qFormat/>
    <w:uiPriority w:val="0"/>
    <w:rPr>
      <w:vertAlign w:val="superscript"/>
    </w:rPr>
  </w:style>
  <w:style w:type="paragraph" w:customStyle="1" w:styleId="35">
    <w:name w:val="Char"/>
    <w:basedOn w:val="1"/>
    <w:qFormat/>
    <w:uiPriority w:val="0"/>
  </w:style>
  <w:style w:type="character" w:customStyle="1" w:styleId="36">
    <w:name w:val="正文文字 Char Char Char Char Char Char Char Char"/>
    <w:qFormat/>
    <w:uiPriority w:val="0"/>
    <w:rPr>
      <w:rFonts w:ascii="仿宋_GB2312" w:eastAsia="仿宋_GB2312"/>
      <w:sz w:val="28"/>
      <w:lang w:val="en-US" w:eastAsia="zh-CN" w:bidi="ar-SA"/>
    </w:rPr>
  </w:style>
  <w:style w:type="character" w:customStyle="1" w:styleId="37">
    <w:name w:val="afont1"/>
    <w:qFormat/>
    <w:uiPriority w:val="0"/>
    <w:rPr>
      <w:rFonts w:hint="default" w:ascii="Arial Narrow" w:hAnsi="Arial Narrow"/>
      <w:sz w:val="21"/>
      <w:szCs w:val="21"/>
    </w:rPr>
  </w:style>
  <w:style w:type="paragraph" w:customStyle="1" w:styleId="38">
    <w:name w:val="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Char Char Char Char"/>
    <w:basedOn w:val="1"/>
    <w:qFormat/>
    <w:uiPriority w:val="0"/>
    <w:pPr>
      <w:tabs>
        <w:tab w:val="left" w:pos="840"/>
      </w:tabs>
      <w:adjustRightInd w:val="0"/>
      <w:spacing w:line="360" w:lineRule="atLeast"/>
      <w:ind w:left="840" w:hanging="360"/>
      <w:textAlignment w:val="baseline"/>
    </w:pPr>
    <w:rPr>
      <w:sz w:val="24"/>
    </w:rPr>
  </w:style>
  <w:style w:type="paragraph" w:customStyle="1" w:styleId="41">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2">
    <w:name w:val="样式 样式 样式 标题 2 + 段前: 1 行 段后: 1 行1 + 段前: 1 行 段后: 1 行 + 段前: 1 行 段后..."/>
    <w:basedOn w:val="1"/>
    <w:qFormat/>
    <w:uiPriority w:val="0"/>
    <w:pPr>
      <w:keepNext/>
      <w:keepLines/>
      <w:numPr>
        <w:ilvl w:val="1"/>
        <w:numId w:val="1"/>
      </w:numPr>
      <w:spacing w:beforeLines="100" w:afterLines="100"/>
      <w:outlineLvl w:val="1"/>
    </w:pPr>
    <w:rPr>
      <w:rFonts w:ascii="Arial" w:hAnsi="Arial"/>
      <w:b/>
      <w:bCs/>
      <w:sz w:val="28"/>
      <w:szCs w:val="20"/>
    </w:rPr>
  </w:style>
  <w:style w:type="paragraph" w:customStyle="1" w:styleId="43">
    <w:name w:val="样式 标题 1 + 段前: 1.5 行"/>
    <w:basedOn w:val="1"/>
    <w:qFormat/>
    <w:uiPriority w:val="0"/>
    <w:pPr>
      <w:numPr>
        <w:ilvl w:val="0"/>
        <w:numId w:val="1"/>
      </w:numPr>
    </w:pPr>
    <w:rPr>
      <w:sz w:val="24"/>
      <w:szCs w:val="20"/>
    </w:rPr>
  </w:style>
  <w:style w:type="paragraph" w:customStyle="1" w:styleId="44">
    <w:name w:val="简单回函地址"/>
    <w:basedOn w:val="1"/>
    <w:qFormat/>
    <w:uiPriority w:val="0"/>
  </w:style>
  <w:style w:type="paragraph" w:customStyle="1" w:styleId="45">
    <w:name w:val="Form Label"/>
    <w:basedOn w:val="1"/>
    <w:qFormat/>
    <w:uiPriority w:val="0"/>
    <w:pPr>
      <w:widowControl/>
      <w:spacing w:line="280" w:lineRule="exact"/>
      <w:jc w:val="left"/>
    </w:pPr>
    <w:rPr>
      <w:kern w:val="0"/>
      <w:sz w:val="18"/>
      <w:szCs w:val="20"/>
      <w:lang w:val="en-GB" w:eastAsia="en-US"/>
    </w:rPr>
  </w:style>
  <w:style w:type="paragraph" w:customStyle="1" w:styleId="46">
    <w:name w:val="Char1"/>
    <w:basedOn w:val="1"/>
    <w:qFormat/>
    <w:uiPriority w:val="0"/>
  </w:style>
  <w:style w:type="character" w:customStyle="1" w:styleId="47">
    <w:name w:val="标题 2 Char Char Char"/>
    <w:qFormat/>
    <w:uiPriority w:val="0"/>
    <w:rPr>
      <w:rFonts w:ascii="Arial" w:hAnsi="Arial" w:eastAsia="宋体"/>
      <w:b/>
      <w:kern w:val="2"/>
      <w:sz w:val="28"/>
      <w:szCs w:val="28"/>
      <w:lang w:val="en-US" w:eastAsia="zh-CN" w:bidi="ar-SA"/>
    </w:rPr>
  </w:style>
  <w:style w:type="paragraph" w:customStyle="1" w:styleId="48">
    <w:name w:val="xl31"/>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4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50">
    <w:name w:val="Char1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51">
    <w:name w:val="批注文字 字符"/>
    <w:link w:val="12"/>
    <w:uiPriority w:val="0"/>
    <w:rPr>
      <w:rFonts w:eastAsia="宋体"/>
      <w:kern w:val="2"/>
      <w:sz w:val="21"/>
      <w:szCs w:val="24"/>
      <w:lang w:val="en-US" w:eastAsia="zh-CN" w:bidi="ar-SA"/>
    </w:rPr>
  </w:style>
  <w:style w:type="paragraph" w:customStyle="1" w:styleId="52">
    <w:name w:val="Char Char Char Char Char Char1 Char Char Char"/>
    <w:basedOn w:val="1"/>
    <w:qFormat/>
    <w:uiPriority w:val="0"/>
    <w:pPr>
      <w:autoSpaceDE w:val="0"/>
      <w:autoSpaceDN w:val="0"/>
      <w:adjustRightInd w:val="0"/>
      <w:jc w:val="left"/>
      <w:textAlignment w:val="baseline"/>
    </w:pPr>
    <w:rPr>
      <w:rFonts w:ascii="宋体"/>
      <w:kern w:val="0"/>
      <w:sz w:val="34"/>
      <w:szCs w:val="20"/>
    </w:rPr>
  </w:style>
  <w:style w:type="paragraph" w:customStyle="1" w:styleId="53">
    <w:name w:val="xl30"/>
    <w:basedOn w:val="1"/>
    <w:qFormat/>
    <w:uiPriority w:val="0"/>
    <w:pPr>
      <w:widowControl/>
      <w:spacing w:before="100" w:beforeAutospacing="1" w:after="100" w:afterAutospacing="1"/>
      <w:jc w:val="right"/>
    </w:pPr>
    <w:rPr>
      <w:rFonts w:eastAsia="Arial Unicode MS"/>
      <w:kern w:val="0"/>
      <w:szCs w:val="21"/>
    </w:rPr>
  </w:style>
  <w:style w:type="paragraph" w:customStyle="1" w:styleId="54">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584</Words>
  <Characters>653</Characters>
  <Lines>5</Lines>
  <Paragraphs>1</Paragraphs>
  <TotalTime>76</TotalTime>
  <ScaleCrop>false</ScaleCrop>
  <LinksUpToDate>false</LinksUpToDate>
  <CharactersWithSpaces>654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2015-07-08T05:13:00Z</dcterms:created>
  <dc:creator>番茄花园</dc:creator>
  <cp:lastModifiedBy>chenshangqing</cp:lastModifiedBy>
  <cp:lastPrinted>2411-12-31T16:00:00Z</cp:lastPrinted>
  <dcterms:modified xsi:type="dcterms:W3CDTF">2026-03-25T09:08:22Z</dcterms:modified>
  <dc:subject>非货币</dc:subject>
  <dc:title>证券投资基金信息披露XBRL标引规范第2号&lt;半年度报告摘要&gt;</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EF2009FACA0E472EBE788B1822AFEB62</vt:lpwstr>
  </property>
</Properties>
</file>