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44A7F">
      <w:pPr>
        <w:jc w:val="center"/>
        <w:rPr>
          <w:rFonts w:ascii="Times New Roman" w:hAnsi="Times New Roman" w:cs="Times New Roman" w:eastAsiaTheme="majorEastAsia"/>
          <w:b/>
          <w:sz w:val="30"/>
          <w:szCs w:val="30"/>
        </w:rPr>
      </w:pPr>
      <w:r>
        <w:rPr>
          <w:rFonts w:ascii="Times New Roman" w:hAnsi="Times New Roman" w:cs="Times New Roman" w:eastAsiaTheme="majorEastAsia"/>
          <w:b/>
          <w:sz w:val="30"/>
          <w:szCs w:val="30"/>
        </w:rPr>
        <w:t>交银施罗德基金管理有限公司关于</w:t>
      </w:r>
      <w:r>
        <w:rPr>
          <w:rFonts w:hint="eastAsia" w:ascii="Times New Roman" w:hAnsi="Times New Roman" w:cs="Times New Roman" w:eastAsiaTheme="majorEastAsia"/>
          <w:b/>
          <w:sz w:val="30"/>
          <w:szCs w:val="30"/>
        </w:rPr>
        <w:t>旗下部分基金投资范围增加存托凭证、</w:t>
      </w:r>
      <w:r>
        <w:rPr>
          <w:rFonts w:hint="eastAsia"/>
          <w:b/>
          <w:bCs/>
          <w:sz w:val="30"/>
          <w:szCs w:val="30"/>
        </w:rPr>
        <w:t>开通同一基金不同类别基金份额转换业务</w:t>
      </w:r>
      <w:r>
        <w:rPr>
          <w:rFonts w:hint="eastAsia" w:ascii="Times New Roman" w:hAnsi="Times New Roman" w:cs="Times New Roman" w:eastAsiaTheme="majorEastAsia"/>
          <w:b/>
          <w:sz w:val="30"/>
          <w:szCs w:val="30"/>
        </w:rPr>
        <w:t>并相应修改法律文件</w:t>
      </w:r>
      <w:r>
        <w:rPr>
          <w:rFonts w:ascii="Times New Roman" w:hAnsi="Times New Roman" w:cs="Times New Roman" w:eastAsiaTheme="majorEastAsia"/>
          <w:b/>
          <w:sz w:val="30"/>
          <w:szCs w:val="30"/>
        </w:rPr>
        <w:t>的公告</w:t>
      </w:r>
    </w:p>
    <w:p w14:paraId="60AA5C21">
      <w:pPr>
        <w:jc w:val="center"/>
        <w:rPr>
          <w:rFonts w:ascii="Times New Roman" w:hAnsi="Times New Roman" w:cs="Times New Roman" w:eastAsiaTheme="majorEastAsia"/>
          <w:b/>
          <w:sz w:val="30"/>
          <w:szCs w:val="30"/>
        </w:rPr>
      </w:pPr>
    </w:p>
    <w:p w14:paraId="02E8CFE6">
      <w:pPr>
        <w:adjustRightInd w:val="0"/>
        <w:snapToGrid w:val="0"/>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为进一步丰富基金投资品种，满足投资者需求，根据《中华人民共和国证券投资基金法》、《公开募集证券投资基金运作管理办法》、《存托凭证发行与交易管理办法（试行）》等法律法规及旗下3只基金基金合同的约定</w:t>
      </w:r>
      <w:r>
        <w:rPr>
          <w:rFonts w:ascii="Times New Roman" w:hAnsi="Times New Roman" w:cs="Times New Roman" w:eastAsiaTheme="majorEastAsia"/>
          <w:bCs/>
          <w:sz w:val="24"/>
          <w:szCs w:val="20"/>
        </w:rPr>
        <w:t>，</w:t>
      </w:r>
      <w:r>
        <w:rPr>
          <w:rFonts w:hint="eastAsia" w:ascii="Times New Roman" w:hAnsi="Times New Roman" w:cs="Times New Roman" w:eastAsiaTheme="majorEastAsia"/>
          <w:bCs/>
          <w:sz w:val="24"/>
          <w:szCs w:val="20"/>
        </w:rPr>
        <w:t>交银施罗德基金管理有限公司（以下简称“</w:t>
      </w:r>
      <w:r>
        <w:rPr>
          <w:rFonts w:ascii="Times New Roman" w:hAnsi="Times New Roman" w:cs="Times New Roman" w:eastAsiaTheme="majorEastAsia"/>
          <w:bCs/>
          <w:sz w:val="24"/>
          <w:szCs w:val="20"/>
        </w:rPr>
        <w:t>本</w:t>
      </w:r>
      <w:r>
        <w:rPr>
          <w:rFonts w:hint="eastAsia" w:ascii="Times New Roman" w:hAnsi="Times New Roman" w:cs="Times New Roman" w:eastAsiaTheme="majorEastAsia"/>
          <w:bCs/>
          <w:sz w:val="24"/>
          <w:szCs w:val="20"/>
        </w:rPr>
        <w:t>公司”）</w:t>
      </w:r>
      <w:r>
        <w:rPr>
          <w:rFonts w:ascii="Times New Roman" w:hAnsi="Times New Roman" w:cs="Times New Roman" w:eastAsiaTheme="majorEastAsia"/>
          <w:bCs/>
          <w:sz w:val="24"/>
          <w:szCs w:val="20"/>
        </w:rPr>
        <w:t>经与基金托管人</w:t>
      </w:r>
      <w:r>
        <w:rPr>
          <w:rFonts w:hint="eastAsia" w:ascii="Times New Roman" w:hAnsi="Times New Roman" w:cs="Times New Roman" w:eastAsiaTheme="majorEastAsia"/>
          <w:bCs/>
          <w:sz w:val="24"/>
          <w:szCs w:val="20"/>
        </w:rPr>
        <w:t>中国建设银行股份有限公司</w:t>
      </w:r>
      <w:r>
        <w:rPr>
          <w:rFonts w:ascii="Times New Roman" w:hAnsi="Times New Roman" w:cs="Times New Roman" w:eastAsiaTheme="majorEastAsia"/>
          <w:bCs/>
          <w:sz w:val="24"/>
          <w:szCs w:val="20"/>
        </w:rPr>
        <w:t>协商一致</w:t>
      </w:r>
      <w:r>
        <w:rPr>
          <w:rFonts w:hint="eastAsia" w:ascii="Times New Roman" w:hAnsi="Times New Roman" w:cs="Times New Roman" w:eastAsiaTheme="majorEastAsia"/>
          <w:bCs/>
          <w:sz w:val="24"/>
          <w:szCs w:val="20"/>
        </w:rPr>
        <w:t>，</w:t>
      </w:r>
      <w:r>
        <w:rPr>
          <w:rFonts w:hint="eastAsia" w:ascii="Times New Roman" w:hAnsi="Times New Roman" w:cs="Times New Roman" w:eastAsiaTheme="majorEastAsia"/>
          <w:bCs/>
          <w:sz w:val="24"/>
          <w:szCs w:val="20"/>
          <w:lang w:val="en-US" w:eastAsia="zh-CN"/>
        </w:rPr>
        <w:t>决定</w:t>
      </w:r>
      <w:r>
        <w:rPr>
          <w:rFonts w:hint="eastAsia" w:ascii="Times New Roman" w:hAnsi="Times New Roman" w:cs="Times New Roman" w:eastAsiaTheme="majorEastAsia"/>
          <w:bCs/>
          <w:sz w:val="24"/>
          <w:szCs w:val="20"/>
        </w:rPr>
        <w:t>自2026年3月3日起</w:t>
      </w:r>
      <w:r>
        <w:rPr>
          <w:rFonts w:hint="eastAsia" w:ascii="Times New Roman" w:hAnsi="Times New Roman" w:cs="Times New Roman" w:eastAsiaTheme="majorEastAsia"/>
          <w:bCs/>
          <w:sz w:val="24"/>
          <w:szCs w:val="20"/>
          <w:lang w:eastAsia="zh-CN"/>
        </w:rPr>
        <w:t>，</w:t>
      </w:r>
      <w:r>
        <w:rPr>
          <w:rFonts w:hint="eastAsia" w:ascii="Times New Roman" w:hAnsi="Times New Roman" w:cs="Times New Roman" w:eastAsiaTheme="majorEastAsia"/>
          <w:bCs/>
          <w:sz w:val="24"/>
          <w:szCs w:val="20"/>
          <w:lang w:val="en-US" w:eastAsia="zh-CN"/>
        </w:rPr>
        <w:t>对旗下2只基金</w:t>
      </w:r>
      <w:r>
        <w:rPr>
          <w:rFonts w:hint="eastAsia" w:ascii="Times New Roman" w:hAnsi="Times New Roman" w:cs="Times New Roman" w:eastAsiaTheme="majorEastAsia"/>
          <w:bCs/>
          <w:sz w:val="24"/>
          <w:szCs w:val="20"/>
        </w:rPr>
        <w:t>投资范围增加存托凭证、对旗下</w:t>
      </w:r>
      <w:r>
        <w:rPr>
          <w:rFonts w:hint="eastAsia" w:ascii="Times New Roman" w:hAnsi="Times New Roman" w:cs="Times New Roman" w:eastAsiaTheme="majorEastAsia"/>
          <w:bCs/>
          <w:sz w:val="24"/>
          <w:szCs w:val="20"/>
          <w:lang w:eastAsia="zh-CN"/>
        </w:rPr>
        <w:t>3</w:t>
      </w:r>
      <w:r>
        <w:rPr>
          <w:rFonts w:hint="eastAsia" w:ascii="Times New Roman" w:hAnsi="Times New Roman" w:cs="Times New Roman" w:eastAsiaTheme="majorEastAsia"/>
          <w:bCs/>
          <w:sz w:val="24"/>
          <w:szCs w:val="20"/>
        </w:rPr>
        <w:t>只基金开通同一基金不同类别基金份额之间的转换业务，并相应修改《基金合同》等法律文件。现将相关情况公告如下：</w:t>
      </w:r>
    </w:p>
    <w:p w14:paraId="4EAD0D08">
      <w:pPr>
        <w:adjustRightInd w:val="0"/>
        <w:snapToGrid w:val="0"/>
        <w:spacing w:line="360" w:lineRule="auto"/>
        <w:ind w:firstLine="480" w:firstLineChars="200"/>
        <w:rPr>
          <w:rFonts w:ascii="Times New Roman" w:hAnsi="Times New Roman" w:cs="Times New Roman" w:eastAsiaTheme="majorEastAsia"/>
          <w:bCs/>
          <w:sz w:val="24"/>
          <w:szCs w:val="20"/>
        </w:rPr>
      </w:pPr>
    </w:p>
    <w:p w14:paraId="572CFF8E">
      <w:pPr>
        <w:spacing w:line="360" w:lineRule="auto"/>
        <w:ind w:firstLine="482" w:firstLineChars="200"/>
        <w:rPr>
          <w:rFonts w:ascii="Times New Roman" w:hAnsi="Times New Roman" w:cs="Times New Roman" w:eastAsiaTheme="majorEastAsia"/>
          <w:b/>
          <w:bCs/>
          <w:sz w:val="24"/>
          <w:szCs w:val="20"/>
        </w:rPr>
      </w:pPr>
      <w:r>
        <w:rPr>
          <w:rFonts w:hint="eastAsia" w:ascii="Times New Roman" w:hAnsi="Times New Roman" w:cs="Times New Roman" w:eastAsiaTheme="majorEastAsia"/>
          <w:b/>
          <w:bCs/>
          <w:sz w:val="24"/>
          <w:szCs w:val="20"/>
        </w:rPr>
        <w:t>一、适用基金</w:t>
      </w:r>
    </w:p>
    <w:p w14:paraId="4B79F2BE">
      <w:pPr>
        <w:spacing w:line="360" w:lineRule="auto"/>
        <w:ind w:firstLine="482" w:firstLineChars="200"/>
        <w:rPr>
          <w:rFonts w:hint="eastAsia" w:ascii="Times New Roman" w:hAnsi="Times New Roman" w:cs="Times New Roman" w:eastAsiaTheme="majorEastAsia"/>
          <w:b/>
          <w:bCs/>
          <w:sz w:val="24"/>
          <w:szCs w:val="20"/>
        </w:rPr>
      </w:pPr>
      <w:r>
        <w:rPr>
          <w:rFonts w:hint="eastAsia" w:ascii="Times New Roman" w:hAnsi="Times New Roman" w:cs="Times New Roman" w:eastAsiaTheme="majorEastAsia"/>
          <w:b/>
          <w:bCs/>
          <w:sz w:val="24"/>
          <w:szCs w:val="20"/>
        </w:rPr>
        <w:t>1、投资范围增加存托凭证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5829"/>
      </w:tblGrid>
      <w:tr w14:paraId="3B48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Borders>
              <w:top w:val="single" w:color="auto" w:sz="4" w:space="0"/>
              <w:left w:val="single" w:color="auto" w:sz="4" w:space="0"/>
              <w:bottom w:val="single" w:color="auto" w:sz="4" w:space="0"/>
              <w:right w:val="single" w:color="auto" w:sz="4" w:space="0"/>
            </w:tcBorders>
          </w:tcPr>
          <w:p w14:paraId="5F9E18B6">
            <w:pPr>
              <w:pStyle w:val="2"/>
              <w:keepNext w:val="0"/>
              <w:keepLines w:val="0"/>
              <w:spacing w:before="0" w:after="0" w:line="360" w:lineRule="auto"/>
              <w:jc w:val="center"/>
              <w:rPr>
                <w:rFonts w:ascii="宋体" w:hAnsi="宋体"/>
                <w:bCs w:val="0"/>
                <w:sz w:val="24"/>
                <w:szCs w:val="24"/>
              </w:rPr>
            </w:pPr>
            <w:r>
              <w:rPr>
                <w:rFonts w:hint="eastAsia" w:ascii="宋体" w:hAnsi="宋体"/>
                <w:bCs w:val="0"/>
                <w:sz w:val="24"/>
                <w:szCs w:val="24"/>
              </w:rPr>
              <w:t>基金主代码</w:t>
            </w:r>
          </w:p>
        </w:tc>
        <w:tc>
          <w:tcPr>
            <w:tcW w:w="5829" w:type="dxa"/>
            <w:tcBorders>
              <w:top w:val="single" w:color="auto" w:sz="4" w:space="0"/>
              <w:left w:val="single" w:color="auto" w:sz="4" w:space="0"/>
              <w:bottom w:val="single" w:color="auto" w:sz="4" w:space="0"/>
              <w:right w:val="single" w:color="auto" w:sz="4" w:space="0"/>
            </w:tcBorders>
          </w:tcPr>
          <w:p w14:paraId="3E7ED6C4">
            <w:pPr>
              <w:pStyle w:val="2"/>
              <w:keepNext w:val="0"/>
              <w:keepLines w:val="0"/>
              <w:spacing w:before="0" w:after="0" w:line="360" w:lineRule="auto"/>
              <w:jc w:val="center"/>
              <w:rPr>
                <w:rFonts w:hint="eastAsia" w:ascii="宋体" w:hAnsi="宋体"/>
                <w:bCs w:val="0"/>
                <w:sz w:val="24"/>
                <w:szCs w:val="24"/>
              </w:rPr>
            </w:pPr>
            <w:r>
              <w:rPr>
                <w:rFonts w:hint="eastAsia" w:ascii="宋体" w:hAnsi="宋体"/>
                <w:bCs w:val="0"/>
                <w:sz w:val="24"/>
                <w:szCs w:val="24"/>
              </w:rPr>
              <w:t>基金名称</w:t>
            </w:r>
          </w:p>
        </w:tc>
      </w:tr>
      <w:tr w14:paraId="2E87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Borders>
              <w:top w:val="single" w:color="auto" w:sz="4" w:space="0"/>
              <w:left w:val="single" w:color="auto" w:sz="4" w:space="0"/>
              <w:bottom w:val="single" w:color="auto" w:sz="4" w:space="0"/>
              <w:right w:val="single" w:color="auto" w:sz="4" w:space="0"/>
            </w:tcBorders>
          </w:tcPr>
          <w:p w14:paraId="64C568CE">
            <w:pPr>
              <w:pStyle w:val="2"/>
              <w:keepNext w:val="0"/>
              <w:keepLines w:val="0"/>
              <w:spacing w:before="0" w:after="0" w:line="360" w:lineRule="auto"/>
              <w:jc w:val="center"/>
              <w:rPr>
                <w:rFonts w:hint="eastAsia" w:ascii="宋体" w:hAnsi="宋体"/>
                <w:b w:val="0"/>
                <w:bCs w:val="0"/>
                <w:sz w:val="24"/>
                <w:szCs w:val="24"/>
              </w:rPr>
            </w:pPr>
            <w:r>
              <w:rPr>
                <w:rFonts w:hint="eastAsia" w:ascii="宋体" w:hAnsi="宋体"/>
                <w:b w:val="0"/>
                <w:bCs w:val="0"/>
                <w:sz w:val="24"/>
                <w:szCs w:val="24"/>
                <w:lang w:val="en-US" w:eastAsia="zh-CN"/>
              </w:rPr>
              <w:t>5</w:t>
            </w:r>
            <w:r>
              <w:rPr>
                <w:rFonts w:hint="eastAsia" w:ascii="宋体" w:hAnsi="宋体"/>
                <w:b w:val="0"/>
                <w:bCs w:val="0"/>
                <w:sz w:val="24"/>
                <w:szCs w:val="24"/>
              </w:rPr>
              <w:t>19730</w:t>
            </w:r>
          </w:p>
        </w:tc>
        <w:tc>
          <w:tcPr>
            <w:tcW w:w="5829" w:type="dxa"/>
            <w:tcBorders>
              <w:top w:val="single" w:color="auto" w:sz="4" w:space="0"/>
              <w:left w:val="single" w:color="auto" w:sz="4" w:space="0"/>
              <w:bottom w:val="single" w:color="auto" w:sz="4" w:space="0"/>
              <w:right w:val="single" w:color="auto" w:sz="4" w:space="0"/>
            </w:tcBorders>
          </w:tcPr>
          <w:p w14:paraId="793CFD56">
            <w:pPr>
              <w:pStyle w:val="2"/>
              <w:keepNext w:val="0"/>
              <w:keepLines w:val="0"/>
              <w:spacing w:before="0" w:after="0" w:line="360" w:lineRule="auto"/>
              <w:jc w:val="center"/>
              <w:rPr>
                <w:rFonts w:hint="eastAsia" w:ascii="宋体" w:hAnsi="宋体"/>
                <w:b w:val="0"/>
                <w:bCs w:val="0"/>
                <w:sz w:val="24"/>
                <w:szCs w:val="24"/>
              </w:rPr>
            </w:pPr>
            <w:r>
              <w:rPr>
                <w:rFonts w:hint="eastAsia" w:ascii="宋体" w:hAnsi="宋体"/>
                <w:b w:val="0"/>
                <w:bCs w:val="0"/>
                <w:sz w:val="24"/>
                <w:szCs w:val="24"/>
              </w:rPr>
              <w:t>交银施罗德定期支付月月丰债券型证券投资基金</w:t>
            </w:r>
          </w:p>
        </w:tc>
      </w:tr>
      <w:tr w14:paraId="70F4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Borders>
              <w:top w:val="single" w:color="auto" w:sz="4" w:space="0"/>
              <w:left w:val="single" w:color="auto" w:sz="4" w:space="0"/>
              <w:bottom w:val="single" w:color="auto" w:sz="4" w:space="0"/>
              <w:right w:val="single" w:color="auto" w:sz="4" w:space="0"/>
            </w:tcBorders>
          </w:tcPr>
          <w:p w14:paraId="0B2179EF">
            <w:pPr>
              <w:pStyle w:val="2"/>
              <w:keepNext w:val="0"/>
              <w:keepLines w:val="0"/>
              <w:spacing w:before="0" w:after="0" w:line="360" w:lineRule="auto"/>
              <w:jc w:val="center"/>
              <w:rPr>
                <w:rFonts w:hint="eastAsia" w:ascii="宋体" w:hAnsi="宋体"/>
                <w:b w:val="0"/>
                <w:bCs w:val="0"/>
                <w:sz w:val="24"/>
                <w:szCs w:val="24"/>
              </w:rPr>
            </w:pPr>
            <w:r>
              <w:rPr>
                <w:rFonts w:hint="eastAsia" w:ascii="宋体" w:hAnsi="宋体"/>
                <w:b w:val="0"/>
                <w:bCs w:val="0"/>
                <w:sz w:val="24"/>
                <w:szCs w:val="24"/>
              </w:rPr>
              <w:t>004427</w:t>
            </w:r>
          </w:p>
        </w:tc>
        <w:tc>
          <w:tcPr>
            <w:tcW w:w="5829" w:type="dxa"/>
            <w:tcBorders>
              <w:top w:val="single" w:color="auto" w:sz="4" w:space="0"/>
              <w:left w:val="single" w:color="auto" w:sz="4" w:space="0"/>
              <w:bottom w:val="single" w:color="auto" w:sz="4" w:space="0"/>
              <w:right w:val="single" w:color="auto" w:sz="4" w:space="0"/>
            </w:tcBorders>
          </w:tcPr>
          <w:p w14:paraId="1240B561">
            <w:pPr>
              <w:pStyle w:val="2"/>
              <w:keepNext w:val="0"/>
              <w:keepLines w:val="0"/>
              <w:spacing w:before="0" w:after="0" w:line="360" w:lineRule="auto"/>
              <w:jc w:val="center"/>
              <w:rPr>
                <w:rFonts w:hint="eastAsia" w:ascii="宋体" w:hAnsi="宋体"/>
                <w:b w:val="0"/>
                <w:bCs w:val="0"/>
                <w:sz w:val="24"/>
                <w:szCs w:val="24"/>
              </w:rPr>
            </w:pPr>
            <w:r>
              <w:rPr>
                <w:rFonts w:hint="eastAsia" w:ascii="宋体" w:hAnsi="宋体"/>
                <w:b w:val="0"/>
                <w:bCs w:val="0"/>
                <w:sz w:val="24"/>
                <w:szCs w:val="24"/>
              </w:rPr>
              <w:t>交银施罗德增利增强债券型证券投资基金</w:t>
            </w:r>
          </w:p>
        </w:tc>
      </w:tr>
    </w:tbl>
    <w:p w14:paraId="7CBF6780">
      <w:pPr>
        <w:spacing w:line="360" w:lineRule="auto"/>
        <w:ind w:firstLine="482" w:firstLineChars="200"/>
        <w:rPr>
          <w:rFonts w:hint="eastAsia" w:ascii="Times New Roman" w:hAnsi="Times New Roman" w:cs="Times New Roman" w:eastAsiaTheme="majorEastAsia"/>
          <w:b/>
          <w:bCs/>
          <w:sz w:val="24"/>
          <w:szCs w:val="20"/>
          <w:lang w:val="en-US" w:eastAsia="zh-CN"/>
        </w:rPr>
      </w:pPr>
      <w:r>
        <w:rPr>
          <w:rFonts w:hint="eastAsia" w:ascii="Times New Roman" w:hAnsi="Times New Roman" w:cs="Times New Roman" w:eastAsiaTheme="majorEastAsia"/>
          <w:b/>
          <w:bCs/>
          <w:sz w:val="24"/>
          <w:szCs w:val="20"/>
        </w:rPr>
        <w:t>2、开通同一基金不同类别基金份额之间的转换业务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5829"/>
      </w:tblGrid>
      <w:tr w14:paraId="57BF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Borders>
              <w:top w:val="single" w:color="auto" w:sz="4" w:space="0"/>
              <w:left w:val="single" w:color="auto" w:sz="4" w:space="0"/>
              <w:bottom w:val="single" w:color="auto" w:sz="4" w:space="0"/>
              <w:right w:val="single" w:color="auto" w:sz="4" w:space="0"/>
            </w:tcBorders>
          </w:tcPr>
          <w:p w14:paraId="17409260">
            <w:pPr>
              <w:pStyle w:val="2"/>
              <w:keepNext w:val="0"/>
              <w:keepLines w:val="0"/>
              <w:spacing w:before="0" w:after="0" w:line="360" w:lineRule="auto"/>
              <w:jc w:val="center"/>
              <w:rPr>
                <w:rFonts w:ascii="宋体" w:hAnsi="宋体"/>
                <w:bCs w:val="0"/>
                <w:sz w:val="24"/>
                <w:szCs w:val="24"/>
              </w:rPr>
            </w:pPr>
            <w:r>
              <w:rPr>
                <w:rFonts w:hint="eastAsia" w:ascii="宋体" w:hAnsi="宋体"/>
                <w:bCs w:val="0"/>
                <w:sz w:val="24"/>
                <w:szCs w:val="24"/>
              </w:rPr>
              <w:t>基金主代码</w:t>
            </w:r>
          </w:p>
        </w:tc>
        <w:tc>
          <w:tcPr>
            <w:tcW w:w="5829" w:type="dxa"/>
            <w:tcBorders>
              <w:top w:val="single" w:color="auto" w:sz="4" w:space="0"/>
              <w:left w:val="single" w:color="auto" w:sz="4" w:space="0"/>
              <w:bottom w:val="single" w:color="auto" w:sz="4" w:space="0"/>
              <w:right w:val="single" w:color="auto" w:sz="4" w:space="0"/>
            </w:tcBorders>
          </w:tcPr>
          <w:p w14:paraId="4B3376E3">
            <w:pPr>
              <w:pStyle w:val="2"/>
              <w:keepNext w:val="0"/>
              <w:keepLines w:val="0"/>
              <w:spacing w:before="0" w:after="0" w:line="360" w:lineRule="auto"/>
              <w:jc w:val="center"/>
              <w:rPr>
                <w:rFonts w:hint="eastAsia" w:ascii="宋体" w:hAnsi="宋体"/>
                <w:bCs w:val="0"/>
                <w:sz w:val="24"/>
                <w:szCs w:val="24"/>
              </w:rPr>
            </w:pPr>
            <w:r>
              <w:rPr>
                <w:rFonts w:hint="eastAsia" w:ascii="宋体" w:hAnsi="宋体"/>
                <w:bCs w:val="0"/>
                <w:sz w:val="24"/>
                <w:szCs w:val="24"/>
              </w:rPr>
              <w:t>基金名称</w:t>
            </w:r>
          </w:p>
        </w:tc>
      </w:tr>
      <w:tr w14:paraId="4047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Borders>
              <w:top w:val="single" w:color="auto" w:sz="4" w:space="0"/>
              <w:left w:val="single" w:color="auto" w:sz="4" w:space="0"/>
              <w:bottom w:val="single" w:color="auto" w:sz="4" w:space="0"/>
              <w:right w:val="single" w:color="auto" w:sz="4" w:space="0"/>
            </w:tcBorders>
          </w:tcPr>
          <w:p w14:paraId="7E39A35B">
            <w:pPr>
              <w:pStyle w:val="2"/>
              <w:keepNext w:val="0"/>
              <w:keepLines w:val="0"/>
              <w:spacing w:before="0" w:after="0" w:line="360" w:lineRule="auto"/>
              <w:jc w:val="center"/>
              <w:rPr>
                <w:rFonts w:hint="eastAsia" w:ascii="宋体" w:hAnsi="宋体"/>
                <w:b w:val="0"/>
                <w:bCs w:val="0"/>
                <w:sz w:val="24"/>
                <w:szCs w:val="24"/>
              </w:rPr>
            </w:pPr>
            <w:r>
              <w:rPr>
                <w:rFonts w:hint="eastAsia" w:ascii="宋体" w:hAnsi="宋体"/>
                <w:b w:val="0"/>
                <w:bCs w:val="0"/>
                <w:sz w:val="24"/>
                <w:szCs w:val="24"/>
                <w:lang w:val="en-US" w:eastAsia="zh-CN"/>
              </w:rPr>
              <w:t>5</w:t>
            </w:r>
            <w:r>
              <w:rPr>
                <w:rFonts w:hint="eastAsia" w:ascii="宋体" w:hAnsi="宋体"/>
                <w:b w:val="0"/>
                <w:bCs w:val="0"/>
                <w:sz w:val="24"/>
                <w:szCs w:val="24"/>
              </w:rPr>
              <w:t>19730</w:t>
            </w:r>
          </w:p>
        </w:tc>
        <w:tc>
          <w:tcPr>
            <w:tcW w:w="5829" w:type="dxa"/>
            <w:tcBorders>
              <w:top w:val="single" w:color="auto" w:sz="4" w:space="0"/>
              <w:left w:val="single" w:color="auto" w:sz="4" w:space="0"/>
              <w:bottom w:val="single" w:color="auto" w:sz="4" w:space="0"/>
              <w:right w:val="single" w:color="auto" w:sz="4" w:space="0"/>
            </w:tcBorders>
          </w:tcPr>
          <w:p w14:paraId="5D262EB2">
            <w:pPr>
              <w:pStyle w:val="2"/>
              <w:keepNext w:val="0"/>
              <w:keepLines w:val="0"/>
              <w:spacing w:before="0" w:after="0" w:line="360" w:lineRule="auto"/>
              <w:jc w:val="center"/>
              <w:rPr>
                <w:rFonts w:hint="eastAsia" w:ascii="宋体" w:hAnsi="宋体"/>
                <w:b w:val="0"/>
                <w:bCs w:val="0"/>
                <w:sz w:val="24"/>
                <w:szCs w:val="24"/>
              </w:rPr>
            </w:pPr>
            <w:r>
              <w:rPr>
                <w:rFonts w:hint="eastAsia" w:ascii="宋体" w:hAnsi="宋体"/>
                <w:b w:val="0"/>
                <w:bCs w:val="0"/>
                <w:sz w:val="24"/>
                <w:szCs w:val="24"/>
              </w:rPr>
              <w:t>交银施罗德定期支付月月丰债券型证券投资基金</w:t>
            </w:r>
          </w:p>
        </w:tc>
      </w:tr>
      <w:tr w14:paraId="1B20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Borders>
              <w:top w:val="single" w:color="auto" w:sz="4" w:space="0"/>
              <w:left w:val="single" w:color="auto" w:sz="4" w:space="0"/>
              <w:bottom w:val="single" w:color="auto" w:sz="4" w:space="0"/>
              <w:right w:val="single" w:color="auto" w:sz="4" w:space="0"/>
            </w:tcBorders>
          </w:tcPr>
          <w:p w14:paraId="5D9C725F">
            <w:pPr>
              <w:pStyle w:val="2"/>
              <w:keepNext w:val="0"/>
              <w:keepLines w:val="0"/>
              <w:spacing w:before="0" w:after="0" w:line="360" w:lineRule="auto"/>
              <w:jc w:val="center"/>
              <w:rPr>
                <w:rFonts w:hint="eastAsia" w:ascii="宋体" w:hAnsi="宋体"/>
                <w:b w:val="0"/>
                <w:bCs w:val="0"/>
                <w:sz w:val="24"/>
                <w:szCs w:val="24"/>
              </w:rPr>
            </w:pPr>
            <w:r>
              <w:rPr>
                <w:rFonts w:hint="eastAsia" w:ascii="宋体" w:hAnsi="宋体"/>
                <w:b w:val="0"/>
                <w:bCs w:val="0"/>
                <w:sz w:val="24"/>
                <w:szCs w:val="24"/>
              </w:rPr>
              <w:t>004427</w:t>
            </w:r>
          </w:p>
        </w:tc>
        <w:tc>
          <w:tcPr>
            <w:tcW w:w="5829" w:type="dxa"/>
            <w:tcBorders>
              <w:top w:val="single" w:color="auto" w:sz="4" w:space="0"/>
              <w:left w:val="single" w:color="auto" w:sz="4" w:space="0"/>
              <w:bottom w:val="single" w:color="auto" w:sz="4" w:space="0"/>
              <w:right w:val="single" w:color="auto" w:sz="4" w:space="0"/>
            </w:tcBorders>
          </w:tcPr>
          <w:p w14:paraId="00C43AED">
            <w:pPr>
              <w:pStyle w:val="2"/>
              <w:keepNext w:val="0"/>
              <w:keepLines w:val="0"/>
              <w:spacing w:before="0" w:after="0" w:line="360" w:lineRule="auto"/>
              <w:jc w:val="center"/>
              <w:rPr>
                <w:rFonts w:hint="eastAsia" w:ascii="宋体" w:hAnsi="宋体"/>
                <w:b w:val="0"/>
                <w:bCs w:val="0"/>
                <w:sz w:val="24"/>
                <w:szCs w:val="24"/>
              </w:rPr>
            </w:pPr>
            <w:r>
              <w:rPr>
                <w:rFonts w:hint="eastAsia" w:ascii="宋体" w:hAnsi="宋体"/>
                <w:b w:val="0"/>
                <w:bCs w:val="0"/>
                <w:sz w:val="24"/>
                <w:szCs w:val="24"/>
              </w:rPr>
              <w:t>交银施罗德增利增强债券型证券投资基金</w:t>
            </w:r>
          </w:p>
        </w:tc>
      </w:tr>
      <w:tr w14:paraId="6E46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Borders>
              <w:top w:val="single" w:color="auto" w:sz="4" w:space="0"/>
              <w:left w:val="single" w:color="auto" w:sz="4" w:space="0"/>
              <w:bottom w:val="single" w:color="auto" w:sz="4" w:space="0"/>
              <w:right w:val="single" w:color="auto" w:sz="4" w:space="0"/>
            </w:tcBorders>
          </w:tcPr>
          <w:p w14:paraId="45FD3374">
            <w:pPr>
              <w:pStyle w:val="2"/>
              <w:keepNext w:val="0"/>
              <w:keepLines w:val="0"/>
              <w:spacing w:before="0" w:after="0" w:line="360" w:lineRule="auto"/>
              <w:jc w:val="center"/>
              <w:rPr>
                <w:rFonts w:hint="eastAsia" w:ascii="宋体" w:hAnsi="宋体"/>
                <w:b w:val="0"/>
                <w:bCs w:val="0"/>
                <w:sz w:val="24"/>
                <w:szCs w:val="24"/>
              </w:rPr>
            </w:pPr>
            <w:r>
              <w:rPr>
                <w:rFonts w:hint="eastAsia" w:ascii="宋体" w:hAnsi="宋体"/>
                <w:b w:val="0"/>
                <w:bCs w:val="0"/>
                <w:sz w:val="24"/>
                <w:szCs w:val="24"/>
              </w:rPr>
              <w:t>519680</w:t>
            </w:r>
          </w:p>
        </w:tc>
        <w:tc>
          <w:tcPr>
            <w:tcW w:w="5829" w:type="dxa"/>
            <w:tcBorders>
              <w:top w:val="single" w:color="auto" w:sz="4" w:space="0"/>
              <w:left w:val="single" w:color="auto" w:sz="4" w:space="0"/>
              <w:bottom w:val="single" w:color="auto" w:sz="4" w:space="0"/>
              <w:right w:val="single" w:color="auto" w:sz="4" w:space="0"/>
            </w:tcBorders>
          </w:tcPr>
          <w:p w14:paraId="04DA82C8">
            <w:pPr>
              <w:pStyle w:val="2"/>
              <w:keepNext w:val="0"/>
              <w:keepLines w:val="0"/>
              <w:spacing w:before="0" w:after="0" w:line="360" w:lineRule="auto"/>
              <w:jc w:val="center"/>
              <w:rPr>
                <w:rFonts w:hint="eastAsia" w:ascii="宋体" w:hAnsi="宋体"/>
                <w:b w:val="0"/>
                <w:bCs w:val="0"/>
                <w:sz w:val="24"/>
                <w:szCs w:val="24"/>
              </w:rPr>
            </w:pPr>
            <w:r>
              <w:rPr>
                <w:rFonts w:hint="eastAsia" w:ascii="宋体" w:hAnsi="宋体"/>
                <w:b w:val="0"/>
                <w:bCs w:val="0"/>
                <w:sz w:val="24"/>
                <w:szCs w:val="24"/>
              </w:rPr>
              <w:t>交银施罗德增利债券证券投资基金</w:t>
            </w:r>
          </w:p>
        </w:tc>
      </w:tr>
    </w:tbl>
    <w:p w14:paraId="78F27205">
      <w:pPr>
        <w:adjustRightInd w:val="0"/>
        <w:snapToGrid w:val="0"/>
        <w:spacing w:line="360" w:lineRule="auto"/>
        <w:ind w:firstLine="482" w:firstLineChars="200"/>
        <w:rPr>
          <w:rFonts w:hint="eastAsia" w:ascii="Times New Roman" w:hAnsi="Times New Roman" w:cs="Times New Roman" w:eastAsiaTheme="majorEastAsia"/>
          <w:b/>
          <w:color w:val="000000"/>
          <w:kern w:val="0"/>
          <w:sz w:val="24"/>
        </w:rPr>
      </w:pPr>
    </w:p>
    <w:p w14:paraId="7A3429A5">
      <w:pPr>
        <w:spacing w:line="360" w:lineRule="auto"/>
        <w:ind w:firstLine="482" w:firstLineChars="200"/>
        <w:rPr>
          <w:rFonts w:ascii="Times New Roman" w:hAnsi="Times New Roman" w:cs="Times New Roman" w:eastAsiaTheme="majorEastAsia"/>
          <w:b/>
          <w:bCs/>
          <w:sz w:val="24"/>
          <w:szCs w:val="20"/>
        </w:rPr>
      </w:pPr>
      <w:r>
        <w:rPr>
          <w:rFonts w:hint="eastAsia" w:ascii="Times New Roman" w:hAnsi="Times New Roman" w:cs="Times New Roman" w:eastAsiaTheme="majorEastAsia"/>
          <w:b/>
          <w:bCs/>
          <w:sz w:val="24"/>
          <w:szCs w:val="20"/>
        </w:rPr>
        <w:t>二、《基金合同》主要修订内容</w:t>
      </w:r>
      <w:r>
        <w:rPr>
          <w:rFonts w:hint="eastAsia" w:ascii="Times New Roman" w:hAnsi="Times New Roman" w:cs="Times New Roman" w:eastAsiaTheme="majorEastAsia"/>
          <w:bCs/>
          <w:sz w:val="24"/>
          <w:szCs w:val="20"/>
        </w:rPr>
        <w:t>（以交银施罗德定期支付月月丰债券型证券投资基金为例</w:t>
      </w:r>
      <w:r>
        <w:rPr>
          <w:rFonts w:hint="eastAsia" w:ascii="Times New Roman" w:hAnsi="Times New Roman" w:cs="Times New Roman" w:eastAsiaTheme="majorEastAsia"/>
          <w:bCs/>
          <w:sz w:val="24"/>
          <w:szCs w:val="20"/>
          <w:lang w:eastAsia="zh-CN"/>
        </w:rPr>
        <w:t>，</w:t>
      </w:r>
      <w:r>
        <w:rPr>
          <w:rFonts w:hint="eastAsia" w:ascii="Times New Roman" w:hAnsi="Times New Roman" w:cs="Times New Roman" w:eastAsiaTheme="majorEastAsia"/>
          <w:bCs/>
          <w:sz w:val="24"/>
          <w:szCs w:val="20"/>
          <w:lang w:val="en-US" w:eastAsia="zh-CN"/>
        </w:rPr>
        <w:t>其中</w:t>
      </w:r>
      <w:r>
        <w:rPr>
          <w:rFonts w:hint="eastAsia" w:ascii="Times New Roman" w:hAnsi="Times New Roman" w:cs="Times New Roman" w:eastAsiaTheme="majorEastAsia"/>
          <w:bCs/>
          <w:sz w:val="24"/>
          <w:szCs w:val="20"/>
        </w:rPr>
        <w:t>交银施罗德增利债券证券投资基金</w:t>
      </w:r>
      <w:r>
        <w:rPr>
          <w:rFonts w:hint="eastAsia" w:ascii="Times New Roman" w:hAnsi="Times New Roman" w:cs="Times New Roman" w:eastAsiaTheme="majorEastAsia"/>
          <w:bCs/>
          <w:sz w:val="24"/>
          <w:szCs w:val="20"/>
          <w:lang w:val="en-US" w:eastAsia="zh-CN"/>
        </w:rPr>
        <w:t>仅修改与转换业务相关的内容</w:t>
      </w:r>
      <w:r>
        <w:rPr>
          <w:rFonts w:hint="eastAsia" w:ascii="Times New Roman" w:hAnsi="Times New Roman" w:cs="Times New Roman" w:eastAsiaTheme="majorEastAsia"/>
          <w:bCs/>
          <w:sz w:val="24"/>
          <w:szCs w:val="20"/>
        </w:rPr>
        <w:t>）</w:t>
      </w:r>
      <w:bookmarkStart w:id="0" w:name="_GoBack"/>
      <w:bookmarkEnd w:id="0"/>
    </w:p>
    <w:p w14:paraId="7A0340C9">
      <w:pPr>
        <w:spacing w:line="360" w:lineRule="auto"/>
        <w:ind w:firstLine="482" w:firstLineChars="200"/>
        <w:rPr>
          <w:rFonts w:ascii="Times New Roman" w:hAnsi="Times New Roman" w:cs="Times New Roman" w:eastAsiaTheme="majorEastAsia"/>
          <w:b/>
          <w:bCs/>
          <w:sz w:val="24"/>
          <w:szCs w:val="20"/>
        </w:rPr>
      </w:pPr>
      <w:r>
        <w:rPr>
          <w:rFonts w:hint="eastAsia" w:ascii="Times New Roman" w:hAnsi="Times New Roman" w:cs="Times New Roman" w:eastAsiaTheme="majorEastAsia"/>
          <w:b/>
          <w:bCs/>
          <w:sz w:val="24"/>
          <w:szCs w:val="20"/>
        </w:rPr>
        <w:t>1、在前言部分增加存托凭证的风险提示</w:t>
      </w:r>
    </w:p>
    <w:p w14:paraId="7D0985F8">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风险揭示”章节内容。</w:t>
      </w:r>
    </w:p>
    <w:p w14:paraId="058D9D70">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本基金可根据投资策略需要或市场环境的变化，选择将部分基金资产投资于存托凭证或选择不将基金资产投资于存托凭证，基金资产并非必然投资存托凭证。”</w:t>
      </w:r>
    </w:p>
    <w:p w14:paraId="5565C5E3">
      <w:pPr>
        <w:spacing w:line="360" w:lineRule="auto"/>
        <w:ind w:firstLine="482" w:firstLineChars="200"/>
        <w:rPr>
          <w:rFonts w:ascii="Times New Roman" w:hAnsi="Times New Roman" w:cs="Times New Roman" w:eastAsiaTheme="majorEastAsia"/>
          <w:b/>
          <w:bCs/>
          <w:sz w:val="24"/>
          <w:szCs w:val="20"/>
        </w:rPr>
      </w:pPr>
      <w:r>
        <w:rPr>
          <w:rFonts w:hint="eastAsia" w:ascii="Times New Roman" w:hAnsi="Times New Roman" w:cs="Times New Roman" w:eastAsiaTheme="majorEastAsia"/>
          <w:b/>
          <w:bCs/>
          <w:sz w:val="24"/>
          <w:szCs w:val="20"/>
        </w:rPr>
        <w:t>2、修改基金份额类别的转换要求</w:t>
      </w:r>
    </w:p>
    <w:p w14:paraId="7CD683BE">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原“本基金不同基金份额类别之间不得互相转换。”修改为“本基金不同基金份额类别之间的转换规定请见招募说明书或相关公告。”</w:t>
      </w:r>
    </w:p>
    <w:p w14:paraId="585643C2">
      <w:pPr>
        <w:spacing w:line="360" w:lineRule="auto"/>
        <w:ind w:firstLine="482" w:firstLineChars="200"/>
        <w:rPr>
          <w:rFonts w:ascii="Times New Roman" w:hAnsi="Times New Roman" w:cs="Times New Roman" w:eastAsiaTheme="majorEastAsia"/>
          <w:b/>
          <w:bCs/>
          <w:sz w:val="24"/>
          <w:szCs w:val="20"/>
        </w:rPr>
      </w:pPr>
      <w:r>
        <w:rPr>
          <w:rFonts w:ascii="Times New Roman" w:hAnsi="Times New Roman" w:cs="Times New Roman" w:eastAsiaTheme="majorEastAsia"/>
          <w:b/>
          <w:bCs/>
          <w:sz w:val="24"/>
          <w:szCs w:val="20"/>
        </w:rPr>
        <w:t>3</w:t>
      </w:r>
      <w:r>
        <w:rPr>
          <w:rFonts w:hint="eastAsia" w:ascii="Times New Roman" w:hAnsi="Times New Roman" w:cs="Times New Roman" w:eastAsiaTheme="majorEastAsia"/>
          <w:b/>
          <w:bCs/>
          <w:sz w:val="24"/>
          <w:szCs w:val="20"/>
        </w:rPr>
        <w:t>、在投资范围中增加存托凭证</w:t>
      </w:r>
    </w:p>
    <w:p w14:paraId="5E62D3EB">
      <w:pPr>
        <w:spacing w:line="360" w:lineRule="auto"/>
        <w:ind w:firstLine="480" w:firstLineChars="200"/>
        <w:rPr>
          <w:rFonts w:hint="eastAsia"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“本基金的投资范围为具有良好流动性的金融工具，包括国内依法发行上市的股票（含中小板、创业板及其他经中国证监会核准上市的股票</w:t>
      </w:r>
      <w:r>
        <w:rPr>
          <w:rFonts w:hint="eastAsia" w:ascii="Times New Roman" w:hAnsi="Times New Roman" w:cs="Times New Roman" w:eastAsiaTheme="majorEastAsia"/>
          <w:b/>
          <w:bCs/>
          <w:sz w:val="24"/>
          <w:szCs w:val="20"/>
        </w:rPr>
        <w:t>、存托凭证</w:t>
      </w:r>
      <w:r>
        <w:rPr>
          <w:rFonts w:hint="eastAsia" w:ascii="Times New Roman" w:hAnsi="Times New Roman" w:cs="Times New Roman" w:eastAsiaTheme="majorEastAsia"/>
          <w:bCs/>
          <w:sz w:val="24"/>
          <w:szCs w:val="20"/>
        </w:rPr>
        <w:t>）、债券、货币市场工具、权证以及法律法规或中国证监会允许基金投资的其他金融工具（但须符合中国证监会的相关规定）。”</w:t>
      </w:r>
    </w:p>
    <w:p w14:paraId="695B069C">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基金的投资组合比例为：本基金投资于固定收益类资产的比例不低于基金资产净值的80%，固定收益类资产包括国债、金融债、央行票据、地方政府债、企业债、公司债、短期融资券、中期票据、可转换债券及可分离转债、资产支持证券、次级债、债券回购等金融工具；对股票</w:t>
      </w:r>
      <w:r>
        <w:rPr>
          <w:rFonts w:hint="eastAsia" w:ascii="Times New Roman" w:hAnsi="Times New Roman" w:cs="Times New Roman" w:eastAsiaTheme="majorEastAsia"/>
          <w:b/>
          <w:bCs/>
          <w:sz w:val="24"/>
          <w:szCs w:val="20"/>
        </w:rPr>
        <w:t>（含存托凭证）</w:t>
      </w:r>
      <w:r>
        <w:rPr>
          <w:rFonts w:hint="eastAsia" w:ascii="Times New Roman" w:hAnsi="Times New Roman" w:cs="Times New Roman" w:eastAsiaTheme="majorEastAsia"/>
          <w:bCs/>
          <w:sz w:val="24"/>
          <w:szCs w:val="20"/>
        </w:rPr>
        <w:t>、权证等权益类资产的投资比例不高于基金资产的20%；其中现金或到期日在一年以内的政府债券的投资比例合计不低于基金资产净值的5%，现金不包括结算备付金、存出保证金和应收申购款等；本基金持有的全部权证，其市值不得超过基金资产净值的3%。”</w:t>
      </w:r>
    </w:p>
    <w:p w14:paraId="20BB95C9">
      <w:pPr>
        <w:spacing w:line="360" w:lineRule="auto"/>
        <w:ind w:firstLine="482" w:firstLineChars="200"/>
        <w:rPr>
          <w:rFonts w:ascii="Times New Roman" w:hAnsi="Times New Roman" w:cs="Times New Roman" w:eastAsiaTheme="majorEastAsia"/>
          <w:b/>
          <w:bCs/>
          <w:sz w:val="24"/>
          <w:szCs w:val="20"/>
        </w:rPr>
      </w:pPr>
      <w:r>
        <w:rPr>
          <w:rFonts w:hint="eastAsia" w:ascii="Times New Roman" w:hAnsi="Times New Roman" w:cs="Times New Roman" w:eastAsiaTheme="majorEastAsia"/>
          <w:b/>
          <w:bCs/>
          <w:sz w:val="24"/>
          <w:szCs w:val="20"/>
        </w:rPr>
        <w:t>4、在投资策略中增加存托凭证的投资策略</w:t>
      </w:r>
    </w:p>
    <w:p w14:paraId="6E4C1148">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“本基金投资存托凭证的策略依照境内上市交易的股票投资策略执行。”</w:t>
      </w:r>
    </w:p>
    <w:p w14:paraId="40924B85">
      <w:pPr>
        <w:spacing w:line="360" w:lineRule="auto"/>
        <w:ind w:firstLine="482" w:firstLineChars="200"/>
        <w:rPr>
          <w:rFonts w:ascii="Times New Roman" w:hAnsi="Times New Roman" w:cs="Times New Roman" w:eastAsiaTheme="majorEastAsia"/>
          <w:b/>
          <w:bCs/>
          <w:sz w:val="24"/>
          <w:szCs w:val="20"/>
        </w:rPr>
      </w:pPr>
      <w:r>
        <w:rPr>
          <w:rFonts w:hint="eastAsia" w:ascii="Times New Roman" w:hAnsi="Times New Roman" w:cs="Times New Roman" w:eastAsiaTheme="majorEastAsia"/>
          <w:b/>
          <w:bCs/>
          <w:sz w:val="24"/>
          <w:szCs w:val="20"/>
        </w:rPr>
        <w:t>5、在投资限制中增加存托凭证</w:t>
      </w:r>
    </w:p>
    <w:p w14:paraId="6144848B">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“本基金固定收益类资产的比例不低于基金资产净值的80%，股票</w:t>
      </w:r>
      <w:r>
        <w:rPr>
          <w:rFonts w:hint="eastAsia" w:ascii="Times New Roman" w:hAnsi="Times New Roman" w:cs="Times New Roman" w:eastAsiaTheme="majorEastAsia"/>
          <w:b/>
          <w:bCs/>
          <w:sz w:val="24"/>
          <w:szCs w:val="20"/>
        </w:rPr>
        <w:t>（含存托凭证）</w:t>
      </w:r>
      <w:r>
        <w:rPr>
          <w:rFonts w:hint="eastAsia" w:ascii="Times New Roman" w:hAnsi="Times New Roman" w:cs="Times New Roman" w:eastAsiaTheme="majorEastAsia"/>
          <w:bCs/>
          <w:sz w:val="24"/>
          <w:szCs w:val="20"/>
        </w:rPr>
        <w:t>、权证等权益类资产的投资比例不高于基金资产净值的20%；”</w:t>
      </w:r>
    </w:p>
    <w:p w14:paraId="6B720B81">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“本基金投资存托凭证的比例限制依照境内上市交易的股票执行；”</w:t>
      </w:r>
    </w:p>
    <w:p w14:paraId="145DB922">
      <w:pPr>
        <w:spacing w:line="360" w:lineRule="auto"/>
        <w:ind w:firstLine="482" w:firstLineChars="200"/>
        <w:rPr>
          <w:rFonts w:ascii="Times New Roman" w:hAnsi="Times New Roman" w:cs="Times New Roman" w:eastAsiaTheme="majorEastAsia"/>
          <w:b/>
          <w:bCs/>
          <w:sz w:val="24"/>
          <w:szCs w:val="20"/>
        </w:rPr>
      </w:pPr>
      <w:r>
        <w:rPr>
          <w:rFonts w:hint="eastAsia" w:ascii="Times New Roman" w:hAnsi="Times New Roman" w:cs="Times New Roman" w:eastAsiaTheme="majorEastAsia"/>
          <w:b/>
          <w:bCs/>
          <w:sz w:val="24"/>
          <w:szCs w:val="20"/>
        </w:rPr>
        <w:t>6、在估值方法中增加存托凭证的估值核算方法</w:t>
      </w:r>
    </w:p>
    <w:p w14:paraId="6F0163B4">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“本基金投资存托凭证的估值核算依照境内上市交易的股票执行。”</w:t>
      </w:r>
    </w:p>
    <w:p w14:paraId="492BDD0E">
      <w:pPr>
        <w:adjustRightInd w:val="0"/>
        <w:snapToGrid w:val="0"/>
        <w:spacing w:line="360" w:lineRule="auto"/>
        <w:ind w:firstLine="480" w:firstLineChars="200"/>
        <w:rPr>
          <w:rFonts w:hint="eastAsia" w:ascii="Times New Roman" w:hAnsi="Times New Roman" w:cs="Times New Roman" w:eastAsiaTheme="majorEastAsia"/>
          <w:bCs/>
          <w:sz w:val="24"/>
          <w:szCs w:val="20"/>
        </w:rPr>
      </w:pPr>
    </w:p>
    <w:p w14:paraId="29517206">
      <w:pPr>
        <w:spacing w:line="360" w:lineRule="auto"/>
        <w:ind w:firstLine="482" w:firstLineChars="200"/>
        <w:rPr>
          <w:rFonts w:ascii="Times New Roman" w:hAnsi="Times New Roman" w:cs="Times New Roman" w:eastAsiaTheme="majorEastAsia"/>
          <w:b/>
          <w:bCs/>
          <w:sz w:val="24"/>
          <w:szCs w:val="20"/>
        </w:rPr>
      </w:pPr>
      <w:r>
        <w:rPr>
          <w:rFonts w:hint="eastAsia" w:ascii="Times New Roman" w:hAnsi="Times New Roman" w:cs="Times New Roman" w:eastAsiaTheme="majorEastAsia"/>
          <w:b/>
          <w:bCs/>
          <w:sz w:val="24"/>
          <w:szCs w:val="20"/>
        </w:rPr>
        <w:t>三、托管协议、</w:t>
      </w:r>
      <w:r>
        <w:rPr>
          <w:rFonts w:ascii="Times New Roman" w:hAnsi="Times New Roman" w:cs="Times New Roman" w:eastAsiaTheme="majorEastAsia"/>
          <w:b/>
          <w:bCs/>
          <w:sz w:val="24"/>
          <w:szCs w:val="20"/>
        </w:rPr>
        <w:t>招募说明书</w:t>
      </w:r>
      <w:r>
        <w:rPr>
          <w:rFonts w:hint="eastAsia" w:ascii="Times New Roman" w:hAnsi="Times New Roman" w:cs="Times New Roman" w:eastAsiaTheme="majorEastAsia"/>
          <w:b/>
          <w:bCs/>
          <w:sz w:val="24"/>
          <w:szCs w:val="20"/>
        </w:rPr>
        <w:t>、产品资料概要</w:t>
      </w:r>
      <w:r>
        <w:rPr>
          <w:rFonts w:ascii="Times New Roman" w:hAnsi="Times New Roman" w:cs="Times New Roman" w:eastAsiaTheme="majorEastAsia"/>
          <w:b/>
          <w:bCs/>
          <w:sz w:val="24"/>
          <w:szCs w:val="20"/>
        </w:rPr>
        <w:t>等</w:t>
      </w:r>
      <w:r>
        <w:rPr>
          <w:rFonts w:hint="eastAsia" w:ascii="Times New Roman" w:hAnsi="Times New Roman" w:cs="Times New Roman" w:eastAsiaTheme="majorEastAsia"/>
          <w:b/>
          <w:bCs/>
          <w:sz w:val="24"/>
          <w:szCs w:val="20"/>
        </w:rPr>
        <w:t>修订内容</w:t>
      </w:r>
    </w:p>
    <w:p w14:paraId="49202ABA">
      <w:pPr>
        <w:spacing w:line="360" w:lineRule="auto"/>
        <w:ind w:firstLine="480" w:firstLineChars="200"/>
        <w:rPr>
          <w:rFonts w:hint="eastAsia"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托管协议、</w:t>
      </w:r>
      <w:r>
        <w:rPr>
          <w:rFonts w:ascii="Times New Roman" w:hAnsi="Times New Roman" w:cs="Times New Roman" w:eastAsiaTheme="majorEastAsia"/>
          <w:bCs/>
          <w:sz w:val="24"/>
          <w:szCs w:val="20"/>
        </w:rPr>
        <w:t>招募说明书</w:t>
      </w:r>
      <w:r>
        <w:rPr>
          <w:rFonts w:hint="eastAsia" w:ascii="Times New Roman" w:hAnsi="Times New Roman" w:cs="Times New Roman" w:eastAsiaTheme="majorEastAsia"/>
          <w:bCs/>
          <w:sz w:val="24"/>
          <w:szCs w:val="20"/>
        </w:rPr>
        <w:t>、产品资料概要</w:t>
      </w:r>
      <w:r>
        <w:rPr>
          <w:rFonts w:ascii="Times New Roman" w:hAnsi="Times New Roman" w:cs="Times New Roman" w:eastAsiaTheme="majorEastAsia"/>
          <w:bCs/>
          <w:sz w:val="24"/>
          <w:szCs w:val="20"/>
        </w:rPr>
        <w:t>等</w:t>
      </w:r>
      <w:r>
        <w:rPr>
          <w:rFonts w:hint="eastAsia" w:ascii="Times New Roman" w:hAnsi="Times New Roman" w:cs="Times New Roman" w:eastAsiaTheme="majorEastAsia"/>
          <w:bCs/>
          <w:sz w:val="24"/>
          <w:szCs w:val="20"/>
        </w:rPr>
        <w:t>涉及上述相关内容的条款也均进行了相应修订。</w:t>
      </w:r>
    </w:p>
    <w:p w14:paraId="12AD2E63">
      <w:pPr>
        <w:spacing w:line="360" w:lineRule="auto"/>
        <w:ind w:firstLine="480" w:firstLineChars="200"/>
        <w:rPr>
          <w:rFonts w:hint="eastAsia" w:ascii="Times New Roman" w:hAnsi="Times New Roman" w:cs="Times New Roman" w:eastAsiaTheme="majorEastAsia"/>
          <w:bCs/>
          <w:sz w:val="24"/>
          <w:szCs w:val="20"/>
        </w:rPr>
      </w:pPr>
    </w:p>
    <w:p w14:paraId="4DB11258">
      <w:pPr>
        <w:ind w:firstLine="482" w:firstLineChars="200"/>
        <w:rPr>
          <w:rFonts w:hint="eastAsia" w:ascii="Times New Roman" w:hAnsi="Times New Roman" w:cs="Times New Roman" w:eastAsiaTheme="majorEastAsia"/>
          <w:b/>
          <w:bCs/>
          <w:sz w:val="24"/>
          <w:szCs w:val="20"/>
        </w:rPr>
      </w:pPr>
      <w:r>
        <w:rPr>
          <w:rFonts w:hint="eastAsia" w:ascii="Times New Roman" w:hAnsi="Times New Roman" w:cs="Times New Roman" w:eastAsiaTheme="majorEastAsia"/>
          <w:b/>
          <w:bCs/>
          <w:sz w:val="24"/>
          <w:szCs w:val="20"/>
          <w:lang w:val="en-US" w:eastAsia="zh-CN"/>
        </w:rPr>
        <w:t>四</w:t>
      </w:r>
      <w:r>
        <w:rPr>
          <w:rFonts w:hint="eastAsia" w:ascii="Times New Roman" w:hAnsi="Times New Roman" w:cs="Times New Roman" w:eastAsiaTheme="majorEastAsia"/>
          <w:b/>
          <w:bCs/>
          <w:sz w:val="24"/>
          <w:szCs w:val="20"/>
        </w:rPr>
        <w:t>、</w:t>
      </w:r>
      <w:r>
        <w:rPr>
          <w:rFonts w:hint="eastAsia" w:ascii="Times New Roman" w:hAnsi="Times New Roman" w:cs="Times New Roman" w:eastAsiaTheme="majorEastAsia"/>
          <w:b/>
          <w:bCs/>
          <w:sz w:val="24"/>
          <w:szCs w:val="20"/>
          <w:lang w:val="en-US" w:eastAsia="zh-CN"/>
        </w:rPr>
        <w:t>转换</w:t>
      </w:r>
      <w:r>
        <w:rPr>
          <w:rFonts w:hint="eastAsia" w:ascii="Times New Roman" w:hAnsi="Times New Roman" w:cs="Times New Roman" w:eastAsiaTheme="majorEastAsia"/>
          <w:b/>
          <w:bCs/>
          <w:sz w:val="24"/>
          <w:szCs w:val="20"/>
        </w:rPr>
        <w:t>业务规则</w:t>
      </w:r>
    </w:p>
    <w:p w14:paraId="6B7045E4">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1、同一基金不同类别基金份额之间的转换业务（以下简称“本业务”）是指：若投资者持有的某只基金产品具有多种类别的基金份额（各类基金份额分设不同的基金代码），且登记在同一注册登记机构，投资者可以将其持有的某一类基金份额转换成同只基金的其他类基金份额，转换规则遵从注册登记机构业务规则。</w:t>
      </w:r>
    </w:p>
    <w:p w14:paraId="672A3A4D">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2、同一基金不同类别基金份额间转换转出的最低申请基金份额适用该基金最低转换份额的规定。</w:t>
      </w:r>
    </w:p>
    <w:p w14:paraId="3C5AEDDC">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3、同一基金不同类别基金份额间相互转换，原持有期限不延续计算。即转入份额在赎回或转出时，按持有时段适用的赎回费档次计算赎回费的，该持有时段为该部分份额转入确认日起至该部分份额赎回或转出确认日止的持有期限。</w:t>
      </w:r>
    </w:p>
    <w:p w14:paraId="6058E3CB">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4、基金转换采取未知价法，即基金的转换价格以申请受理当日各转出、转入基金的基金份额净值为基准进行计算。</w:t>
      </w:r>
    </w:p>
    <w:p w14:paraId="79705EA8">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5、投资者办理本业务时，转出基金份额类别必须处于可赎回状态，转入基金份额类别必须处于可申购状态，已经冻结的基金份额不得申请转换业务。</w:t>
      </w:r>
    </w:p>
    <w:p w14:paraId="1D36DDB7">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6、本业务与公司已经开通的不同基金之间的相互转换业务不产生冲突。</w:t>
      </w:r>
    </w:p>
    <w:p w14:paraId="06F2F11C">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7、由于各销售机构的系统差异以及业务安排等原因，开展同一基金不同类别基金份额之间转换业务的时间及其他未尽事宜详见各销售机构的相关业务规则和公告。同一基金不同类别基金份额间的转换业务只能在同时代理销售该基金多种类别基金份额的同一销售机构进行。</w:t>
      </w:r>
    </w:p>
    <w:p w14:paraId="540E74BD">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8、本公司旗下各基金的转换业务的解释权归本公司，本公司可以根据市场情况在不违反有关法律法规和基金合同的规定之前提下调整上述转换的业务规则及有关限制。</w:t>
      </w:r>
    </w:p>
    <w:p w14:paraId="3647F207">
      <w:pPr>
        <w:spacing w:line="360" w:lineRule="auto"/>
        <w:ind w:firstLine="480" w:firstLineChars="200"/>
        <w:rPr>
          <w:rFonts w:hint="eastAsia"/>
          <w:color w:val="000000"/>
          <w:sz w:val="24"/>
        </w:rPr>
      </w:pPr>
    </w:p>
    <w:p w14:paraId="5E1B685D">
      <w:pPr>
        <w:ind w:firstLine="482" w:firstLineChars="200"/>
        <w:rPr>
          <w:rFonts w:hint="eastAsia" w:ascii="Times New Roman" w:hAnsi="Times New Roman" w:cs="Times New Roman" w:eastAsiaTheme="majorEastAsia"/>
          <w:b/>
          <w:bCs/>
          <w:sz w:val="24"/>
          <w:szCs w:val="20"/>
        </w:rPr>
      </w:pPr>
      <w:r>
        <w:rPr>
          <w:rFonts w:hint="eastAsia" w:ascii="Times New Roman" w:hAnsi="Times New Roman" w:cs="Times New Roman" w:eastAsiaTheme="majorEastAsia"/>
          <w:b/>
          <w:bCs/>
          <w:sz w:val="24"/>
          <w:szCs w:val="20"/>
          <w:lang w:val="en-US" w:eastAsia="zh-CN"/>
        </w:rPr>
        <w:t>五</w:t>
      </w:r>
      <w:r>
        <w:rPr>
          <w:rFonts w:hint="eastAsia" w:ascii="Times New Roman" w:hAnsi="Times New Roman" w:cs="Times New Roman" w:eastAsiaTheme="majorEastAsia"/>
          <w:b/>
          <w:bCs/>
          <w:sz w:val="24"/>
          <w:szCs w:val="20"/>
        </w:rPr>
        <w:t>、同一基金不同类别基金份额间相互转换业务的费率计算</w:t>
      </w:r>
    </w:p>
    <w:p w14:paraId="5A2C30BE">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 xml:space="preserve">1、每笔基金转换视为一笔赎回和一笔申购，基金转换费用相应由转出基金的赎回费用及转出、转入基金的申购补差费用构成。 </w:t>
      </w:r>
    </w:p>
    <w:p w14:paraId="3E72DD1E">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2、转出基金的赎回费用</w:t>
      </w:r>
    </w:p>
    <w:p w14:paraId="4D7A870E">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14:paraId="3358B9E5">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3、转出与转入基金的申购补差费用</w:t>
      </w:r>
    </w:p>
    <w:p w14:paraId="620AF5CD">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遇固定费用，则按实际产生补差费用收取。</w:t>
      </w:r>
    </w:p>
    <w:p w14:paraId="545551E2">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4、转换份额的计算公式：</w:t>
      </w:r>
    </w:p>
    <w:p w14:paraId="1D552A08">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转出确认金额=转出的基金份额×转换申请当日转出基金的基金份额净值</w:t>
      </w:r>
    </w:p>
    <w:p w14:paraId="0CD56F57">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转出基金的赎回费=转出确认金额×对应的转出基金的赎回费率</w:t>
      </w:r>
    </w:p>
    <w:p w14:paraId="5D674563">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转入确认金额=转出确认金额-转出基金的赎回费</w:t>
      </w:r>
    </w:p>
    <w:p w14:paraId="2156B5A7">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转出与转入基金的申购补差费=转入确认金额×对应的转出与转入基金的申购补差费率/（1+对应的转出与转入基金的申购补差费率）</w:t>
      </w:r>
    </w:p>
    <w:p w14:paraId="02FE0755">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（注：若转出基金申购费率不低于转入基金申购费率，转出与转入基金的申购补差费为零）</w:t>
      </w:r>
    </w:p>
    <w:p w14:paraId="750C0285">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对于涉及固定费用的，转出与转入基金的申购补差费＝MAX（0，转出基金和转入基金申购费用之差）</w:t>
      </w:r>
    </w:p>
    <w:p w14:paraId="61DB8572">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转入基金确认份额=（转入确认金额-转出与转入基金的申购补差费+A）/转换申请当日转入基金的基金份额净值</w:t>
      </w:r>
    </w:p>
    <w:p w14:paraId="234F6603">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其中：</w:t>
      </w:r>
    </w:p>
    <w:p w14:paraId="612BA599">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A为货币市场基金转出的基金份额按比例结转的账户当前累计待支付收益（仅限转出基金为货币市场基金的情形，否则A为0）。</w:t>
      </w:r>
    </w:p>
    <w:p w14:paraId="24420318">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转入基金确认份额的计算精确到小数点后两位，小数点后两位以后的部分四舍五入，误差部分归基金财产。</w:t>
      </w:r>
    </w:p>
    <w:p w14:paraId="2BD3B34D">
      <w:pPr>
        <w:spacing w:line="360" w:lineRule="auto"/>
        <w:ind w:firstLine="480" w:firstLineChars="200"/>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5、投资者在各基金销售机构办理基金转换业务时，具体费率优惠细则请以销售机构的相关公告和规定为准。</w:t>
      </w:r>
    </w:p>
    <w:p w14:paraId="1BA00EB2">
      <w:pPr>
        <w:spacing w:line="360" w:lineRule="auto"/>
        <w:ind w:firstLine="420" w:firstLineChars="200"/>
      </w:pPr>
    </w:p>
    <w:p w14:paraId="773FEA99">
      <w:pPr>
        <w:pStyle w:val="9"/>
        <w:spacing w:before="0" w:beforeAutospacing="0" w:after="0" w:afterAutospacing="0" w:line="360" w:lineRule="auto"/>
        <w:ind w:firstLine="482" w:firstLineChars="200"/>
        <w:jc w:val="both"/>
        <w:rPr>
          <w:rFonts w:ascii="Times New Roman" w:hAnsi="Times New Roman" w:cs="Times New Roman" w:eastAsiaTheme="majorEastAsia"/>
          <w:b/>
          <w:color w:val="000000"/>
        </w:rPr>
      </w:pPr>
      <w:r>
        <w:rPr>
          <w:rFonts w:hint="eastAsia" w:ascii="Times New Roman" w:hAnsi="Times New Roman" w:cs="Times New Roman" w:eastAsiaTheme="majorEastAsia"/>
          <w:b/>
          <w:color w:val="000000"/>
        </w:rPr>
        <w:t>重要提示：</w:t>
      </w:r>
    </w:p>
    <w:p w14:paraId="708460B9">
      <w:pPr>
        <w:pStyle w:val="9"/>
        <w:spacing w:before="0" w:beforeAutospacing="0" w:after="0" w:afterAutospacing="0" w:line="360" w:lineRule="auto"/>
        <w:ind w:firstLine="480" w:firstLineChars="200"/>
        <w:jc w:val="both"/>
        <w:rPr>
          <w:rFonts w:ascii="Times New Roman" w:hAnsi="Times New Roman" w:cs="Times New Roman" w:eastAsiaTheme="majorEastAsia"/>
          <w:color w:val="000000"/>
        </w:rPr>
      </w:pPr>
      <w:r>
        <w:rPr>
          <w:rFonts w:ascii="Times New Roman" w:hAnsi="Times New Roman" w:cs="Times New Roman" w:eastAsiaTheme="majorEastAsia"/>
          <w:color w:val="000000"/>
        </w:rPr>
        <w:t>1、上述修改对基金份额持有人利益无实质性不利影响，可不经基金份额持有人大会</w:t>
      </w:r>
      <w:r>
        <w:rPr>
          <w:rFonts w:hint="eastAsia" w:ascii="Times New Roman" w:hAnsi="Times New Roman" w:cs="Times New Roman" w:eastAsiaTheme="majorEastAsia"/>
          <w:color w:val="000000"/>
        </w:rPr>
        <w:t>审议</w:t>
      </w:r>
      <w:r>
        <w:rPr>
          <w:rFonts w:ascii="Times New Roman" w:hAnsi="Times New Roman" w:cs="Times New Roman" w:eastAsiaTheme="majorEastAsia"/>
          <w:color w:val="000000"/>
        </w:rPr>
        <w:t>。</w:t>
      </w:r>
    </w:p>
    <w:p w14:paraId="433F3648">
      <w:pPr>
        <w:pStyle w:val="9"/>
        <w:spacing w:before="0" w:beforeAutospacing="0" w:after="0" w:afterAutospacing="0" w:line="360" w:lineRule="auto"/>
        <w:ind w:firstLine="480" w:firstLineChars="200"/>
        <w:jc w:val="both"/>
        <w:rPr>
          <w:rFonts w:ascii="Times New Roman" w:hAnsi="Times New Roman" w:cs="Times New Roman" w:eastAsiaTheme="majorEastAsia"/>
          <w:color w:val="000000"/>
        </w:rPr>
      </w:pPr>
      <w:r>
        <w:rPr>
          <w:rFonts w:ascii="Times New Roman" w:hAnsi="Times New Roman" w:cs="Times New Roman" w:eastAsiaTheme="majorEastAsia"/>
          <w:color w:val="000000"/>
        </w:rPr>
        <w:t>2、</w:t>
      </w:r>
      <w:r>
        <w:rPr>
          <w:rFonts w:hint="eastAsia" w:ascii="Times New Roman" w:hAnsi="Times New Roman" w:cs="Times New Roman" w:eastAsiaTheme="majorEastAsia"/>
          <w:color w:val="000000"/>
        </w:rPr>
        <w:t>修改后的基金合同、托管协议自202</w:t>
      </w:r>
      <w:r>
        <w:rPr>
          <w:rFonts w:hint="eastAsia" w:ascii="Times New Roman" w:hAnsi="Times New Roman" w:cs="Times New Roman" w:eastAsiaTheme="majorEastAsia"/>
          <w:color w:val="000000"/>
          <w:lang w:val="en-US" w:eastAsia="zh-CN"/>
        </w:rPr>
        <w:t>6</w:t>
      </w:r>
      <w:r>
        <w:rPr>
          <w:rFonts w:hint="eastAsia" w:ascii="Times New Roman" w:hAnsi="Times New Roman" w:cs="Times New Roman" w:eastAsiaTheme="majorEastAsia"/>
          <w:color w:val="000000"/>
        </w:rPr>
        <w:t>年</w:t>
      </w:r>
      <w:r>
        <w:rPr>
          <w:rFonts w:hint="eastAsia" w:ascii="Times New Roman" w:hAnsi="Times New Roman" w:cs="Times New Roman" w:eastAsiaTheme="majorEastAsia"/>
          <w:bCs/>
          <w:szCs w:val="20"/>
          <w:lang w:val="en-US" w:eastAsia="zh-CN"/>
        </w:rPr>
        <w:t>3</w:t>
      </w:r>
      <w:r>
        <w:rPr>
          <w:rFonts w:hint="eastAsia" w:ascii="Times New Roman" w:hAnsi="Times New Roman" w:cs="Times New Roman" w:eastAsiaTheme="majorEastAsia"/>
          <w:bCs/>
          <w:szCs w:val="20"/>
        </w:rPr>
        <w:t>月</w:t>
      </w:r>
      <w:r>
        <w:rPr>
          <w:rFonts w:hint="eastAsia" w:ascii="Times New Roman" w:hAnsi="Times New Roman" w:cs="Times New Roman" w:eastAsiaTheme="majorEastAsia"/>
          <w:bCs/>
          <w:szCs w:val="20"/>
          <w:lang w:val="en-US" w:eastAsia="zh-CN"/>
        </w:rPr>
        <w:t>3</w:t>
      </w:r>
      <w:r>
        <w:rPr>
          <w:rFonts w:hint="eastAsia" w:ascii="Times New Roman" w:hAnsi="Times New Roman" w:cs="Times New Roman" w:eastAsiaTheme="majorEastAsia"/>
          <w:bCs/>
          <w:szCs w:val="20"/>
        </w:rPr>
        <w:t>日</w:t>
      </w:r>
      <w:r>
        <w:rPr>
          <w:rFonts w:hint="eastAsia" w:ascii="Times New Roman" w:hAnsi="Times New Roman" w:cs="Times New Roman" w:eastAsiaTheme="majorEastAsia"/>
          <w:color w:val="000000"/>
        </w:rPr>
        <w:t>起生效，本公司已履行了规定程序，符合相关法律法规的规定及基金合同、托管协议的约定。修改后的基金合同、托管协议全文将与本公告同日登载于基金管理人网站（www.fund001.com）及中国证监会基金电子披露网站（http://eid.csrc.gov.cn/fund）。本次修订后的招募说明书（更新）和基金产品资料概要（更新）将在本公司网站发布，供投资者查阅。</w:t>
      </w:r>
    </w:p>
    <w:p w14:paraId="5C3B37F6">
      <w:pPr>
        <w:spacing w:line="360" w:lineRule="auto"/>
        <w:ind w:firstLine="480" w:firstLineChars="200"/>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3、本</w:t>
      </w:r>
      <w:r>
        <w:rPr>
          <w:rFonts w:hint="default" w:ascii="Times New Roman" w:hAnsi="Times New Roman" w:cs="Times New Roman" w:eastAsiaTheme="majorEastAsia"/>
          <w:color w:val="000000"/>
          <w:kern w:val="0"/>
          <w:sz w:val="24"/>
          <w:szCs w:val="24"/>
          <w:lang w:val="en-US" w:eastAsia="zh-CN"/>
        </w:rPr>
        <w:t>转换</w:t>
      </w:r>
      <w:r>
        <w:rPr>
          <w:rFonts w:hint="default" w:ascii="Times New Roman" w:hAnsi="Times New Roman" w:cs="Times New Roman" w:eastAsiaTheme="majorEastAsia"/>
          <w:color w:val="000000"/>
          <w:kern w:val="0"/>
          <w:sz w:val="24"/>
          <w:szCs w:val="24"/>
        </w:rPr>
        <w:t>业务的办理时间为上海证券交易所、深圳证券交易所的正常交易日的交易时间，但基金管理人根据法律法规、中国证监会的要求或基金合同的规定公告暂停申购、赎回等业务时除外。投资者可以在上述基金的开放期内，到上述基金的销售机构咨询和办理本业务。</w:t>
      </w:r>
    </w:p>
    <w:p w14:paraId="4396496F">
      <w:pPr>
        <w:pStyle w:val="9"/>
        <w:spacing w:before="0" w:beforeAutospacing="0" w:after="0" w:afterAutospacing="0" w:line="360" w:lineRule="auto"/>
        <w:ind w:firstLine="480" w:firstLineChars="200"/>
        <w:rPr>
          <w:rFonts w:ascii="Times New Roman" w:hAnsi="Times New Roman" w:cs="Times New Roman" w:eastAsiaTheme="majorEastAsia"/>
          <w:color w:val="000000"/>
        </w:rPr>
      </w:pPr>
      <w:r>
        <w:rPr>
          <w:rFonts w:hint="default" w:ascii="Times New Roman" w:hAnsi="Times New Roman" w:cs="Times New Roman" w:eastAsiaTheme="majorEastAsia"/>
          <w:color w:val="000000"/>
          <w:kern w:val="0"/>
          <w:sz w:val="24"/>
          <w:szCs w:val="24"/>
        </w:rPr>
        <w:t>4、本公司若暂停办理该业务，将另行发布公告。投资者可登陆本公司网站（www.fund001.com），或拨打本公司客户服务电话（400-700-5000，021-61055000）获取相关信息。</w:t>
      </w:r>
    </w:p>
    <w:p w14:paraId="5BA6A819">
      <w:pPr>
        <w:pStyle w:val="9"/>
        <w:spacing w:line="360" w:lineRule="auto"/>
        <w:ind w:firstLine="480" w:firstLineChars="200"/>
        <w:rPr>
          <w:rFonts w:ascii="Times New Roman" w:hAnsi="Times New Roman" w:cs="Times New Roman" w:eastAsiaTheme="majorEastAsia"/>
          <w:color w:val="000000"/>
        </w:rPr>
      </w:pPr>
      <w:r>
        <w:rPr>
          <w:rFonts w:ascii="Times New Roman" w:hAnsi="Times New Roman" w:cs="Times New Roman" w:eastAsiaTheme="majorEastAsia"/>
          <w:color w:val="000000"/>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538E3026">
      <w:pPr>
        <w:pStyle w:val="9"/>
        <w:spacing w:before="0" w:beforeAutospacing="0" w:after="0" w:afterAutospacing="0" w:line="360" w:lineRule="auto"/>
        <w:ind w:firstLine="480" w:firstLineChars="200"/>
        <w:rPr>
          <w:rFonts w:ascii="Times New Roman" w:hAnsi="Times New Roman" w:cs="Times New Roman" w:eastAsiaTheme="majorEastAsia"/>
          <w:color w:val="000000"/>
        </w:rPr>
      </w:pPr>
      <w:r>
        <w:rPr>
          <w:rFonts w:ascii="Times New Roman" w:hAnsi="Times New Roman" w:cs="Times New Roman" w:eastAsiaTheme="majorEastAsia"/>
          <w:color w:val="000000"/>
        </w:rPr>
        <w:t>特此公告。</w:t>
      </w:r>
    </w:p>
    <w:p w14:paraId="34B51977">
      <w:pPr>
        <w:pStyle w:val="9"/>
        <w:spacing w:line="360" w:lineRule="auto"/>
        <w:jc w:val="right"/>
        <w:rPr>
          <w:rFonts w:ascii="Times New Roman" w:hAnsi="Times New Roman" w:cs="Times New Roman" w:eastAsiaTheme="majorEastAsia"/>
          <w:color w:val="000000"/>
        </w:rPr>
      </w:pPr>
      <w:r>
        <w:rPr>
          <w:rFonts w:ascii="Times New Roman" w:hAnsi="Times New Roman" w:cs="Times New Roman" w:eastAsiaTheme="majorEastAsia"/>
          <w:color w:val="000000"/>
        </w:rPr>
        <w:t>交银施罗德基金管理有限公司</w:t>
      </w:r>
    </w:p>
    <w:p w14:paraId="33E4D7EB">
      <w:pPr>
        <w:pStyle w:val="9"/>
        <w:spacing w:line="360" w:lineRule="auto"/>
        <w:jc w:val="right"/>
      </w:pPr>
      <w:r>
        <w:rPr>
          <w:rFonts w:ascii="Times New Roman" w:hAnsi="Times New Roman" w:cs="Times New Roman" w:eastAsiaTheme="majorEastAsia"/>
          <w:color w:val="000000"/>
        </w:rPr>
        <w:t>二〇二</w:t>
      </w:r>
      <w:r>
        <w:rPr>
          <w:rFonts w:hint="eastAsia" w:ascii="Times New Roman" w:hAnsi="Times New Roman" w:cs="Times New Roman" w:eastAsiaTheme="majorEastAsia"/>
          <w:color w:val="000000"/>
          <w:lang w:val="en-US" w:eastAsia="zh-CN"/>
        </w:rPr>
        <w:t>六</w:t>
      </w:r>
      <w:r>
        <w:rPr>
          <w:rFonts w:ascii="Times New Roman" w:hAnsi="Times New Roman" w:cs="Times New Roman" w:eastAsiaTheme="majorEastAsia"/>
          <w:color w:val="000000"/>
        </w:rPr>
        <w:t>年</w:t>
      </w:r>
      <w:r>
        <w:rPr>
          <w:rFonts w:hint="eastAsia" w:ascii="Times New Roman" w:hAnsi="Times New Roman" w:cs="Times New Roman" w:eastAsiaTheme="majorEastAsia"/>
          <w:color w:val="000000"/>
          <w:lang w:val="en-US" w:eastAsia="zh-CN"/>
        </w:rPr>
        <w:t>三</w:t>
      </w:r>
      <w:r>
        <w:rPr>
          <w:rFonts w:ascii="Times New Roman" w:hAnsi="Times New Roman" w:cs="Times New Roman" w:eastAsiaTheme="majorEastAsia"/>
          <w:color w:val="000000"/>
        </w:rPr>
        <w:t>月</w:t>
      </w:r>
      <w:r>
        <w:rPr>
          <w:rFonts w:hint="eastAsia" w:ascii="Times New Roman" w:hAnsi="Times New Roman" w:cs="Times New Roman" w:eastAsiaTheme="majorEastAsia"/>
          <w:color w:val="000000"/>
          <w:lang w:val="en-US" w:eastAsia="zh-CN"/>
        </w:rPr>
        <w:t>三</w:t>
      </w:r>
      <w:r>
        <w:rPr>
          <w:rFonts w:ascii="Times New Roman" w:hAnsi="Times New Roman" w:cs="Times New Roman" w:eastAsiaTheme="majorEastAsia"/>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36BE"/>
    <w:rsid w:val="000068D4"/>
    <w:rsid w:val="000114C4"/>
    <w:rsid w:val="00012BFD"/>
    <w:rsid w:val="000251E6"/>
    <w:rsid w:val="000277DA"/>
    <w:rsid w:val="00031078"/>
    <w:rsid w:val="00034218"/>
    <w:rsid w:val="00037EE0"/>
    <w:rsid w:val="000458A4"/>
    <w:rsid w:val="00053286"/>
    <w:rsid w:val="00055F04"/>
    <w:rsid w:val="0005794E"/>
    <w:rsid w:val="0006140E"/>
    <w:rsid w:val="00061F8F"/>
    <w:rsid w:val="00063809"/>
    <w:rsid w:val="00063B70"/>
    <w:rsid w:val="00064928"/>
    <w:rsid w:val="00065F75"/>
    <w:rsid w:val="0006658F"/>
    <w:rsid w:val="0006726F"/>
    <w:rsid w:val="000708CC"/>
    <w:rsid w:val="00072602"/>
    <w:rsid w:val="0007340C"/>
    <w:rsid w:val="000748A9"/>
    <w:rsid w:val="0008648E"/>
    <w:rsid w:val="000873ED"/>
    <w:rsid w:val="000903A5"/>
    <w:rsid w:val="000910C2"/>
    <w:rsid w:val="00092EB2"/>
    <w:rsid w:val="00096DD2"/>
    <w:rsid w:val="00097096"/>
    <w:rsid w:val="0009713A"/>
    <w:rsid w:val="00097346"/>
    <w:rsid w:val="00097C70"/>
    <w:rsid w:val="000A3905"/>
    <w:rsid w:val="000B1D05"/>
    <w:rsid w:val="000B30E8"/>
    <w:rsid w:val="000B4BB5"/>
    <w:rsid w:val="000C339F"/>
    <w:rsid w:val="000C453D"/>
    <w:rsid w:val="000D00C7"/>
    <w:rsid w:val="000D0917"/>
    <w:rsid w:val="000D284F"/>
    <w:rsid w:val="000D4906"/>
    <w:rsid w:val="000D77E7"/>
    <w:rsid w:val="000D7BDD"/>
    <w:rsid w:val="000E0655"/>
    <w:rsid w:val="000E7512"/>
    <w:rsid w:val="000E77C6"/>
    <w:rsid w:val="000F5D4F"/>
    <w:rsid w:val="000F7AFD"/>
    <w:rsid w:val="0010360B"/>
    <w:rsid w:val="00105F43"/>
    <w:rsid w:val="00106181"/>
    <w:rsid w:val="001126EF"/>
    <w:rsid w:val="00116A95"/>
    <w:rsid w:val="00123111"/>
    <w:rsid w:val="00124702"/>
    <w:rsid w:val="00124E75"/>
    <w:rsid w:val="001278EA"/>
    <w:rsid w:val="0013040F"/>
    <w:rsid w:val="00134359"/>
    <w:rsid w:val="001346B4"/>
    <w:rsid w:val="00134CC8"/>
    <w:rsid w:val="0013704C"/>
    <w:rsid w:val="00154213"/>
    <w:rsid w:val="00155E75"/>
    <w:rsid w:val="001618F5"/>
    <w:rsid w:val="00165C80"/>
    <w:rsid w:val="00170AB4"/>
    <w:rsid w:val="00171CB5"/>
    <w:rsid w:val="00180E03"/>
    <w:rsid w:val="001823AE"/>
    <w:rsid w:val="00184885"/>
    <w:rsid w:val="0018656D"/>
    <w:rsid w:val="00191075"/>
    <w:rsid w:val="00194AF7"/>
    <w:rsid w:val="001A017E"/>
    <w:rsid w:val="001A1AD5"/>
    <w:rsid w:val="001A46D6"/>
    <w:rsid w:val="001A4E85"/>
    <w:rsid w:val="001A7621"/>
    <w:rsid w:val="001B0F32"/>
    <w:rsid w:val="001B3BB5"/>
    <w:rsid w:val="001B40BA"/>
    <w:rsid w:val="001B4ADB"/>
    <w:rsid w:val="001B52BD"/>
    <w:rsid w:val="001B54B6"/>
    <w:rsid w:val="001C2429"/>
    <w:rsid w:val="001C5444"/>
    <w:rsid w:val="001D5BEF"/>
    <w:rsid w:val="001D68B5"/>
    <w:rsid w:val="001D6BA1"/>
    <w:rsid w:val="001E0DBC"/>
    <w:rsid w:val="001E0E23"/>
    <w:rsid w:val="001E1FE3"/>
    <w:rsid w:val="001E4229"/>
    <w:rsid w:val="001E735D"/>
    <w:rsid w:val="001F2D88"/>
    <w:rsid w:val="001F78B4"/>
    <w:rsid w:val="00202E04"/>
    <w:rsid w:val="00204FCE"/>
    <w:rsid w:val="00210F89"/>
    <w:rsid w:val="00215388"/>
    <w:rsid w:val="002226B9"/>
    <w:rsid w:val="0022672C"/>
    <w:rsid w:val="00227080"/>
    <w:rsid w:val="00230266"/>
    <w:rsid w:val="002308FC"/>
    <w:rsid w:val="00236CAB"/>
    <w:rsid w:val="002375A7"/>
    <w:rsid w:val="00245008"/>
    <w:rsid w:val="00246885"/>
    <w:rsid w:val="00255441"/>
    <w:rsid w:val="0025749D"/>
    <w:rsid w:val="00261460"/>
    <w:rsid w:val="00267310"/>
    <w:rsid w:val="002708EF"/>
    <w:rsid w:val="00280ECD"/>
    <w:rsid w:val="00290567"/>
    <w:rsid w:val="00292E7A"/>
    <w:rsid w:val="00297699"/>
    <w:rsid w:val="002A0074"/>
    <w:rsid w:val="002A1523"/>
    <w:rsid w:val="002A5FB0"/>
    <w:rsid w:val="002A6BF9"/>
    <w:rsid w:val="002A6F38"/>
    <w:rsid w:val="002A7767"/>
    <w:rsid w:val="002B0FEC"/>
    <w:rsid w:val="002B7C2A"/>
    <w:rsid w:val="002C1BA7"/>
    <w:rsid w:val="002C2715"/>
    <w:rsid w:val="002C29FF"/>
    <w:rsid w:val="002D289C"/>
    <w:rsid w:val="002D35CA"/>
    <w:rsid w:val="002D37B4"/>
    <w:rsid w:val="002E2BEE"/>
    <w:rsid w:val="002F09AC"/>
    <w:rsid w:val="002F0CD4"/>
    <w:rsid w:val="002F1720"/>
    <w:rsid w:val="003068EE"/>
    <w:rsid w:val="00307F1A"/>
    <w:rsid w:val="00310B84"/>
    <w:rsid w:val="00310F53"/>
    <w:rsid w:val="00314043"/>
    <w:rsid w:val="003179B9"/>
    <w:rsid w:val="00320090"/>
    <w:rsid w:val="00320607"/>
    <w:rsid w:val="0032403D"/>
    <w:rsid w:val="0032437C"/>
    <w:rsid w:val="0032585B"/>
    <w:rsid w:val="00326D55"/>
    <w:rsid w:val="00333C76"/>
    <w:rsid w:val="00333ECD"/>
    <w:rsid w:val="00335252"/>
    <w:rsid w:val="00335482"/>
    <w:rsid w:val="00335E45"/>
    <w:rsid w:val="003415CF"/>
    <w:rsid w:val="003429D2"/>
    <w:rsid w:val="00343BB6"/>
    <w:rsid w:val="0034401E"/>
    <w:rsid w:val="0035120B"/>
    <w:rsid w:val="00352F5F"/>
    <w:rsid w:val="00354347"/>
    <w:rsid w:val="0035725F"/>
    <w:rsid w:val="00357B02"/>
    <w:rsid w:val="00360587"/>
    <w:rsid w:val="00370D0A"/>
    <w:rsid w:val="0037379B"/>
    <w:rsid w:val="00374829"/>
    <w:rsid w:val="00377E18"/>
    <w:rsid w:val="00380DDF"/>
    <w:rsid w:val="0038243B"/>
    <w:rsid w:val="00383CAA"/>
    <w:rsid w:val="00387972"/>
    <w:rsid w:val="0039059A"/>
    <w:rsid w:val="003919E2"/>
    <w:rsid w:val="0039571A"/>
    <w:rsid w:val="00396AE9"/>
    <w:rsid w:val="003A3CAD"/>
    <w:rsid w:val="003A5A67"/>
    <w:rsid w:val="003B19AF"/>
    <w:rsid w:val="003B4E5B"/>
    <w:rsid w:val="003D0ABE"/>
    <w:rsid w:val="003E08D2"/>
    <w:rsid w:val="003F4739"/>
    <w:rsid w:val="004000FD"/>
    <w:rsid w:val="00405955"/>
    <w:rsid w:val="00416BF0"/>
    <w:rsid w:val="0043285A"/>
    <w:rsid w:val="0043744B"/>
    <w:rsid w:val="00441ADF"/>
    <w:rsid w:val="0044463C"/>
    <w:rsid w:val="00451B45"/>
    <w:rsid w:val="00457ADE"/>
    <w:rsid w:val="00461D30"/>
    <w:rsid w:val="004621C1"/>
    <w:rsid w:val="0047240A"/>
    <w:rsid w:val="0047420B"/>
    <w:rsid w:val="0047470B"/>
    <w:rsid w:val="00480A4D"/>
    <w:rsid w:val="00480D08"/>
    <w:rsid w:val="00484F9E"/>
    <w:rsid w:val="00490C06"/>
    <w:rsid w:val="004920EA"/>
    <w:rsid w:val="00495473"/>
    <w:rsid w:val="00496E28"/>
    <w:rsid w:val="00497534"/>
    <w:rsid w:val="004A3EB7"/>
    <w:rsid w:val="004A7543"/>
    <w:rsid w:val="004B134F"/>
    <w:rsid w:val="004B1FED"/>
    <w:rsid w:val="004B6E26"/>
    <w:rsid w:val="004D05DD"/>
    <w:rsid w:val="004D11AD"/>
    <w:rsid w:val="004D4E4E"/>
    <w:rsid w:val="004D756A"/>
    <w:rsid w:val="004E2AF7"/>
    <w:rsid w:val="004E4869"/>
    <w:rsid w:val="004E6EC2"/>
    <w:rsid w:val="004F2B6D"/>
    <w:rsid w:val="004F4396"/>
    <w:rsid w:val="004F6469"/>
    <w:rsid w:val="00500DB4"/>
    <w:rsid w:val="00504950"/>
    <w:rsid w:val="00506E2C"/>
    <w:rsid w:val="0051110A"/>
    <w:rsid w:val="00511B61"/>
    <w:rsid w:val="00512939"/>
    <w:rsid w:val="00512D08"/>
    <w:rsid w:val="005139AA"/>
    <w:rsid w:val="00514806"/>
    <w:rsid w:val="00515BD9"/>
    <w:rsid w:val="0051696F"/>
    <w:rsid w:val="00517A9E"/>
    <w:rsid w:val="0052141E"/>
    <w:rsid w:val="00521D1E"/>
    <w:rsid w:val="005234EC"/>
    <w:rsid w:val="00523E72"/>
    <w:rsid w:val="00526BD0"/>
    <w:rsid w:val="00527244"/>
    <w:rsid w:val="00532774"/>
    <w:rsid w:val="00534D44"/>
    <w:rsid w:val="00551CE4"/>
    <w:rsid w:val="00552487"/>
    <w:rsid w:val="0055311F"/>
    <w:rsid w:val="00553833"/>
    <w:rsid w:val="00561449"/>
    <w:rsid w:val="0056521B"/>
    <w:rsid w:val="00565CEB"/>
    <w:rsid w:val="00566B1C"/>
    <w:rsid w:val="0057774E"/>
    <w:rsid w:val="005828E6"/>
    <w:rsid w:val="00583B5E"/>
    <w:rsid w:val="0058534C"/>
    <w:rsid w:val="00587071"/>
    <w:rsid w:val="005876E1"/>
    <w:rsid w:val="00590980"/>
    <w:rsid w:val="005926A3"/>
    <w:rsid w:val="00592E50"/>
    <w:rsid w:val="005A0ABC"/>
    <w:rsid w:val="005A1702"/>
    <w:rsid w:val="005A1D7A"/>
    <w:rsid w:val="005A4570"/>
    <w:rsid w:val="005A7965"/>
    <w:rsid w:val="005B0E95"/>
    <w:rsid w:val="005B5654"/>
    <w:rsid w:val="005B7DD4"/>
    <w:rsid w:val="005C295F"/>
    <w:rsid w:val="005C34D0"/>
    <w:rsid w:val="005C4CDB"/>
    <w:rsid w:val="005C638A"/>
    <w:rsid w:val="005D1CBA"/>
    <w:rsid w:val="005D2876"/>
    <w:rsid w:val="005D38A3"/>
    <w:rsid w:val="005F13D6"/>
    <w:rsid w:val="005F23EF"/>
    <w:rsid w:val="005F2AF7"/>
    <w:rsid w:val="0060060C"/>
    <w:rsid w:val="00613958"/>
    <w:rsid w:val="006150A5"/>
    <w:rsid w:val="0062023F"/>
    <w:rsid w:val="00622E1C"/>
    <w:rsid w:val="006272DF"/>
    <w:rsid w:val="00630CF3"/>
    <w:rsid w:val="00631FC4"/>
    <w:rsid w:val="00635225"/>
    <w:rsid w:val="00636865"/>
    <w:rsid w:val="0063794A"/>
    <w:rsid w:val="006413CB"/>
    <w:rsid w:val="00643583"/>
    <w:rsid w:val="00653789"/>
    <w:rsid w:val="00653AA5"/>
    <w:rsid w:val="00653AEE"/>
    <w:rsid w:val="00653BDA"/>
    <w:rsid w:val="00655B8A"/>
    <w:rsid w:val="00660E52"/>
    <w:rsid w:val="006627D1"/>
    <w:rsid w:val="00662937"/>
    <w:rsid w:val="00667925"/>
    <w:rsid w:val="00667F9F"/>
    <w:rsid w:val="00671D42"/>
    <w:rsid w:val="00672CA5"/>
    <w:rsid w:val="00674E74"/>
    <w:rsid w:val="00681121"/>
    <w:rsid w:val="0068381E"/>
    <w:rsid w:val="00684620"/>
    <w:rsid w:val="006878E4"/>
    <w:rsid w:val="00692065"/>
    <w:rsid w:val="00692C89"/>
    <w:rsid w:val="0069418A"/>
    <w:rsid w:val="00695C4E"/>
    <w:rsid w:val="00696384"/>
    <w:rsid w:val="00696762"/>
    <w:rsid w:val="00696AC2"/>
    <w:rsid w:val="006A012B"/>
    <w:rsid w:val="006A1BCB"/>
    <w:rsid w:val="006A32F4"/>
    <w:rsid w:val="006A3C1D"/>
    <w:rsid w:val="006A5DB7"/>
    <w:rsid w:val="006A7BC8"/>
    <w:rsid w:val="006B429D"/>
    <w:rsid w:val="006B62F0"/>
    <w:rsid w:val="006C2149"/>
    <w:rsid w:val="006C64C9"/>
    <w:rsid w:val="006D22B3"/>
    <w:rsid w:val="006D5D9E"/>
    <w:rsid w:val="006E1FF9"/>
    <w:rsid w:val="00701CBF"/>
    <w:rsid w:val="00703B67"/>
    <w:rsid w:val="007047A3"/>
    <w:rsid w:val="007059E8"/>
    <w:rsid w:val="00712AD4"/>
    <w:rsid w:val="00712D98"/>
    <w:rsid w:val="00713CC8"/>
    <w:rsid w:val="00720573"/>
    <w:rsid w:val="00722154"/>
    <w:rsid w:val="00723FA5"/>
    <w:rsid w:val="007248C7"/>
    <w:rsid w:val="00724B97"/>
    <w:rsid w:val="007339C7"/>
    <w:rsid w:val="00734561"/>
    <w:rsid w:val="0073563B"/>
    <w:rsid w:val="00735789"/>
    <w:rsid w:val="00737256"/>
    <w:rsid w:val="00737CA6"/>
    <w:rsid w:val="00741E64"/>
    <w:rsid w:val="007426CB"/>
    <w:rsid w:val="00747FA2"/>
    <w:rsid w:val="007519DB"/>
    <w:rsid w:val="00751DEC"/>
    <w:rsid w:val="00751E2D"/>
    <w:rsid w:val="00751F60"/>
    <w:rsid w:val="00753FDD"/>
    <w:rsid w:val="0076454E"/>
    <w:rsid w:val="00765E78"/>
    <w:rsid w:val="0076603A"/>
    <w:rsid w:val="00770880"/>
    <w:rsid w:val="00771C26"/>
    <w:rsid w:val="00772AEA"/>
    <w:rsid w:val="007767F0"/>
    <w:rsid w:val="00781F26"/>
    <w:rsid w:val="00783A06"/>
    <w:rsid w:val="00793B59"/>
    <w:rsid w:val="007A340D"/>
    <w:rsid w:val="007A54C0"/>
    <w:rsid w:val="007A57D1"/>
    <w:rsid w:val="007B138F"/>
    <w:rsid w:val="007B4740"/>
    <w:rsid w:val="007C0CC2"/>
    <w:rsid w:val="007C234F"/>
    <w:rsid w:val="007C5168"/>
    <w:rsid w:val="007D613B"/>
    <w:rsid w:val="007E0BE6"/>
    <w:rsid w:val="007E2DE2"/>
    <w:rsid w:val="007E3956"/>
    <w:rsid w:val="007E5DAC"/>
    <w:rsid w:val="007F2052"/>
    <w:rsid w:val="007F32D7"/>
    <w:rsid w:val="007F4A23"/>
    <w:rsid w:val="007F65E3"/>
    <w:rsid w:val="00801768"/>
    <w:rsid w:val="00814302"/>
    <w:rsid w:val="00825504"/>
    <w:rsid w:val="0083006A"/>
    <w:rsid w:val="0083208A"/>
    <w:rsid w:val="008345DC"/>
    <w:rsid w:val="00835252"/>
    <w:rsid w:val="00843C9D"/>
    <w:rsid w:val="00853791"/>
    <w:rsid w:val="008539B9"/>
    <w:rsid w:val="00856C32"/>
    <w:rsid w:val="0086018E"/>
    <w:rsid w:val="0086045F"/>
    <w:rsid w:val="0086049D"/>
    <w:rsid w:val="0087001C"/>
    <w:rsid w:val="008720B5"/>
    <w:rsid w:val="008756B2"/>
    <w:rsid w:val="008777F8"/>
    <w:rsid w:val="00880756"/>
    <w:rsid w:val="0088314E"/>
    <w:rsid w:val="008867E3"/>
    <w:rsid w:val="00890B82"/>
    <w:rsid w:val="00893F10"/>
    <w:rsid w:val="0089532B"/>
    <w:rsid w:val="008A197A"/>
    <w:rsid w:val="008A3596"/>
    <w:rsid w:val="008B09A3"/>
    <w:rsid w:val="008B1C74"/>
    <w:rsid w:val="008B52E0"/>
    <w:rsid w:val="008C1BA3"/>
    <w:rsid w:val="008C3678"/>
    <w:rsid w:val="008D08F5"/>
    <w:rsid w:val="008D3272"/>
    <w:rsid w:val="008D33B8"/>
    <w:rsid w:val="008E3B48"/>
    <w:rsid w:val="008E4757"/>
    <w:rsid w:val="008E510E"/>
    <w:rsid w:val="008E55B0"/>
    <w:rsid w:val="008E798C"/>
    <w:rsid w:val="008F71CF"/>
    <w:rsid w:val="00902C56"/>
    <w:rsid w:val="0090374E"/>
    <w:rsid w:val="00911785"/>
    <w:rsid w:val="0091518A"/>
    <w:rsid w:val="009153F6"/>
    <w:rsid w:val="00921EC5"/>
    <w:rsid w:val="00924724"/>
    <w:rsid w:val="009260BE"/>
    <w:rsid w:val="009269AF"/>
    <w:rsid w:val="009370FD"/>
    <w:rsid w:val="00943E7A"/>
    <w:rsid w:val="009518D0"/>
    <w:rsid w:val="00952868"/>
    <w:rsid w:val="00961CFD"/>
    <w:rsid w:val="00965419"/>
    <w:rsid w:val="00966E68"/>
    <w:rsid w:val="00970432"/>
    <w:rsid w:val="00970875"/>
    <w:rsid w:val="00970BC0"/>
    <w:rsid w:val="0097341C"/>
    <w:rsid w:val="009762B9"/>
    <w:rsid w:val="009854E1"/>
    <w:rsid w:val="00986C22"/>
    <w:rsid w:val="0098777C"/>
    <w:rsid w:val="00990EEA"/>
    <w:rsid w:val="009A63B5"/>
    <w:rsid w:val="009A7AEE"/>
    <w:rsid w:val="009B0DC3"/>
    <w:rsid w:val="009C0D71"/>
    <w:rsid w:val="009C18D0"/>
    <w:rsid w:val="009C4B46"/>
    <w:rsid w:val="009C6621"/>
    <w:rsid w:val="009D07E4"/>
    <w:rsid w:val="009D7805"/>
    <w:rsid w:val="009E23F5"/>
    <w:rsid w:val="009E3192"/>
    <w:rsid w:val="009E6919"/>
    <w:rsid w:val="009E7DA1"/>
    <w:rsid w:val="00A03552"/>
    <w:rsid w:val="00A07DA5"/>
    <w:rsid w:val="00A127CC"/>
    <w:rsid w:val="00A20007"/>
    <w:rsid w:val="00A207AF"/>
    <w:rsid w:val="00A21B18"/>
    <w:rsid w:val="00A247EA"/>
    <w:rsid w:val="00A24E8D"/>
    <w:rsid w:val="00A27A85"/>
    <w:rsid w:val="00A27BCC"/>
    <w:rsid w:val="00A311A5"/>
    <w:rsid w:val="00A31F62"/>
    <w:rsid w:val="00A338E7"/>
    <w:rsid w:val="00A340A3"/>
    <w:rsid w:val="00A40AA4"/>
    <w:rsid w:val="00A40C80"/>
    <w:rsid w:val="00A4149A"/>
    <w:rsid w:val="00A42A8E"/>
    <w:rsid w:val="00A43C8D"/>
    <w:rsid w:val="00A477F0"/>
    <w:rsid w:val="00A50C6D"/>
    <w:rsid w:val="00A548DA"/>
    <w:rsid w:val="00A55FAE"/>
    <w:rsid w:val="00A560F2"/>
    <w:rsid w:val="00A57543"/>
    <w:rsid w:val="00A605B1"/>
    <w:rsid w:val="00A61226"/>
    <w:rsid w:val="00A65DE7"/>
    <w:rsid w:val="00A6602A"/>
    <w:rsid w:val="00A76382"/>
    <w:rsid w:val="00A7643A"/>
    <w:rsid w:val="00A76E72"/>
    <w:rsid w:val="00A82924"/>
    <w:rsid w:val="00A92158"/>
    <w:rsid w:val="00A93305"/>
    <w:rsid w:val="00A94A87"/>
    <w:rsid w:val="00A95A4B"/>
    <w:rsid w:val="00AA55D1"/>
    <w:rsid w:val="00AA77F8"/>
    <w:rsid w:val="00AB2F05"/>
    <w:rsid w:val="00AB3E9A"/>
    <w:rsid w:val="00AB713A"/>
    <w:rsid w:val="00AC4346"/>
    <w:rsid w:val="00AD1195"/>
    <w:rsid w:val="00AD2A83"/>
    <w:rsid w:val="00AF0C1B"/>
    <w:rsid w:val="00B00B8E"/>
    <w:rsid w:val="00B04921"/>
    <w:rsid w:val="00B063E7"/>
    <w:rsid w:val="00B11669"/>
    <w:rsid w:val="00B128C1"/>
    <w:rsid w:val="00B20613"/>
    <w:rsid w:val="00B221C5"/>
    <w:rsid w:val="00B2556D"/>
    <w:rsid w:val="00B3747E"/>
    <w:rsid w:val="00B40DDD"/>
    <w:rsid w:val="00B41DA1"/>
    <w:rsid w:val="00B44167"/>
    <w:rsid w:val="00B45D5F"/>
    <w:rsid w:val="00B54B6A"/>
    <w:rsid w:val="00B5546A"/>
    <w:rsid w:val="00B55A93"/>
    <w:rsid w:val="00B5637A"/>
    <w:rsid w:val="00B574D0"/>
    <w:rsid w:val="00B65A95"/>
    <w:rsid w:val="00B7286B"/>
    <w:rsid w:val="00B73E48"/>
    <w:rsid w:val="00B8047E"/>
    <w:rsid w:val="00B81AFA"/>
    <w:rsid w:val="00B84BC8"/>
    <w:rsid w:val="00B859E2"/>
    <w:rsid w:val="00B90092"/>
    <w:rsid w:val="00B97E46"/>
    <w:rsid w:val="00BB1BA5"/>
    <w:rsid w:val="00BB2067"/>
    <w:rsid w:val="00BB4E10"/>
    <w:rsid w:val="00BB7B86"/>
    <w:rsid w:val="00BC22E2"/>
    <w:rsid w:val="00BC535A"/>
    <w:rsid w:val="00BD208B"/>
    <w:rsid w:val="00BD63CF"/>
    <w:rsid w:val="00BE0837"/>
    <w:rsid w:val="00BE1BED"/>
    <w:rsid w:val="00BE67A5"/>
    <w:rsid w:val="00BF1D0F"/>
    <w:rsid w:val="00BF35FB"/>
    <w:rsid w:val="00BF5895"/>
    <w:rsid w:val="00BF6E02"/>
    <w:rsid w:val="00BF70F1"/>
    <w:rsid w:val="00C02027"/>
    <w:rsid w:val="00C021CA"/>
    <w:rsid w:val="00C03283"/>
    <w:rsid w:val="00C034CB"/>
    <w:rsid w:val="00C05537"/>
    <w:rsid w:val="00C101B0"/>
    <w:rsid w:val="00C116C3"/>
    <w:rsid w:val="00C12E52"/>
    <w:rsid w:val="00C146A1"/>
    <w:rsid w:val="00C1585B"/>
    <w:rsid w:val="00C23710"/>
    <w:rsid w:val="00C24746"/>
    <w:rsid w:val="00C3640C"/>
    <w:rsid w:val="00C479F6"/>
    <w:rsid w:val="00C47CE1"/>
    <w:rsid w:val="00C52778"/>
    <w:rsid w:val="00C643C3"/>
    <w:rsid w:val="00C8308E"/>
    <w:rsid w:val="00C83D95"/>
    <w:rsid w:val="00C8693F"/>
    <w:rsid w:val="00C937B9"/>
    <w:rsid w:val="00C93813"/>
    <w:rsid w:val="00C93C94"/>
    <w:rsid w:val="00CA01C6"/>
    <w:rsid w:val="00CA1758"/>
    <w:rsid w:val="00CA211E"/>
    <w:rsid w:val="00CA2797"/>
    <w:rsid w:val="00CA459E"/>
    <w:rsid w:val="00CA5ABD"/>
    <w:rsid w:val="00CB0D8B"/>
    <w:rsid w:val="00CC0FF4"/>
    <w:rsid w:val="00CC103C"/>
    <w:rsid w:val="00CC5DE7"/>
    <w:rsid w:val="00CC77B2"/>
    <w:rsid w:val="00CD7D2A"/>
    <w:rsid w:val="00CE246E"/>
    <w:rsid w:val="00CE2C69"/>
    <w:rsid w:val="00CE3AB5"/>
    <w:rsid w:val="00CE3B06"/>
    <w:rsid w:val="00D0065F"/>
    <w:rsid w:val="00D017A6"/>
    <w:rsid w:val="00D05701"/>
    <w:rsid w:val="00D10417"/>
    <w:rsid w:val="00D12A9B"/>
    <w:rsid w:val="00D17B52"/>
    <w:rsid w:val="00D31F04"/>
    <w:rsid w:val="00D32F58"/>
    <w:rsid w:val="00D333B3"/>
    <w:rsid w:val="00D33C0B"/>
    <w:rsid w:val="00D340B4"/>
    <w:rsid w:val="00D361CE"/>
    <w:rsid w:val="00D430C1"/>
    <w:rsid w:val="00D433F5"/>
    <w:rsid w:val="00D4370C"/>
    <w:rsid w:val="00D60140"/>
    <w:rsid w:val="00D60C56"/>
    <w:rsid w:val="00D63AAE"/>
    <w:rsid w:val="00D651D5"/>
    <w:rsid w:val="00D65F04"/>
    <w:rsid w:val="00D6675A"/>
    <w:rsid w:val="00D66E36"/>
    <w:rsid w:val="00D73B93"/>
    <w:rsid w:val="00D74AFB"/>
    <w:rsid w:val="00D75630"/>
    <w:rsid w:val="00D8101D"/>
    <w:rsid w:val="00D82225"/>
    <w:rsid w:val="00D839D4"/>
    <w:rsid w:val="00D859A0"/>
    <w:rsid w:val="00D85A41"/>
    <w:rsid w:val="00D85E06"/>
    <w:rsid w:val="00D90AED"/>
    <w:rsid w:val="00D90F47"/>
    <w:rsid w:val="00D93410"/>
    <w:rsid w:val="00DA1170"/>
    <w:rsid w:val="00DA163D"/>
    <w:rsid w:val="00DB077C"/>
    <w:rsid w:val="00DB4AE0"/>
    <w:rsid w:val="00DB4C93"/>
    <w:rsid w:val="00DB5DCB"/>
    <w:rsid w:val="00DC058F"/>
    <w:rsid w:val="00DC1290"/>
    <w:rsid w:val="00DC314F"/>
    <w:rsid w:val="00DC6C35"/>
    <w:rsid w:val="00DD104D"/>
    <w:rsid w:val="00DD5A3F"/>
    <w:rsid w:val="00DE159B"/>
    <w:rsid w:val="00DE3CC6"/>
    <w:rsid w:val="00DF0AC7"/>
    <w:rsid w:val="00E0547E"/>
    <w:rsid w:val="00E06E33"/>
    <w:rsid w:val="00E07E77"/>
    <w:rsid w:val="00E14AAF"/>
    <w:rsid w:val="00E16769"/>
    <w:rsid w:val="00E172ED"/>
    <w:rsid w:val="00E21C02"/>
    <w:rsid w:val="00E26983"/>
    <w:rsid w:val="00E26CCF"/>
    <w:rsid w:val="00E307C8"/>
    <w:rsid w:val="00E33314"/>
    <w:rsid w:val="00E359EA"/>
    <w:rsid w:val="00E407E4"/>
    <w:rsid w:val="00E423DA"/>
    <w:rsid w:val="00E432C9"/>
    <w:rsid w:val="00E43B75"/>
    <w:rsid w:val="00E44E54"/>
    <w:rsid w:val="00E506A2"/>
    <w:rsid w:val="00E519BA"/>
    <w:rsid w:val="00E52950"/>
    <w:rsid w:val="00E52F6E"/>
    <w:rsid w:val="00E5377B"/>
    <w:rsid w:val="00E6079F"/>
    <w:rsid w:val="00E620A7"/>
    <w:rsid w:val="00E7211D"/>
    <w:rsid w:val="00E73EE8"/>
    <w:rsid w:val="00E746EF"/>
    <w:rsid w:val="00E77765"/>
    <w:rsid w:val="00E802D0"/>
    <w:rsid w:val="00E81ADC"/>
    <w:rsid w:val="00E84C46"/>
    <w:rsid w:val="00E92A3C"/>
    <w:rsid w:val="00E94785"/>
    <w:rsid w:val="00EA5D98"/>
    <w:rsid w:val="00EB1182"/>
    <w:rsid w:val="00EB4284"/>
    <w:rsid w:val="00EB4847"/>
    <w:rsid w:val="00EB5DEA"/>
    <w:rsid w:val="00EB7781"/>
    <w:rsid w:val="00EC159D"/>
    <w:rsid w:val="00EC294E"/>
    <w:rsid w:val="00EC2D7F"/>
    <w:rsid w:val="00EC2DB7"/>
    <w:rsid w:val="00ED04DA"/>
    <w:rsid w:val="00ED1C9B"/>
    <w:rsid w:val="00ED2D75"/>
    <w:rsid w:val="00ED4436"/>
    <w:rsid w:val="00EE049E"/>
    <w:rsid w:val="00EE2F36"/>
    <w:rsid w:val="00EE6F50"/>
    <w:rsid w:val="00EF3403"/>
    <w:rsid w:val="00EF4017"/>
    <w:rsid w:val="00F0065B"/>
    <w:rsid w:val="00F02245"/>
    <w:rsid w:val="00F03DEE"/>
    <w:rsid w:val="00F04E04"/>
    <w:rsid w:val="00F05BEB"/>
    <w:rsid w:val="00F05F3B"/>
    <w:rsid w:val="00F07383"/>
    <w:rsid w:val="00F07E60"/>
    <w:rsid w:val="00F10752"/>
    <w:rsid w:val="00F20ACF"/>
    <w:rsid w:val="00F2465A"/>
    <w:rsid w:val="00F26475"/>
    <w:rsid w:val="00F2776B"/>
    <w:rsid w:val="00F2798C"/>
    <w:rsid w:val="00F332E6"/>
    <w:rsid w:val="00F3584E"/>
    <w:rsid w:val="00F4620B"/>
    <w:rsid w:val="00F51998"/>
    <w:rsid w:val="00F52AE7"/>
    <w:rsid w:val="00F55003"/>
    <w:rsid w:val="00F57D67"/>
    <w:rsid w:val="00F60088"/>
    <w:rsid w:val="00F65073"/>
    <w:rsid w:val="00F700A7"/>
    <w:rsid w:val="00F72B4C"/>
    <w:rsid w:val="00F742BD"/>
    <w:rsid w:val="00F74533"/>
    <w:rsid w:val="00F74C8E"/>
    <w:rsid w:val="00F7540C"/>
    <w:rsid w:val="00F7740E"/>
    <w:rsid w:val="00F77714"/>
    <w:rsid w:val="00F81507"/>
    <w:rsid w:val="00F85C7B"/>
    <w:rsid w:val="00F9545D"/>
    <w:rsid w:val="00FA1839"/>
    <w:rsid w:val="00FA7BCE"/>
    <w:rsid w:val="00FB280B"/>
    <w:rsid w:val="00FB2C63"/>
    <w:rsid w:val="00FB3110"/>
    <w:rsid w:val="00FB4613"/>
    <w:rsid w:val="00FB6F55"/>
    <w:rsid w:val="00FC3291"/>
    <w:rsid w:val="00FC3A51"/>
    <w:rsid w:val="00FC5277"/>
    <w:rsid w:val="00FF21E0"/>
    <w:rsid w:val="00FF3376"/>
    <w:rsid w:val="00FF61DF"/>
    <w:rsid w:val="00FF701D"/>
    <w:rsid w:val="00FF7F32"/>
    <w:rsid w:val="09554EAD"/>
    <w:rsid w:val="15D825D5"/>
    <w:rsid w:val="1A5B5D58"/>
    <w:rsid w:val="1B100AD4"/>
    <w:rsid w:val="1D285DEB"/>
    <w:rsid w:val="26F0102F"/>
    <w:rsid w:val="2D194020"/>
    <w:rsid w:val="2DE306A5"/>
    <w:rsid w:val="40C104A9"/>
    <w:rsid w:val="41974539"/>
    <w:rsid w:val="468766C5"/>
    <w:rsid w:val="4CDA3089"/>
    <w:rsid w:val="5E3F48AD"/>
    <w:rsid w:val="64352515"/>
    <w:rsid w:val="6889198F"/>
    <w:rsid w:val="6B847F24"/>
    <w:rsid w:val="6D592760"/>
    <w:rsid w:val="6E241328"/>
    <w:rsid w:val="7013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3">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eastAsia="宋体"/>
      <w:sz w:val="18"/>
      <w:szCs w:val="18"/>
    </w:rPr>
  </w:style>
  <w:style w:type="paragraph" w:styleId="5">
    <w:name w:val="annotation text"/>
    <w:basedOn w:val="1"/>
    <w:link w:val="19"/>
    <w:unhideWhenUsed/>
    <w:qFormat/>
    <w:uiPriority w:val="0"/>
    <w:pPr>
      <w:jc w:val="left"/>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20"/>
    <w:semiHidden/>
    <w:unhideWhenUsed/>
    <w:qFormat/>
    <w:uiPriority w:val="99"/>
    <w:rPr>
      <w:b/>
      <w:bCs/>
    </w:rPr>
  </w:style>
  <w:style w:type="table" w:styleId="12">
    <w:name w:val="Table Grid"/>
    <w:basedOn w:val="1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qFormat/>
    <w:uiPriority w:val="99"/>
    <w:rPr>
      <w:color w:val="0000FF"/>
      <w:u w:val="single"/>
    </w:rPr>
  </w:style>
  <w:style w:type="character" w:styleId="15">
    <w:name w:val="annotation reference"/>
    <w:basedOn w:val="13"/>
    <w:unhideWhenUsed/>
    <w:qFormat/>
    <w:uiPriority w:val="0"/>
    <w:rPr>
      <w:sz w:val="21"/>
      <w:szCs w:val="21"/>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sz w:val="18"/>
      <w:szCs w:val="18"/>
    </w:rPr>
  </w:style>
  <w:style w:type="character" w:customStyle="1" w:styleId="19">
    <w:name w:val="批注文字 字符"/>
    <w:basedOn w:val="13"/>
    <w:link w:val="5"/>
    <w:semiHidden/>
    <w:qFormat/>
    <w:uiPriority w:val="99"/>
  </w:style>
  <w:style w:type="character" w:customStyle="1" w:styleId="20">
    <w:name w:val="批注主题 字符"/>
    <w:basedOn w:val="19"/>
    <w:link w:val="10"/>
    <w:semiHidden/>
    <w:qFormat/>
    <w:uiPriority w:val="99"/>
    <w:rPr>
      <w:b/>
      <w:bCs/>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文档结构图 字符"/>
    <w:basedOn w:val="13"/>
    <w:link w:val="4"/>
    <w:semiHidden/>
    <w:qFormat/>
    <w:uiPriority w:val="99"/>
    <w:rPr>
      <w:rFonts w:ascii="宋体" w:eastAsia="宋体"/>
      <w:sz w:val="18"/>
      <w:szCs w:val="18"/>
    </w:rPr>
  </w:style>
  <w:style w:type="paragraph" w:customStyle="1" w:styleId="23">
    <w:name w:val="Char"/>
    <w:basedOn w:val="1"/>
    <w:qFormat/>
    <w:uiPriority w:val="0"/>
    <w:rPr>
      <w:rFonts w:ascii="Times New Roman" w:hAnsi="Times New Roman" w:eastAsia="宋体" w:cs="Times New Roman"/>
      <w:szCs w:val="24"/>
    </w:rPr>
  </w:style>
  <w:style w:type="paragraph" w:customStyle="1" w:styleId="24">
    <w:name w:val="项目"/>
    <w:basedOn w:val="3"/>
    <w:qFormat/>
    <w:uiPriority w:val="0"/>
    <w:pPr>
      <w:snapToGrid w:val="0"/>
      <w:spacing w:before="120" w:after="120" w:line="360" w:lineRule="auto"/>
    </w:pPr>
    <w:rPr>
      <w:rFonts w:ascii="Times New Roman" w:hAnsi="Times New Roman" w:eastAsia="楷体_GB2312" w:cs="Times New Roman"/>
      <w:b w:val="0"/>
      <w:sz w:val="24"/>
      <w:szCs w:val="20"/>
    </w:rPr>
  </w:style>
  <w:style w:type="character" w:customStyle="1" w:styleId="25">
    <w:name w:val="标题 4 字符"/>
    <w:basedOn w:val="13"/>
    <w:link w:val="3"/>
    <w:semiHidden/>
    <w:qFormat/>
    <w:uiPriority w:val="9"/>
    <w:rPr>
      <w:rFonts w:asciiTheme="majorHAnsi" w:hAnsiTheme="majorHAnsi" w:eastAsiaTheme="majorEastAsia" w:cstheme="majorBidi"/>
      <w:b/>
      <w:bCs/>
      <w:sz w:val="28"/>
      <w:szCs w:val="28"/>
    </w:rPr>
  </w:style>
  <w:style w:type="paragraph" w:styleId="26">
    <w:name w:val="List Paragraph"/>
    <w:basedOn w:val="1"/>
    <w:qFormat/>
    <w:uiPriority w:val="34"/>
    <w:pPr>
      <w:ind w:firstLine="420" w:firstLineChars="200"/>
    </w:pPr>
  </w:style>
  <w:style w:type="paragraph" w:customStyle="1" w:styleId="2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28">
    <w:name w:val="网格型1"/>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标题 3 字符"/>
    <w:basedOn w:val="13"/>
    <w:link w:val="2"/>
    <w:semiHidden/>
    <w:qFormat/>
    <w:uiPriority w:val="9"/>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2E70F-065C-4516-938A-9EFE4609BC89}">
  <ds:schemaRefs/>
</ds:datastoreItem>
</file>

<file path=docProps/app.xml><?xml version="1.0" encoding="utf-8"?>
<Properties xmlns="http://schemas.openxmlformats.org/officeDocument/2006/extended-properties" xmlns:vt="http://schemas.openxmlformats.org/officeDocument/2006/docPropsVTypes">
  <Template>Normal</Template>
  <Company>wind</Company>
  <Pages>5</Pages>
  <Words>3422</Words>
  <Characters>3545</Characters>
  <Lines>20</Lines>
  <Paragraphs>5</Paragraphs>
  <TotalTime>0</TotalTime>
  <ScaleCrop>false</ScaleCrop>
  <LinksUpToDate>false</LinksUpToDate>
  <CharactersWithSpaces>3546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2020-03-16T08:42:00Z</dcterms:created>
  <dc:creator>yfjiang.may</dc:creator>
  <cp:lastModifiedBy>刘晨晨</cp:lastModifiedBy>
  <cp:lastPrinted>2018-06-27T05:58:00Z</cp:lastPrinted>
  <dcterms:modified xsi:type="dcterms:W3CDTF">2026-03-02T01:53:12Z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8915FE56AABA4B0FB5395F8A95D13451</vt:lpwstr>
  </property>
</Properties>
</file>