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center"/>
        <w:rPr>
          <w:rFonts w:hint="eastAsia" w:ascii="Times New Roman" w:hAnsi="Times New Roman" w:cs="Times New Roman" w:eastAsiaTheme="majorEastAsia"/>
          <w:b/>
          <w:bCs/>
          <w:kern w:val="2"/>
          <w:sz w:val="32"/>
          <w:szCs w:val="32"/>
          <w:lang w:val="en-US" w:eastAsia="zh-CN" w:bidi="ar-SA"/>
        </w:rPr>
      </w:pPr>
      <w:bookmarkStart w:id="0" w:name="_GoBack"/>
      <w:bookmarkEnd w:id="0"/>
      <w:r>
        <w:rPr>
          <w:rFonts w:hint="eastAsia" w:ascii="Times New Roman" w:hAnsi="Times New Roman" w:cs="Times New Roman" w:eastAsiaTheme="majorEastAsia"/>
          <w:b/>
          <w:bCs/>
          <w:kern w:val="2"/>
          <w:sz w:val="32"/>
          <w:szCs w:val="32"/>
          <w:lang w:val="en-US" w:eastAsia="zh-CN" w:bidi="ar-SA"/>
        </w:rPr>
        <w:t>交银施罗德基金管理有限公司</w:t>
      </w:r>
      <w:r>
        <w:rPr>
          <w:rFonts w:hint="eastAsia" w:ascii="Times New Roman" w:hAnsi="Times New Roman" w:cs="Times New Roman" w:eastAsiaTheme="majorEastAsia"/>
          <w:b/>
          <w:bCs/>
          <w:kern w:val="2"/>
          <w:sz w:val="32"/>
          <w:szCs w:val="32"/>
          <w:lang w:val="en-US" w:eastAsia="zh-CN" w:bidi="ar-SA"/>
        </w:rPr>
        <w:t>关于上证180公司治理交易型开放式指数证券投资基金调整基金份额参考净值（IOPV）计算机构的公告</w:t>
      </w:r>
    </w:p>
    <w:p>
      <w:pPr>
        <w:ind w:firstLine="420" w:firstLineChars="0"/>
        <w:rPr>
          <w:rFonts w:hint="eastAsia" w:ascii="Times New Roman" w:hAnsi="Times New Roman" w:eastAsia="宋体" w:cs="宋体"/>
          <w:sz w:val="24"/>
          <w:szCs w:val="24"/>
        </w:rPr>
      </w:pP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交银施罗德</w:t>
      </w:r>
      <w:r>
        <w:rPr>
          <w:rFonts w:hint="eastAsia" w:ascii="Times New Roman" w:hAnsi="Times New Roman" w:eastAsia="宋体" w:cs="Times New Roman"/>
          <w:sz w:val="24"/>
          <w:szCs w:val="24"/>
        </w:rPr>
        <w:t>基金管理有限公司（以下简称“本基金管理人”）委托中证指数有限公司计算旗下上证180公司治理交易型开放式指数证券投资基金（</w:t>
      </w:r>
      <w:r>
        <w:rPr>
          <w:rFonts w:hint="eastAsia" w:ascii="Times New Roman" w:hAnsi="Times New Roman" w:eastAsia="宋体" w:cs="Times New Roman"/>
          <w:sz w:val="24"/>
          <w:szCs w:val="24"/>
          <w:lang w:val="en-US" w:eastAsia="zh-CN"/>
        </w:rPr>
        <w:t>基金</w:t>
      </w:r>
      <w:r>
        <w:rPr>
          <w:rFonts w:hint="eastAsia" w:ascii="Times New Roman" w:hAnsi="Times New Roman" w:eastAsia="宋体" w:cs="Times New Roman"/>
          <w:sz w:val="24"/>
          <w:szCs w:val="24"/>
        </w:rPr>
        <w:t xml:space="preserve">代码： </w:t>
      </w:r>
      <w:r>
        <w:rPr>
          <w:rFonts w:hint="eastAsia" w:ascii="Times New Roman" w:hAnsi="Times New Roman" w:eastAsia="宋体" w:cs="Times New Roman"/>
          <w:sz w:val="24"/>
          <w:szCs w:val="24"/>
          <w:lang w:val="en-US" w:eastAsia="zh-CN"/>
        </w:rPr>
        <w:t>510010</w:t>
      </w:r>
      <w:r>
        <w:rPr>
          <w:rFonts w:hint="eastAsia" w:ascii="Times New Roman" w:hAnsi="Times New Roman" w:eastAsia="宋体" w:cs="Times New Roman"/>
          <w:sz w:val="24"/>
          <w:szCs w:val="24"/>
        </w:rPr>
        <w:t>，场内简称：</w:t>
      </w:r>
      <w:r>
        <w:rPr>
          <w:rFonts w:hint="eastAsia" w:ascii="Times New Roman" w:hAnsi="Times New Roman" w:eastAsia="宋体" w:cs="Times New Roman"/>
          <w:sz w:val="24"/>
          <w:szCs w:val="24"/>
          <w:lang w:val="en-US" w:eastAsia="zh-CN"/>
        </w:rPr>
        <w:t>治理</w:t>
      </w:r>
      <w:r>
        <w:rPr>
          <w:rFonts w:hint="eastAsia" w:ascii="Times New Roman" w:hAnsi="Times New Roman" w:eastAsia="宋体" w:cs="Times New Roman"/>
          <w:sz w:val="24"/>
          <w:szCs w:val="24"/>
        </w:rPr>
        <w:t>ETF，扩位简称：180治理ETF交银；以下简称“本基金”）基金份额参考净值（IOPV），并相应修改招募说明书中IOPV计算的相关内容。</w:t>
      </w:r>
    </w:p>
    <w:p>
      <w:pPr>
        <w:ind w:firstLine="420" w:firstLineChars="0"/>
        <w:rPr>
          <w:rFonts w:ascii="Times New Roman" w:hAnsi="Times New Roman" w:eastAsia="宋体" w:cs="宋体"/>
          <w:sz w:val="24"/>
          <w:szCs w:val="24"/>
        </w:rPr>
      </w:pPr>
    </w:p>
    <w:p>
      <w:pPr>
        <w:numPr>
          <w:ilvl w:val="-1"/>
          <w:numId w:val="0"/>
        </w:numPr>
        <w:adjustRightInd w:val="0"/>
        <w:snapToGrid w:val="0"/>
        <w:spacing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招募说明书修改内容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widowControl w:val="0"/>
              <w:numPr>
                <w:ilvl w:val="0"/>
                <w:numId w:val="0"/>
              </w:numPr>
              <w:jc w:val="both"/>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章节</w:t>
            </w:r>
          </w:p>
        </w:tc>
        <w:tc>
          <w:tcPr>
            <w:tcW w:w="2841" w:type="dxa"/>
          </w:tcPr>
          <w:p>
            <w:pPr>
              <w:widowControl w:val="0"/>
              <w:numPr>
                <w:ilvl w:val="0"/>
                <w:numId w:val="0"/>
              </w:numPr>
              <w:jc w:val="both"/>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修改前</w:t>
            </w:r>
          </w:p>
        </w:tc>
        <w:tc>
          <w:tcPr>
            <w:tcW w:w="2841" w:type="dxa"/>
          </w:tcPr>
          <w:p>
            <w:pPr>
              <w:widowControl w:val="0"/>
              <w:numPr>
                <w:ilvl w:val="0"/>
                <w:numId w:val="0"/>
              </w:numPr>
              <w:jc w:val="both"/>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九</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基金份额的上市交易</w:t>
            </w:r>
          </w:p>
        </w:tc>
        <w:tc>
          <w:tcPr>
            <w:tcW w:w="2841" w:type="dxa"/>
          </w:tcPr>
          <w:p>
            <w:pPr>
              <w:widowControl w:val="0"/>
              <w:numPr>
                <w:ilvl w:val="0"/>
                <w:numId w:val="0"/>
              </w:numPr>
              <w:jc w:val="both"/>
              <w:rPr>
                <w:rFonts w:ascii="Times New Roman" w:hAnsi="Times New Roman" w:eastAsia="宋体" w:cs="宋体"/>
                <w:sz w:val="24"/>
                <w:szCs w:val="24"/>
              </w:rPr>
            </w:pPr>
            <w:r>
              <w:rPr>
                <w:rFonts w:hint="eastAsia" w:ascii="Times New Roman" w:hAnsi="Times New Roman" w:eastAsia="宋体" w:cs="宋体"/>
                <w:sz w:val="24"/>
                <w:szCs w:val="24"/>
                <w:lang w:eastAsia="zh-CN"/>
              </w:rPr>
              <w:t>（</w:t>
            </w:r>
            <w:r>
              <w:rPr>
                <w:rFonts w:ascii="Times New Roman" w:hAnsi="Times New Roman" w:eastAsia="宋体" w:cs="宋体"/>
                <w:sz w:val="24"/>
                <w:szCs w:val="24"/>
              </w:rPr>
              <w:t>四</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 xml:space="preserve">基金份额参考净值的计算与公告 </w:t>
            </w:r>
          </w:p>
          <w:p>
            <w:pPr>
              <w:widowControl w:val="0"/>
              <w:numPr>
                <w:ilvl w:val="0"/>
                <w:numId w:val="0"/>
              </w:numPr>
              <w:ind w:firstLine="480" w:firstLineChars="200"/>
              <w:jc w:val="both"/>
              <w:rPr>
                <w:rFonts w:ascii="Times New Roman" w:hAnsi="Times New Roman" w:eastAsia="宋体" w:cs="宋体"/>
                <w:sz w:val="24"/>
                <w:szCs w:val="24"/>
              </w:rPr>
            </w:pPr>
            <w:r>
              <w:rPr>
                <w:rFonts w:hint="eastAsia" w:ascii="Times New Roman" w:hAnsi="Times New Roman" w:eastAsia="宋体" w:cs="宋体"/>
                <w:sz w:val="24"/>
                <w:szCs w:val="24"/>
              </w:rPr>
              <w:t>基金管理人在每一交易日开市前向上海证券交易所提供当日的申购赎回清单</w:t>
            </w:r>
            <w:r>
              <w:rPr>
                <w:rFonts w:hint="eastAsia" w:ascii="Times New Roman" w:hAnsi="Times New Roman" w:eastAsia="宋体" w:cs="宋体"/>
                <w:sz w:val="24"/>
                <w:szCs w:val="24"/>
                <w:lang w:eastAsia="zh-CN"/>
              </w:rPr>
              <w:t>，上海证券交易所在开市后根据申购赎回清单和组合证券内各只证券的实时成交数据，计算并发布基金份额参考净值（IOPV），</w:t>
            </w:r>
            <w:r>
              <w:rPr>
                <w:rFonts w:hint="eastAsia" w:ascii="Times New Roman" w:hAnsi="Times New Roman" w:eastAsia="宋体" w:cs="宋体"/>
                <w:sz w:val="24"/>
                <w:szCs w:val="24"/>
              </w:rPr>
              <w:t>供投资者交易、申购、赎回基金份额时参考。</w:t>
            </w:r>
            <w:r>
              <w:rPr>
                <w:rFonts w:ascii="Times New Roman" w:hAnsi="Times New Roman" w:eastAsia="宋体" w:cs="宋体"/>
                <w:sz w:val="24"/>
                <w:szCs w:val="24"/>
              </w:rPr>
              <w:t xml:space="preserve"> </w:t>
            </w:r>
          </w:p>
          <w:p>
            <w:pPr>
              <w:widowControl w:val="0"/>
              <w:numPr>
                <w:ilvl w:val="0"/>
                <w:numId w:val="0"/>
              </w:numPr>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w:t>
            </w:r>
          </w:p>
        </w:tc>
        <w:tc>
          <w:tcPr>
            <w:tcW w:w="2841" w:type="dxa"/>
          </w:tcPr>
          <w:p>
            <w:pPr>
              <w:widowControl w:val="0"/>
              <w:numPr>
                <w:ilvl w:val="0"/>
                <w:numId w:val="1"/>
              </w:numPr>
              <w:jc w:val="both"/>
              <w:rPr>
                <w:rFonts w:ascii="Times New Roman" w:hAnsi="Times New Roman" w:eastAsia="宋体" w:cs="宋体"/>
                <w:sz w:val="24"/>
                <w:szCs w:val="24"/>
              </w:rPr>
            </w:pPr>
            <w:r>
              <w:rPr>
                <w:rFonts w:ascii="Times New Roman" w:hAnsi="Times New Roman" w:eastAsia="宋体" w:cs="宋体"/>
                <w:sz w:val="24"/>
                <w:szCs w:val="24"/>
              </w:rPr>
              <w:t>基金份额参考净值的计算与公告</w:t>
            </w:r>
          </w:p>
          <w:p>
            <w:pPr>
              <w:widowControl w:val="0"/>
              <w:numPr>
                <w:ilvl w:val="0"/>
                <w:numId w:val="0"/>
              </w:numPr>
              <w:ind w:firstLine="480" w:firstLineChars="200"/>
              <w:jc w:val="both"/>
              <w:rPr>
                <w:rFonts w:ascii="Times New Roman" w:hAnsi="Times New Roman" w:eastAsia="宋体" w:cs="宋体"/>
                <w:sz w:val="24"/>
                <w:szCs w:val="24"/>
              </w:rPr>
            </w:pPr>
            <w:r>
              <w:rPr>
                <w:rFonts w:hint="eastAsia" w:ascii="Times New Roman" w:hAnsi="Times New Roman" w:eastAsia="宋体" w:cs="宋体"/>
                <w:sz w:val="24"/>
                <w:szCs w:val="24"/>
              </w:rPr>
              <w:t>基金管理人在每一交易日开市前向上海证券交易所提供当日的申购赎回清单。本基金基金份额参考净值（IOPV）由基金管理人或基金管理人委托的机构计算并通过上海证券交易所发布，供投资者交易、申购、赎回基金份额时参考。</w:t>
            </w:r>
            <w:r>
              <w:rPr>
                <w:rFonts w:ascii="Times New Roman" w:hAnsi="Times New Roman" w:eastAsia="宋体" w:cs="宋体"/>
                <w:sz w:val="24"/>
                <w:szCs w:val="24"/>
              </w:rPr>
              <w:t xml:space="preserve"> </w:t>
            </w:r>
          </w:p>
          <w:p>
            <w:pPr>
              <w:widowControl w:val="0"/>
              <w:numPr>
                <w:ilvl w:val="0"/>
                <w:numId w:val="0"/>
              </w:numPr>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十九</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风险揭示</w:t>
            </w:r>
          </w:p>
        </w:tc>
        <w:tc>
          <w:tcPr>
            <w:tcW w:w="2841" w:type="dxa"/>
          </w:tcPr>
          <w:p>
            <w:pPr>
              <w:widowControl w:val="0"/>
              <w:numPr>
                <w:ilvl w:val="0"/>
                <w:numId w:val="0"/>
              </w:numPr>
              <w:jc w:val="both"/>
              <w:rPr>
                <w:rFonts w:ascii="Times New Roman" w:hAnsi="Times New Roman" w:eastAsia="宋体" w:cs="宋体"/>
                <w:sz w:val="24"/>
                <w:szCs w:val="24"/>
              </w:rPr>
            </w:pPr>
            <w:r>
              <w:rPr>
                <w:rFonts w:hint="eastAsia" w:ascii="Times New Roman" w:hAnsi="Times New Roman" w:eastAsia="宋体" w:cs="宋体"/>
                <w:sz w:val="24"/>
                <w:szCs w:val="24"/>
              </w:rPr>
              <w:t>（一）投资本基金的特有风险</w:t>
            </w:r>
            <w:r>
              <w:rPr>
                <w:rFonts w:ascii="Times New Roman" w:hAnsi="Times New Roman" w:eastAsia="宋体" w:cs="宋体"/>
                <w:sz w:val="24"/>
                <w:szCs w:val="24"/>
              </w:rPr>
              <w:t xml:space="preserve"> </w:t>
            </w:r>
          </w:p>
          <w:p>
            <w:pPr>
              <w:widowControl w:val="0"/>
              <w:numPr>
                <w:ilvl w:val="0"/>
                <w:numId w:val="0"/>
              </w:numPr>
              <w:jc w:val="both"/>
              <w:rPr>
                <w:rFonts w:ascii="Times New Roman" w:hAnsi="Times New Roman" w:eastAsia="宋体" w:cs="宋体"/>
                <w:sz w:val="24"/>
                <w:szCs w:val="24"/>
              </w:rPr>
            </w:pPr>
            <w:r>
              <w:rPr>
                <w:rFonts w:ascii="Times New Roman" w:hAnsi="Times New Roman" w:eastAsia="宋体" w:cs="宋体"/>
                <w:sz w:val="24"/>
                <w:szCs w:val="24"/>
              </w:rPr>
              <w:t xml:space="preserve">…… </w:t>
            </w:r>
          </w:p>
          <w:p>
            <w:pPr>
              <w:widowControl w:val="0"/>
              <w:numPr>
                <w:ilvl w:val="0"/>
                <w:numId w:val="0"/>
              </w:numPr>
              <w:jc w:val="both"/>
              <w:rPr>
                <w:rFonts w:ascii="Times New Roman" w:hAnsi="Times New Roman" w:eastAsia="宋体" w:cs="宋体"/>
                <w:sz w:val="24"/>
                <w:szCs w:val="24"/>
              </w:rPr>
            </w:pPr>
            <w:r>
              <w:rPr>
                <w:rFonts w:hint="eastAsia" w:ascii="Times New Roman" w:hAnsi="Times New Roman" w:eastAsia="宋体" w:cs="宋体"/>
                <w:sz w:val="24"/>
                <w:szCs w:val="24"/>
                <w:lang w:val="en-US" w:eastAsia="zh-CN"/>
              </w:rPr>
              <w:t>9、</w:t>
            </w:r>
            <w:r>
              <w:rPr>
                <w:rFonts w:ascii="Times New Roman" w:hAnsi="Times New Roman" w:eastAsia="宋体" w:cs="宋体"/>
                <w:sz w:val="24"/>
                <w:szCs w:val="24"/>
              </w:rPr>
              <w:t>参考IOPV决策和 IOPV计算错误的风险</w:t>
            </w:r>
          </w:p>
          <w:p>
            <w:pPr>
              <w:widowControl w:val="0"/>
              <w:numPr>
                <w:ilvl w:val="0"/>
                <w:numId w:val="0"/>
              </w:numPr>
              <w:ind w:firstLine="480" w:firstLineChars="200"/>
              <w:jc w:val="both"/>
              <w:rPr>
                <w:rFonts w:ascii="Times New Roman" w:hAnsi="Times New Roman" w:eastAsia="宋体" w:cs="宋体"/>
                <w:sz w:val="24"/>
                <w:szCs w:val="24"/>
              </w:rPr>
            </w:pPr>
            <w:r>
              <w:rPr>
                <w:rFonts w:hint="eastAsia" w:ascii="Times New Roman" w:hAnsi="Times New Roman" w:eastAsia="宋体" w:cs="宋体"/>
                <w:sz w:val="24"/>
                <w:szCs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r>
              <w:rPr>
                <w:rFonts w:ascii="Times New Roman" w:hAnsi="Times New Roman" w:eastAsia="宋体" w:cs="宋体"/>
                <w:sz w:val="24"/>
                <w:szCs w:val="24"/>
              </w:rPr>
              <w:t xml:space="preserve"> </w:t>
            </w:r>
          </w:p>
          <w:p>
            <w:pPr>
              <w:widowControl w:val="0"/>
              <w:numPr>
                <w:ilvl w:val="0"/>
                <w:numId w:val="0"/>
              </w:numPr>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w:t>
            </w:r>
          </w:p>
        </w:tc>
        <w:tc>
          <w:tcPr>
            <w:tcW w:w="2841" w:type="dxa"/>
          </w:tcPr>
          <w:p>
            <w:pPr>
              <w:widowControl w:val="0"/>
              <w:numPr>
                <w:ilvl w:val="0"/>
                <w:numId w:val="0"/>
              </w:numPr>
              <w:ind w:leftChars="0"/>
              <w:jc w:val="both"/>
              <w:rPr>
                <w:rFonts w:ascii="Times New Roman" w:hAnsi="Times New Roman" w:eastAsia="宋体" w:cs="宋体"/>
                <w:sz w:val="24"/>
                <w:szCs w:val="24"/>
              </w:rPr>
            </w:pPr>
            <w:r>
              <w:rPr>
                <w:rFonts w:hint="eastAsia" w:ascii="Times New Roman" w:hAnsi="Times New Roman" w:eastAsia="宋体" w:cs="宋体"/>
                <w:sz w:val="24"/>
                <w:szCs w:val="24"/>
              </w:rPr>
              <w:t>（一）投资本基金的特有风险</w:t>
            </w:r>
            <w:r>
              <w:rPr>
                <w:rFonts w:ascii="Times New Roman" w:hAnsi="Times New Roman" w:eastAsia="宋体" w:cs="宋体"/>
                <w:sz w:val="24"/>
                <w:szCs w:val="24"/>
              </w:rPr>
              <w:t xml:space="preserve"> </w:t>
            </w:r>
          </w:p>
          <w:p>
            <w:pPr>
              <w:widowControl w:val="0"/>
              <w:numPr>
                <w:ilvl w:val="0"/>
                <w:numId w:val="0"/>
              </w:numPr>
              <w:ind w:leftChars="0"/>
              <w:jc w:val="both"/>
              <w:rPr>
                <w:rFonts w:ascii="Times New Roman" w:hAnsi="Times New Roman" w:eastAsia="宋体" w:cs="宋体"/>
                <w:sz w:val="24"/>
                <w:szCs w:val="24"/>
              </w:rPr>
            </w:pPr>
            <w:r>
              <w:rPr>
                <w:rFonts w:ascii="Times New Roman" w:hAnsi="Times New Roman" w:eastAsia="宋体" w:cs="宋体"/>
                <w:sz w:val="24"/>
                <w:szCs w:val="24"/>
              </w:rPr>
              <w:t xml:space="preserve">…… </w:t>
            </w:r>
          </w:p>
          <w:p>
            <w:pPr>
              <w:widowControl w:val="0"/>
              <w:numPr>
                <w:ilvl w:val="0"/>
                <w:numId w:val="0"/>
              </w:numPr>
              <w:ind w:leftChars="0"/>
              <w:jc w:val="both"/>
              <w:rPr>
                <w:rFonts w:ascii="Times New Roman" w:hAnsi="Times New Roman" w:eastAsia="宋体" w:cs="宋体"/>
                <w:sz w:val="24"/>
                <w:szCs w:val="24"/>
              </w:rPr>
            </w:pPr>
            <w:r>
              <w:rPr>
                <w:rFonts w:hint="eastAsia" w:ascii="Times New Roman" w:hAnsi="Times New Roman" w:eastAsia="宋体" w:cs="宋体"/>
                <w:sz w:val="24"/>
                <w:szCs w:val="24"/>
                <w:lang w:val="en-US" w:eastAsia="zh-CN"/>
              </w:rPr>
              <w:t>9、</w:t>
            </w:r>
            <w:r>
              <w:rPr>
                <w:rFonts w:ascii="Times New Roman" w:hAnsi="Times New Roman" w:eastAsia="宋体" w:cs="宋体"/>
                <w:sz w:val="24"/>
                <w:szCs w:val="24"/>
              </w:rPr>
              <w:t xml:space="preserve">参考IOPV决策和IOPV计算错误的风险 </w:t>
            </w:r>
          </w:p>
          <w:p>
            <w:pPr>
              <w:widowControl w:val="0"/>
              <w:numPr>
                <w:ilvl w:val="0"/>
                <w:numId w:val="0"/>
              </w:numPr>
              <w:ind w:leftChars="0" w:firstLine="480" w:firstLineChars="200"/>
              <w:jc w:val="both"/>
              <w:rPr>
                <w:rFonts w:hint="eastAsia" w:ascii="Times New Roman" w:hAnsi="Times New Roman" w:eastAsia="宋体" w:cs="宋体"/>
                <w:sz w:val="24"/>
                <w:szCs w:val="24"/>
              </w:rPr>
            </w:pPr>
            <w:r>
              <w:rPr>
                <w:rFonts w:ascii="Times New Roman" w:hAnsi="Times New Roman" w:eastAsia="宋体" w:cs="宋体"/>
                <w:sz w:val="24"/>
                <w:szCs w:val="24"/>
              </w:rPr>
              <w:t>基金管理人或基金管理人委托</w:t>
            </w:r>
            <w:r>
              <w:rPr>
                <w:rFonts w:hint="eastAsia" w:ascii="Times New Roman" w:hAnsi="Times New Roman" w:eastAsia="宋体" w:cs="宋体"/>
                <w:sz w:val="24"/>
                <w:szCs w:val="24"/>
                <w:lang w:val="en-US" w:eastAsia="zh-CN"/>
              </w:rPr>
              <w:t>的</w:t>
            </w:r>
            <w:r>
              <w:rPr>
                <w:rFonts w:ascii="Times New Roman" w:hAnsi="Times New Roman" w:eastAsia="宋体" w:cs="宋体"/>
                <w:sz w:val="24"/>
                <w:szCs w:val="24"/>
              </w:rPr>
              <w:t>其他机构计算并通过证券交易所发布基金份额参考净值</w:t>
            </w:r>
            <w:r>
              <w:rPr>
                <w:rFonts w:hint="eastAsia" w:ascii="Times New Roman" w:hAnsi="Times New Roman" w:eastAsia="宋体" w:cs="宋体"/>
                <w:sz w:val="24"/>
                <w:szCs w:val="24"/>
              </w:rPr>
              <w:t>（IOPV），仅供投资者交易、申购、赎回基金份额时参考。IOPV与实时的基金份额净值可能存在差异，IOPV计算可能出现错误，投资者若参考IOPV进行投资决策可能导致损失，需投资者自行承担。</w:t>
            </w:r>
          </w:p>
          <w:p>
            <w:pPr>
              <w:widowControl w:val="0"/>
              <w:numPr>
                <w:ilvl w:val="0"/>
                <w:numId w:val="0"/>
              </w:numPr>
              <w:ind w:leftChars="0"/>
              <w:jc w:val="both"/>
              <w:rPr>
                <w:rFonts w:hint="eastAsia" w:ascii="Times New Roman" w:hAnsi="Times New Roman" w:eastAsia="宋体" w:cs="宋体"/>
                <w:sz w:val="24"/>
                <w:szCs w:val="24"/>
                <w:vertAlign w:val="baseline"/>
              </w:rPr>
            </w:pPr>
            <w:r>
              <w:rPr>
                <w:rFonts w:ascii="Times New Roman" w:hAnsi="Times New Roman" w:eastAsia="宋体" w:cs="宋体"/>
                <w:sz w:val="24"/>
                <w:szCs w:val="24"/>
              </w:rPr>
              <w:t>……</w:t>
            </w:r>
          </w:p>
        </w:tc>
      </w:tr>
    </w:tbl>
    <w:p>
      <w:pPr>
        <w:widowControl/>
        <w:numPr>
          <w:ilvl w:val="-1"/>
          <w:numId w:val="0"/>
        </w:numPr>
        <w:adjustRightInd w:val="0"/>
        <w:snapToGrid w:val="0"/>
        <w:spacing w:before="312" w:beforeLines="100" w:line="360" w:lineRule="auto"/>
        <w:ind w:left="0" w:leftChars="0" w:firstLine="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 xml:space="preserve">重要提示 </w:t>
      </w:r>
    </w:p>
    <w:p>
      <w:pPr>
        <w:widowControl/>
        <w:numPr>
          <w:ilvl w:val="-1"/>
          <w:numId w:val="0"/>
        </w:numPr>
        <w:adjustRightInd w:val="0"/>
        <w:snapToGrid w:val="0"/>
        <w:spacing w:line="360" w:lineRule="auto"/>
        <w:ind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上述调整符合有关法律法规规定和基金合同的约定，对基金份额持有人利益无实质性不利影响，</w:t>
      </w:r>
      <w:r>
        <w:rPr>
          <w:rFonts w:hint="eastAsia" w:ascii="Times New Roman" w:hAnsi="Times New Roman" w:eastAsia="宋体" w:cs="Times New Roman"/>
          <w:sz w:val="24"/>
          <w:szCs w:val="24"/>
        </w:rPr>
        <w:t>且不涉及基金合同当事人权利义务关系发生变化，</w:t>
      </w:r>
      <w:r>
        <w:rPr>
          <w:rFonts w:hint="eastAsia" w:ascii="Times New Roman" w:hAnsi="Times New Roman" w:eastAsia="宋体" w:cs="Times New Roman"/>
          <w:sz w:val="24"/>
          <w:szCs w:val="24"/>
        </w:rPr>
        <w:t>无需召开基金份额持有人大会。</w:t>
      </w:r>
    </w:p>
    <w:p>
      <w:pPr>
        <w:widowControl/>
        <w:numPr>
          <w:ilvl w:val="-1"/>
          <w:numId w:val="0"/>
        </w:numPr>
        <w:adjustRightInd w:val="0"/>
        <w:snapToGrid w:val="0"/>
        <w:spacing w:line="360" w:lineRule="auto"/>
        <w:ind w:leftChars="0" w:firstLine="480" w:firstLineChars="200"/>
        <w:jc w:val="left"/>
        <w:rPr>
          <w:rFonts w:hint="eastAsia" w:ascii="Times New Roman" w:hAnsi="Times New Roman" w:eastAsia="宋体"/>
          <w:sz w:val="24"/>
        </w:rPr>
      </w:pPr>
      <w:r>
        <w:rPr>
          <w:rFonts w:hint="eastAsia" w:ascii="Times New Roman" w:hAnsi="Times New Roman" w:eastAsia="宋体" w:cs="Times New Roman"/>
          <w:sz w:val="24"/>
          <w:szCs w:val="24"/>
        </w:rPr>
        <w:t>本公告仅对本基金调整基金份额参考净值（IOPV）计算机构的相关内容事项予以说明。投资人欲了解详细情况，请仔细阅读本基金的招募说明书及其更新文件，以及相关业务公告。</w:t>
      </w:r>
      <w:r>
        <w:rPr>
          <w:rFonts w:hint="eastAsia" w:ascii="Times New Roman" w:hAnsi="Times New Roman" w:eastAsia="宋体"/>
          <w:sz w:val="24"/>
        </w:rPr>
        <w:t>投资者可以通过本公司网站（www.fund001.com）或客户服务电话400-700-5000（免长途话费），021-61055000咨询有关详情。</w:t>
      </w:r>
    </w:p>
    <w:p>
      <w:pPr>
        <w:widowControl/>
        <w:numPr>
          <w:ilvl w:val="-1"/>
          <w:numId w:val="0"/>
        </w:numPr>
        <w:adjustRightInd w:val="0"/>
        <w:snapToGrid w:val="0"/>
        <w:spacing w:line="360" w:lineRule="auto"/>
        <w:ind w:leftChars="0" w:firstLine="480" w:firstLineChars="200"/>
        <w:jc w:val="left"/>
        <w:rPr>
          <w:rFonts w:hint="eastAsia"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cs="Times New Roman"/>
          <w:sz w:val="24"/>
          <w:szCs w:val="24"/>
        </w:rPr>
        <w:t xml:space="preserve"> </w:t>
      </w:r>
      <w:r>
        <w:rPr>
          <w:rFonts w:hint="eastAsia" w:ascii="Times New Roman" w:hAnsi="Times New Roman" w:eastAsia="宋体"/>
          <w:sz w:val="24"/>
        </w:rPr>
        <w:t>风险提示：本公司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adjustRightInd w:val="0"/>
        <w:snapToGrid w:val="0"/>
        <w:spacing w:line="360" w:lineRule="auto"/>
        <w:ind w:firstLine="480" w:firstLineChars="200"/>
        <w:rPr>
          <w:rFonts w:ascii="Times New Roman" w:hAnsi="Times New Roman" w:eastAsia="宋体"/>
          <w:sz w:val="24"/>
        </w:rPr>
      </w:pPr>
    </w:p>
    <w:p>
      <w:pPr>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特此公告。</w:t>
      </w:r>
    </w:p>
    <w:p>
      <w:pPr>
        <w:ind w:firstLine="648"/>
        <w:rPr>
          <w:rFonts w:ascii="Times New Roman" w:hAnsi="Times New Roman" w:eastAsia="宋体"/>
          <w:sz w:val="24"/>
        </w:rPr>
      </w:pPr>
    </w:p>
    <w:p>
      <w:pPr>
        <w:ind w:firstLine="648"/>
        <w:rPr>
          <w:rFonts w:ascii="Times New Roman" w:hAnsi="Times New Roman" w:eastAsia="宋体"/>
          <w:sz w:val="24"/>
        </w:rPr>
      </w:pPr>
    </w:p>
    <w:p>
      <w:pPr>
        <w:ind w:firstLine="648"/>
        <w:jc w:val="right"/>
        <w:rPr>
          <w:rFonts w:ascii="Times New Roman" w:hAnsi="Times New Roman" w:eastAsia="宋体"/>
          <w:sz w:val="24"/>
        </w:rPr>
      </w:pPr>
      <w:r>
        <w:rPr>
          <w:rFonts w:hint="eastAsia" w:ascii="Times New Roman" w:hAnsi="Times New Roman" w:eastAsia="宋体"/>
          <w:sz w:val="24"/>
        </w:rPr>
        <w:t>交银施罗德基金管理有限公司</w:t>
      </w:r>
    </w:p>
    <w:p>
      <w:pPr>
        <w:ind w:firstLine="648"/>
        <w:jc w:val="right"/>
        <w:rPr>
          <w:rFonts w:ascii="Times New Roman" w:hAnsi="Times New Roman" w:eastAsia="宋体"/>
          <w:sz w:val="24"/>
        </w:rPr>
      </w:pPr>
      <w:r>
        <w:rPr>
          <w:rFonts w:hint="eastAsia" w:ascii="Times New Roman" w:hAnsi="Times New Roman" w:eastAsia="宋体"/>
          <w:sz w:val="24"/>
        </w:rPr>
        <w:t>202</w:t>
      </w:r>
      <w:r>
        <w:rPr>
          <w:rFonts w:ascii="Times New Roman" w:hAnsi="Times New Roman" w:eastAsia="宋体"/>
          <w:sz w:val="24"/>
        </w:rPr>
        <w:t>6</w:t>
      </w:r>
      <w:r>
        <w:rPr>
          <w:rFonts w:hint="eastAsia" w:ascii="Times New Roman" w:hAnsi="Times New Roman" w:eastAsia="宋体"/>
          <w:sz w:val="24"/>
        </w:rPr>
        <w:t>年</w:t>
      </w:r>
      <w:r>
        <w:rPr>
          <w:rFonts w:ascii="Times New Roman" w:hAnsi="Times New Roman" w:eastAsia="宋体"/>
          <w:sz w:val="24"/>
        </w:rPr>
        <w:t>2</w:t>
      </w:r>
      <w:r>
        <w:rPr>
          <w:rFonts w:hint="eastAsia" w:ascii="Times New Roman" w:hAnsi="Times New Roman" w:eastAsia="宋体"/>
          <w:sz w:val="24"/>
        </w:rPr>
        <w:t>月</w:t>
      </w:r>
      <w:r>
        <w:rPr>
          <w:rFonts w:hint="eastAsia" w:ascii="Times New Roman" w:hAnsi="Times New Roman" w:eastAsia="宋体"/>
          <w:sz w:val="24"/>
          <w:lang w:val="en-US" w:eastAsia="zh-CN"/>
        </w:rPr>
        <w:t>10</w:t>
      </w:r>
      <w:r>
        <w:rPr>
          <w:rFonts w:hint="eastAsia" w:ascii="Times New Roman" w:hAnsi="Times New Roman" w:eastAsia="宋体"/>
          <w:sz w:val="24"/>
        </w:rPr>
        <w:t>日</w:t>
      </w:r>
    </w:p>
    <w:p>
      <w:pPr>
        <w:widowControl/>
        <w:numPr>
          <w:ilvl w:val="-1"/>
          <w:numId w:val="0"/>
        </w:numPr>
        <w:adjustRightInd w:val="0"/>
        <w:snapToGrid w:val="0"/>
        <w:spacing w:before="312" w:beforeLines="100" w:line="360" w:lineRule="auto"/>
        <w:ind w:left="0" w:leftChars="0" w:firstLine="0" w:firstLineChars="0"/>
        <w:jc w:val="left"/>
        <w:rPr>
          <w:rFonts w:hint="eastAsia" w:ascii="Times New Roman" w:hAnsi="Times New Roman" w:eastAsia="宋体" w:cs="Times New Roman"/>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A89CD"/>
    <w:multiLevelType w:val="singleLevel"/>
    <w:tmpl w:val="B2EA89C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D30F7"/>
    <w:rsid w:val="009D033E"/>
    <w:rsid w:val="01F25445"/>
    <w:rsid w:val="06453F26"/>
    <w:rsid w:val="0A2C6386"/>
    <w:rsid w:val="0FCC498E"/>
    <w:rsid w:val="197958A5"/>
    <w:rsid w:val="247336A3"/>
    <w:rsid w:val="260E377E"/>
    <w:rsid w:val="2F726F8D"/>
    <w:rsid w:val="2FDD30F7"/>
    <w:rsid w:val="31B23A33"/>
    <w:rsid w:val="31F92B93"/>
    <w:rsid w:val="35B51E9E"/>
    <w:rsid w:val="3DFC1B15"/>
    <w:rsid w:val="45B37AB3"/>
    <w:rsid w:val="492E420A"/>
    <w:rsid w:val="49D5105C"/>
    <w:rsid w:val="51F93209"/>
    <w:rsid w:val="58465DE3"/>
    <w:rsid w:val="60BA4FC1"/>
    <w:rsid w:val="66857FC0"/>
    <w:rsid w:val="669F3BDF"/>
    <w:rsid w:val="691C36BB"/>
    <w:rsid w:val="696D5485"/>
    <w:rsid w:val="6BA8732E"/>
    <w:rsid w:val="767B4C81"/>
    <w:rsid w:val="7C296D52"/>
    <w:rsid w:val="7E30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2026-02-09T02:25:00Z</dcterms:created>
  <dc:creator>zhuyifan</dc:creator>
  <cp:lastModifiedBy>haotingting</cp:lastModifiedBy>
  <dcterms:modified xsi:type="dcterms:W3CDTF">2026-02-09T06:01:34Z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846EEBFC91D44C268A50664ECC8E994E</vt:lpwstr>
  </property>
</Properties>
</file>