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cs="宋体"/>
          <w:b/>
          <w:bCs/>
          <w:sz w:val="28"/>
          <w:szCs w:val="28"/>
        </w:rPr>
      </w:pPr>
      <w:bookmarkStart w:id="0" w:name="_GoBack"/>
      <w:bookmarkEnd w:id="0"/>
      <w:r>
        <w:rPr>
          <w:rFonts w:hint="eastAsia" w:cs="宋体"/>
          <w:b/>
          <w:bCs/>
          <w:sz w:val="28"/>
          <w:szCs w:val="28"/>
        </w:rPr>
        <w:t>交银施罗德基金管理有限公司关于增加</w:t>
      </w:r>
      <w:r>
        <w:rPr>
          <w:rFonts w:hint="eastAsia" w:cs="宋体"/>
          <w:b/>
          <w:bCs/>
          <w:sz w:val="28"/>
          <w:szCs w:val="28"/>
          <w:lang w:eastAsia="zh-CN"/>
        </w:rPr>
        <w:t>交银施罗德中证A500指数增强型发起式证券投资基金</w:t>
      </w:r>
      <w:r>
        <w:rPr>
          <w:rFonts w:hint="eastAsia" w:cs="宋体"/>
          <w:b/>
          <w:bCs/>
          <w:sz w:val="28"/>
          <w:szCs w:val="28"/>
        </w:rPr>
        <w:t>销售机构的公告</w:t>
      </w:r>
    </w:p>
    <w:p>
      <w:pPr>
        <w:spacing w:before="50" w:after="50" w:line="360" w:lineRule="auto"/>
        <w:ind w:firstLine="562" w:firstLineChars="200"/>
        <w:jc w:val="center"/>
        <w:rPr>
          <w:b/>
          <w:bCs/>
          <w:sz w:val="28"/>
          <w:szCs w:val="28"/>
        </w:rPr>
      </w:pPr>
    </w:p>
    <w:p>
      <w:pPr>
        <w:adjustRightInd w:val="0"/>
        <w:snapToGrid w:val="0"/>
        <w:spacing w:line="360" w:lineRule="auto"/>
        <w:ind w:firstLine="480" w:firstLineChars="200"/>
        <w:rPr>
          <w:bCs/>
          <w:sz w:val="24"/>
          <w:szCs w:val="24"/>
        </w:rPr>
      </w:pPr>
      <w:r>
        <w:rPr>
          <w:bCs/>
          <w:sz w:val="24"/>
          <w:szCs w:val="24"/>
        </w:rPr>
        <w:t>根据交银施罗德基金管理有限公司（以下简称“本</w:t>
      </w:r>
      <w:r>
        <w:rPr>
          <w:rFonts w:hint="eastAsia"/>
          <w:bCs/>
          <w:sz w:val="24"/>
          <w:szCs w:val="24"/>
        </w:rPr>
        <w:t>公司</w:t>
      </w:r>
      <w:r>
        <w:rPr>
          <w:bCs/>
          <w:sz w:val="24"/>
          <w:szCs w:val="24"/>
        </w:rPr>
        <w:t>”）与</w:t>
      </w:r>
      <w:r>
        <w:rPr>
          <w:rFonts w:hint="eastAsia"/>
          <w:bCs/>
          <w:sz w:val="24"/>
          <w:szCs w:val="24"/>
        </w:rPr>
        <w:t>部分销售机构</w:t>
      </w:r>
      <w:r>
        <w:rPr>
          <w:bCs/>
          <w:sz w:val="24"/>
          <w:szCs w:val="24"/>
        </w:rPr>
        <w:t>签署的销售协议，本</w:t>
      </w:r>
      <w:r>
        <w:rPr>
          <w:rFonts w:hint="eastAsia"/>
          <w:bCs/>
          <w:sz w:val="24"/>
          <w:szCs w:val="24"/>
        </w:rPr>
        <w:t>公司自202</w:t>
      </w:r>
      <w:r>
        <w:rPr>
          <w:bCs/>
          <w:sz w:val="24"/>
          <w:szCs w:val="24"/>
        </w:rPr>
        <w:t>6</w:t>
      </w:r>
      <w:r>
        <w:rPr>
          <w:rFonts w:hint="eastAsia"/>
          <w:bCs/>
          <w:sz w:val="24"/>
          <w:szCs w:val="24"/>
        </w:rPr>
        <w:t>年</w:t>
      </w:r>
      <w:r>
        <w:rPr>
          <w:bCs/>
          <w:sz w:val="24"/>
          <w:szCs w:val="24"/>
        </w:rPr>
        <w:t>1</w:t>
      </w:r>
      <w:r>
        <w:rPr>
          <w:rFonts w:hint="eastAsia"/>
          <w:bCs/>
          <w:sz w:val="24"/>
          <w:szCs w:val="24"/>
        </w:rPr>
        <w:t>月</w:t>
      </w:r>
      <w:r>
        <w:rPr>
          <w:rFonts w:hint="eastAsia"/>
          <w:bCs/>
          <w:sz w:val="24"/>
          <w:szCs w:val="24"/>
          <w:lang w:val="en-US" w:eastAsia="zh-CN"/>
        </w:rPr>
        <w:t>26</w:t>
      </w:r>
      <w:r>
        <w:rPr>
          <w:rFonts w:hint="eastAsia"/>
          <w:bCs/>
          <w:sz w:val="24"/>
          <w:szCs w:val="24"/>
        </w:rPr>
        <w:t>日</w:t>
      </w:r>
      <w:r>
        <w:rPr>
          <w:bCs/>
          <w:sz w:val="24"/>
          <w:szCs w:val="24"/>
        </w:rPr>
        <w:t>起增加</w:t>
      </w:r>
      <w:r>
        <w:rPr>
          <w:rFonts w:hint="eastAsia"/>
          <w:bCs/>
          <w:sz w:val="24"/>
          <w:szCs w:val="24"/>
        </w:rPr>
        <w:t>部分销售</w:t>
      </w:r>
      <w:r>
        <w:rPr>
          <w:bCs/>
          <w:sz w:val="24"/>
          <w:szCs w:val="24"/>
        </w:rPr>
        <w:t>机构作为</w:t>
      </w:r>
      <w:r>
        <w:rPr>
          <w:rFonts w:hint="eastAsia"/>
          <w:bCs/>
          <w:sz w:val="24"/>
          <w:szCs w:val="24"/>
          <w:lang w:eastAsia="zh-CN"/>
        </w:rPr>
        <w:t>交银施罗德中证A500指数增强型发起式证券投资基金</w:t>
      </w:r>
      <w:r>
        <w:rPr>
          <w:rFonts w:hint="eastAsia"/>
          <w:bCs/>
          <w:sz w:val="24"/>
          <w:szCs w:val="24"/>
        </w:rPr>
        <w:t>（A类基金份额基金代码：</w:t>
      </w:r>
      <w:r>
        <w:rPr>
          <w:rFonts w:hint="eastAsia" w:ascii="Times New Roman" w:hAnsi="Times New Roman" w:eastAsia="宋体" w:cs="Times New Roman"/>
          <w:sz w:val="24"/>
          <w:szCs w:val="21"/>
          <w:lang w:val="en-US" w:eastAsia="zh-CN" w:bidi="ar"/>
        </w:rPr>
        <w:t>026736</w:t>
      </w:r>
      <w:r>
        <w:rPr>
          <w:rFonts w:hint="eastAsia"/>
          <w:bCs/>
          <w:sz w:val="24"/>
          <w:szCs w:val="24"/>
        </w:rPr>
        <w:t>；基金简称：</w:t>
      </w:r>
      <w:r>
        <w:rPr>
          <w:rFonts w:hint="eastAsia"/>
          <w:bCs/>
          <w:sz w:val="24"/>
          <w:szCs w:val="24"/>
          <w:lang w:eastAsia="zh-CN"/>
        </w:rPr>
        <w:t>交银中证A500指数增强发起</w:t>
      </w:r>
      <w:r>
        <w:rPr>
          <w:rFonts w:hint="eastAsia"/>
          <w:bCs/>
          <w:sz w:val="24"/>
          <w:szCs w:val="24"/>
        </w:rPr>
        <w:t>A</w:t>
      </w:r>
      <w:r>
        <w:rPr>
          <w:rFonts w:hint="eastAsia"/>
          <w:bCs/>
          <w:sz w:val="24"/>
          <w:szCs w:val="24"/>
          <w:lang w:eastAsia="zh-CN"/>
        </w:rPr>
        <w:t>；</w:t>
      </w:r>
      <w:r>
        <w:rPr>
          <w:rFonts w:hint="eastAsia"/>
          <w:sz w:val="24"/>
        </w:rPr>
        <w:t>C类基金份额基金代码：</w:t>
      </w:r>
      <w:r>
        <w:rPr>
          <w:rFonts w:hint="eastAsia" w:ascii="Times New Roman" w:hAnsi="Times New Roman" w:eastAsia="宋体" w:cs="Times New Roman"/>
          <w:sz w:val="24"/>
          <w:szCs w:val="21"/>
          <w:lang w:val="en-US" w:eastAsia="zh-CN" w:bidi="ar"/>
        </w:rPr>
        <w:t>02673</w:t>
      </w:r>
      <w:r>
        <w:rPr>
          <w:rFonts w:hint="eastAsia" w:cs="Times New Roman"/>
          <w:sz w:val="24"/>
          <w:szCs w:val="21"/>
          <w:lang w:val="en-US" w:eastAsia="zh-CN" w:bidi="ar"/>
        </w:rPr>
        <w:t>7</w:t>
      </w:r>
      <w:r>
        <w:rPr>
          <w:rFonts w:hint="eastAsia"/>
          <w:sz w:val="24"/>
        </w:rPr>
        <w:t>；基金简称：</w:t>
      </w:r>
      <w:r>
        <w:rPr>
          <w:rFonts w:hint="eastAsia"/>
          <w:sz w:val="24"/>
          <w:lang w:eastAsia="zh-CN"/>
        </w:rPr>
        <w:t>交银中证A500指数增强发起</w:t>
      </w:r>
      <w:r>
        <w:rPr>
          <w:rFonts w:hint="eastAsia"/>
          <w:sz w:val="24"/>
        </w:rPr>
        <w:t>C</w:t>
      </w:r>
      <w:r>
        <w:rPr>
          <w:rFonts w:hint="eastAsia"/>
          <w:bCs/>
          <w:sz w:val="24"/>
          <w:szCs w:val="24"/>
        </w:rPr>
        <w:t>）</w:t>
      </w:r>
      <w:r>
        <w:rPr>
          <w:bCs/>
          <w:sz w:val="24"/>
          <w:szCs w:val="24"/>
        </w:rPr>
        <w:t>的销售机构</w:t>
      </w:r>
      <w:r>
        <w:rPr>
          <w:rFonts w:hint="eastAsia"/>
          <w:bCs/>
          <w:sz w:val="24"/>
          <w:szCs w:val="24"/>
        </w:rPr>
        <w:t>。</w:t>
      </w:r>
    </w:p>
    <w:p>
      <w:pPr>
        <w:adjustRightInd w:val="0"/>
        <w:snapToGrid w:val="0"/>
        <w:spacing w:line="360" w:lineRule="auto"/>
        <w:ind w:firstLine="480" w:firstLineChars="200"/>
        <w:rPr>
          <w:bCs/>
          <w:sz w:val="24"/>
          <w:szCs w:val="24"/>
        </w:rPr>
      </w:pPr>
    </w:p>
    <w:p>
      <w:pPr>
        <w:spacing w:line="360" w:lineRule="auto"/>
        <w:ind w:firstLine="480" w:firstLineChars="200"/>
        <w:outlineLvl w:val="0"/>
        <w:rPr>
          <w:kern w:val="0"/>
          <w:sz w:val="24"/>
          <w:szCs w:val="24"/>
        </w:rPr>
      </w:pPr>
      <w:r>
        <w:rPr>
          <w:rFonts w:hint="eastAsia"/>
          <w:kern w:val="0"/>
          <w:sz w:val="24"/>
          <w:szCs w:val="24"/>
        </w:rPr>
        <w:t>一、业务范围</w:t>
      </w:r>
    </w:p>
    <w:p>
      <w:pPr>
        <w:spacing w:line="360" w:lineRule="auto"/>
        <w:ind w:firstLine="480" w:firstLineChars="200"/>
        <w:rPr>
          <w:kern w:val="0"/>
          <w:sz w:val="24"/>
          <w:szCs w:val="24"/>
        </w:rPr>
      </w:pPr>
      <w:r>
        <w:rPr>
          <w:sz w:val="24"/>
          <w:szCs w:val="24"/>
        </w:rPr>
        <w:t>自</w:t>
      </w:r>
      <w:r>
        <w:rPr>
          <w:rFonts w:hint="eastAsia"/>
          <w:bCs/>
          <w:sz w:val="24"/>
          <w:szCs w:val="24"/>
        </w:rPr>
        <w:t>202</w:t>
      </w:r>
      <w:r>
        <w:rPr>
          <w:bCs/>
          <w:sz w:val="24"/>
          <w:szCs w:val="24"/>
        </w:rPr>
        <w:t>6</w:t>
      </w:r>
      <w:r>
        <w:rPr>
          <w:rFonts w:hint="eastAsia"/>
          <w:bCs/>
          <w:sz w:val="24"/>
          <w:szCs w:val="24"/>
        </w:rPr>
        <w:t>年</w:t>
      </w:r>
      <w:r>
        <w:rPr>
          <w:bCs/>
          <w:sz w:val="24"/>
          <w:szCs w:val="24"/>
        </w:rPr>
        <w:t>1</w:t>
      </w:r>
      <w:r>
        <w:rPr>
          <w:rFonts w:hint="eastAsia"/>
          <w:bCs/>
          <w:sz w:val="24"/>
          <w:szCs w:val="24"/>
        </w:rPr>
        <w:t>月</w:t>
      </w:r>
      <w:r>
        <w:rPr>
          <w:rFonts w:hint="eastAsia"/>
          <w:bCs/>
          <w:sz w:val="24"/>
          <w:szCs w:val="24"/>
          <w:lang w:val="en-US" w:eastAsia="zh-CN"/>
        </w:rPr>
        <w:t>26</w:t>
      </w:r>
      <w:r>
        <w:rPr>
          <w:rFonts w:hint="eastAsia"/>
          <w:bCs/>
          <w:sz w:val="24"/>
          <w:szCs w:val="24"/>
        </w:rPr>
        <w:t>日</w:t>
      </w:r>
      <w:r>
        <w:rPr>
          <w:sz w:val="24"/>
          <w:szCs w:val="24"/>
        </w:rPr>
        <w:t>起</w:t>
      </w:r>
      <w:r>
        <w:rPr>
          <w:rFonts w:hint="eastAsia"/>
          <w:sz w:val="24"/>
          <w:szCs w:val="24"/>
        </w:rPr>
        <w:t>，</w:t>
      </w:r>
      <w:r>
        <w:rPr>
          <w:rFonts w:hint="eastAsia"/>
          <w:kern w:val="0"/>
          <w:sz w:val="24"/>
          <w:szCs w:val="24"/>
        </w:rPr>
        <w:t>投资者可在下述销售机构（具体名单请见“二、投资人可通过以下途径咨询有关详情”）办理开户</w:t>
      </w:r>
      <w:r>
        <w:rPr>
          <w:kern w:val="0"/>
          <w:sz w:val="24"/>
          <w:szCs w:val="24"/>
        </w:rPr>
        <w:t>及</w:t>
      </w:r>
      <w:r>
        <w:rPr>
          <w:rFonts w:hint="eastAsia"/>
          <w:bCs/>
          <w:sz w:val="24"/>
          <w:szCs w:val="24"/>
          <w:lang w:eastAsia="zh-CN"/>
        </w:rPr>
        <w:t>交银施罗德中证A500指数增强型发起式证券投资基金</w:t>
      </w:r>
      <w:r>
        <w:rPr>
          <w:rFonts w:hint="eastAsia"/>
          <w:kern w:val="0"/>
          <w:sz w:val="24"/>
          <w:szCs w:val="24"/>
        </w:rPr>
        <w:t>的认购等业务。</w:t>
      </w:r>
    </w:p>
    <w:p>
      <w:pPr>
        <w:spacing w:line="360" w:lineRule="auto"/>
        <w:ind w:firstLine="480" w:firstLineChars="200"/>
        <w:rPr>
          <w:sz w:val="24"/>
          <w:szCs w:val="24"/>
        </w:rPr>
      </w:pPr>
      <w:r>
        <w:rPr>
          <w:rFonts w:hint="eastAsia"/>
          <w:bCs/>
          <w:sz w:val="24"/>
          <w:szCs w:val="24"/>
          <w:lang w:eastAsia="zh-CN"/>
        </w:rPr>
        <w:t>交银施罗德中证A500指数增强型发起式证券投资基金</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pPr>
        <w:adjustRightInd w:val="0"/>
        <w:snapToGrid w:val="0"/>
        <w:spacing w:line="360" w:lineRule="auto"/>
        <w:ind w:firstLine="480" w:firstLineChars="200"/>
        <w:rPr>
          <w:bCs/>
          <w:sz w:val="24"/>
          <w:szCs w:val="24"/>
        </w:rPr>
      </w:pPr>
    </w:p>
    <w:p>
      <w:pPr>
        <w:adjustRightInd w:val="0"/>
        <w:snapToGrid w:val="0"/>
        <w:spacing w:line="360" w:lineRule="auto"/>
        <w:ind w:firstLine="482" w:firstLineChars="200"/>
        <w:rPr>
          <w:b/>
          <w:bCs w:val="0"/>
          <w:sz w:val="24"/>
          <w:szCs w:val="24"/>
        </w:rPr>
      </w:pPr>
      <w:r>
        <w:rPr>
          <w:b/>
          <w:bCs w:val="0"/>
          <w:sz w:val="24"/>
          <w:szCs w:val="24"/>
        </w:rPr>
        <w:t>重要提示：</w:t>
      </w:r>
    </w:p>
    <w:p>
      <w:pPr>
        <w:adjustRightInd w:val="0"/>
        <w:snapToGrid w:val="0"/>
        <w:spacing w:line="360" w:lineRule="auto"/>
        <w:ind w:firstLine="480" w:firstLineChars="200"/>
        <w:rPr>
          <w:bCs/>
          <w:sz w:val="24"/>
          <w:szCs w:val="24"/>
        </w:rPr>
      </w:pPr>
      <w:r>
        <w:rPr>
          <w:bCs/>
          <w:sz w:val="24"/>
          <w:szCs w:val="24"/>
        </w:rPr>
        <w:t>1、本</w:t>
      </w:r>
      <w:r>
        <w:rPr>
          <w:rFonts w:hint="eastAsia"/>
          <w:bCs/>
          <w:sz w:val="24"/>
          <w:szCs w:val="24"/>
        </w:rPr>
        <w:t>公司</w:t>
      </w:r>
      <w:r>
        <w:rPr>
          <w:bCs/>
          <w:sz w:val="24"/>
          <w:szCs w:val="24"/>
        </w:rPr>
        <w:t>于</w:t>
      </w:r>
      <w:r>
        <w:rPr>
          <w:rFonts w:hint="eastAsia"/>
          <w:bCs/>
          <w:sz w:val="24"/>
          <w:szCs w:val="24"/>
        </w:rPr>
        <w:t>202</w:t>
      </w:r>
      <w:r>
        <w:rPr>
          <w:rFonts w:hint="eastAsia"/>
          <w:bCs/>
          <w:sz w:val="24"/>
          <w:szCs w:val="24"/>
          <w:lang w:val="en-US" w:eastAsia="zh-CN"/>
        </w:rPr>
        <w:t>6</w:t>
      </w:r>
      <w:r>
        <w:rPr>
          <w:rFonts w:hint="eastAsia"/>
          <w:bCs/>
          <w:sz w:val="24"/>
          <w:szCs w:val="24"/>
        </w:rPr>
        <w:t>年1月</w:t>
      </w:r>
      <w:r>
        <w:rPr>
          <w:rFonts w:hint="eastAsia"/>
          <w:bCs/>
          <w:sz w:val="24"/>
          <w:szCs w:val="24"/>
          <w:lang w:val="en-US" w:eastAsia="zh-CN"/>
        </w:rPr>
        <w:t>1</w:t>
      </w:r>
      <w:r>
        <w:rPr>
          <w:rFonts w:hint="eastAsia"/>
          <w:bCs/>
          <w:sz w:val="24"/>
          <w:szCs w:val="24"/>
        </w:rPr>
        <w:t>5日</w:t>
      </w:r>
      <w:r>
        <w:rPr>
          <w:bCs/>
          <w:sz w:val="24"/>
          <w:szCs w:val="24"/>
        </w:rPr>
        <w:t>发布公告，</w:t>
      </w:r>
      <w:r>
        <w:rPr>
          <w:rFonts w:hint="eastAsia"/>
          <w:bCs/>
          <w:sz w:val="24"/>
          <w:szCs w:val="24"/>
          <w:lang w:eastAsia="zh-CN"/>
        </w:rPr>
        <w:t>交银施罗德中证A500指数增强型发起式证券投资基金</w:t>
      </w:r>
      <w:r>
        <w:rPr>
          <w:bCs/>
          <w:sz w:val="24"/>
          <w:szCs w:val="24"/>
        </w:rPr>
        <w:t>自</w:t>
      </w:r>
      <w:r>
        <w:rPr>
          <w:rFonts w:hint="eastAsia"/>
          <w:bCs/>
          <w:sz w:val="24"/>
          <w:szCs w:val="24"/>
        </w:rPr>
        <w:t>2026年1月</w:t>
      </w:r>
      <w:r>
        <w:rPr>
          <w:rFonts w:hint="eastAsia"/>
          <w:bCs/>
          <w:sz w:val="24"/>
          <w:szCs w:val="24"/>
          <w:lang w:val="en-US" w:eastAsia="zh-CN"/>
        </w:rPr>
        <w:t>26</w:t>
      </w:r>
      <w:r>
        <w:rPr>
          <w:rFonts w:hint="eastAsia"/>
          <w:bCs/>
          <w:sz w:val="24"/>
          <w:szCs w:val="24"/>
        </w:rPr>
        <w:t>日起至2026年</w:t>
      </w:r>
      <w:r>
        <w:rPr>
          <w:rFonts w:hint="eastAsia"/>
          <w:bCs/>
          <w:sz w:val="24"/>
          <w:szCs w:val="24"/>
          <w:lang w:val="en-US" w:eastAsia="zh-CN"/>
        </w:rPr>
        <w:t>2</w:t>
      </w:r>
      <w:r>
        <w:rPr>
          <w:rFonts w:hint="eastAsia"/>
          <w:bCs/>
          <w:sz w:val="24"/>
          <w:szCs w:val="24"/>
        </w:rPr>
        <w:t>月6日</w:t>
      </w:r>
      <w:r>
        <w:rPr>
          <w:bCs/>
          <w:sz w:val="24"/>
          <w:szCs w:val="24"/>
        </w:rPr>
        <w:t>止通过销售机构公开发售</w:t>
      </w:r>
      <w:r>
        <w:rPr>
          <w:rFonts w:hint="eastAsia"/>
          <w:bCs/>
          <w:sz w:val="24"/>
          <w:szCs w:val="24"/>
        </w:rPr>
        <w:t>，</w:t>
      </w:r>
      <w:r>
        <w:rPr>
          <w:rFonts w:hint="eastAsia"/>
          <w:sz w:val="24"/>
        </w:rPr>
        <w:t>本公司也可根据基金销售情况在募集期限内适当延长或缩短基金发售时间，并及时公告</w:t>
      </w:r>
      <w:r>
        <w:rPr>
          <w:bCs/>
          <w:sz w:val="24"/>
          <w:szCs w:val="24"/>
        </w:rPr>
        <w:t>。投资人欲了解</w:t>
      </w:r>
      <w:r>
        <w:rPr>
          <w:rFonts w:hint="eastAsia"/>
          <w:bCs/>
          <w:sz w:val="24"/>
          <w:szCs w:val="24"/>
        </w:rPr>
        <w:t>上述</w:t>
      </w:r>
      <w:r>
        <w:rPr>
          <w:bCs/>
          <w:sz w:val="24"/>
          <w:szCs w:val="24"/>
        </w:rPr>
        <w:t>基金及</w:t>
      </w:r>
      <w:r>
        <w:rPr>
          <w:rFonts w:hint="eastAsia"/>
          <w:bCs/>
          <w:sz w:val="24"/>
          <w:szCs w:val="24"/>
        </w:rPr>
        <w:t>上述</w:t>
      </w:r>
      <w:r>
        <w:rPr>
          <w:bCs/>
          <w:sz w:val="24"/>
          <w:szCs w:val="24"/>
        </w:rPr>
        <w:t>基金基金份额发售的详细情况，请</w:t>
      </w:r>
      <w:r>
        <w:rPr>
          <w:rFonts w:hint="eastAsia"/>
          <w:bCs/>
          <w:sz w:val="24"/>
          <w:szCs w:val="24"/>
        </w:rPr>
        <w:t>仔细阅读202</w:t>
      </w:r>
      <w:r>
        <w:rPr>
          <w:rFonts w:hint="eastAsia"/>
          <w:bCs/>
          <w:sz w:val="24"/>
          <w:szCs w:val="24"/>
          <w:lang w:val="en-US" w:eastAsia="zh-CN"/>
        </w:rPr>
        <w:t>6</w:t>
      </w:r>
      <w:r>
        <w:rPr>
          <w:rFonts w:hint="eastAsia"/>
          <w:bCs/>
          <w:sz w:val="24"/>
          <w:szCs w:val="24"/>
        </w:rPr>
        <w:t>年1月</w:t>
      </w:r>
      <w:r>
        <w:rPr>
          <w:rFonts w:hint="eastAsia"/>
          <w:bCs/>
          <w:sz w:val="24"/>
          <w:szCs w:val="24"/>
          <w:lang w:val="en-US" w:eastAsia="zh-CN"/>
        </w:rPr>
        <w:t>1</w:t>
      </w:r>
      <w:r>
        <w:rPr>
          <w:rFonts w:hint="eastAsia"/>
          <w:bCs/>
          <w:sz w:val="24"/>
          <w:szCs w:val="24"/>
        </w:rPr>
        <w:t>5日</w:t>
      </w:r>
      <w:r>
        <w:rPr>
          <w:rFonts w:hint="eastAsia"/>
          <w:sz w:val="24"/>
        </w:rPr>
        <w:t>在本公司网站（www.fund001.com）和中国证监会基金电子披露网站（http://eid.csrc.gov.cn/fund）披露</w:t>
      </w:r>
      <w:r>
        <w:rPr>
          <w:sz w:val="24"/>
        </w:rPr>
        <w:t>的</w:t>
      </w:r>
      <w:r>
        <w:rPr>
          <w:rFonts w:hint="eastAsia"/>
          <w:bCs/>
          <w:sz w:val="24"/>
          <w:szCs w:val="24"/>
          <w:lang w:eastAsia="zh-CN"/>
        </w:rPr>
        <w:t>交银施罗德中证A500指数增强型发起式证券投资基金</w:t>
      </w:r>
      <w:r>
        <w:rPr>
          <w:rFonts w:hint="eastAsia"/>
          <w:sz w:val="24"/>
        </w:rPr>
        <w:t>的</w:t>
      </w:r>
      <w:r>
        <w:rPr>
          <w:sz w:val="24"/>
        </w:rPr>
        <w:t>基金份额发售公告、</w:t>
      </w:r>
      <w:r>
        <w:rPr>
          <w:rFonts w:hint="eastAsia"/>
          <w:sz w:val="24"/>
        </w:rPr>
        <w:t>基金合同</w:t>
      </w:r>
      <w:r>
        <w:rPr>
          <w:sz w:val="24"/>
        </w:rPr>
        <w:t>和招募说明书</w:t>
      </w:r>
      <w:r>
        <w:rPr>
          <w:rFonts w:hint="eastAsia"/>
          <w:sz w:val="24"/>
        </w:rPr>
        <w:t>等</w:t>
      </w:r>
      <w:r>
        <w:rPr>
          <w:bCs/>
          <w:sz w:val="24"/>
          <w:szCs w:val="24"/>
        </w:rPr>
        <w:t>。</w:t>
      </w:r>
    </w:p>
    <w:p>
      <w:pPr>
        <w:adjustRightInd w:val="0"/>
        <w:snapToGrid w:val="0"/>
        <w:spacing w:line="360" w:lineRule="auto"/>
        <w:ind w:firstLine="480" w:firstLineChars="200"/>
        <w:rPr>
          <w:bCs/>
          <w:sz w:val="24"/>
          <w:szCs w:val="24"/>
        </w:rPr>
      </w:pPr>
      <w:r>
        <w:rPr>
          <w:bCs/>
          <w:sz w:val="24"/>
          <w:szCs w:val="24"/>
        </w:rPr>
        <w:t>2、</w:t>
      </w:r>
      <w:r>
        <w:rPr>
          <w:rFonts w:hint="eastAsia"/>
          <w:bCs/>
          <w:sz w:val="24"/>
          <w:szCs w:val="24"/>
        </w:rPr>
        <w:t>上述</w:t>
      </w:r>
      <w:r>
        <w:rPr>
          <w:bCs/>
          <w:sz w:val="24"/>
          <w:szCs w:val="24"/>
        </w:rPr>
        <w:t>基金的招募说明书、基金份额发售公告、</w:t>
      </w:r>
      <w:r>
        <w:rPr>
          <w:rFonts w:hint="eastAsia"/>
          <w:bCs/>
          <w:sz w:val="24"/>
          <w:szCs w:val="24"/>
        </w:rPr>
        <w:t>基金产品资料概要</w:t>
      </w:r>
      <w:r>
        <w:rPr>
          <w:bCs/>
          <w:sz w:val="24"/>
          <w:szCs w:val="24"/>
        </w:rPr>
        <w:t>、基金合同及其摘要、托管协议同时发布在本公司网站（www.fund001.com）。投资人亦可通过本公司网站下载基金申请表格和了解基金募集相关事宜。</w:t>
      </w:r>
    </w:p>
    <w:p>
      <w:pPr>
        <w:adjustRightInd w:val="0"/>
        <w:snapToGrid w:val="0"/>
        <w:spacing w:line="360" w:lineRule="auto"/>
        <w:ind w:firstLine="480" w:firstLineChars="200"/>
        <w:rPr>
          <w:bCs/>
          <w:sz w:val="24"/>
          <w:szCs w:val="24"/>
        </w:rPr>
      </w:pPr>
      <w:r>
        <w:rPr>
          <w:kern w:val="0"/>
          <w:sz w:val="24"/>
        </w:rPr>
        <w:t>3</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pPr>
        <w:adjustRightInd w:val="0"/>
        <w:snapToGrid w:val="0"/>
        <w:spacing w:line="360" w:lineRule="auto"/>
        <w:ind w:firstLine="480" w:firstLineChars="200"/>
        <w:rPr>
          <w:bCs/>
          <w:sz w:val="24"/>
          <w:szCs w:val="24"/>
        </w:rPr>
      </w:pPr>
      <w:r>
        <w:rPr>
          <w:bCs/>
          <w:sz w:val="24"/>
          <w:szCs w:val="24"/>
        </w:rPr>
        <w:t>4、</w:t>
      </w:r>
      <w:r>
        <w:rPr>
          <w:rFonts w:hint="eastAsia"/>
          <w:bCs/>
          <w:sz w:val="24"/>
          <w:szCs w:val="24"/>
        </w:rPr>
        <w:t>销售</w:t>
      </w:r>
      <w:r>
        <w:rPr>
          <w:bCs/>
          <w:sz w:val="24"/>
          <w:szCs w:val="24"/>
        </w:rPr>
        <w:t>机构的</w:t>
      </w:r>
      <w:r>
        <w:rPr>
          <w:rFonts w:hint="eastAsia"/>
          <w:bCs/>
          <w:sz w:val="24"/>
          <w:szCs w:val="24"/>
        </w:rPr>
        <w:t>销售</w:t>
      </w:r>
      <w:r>
        <w:rPr>
          <w:bCs/>
          <w:sz w:val="24"/>
          <w:szCs w:val="24"/>
        </w:rPr>
        <w:t>网点以及开户认购等事项的详细情况请向各</w:t>
      </w:r>
      <w:r>
        <w:rPr>
          <w:rFonts w:hint="eastAsia"/>
          <w:bCs/>
          <w:sz w:val="24"/>
          <w:szCs w:val="24"/>
        </w:rPr>
        <w:t>销售</w:t>
      </w:r>
      <w:r>
        <w:rPr>
          <w:bCs/>
          <w:sz w:val="24"/>
          <w:szCs w:val="24"/>
        </w:rPr>
        <w:t>机构咨询。</w:t>
      </w:r>
    </w:p>
    <w:p>
      <w:pPr>
        <w:adjustRightInd w:val="0"/>
        <w:snapToGrid w:val="0"/>
        <w:spacing w:line="360" w:lineRule="auto"/>
        <w:ind w:firstLine="480" w:firstLineChars="200"/>
        <w:rPr>
          <w:bCs/>
          <w:sz w:val="24"/>
          <w:szCs w:val="24"/>
        </w:rPr>
      </w:pPr>
      <w:r>
        <w:rPr>
          <w:bCs/>
          <w:sz w:val="24"/>
          <w:szCs w:val="24"/>
        </w:rPr>
        <w:t>5</w:t>
      </w:r>
      <w:r>
        <w:rPr>
          <w:rFonts w:hint="eastAsia"/>
          <w:bCs/>
          <w:sz w:val="24"/>
          <w:szCs w:val="24"/>
        </w:rPr>
        <w:t>、</w:t>
      </w:r>
      <w:r>
        <w:rPr>
          <w:bCs/>
          <w:sz w:val="24"/>
          <w:szCs w:val="24"/>
        </w:rPr>
        <w:t>由于各基金销售机构系统及业务安排等原因，开放日的具体业务办理时间可能有所不同，投资人应参照各基金销售机构的具体规定。</w:t>
      </w:r>
    </w:p>
    <w:p>
      <w:pPr>
        <w:adjustRightInd w:val="0"/>
        <w:snapToGrid w:val="0"/>
        <w:spacing w:line="360" w:lineRule="auto"/>
        <w:ind w:firstLine="480" w:firstLineChars="200"/>
        <w:rPr>
          <w:bCs/>
          <w:sz w:val="24"/>
          <w:szCs w:val="24"/>
        </w:rPr>
      </w:pPr>
    </w:p>
    <w:p>
      <w:pPr>
        <w:adjustRightInd w:val="0"/>
        <w:snapToGrid w:val="0"/>
        <w:spacing w:line="360" w:lineRule="auto"/>
        <w:ind w:firstLine="480" w:firstLineChars="200"/>
        <w:outlineLvl w:val="0"/>
        <w:rPr>
          <w:bCs/>
          <w:sz w:val="24"/>
          <w:szCs w:val="24"/>
        </w:rPr>
      </w:pPr>
      <w:r>
        <w:rPr>
          <w:rFonts w:hint="eastAsia"/>
          <w:bCs/>
          <w:sz w:val="24"/>
          <w:szCs w:val="24"/>
        </w:rPr>
        <w:t>二</w:t>
      </w:r>
      <w:r>
        <w:rPr>
          <w:bCs/>
          <w:sz w:val="24"/>
          <w:szCs w:val="24"/>
        </w:rPr>
        <w:t>、投资人可通过以下途径咨询有关详情：</w:t>
      </w:r>
    </w:p>
    <w:p>
      <w:pPr>
        <w:adjustRightInd w:val="0"/>
        <w:snapToGrid w:val="0"/>
        <w:spacing w:line="360" w:lineRule="auto"/>
        <w:ind w:firstLine="480" w:firstLineChars="200"/>
        <w:rPr>
          <w:rFonts w:hint="default" w:hAnsi="宋体"/>
          <w:sz w:val="24"/>
        </w:rPr>
      </w:pPr>
      <w:r>
        <w:rPr>
          <w:rFonts w:hint="default" w:hAnsi="宋体"/>
          <w:sz w:val="24"/>
        </w:rPr>
        <w:t>（1）国泰海通证券股份有限公司</w:t>
      </w:r>
    </w:p>
    <w:p>
      <w:pPr>
        <w:adjustRightInd w:val="0"/>
        <w:snapToGrid w:val="0"/>
        <w:spacing w:line="360" w:lineRule="auto"/>
        <w:ind w:firstLine="480" w:firstLineChars="200"/>
        <w:rPr>
          <w:rFonts w:hint="default" w:hAnsi="宋体"/>
          <w:sz w:val="24"/>
        </w:rPr>
      </w:pPr>
      <w:r>
        <w:rPr>
          <w:rFonts w:hint="default" w:hAnsi="宋体"/>
          <w:sz w:val="24"/>
        </w:rPr>
        <w:t>客户服务电话：95521 / 4008888666</w:t>
      </w:r>
    </w:p>
    <w:p>
      <w:pPr>
        <w:adjustRightInd w:val="0"/>
        <w:snapToGrid w:val="0"/>
        <w:spacing w:line="360" w:lineRule="auto"/>
        <w:ind w:firstLine="480" w:firstLineChars="200"/>
        <w:rPr>
          <w:rFonts w:hint="default" w:hAnsi="宋体"/>
          <w:sz w:val="24"/>
        </w:rPr>
      </w:pPr>
      <w:r>
        <w:rPr>
          <w:rFonts w:hint="default" w:hAnsi="宋体"/>
          <w:sz w:val="24"/>
        </w:rPr>
        <w:t>网址：www.gtht.com</w:t>
      </w:r>
    </w:p>
    <w:p>
      <w:pPr>
        <w:adjustRightInd w:val="0"/>
        <w:snapToGrid w:val="0"/>
        <w:spacing w:line="360" w:lineRule="auto"/>
        <w:ind w:firstLine="480" w:firstLineChars="200"/>
        <w:rPr>
          <w:rFonts w:hint="default" w:hAnsi="宋体"/>
          <w:sz w:val="24"/>
        </w:rPr>
      </w:pPr>
      <w:r>
        <w:rPr>
          <w:rFonts w:hint="default" w:hAnsi="宋体"/>
          <w:sz w:val="24"/>
        </w:rPr>
        <w:t>（2）中信建投证券股份有限公司</w:t>
      </w:r>
    </w:p>
    <w:p>
      <w:pPr>
        <w:adjustRightInd w:val="0"/>
        <w:snapToGrid w:val="0"/>
        <w:spacing w:line="360" w:lineRule="auto"/>
        <w:ind w:firstLine="480" w:firstLineChars="200"/>
        <w:rPr>
          <w:rFonts w:hint="default" w:hAnsi="宋体"/>
          <w:sz w:val="24"/>
        </w:rPr>
      </w:pPr>
      <w:r>
        <w:rPr>
          <w:rFonts w:hint="default" w:hAnsi="宋体"/>
          <w:sz w:val="24"/>
        </w:rPr>
        <w:t>客户服务电话：95587</w:t>
      </w:r>
    </w:p>
    <w:p>
      <w:pPr>
        <w:adjustRightInd w:val="0"/>
        <w:snapToGrid w:val="0"/>
        <w:spacing w:line="360" w:lineRule="auto"/>
        <w:ind w:firstLine="480" w:firstLineChars="200"/>
        <w:rPr>
          <w:rFonts w:hint="default" w:hAnsi="宋体"/>
          <w:sz w:val="24"/>
        </w:rPr>
      </w:pPr>
      <w:r>
        <w:rPr>
          <w:rFonts w:hint="default" w:hAnsi="宋体"/>
          <w:sz w:val="24"/>
        </w:rPr>
        <w:t>网址：www.csc108.com</w:t>
      </w:r>
    </w:p>
    <w:p>
      <w:pPr>
        <w:adjustRightInd w:val="0"/>
        <w:snapToGrid w:val="0"/>
        <w:spacing w:line="360" w:lineRule="auto"/>
        <w:ind w:firstLine="480" w:firstLineChars="200"/>
        <w:rPr>
          <w:rFonts w:hint="default" w:hAnsi="宋体"/>
          <w:sz w:val="24"/>
        </w:rPr>
      </w:pPr>
      <w:r>
        <w:rPr>
          <w:rFonts w:hint="default" w:hAnsi="宋体"/>
          <w:sz w:val="24"/>
        </w:rPr>
        <w:t>（3）中信证券股份有限公司</w:t>
      </w:r>
    </w:p>
    <w:p>
      <w:pPr>
        <w:adjustRightInd w:val="0"/>
        <w:snapToGrid w:val="0"/>
        <w:spacing w:line="360" w:lineRule="auto"/>
        <w:ind w:firstLine="480" w:firstLineChars="200"/>
        <w:rPr>
          <w:rFonts w:hint="default" w:hAnsi="宋体"/>
          <w:sz w:val="24"/>
        </w:rPr>
      </w:pPr>
      <w:r>
        <w:rPr>
          <w:rFonts w:hint="default" w:hAnsi="宋体"/>
          <w:sz w:val="24"/>
        </w:rPr>
        <w:t>客户服务电话：95548</w:t>
      </w:r>
    </w:p>
    <w:p>
      <w:pPr>
        <w:adjustRightInd w:val="0"/>
        <w:snapToGrid w:val="0"/>
        <w:spacing w:line="360" w:lineRule="auto"/>
        <w:ind w:firstLine="480" w:firstLineChars="200"/>
        <w:rPr>
          <w:rFonts w:hint="default" w:hAnsi="宋体"/>
          <w:sz w:val="24"/>
        </w:rPr>
      </w:pPr>
      <w:r>
        <w:rPr>
          <w:rFonts w:hint="default" w:hAnsi="宋体"/>
          <w:sz w:val="24"/>
        </w:rPr>
        <w:t>网址：www.cs.ecitic.com</w:t>
      </w:r>
    </w:p>
    <w:p>
      <w:pPr>
        <w:adjustRightInd w:val="0"/>
        <w:snapToGrid w:val="0"/>
        <w:spacing w:line="360" w:lineRule="auto"/>
        <w:ind w:firstLine="480" w:firstLineChars="200"/>
        <w:rPr>
          <w:rFonts w:hint="default" w:hAnsi="宋体"/>
          <w:sz w:val="24"/>
        </w:rPr>
      </w:pPr>
      <w:r>
        <w:rPr>
          <w:rFonts w:hint="default" w:hAnsi="宋体"/>
          <w:sz w:val="24"/>
        </w:rPr>
        <w:t>（4）中信证券（山东）有限责任公司</w:t>
      </w:r>
    </w:p>
    <w:p>
      <w:pPr>
        <w:adjustRightInd w:val="0"/>
        <w:snapToGrid w:val="0"/>
        <w:spacing w:line="360" w:lineRule="auto"/>
        <w:ind w:firstLine="480" w:firstLineChars="200"/>
        <w:rPr>
          <w:rFonts w:hint="default" w:hAnsi="宋体"/>
          <w:sz w:val="24"/>
        </w:rPr>
      </w:pPr>
      <w:r>
        <w:rPr>
          <w:rFonts w:hint="default" w:hAnsi="宋体"/>
          <w:sz w:val="24"/>
        </w:rPr>
        <w:t>客户服务电话：95548</w:t>
      </w:r>
    </w:p>
    <w:p>
      <w:pPr>
        <w:adjustRightInd w:val="0"/>
        <w:snapToGrid w:val="0"/>
        <w:spacing w:line="360" w:lineRule="auto"/>
        <w:ind w:firstLine="480" w:firstLineChars="200"/>
        <w:rPr>
          <w:rFonts w:hint="default" w:hAnsi="宋体"/>
          <w:sz w:val="24"/>
        </w:rPr>
      </w:pPr>
      <w:r>
        <w:rPr>
          <w:rFonts w:hint="default" w:hAnsi="宋体"/>
          <w:sz w:val="24"/>
        </w:rPr>
        <w:t>网址：sd.citics.com</w:t>
      </w:r>
    </w:p>
    <w:p>
      <w:pPr>
        <w:adjustRightInd w:val="0"/>
        <w:snapToGrid w:val="0"/>
        <w:spacing w:line="360" w:lineRule="auto"/>
        <w:ind w:firstLine="480" w:firstLineChars="200"/>
        <w:rPr>
          <w:rFonts w:hint="default" w:hAnsi="宋体"/>
          <w:sz w:val="24"/>
        </w:rPr>
      </w:pPr>
      <w:r>
        <w:rPr>
          <w:rFonts w:hint="default" w:hAnsi="宋体"/>
          <w:sz w:val="24"/>
        </w:rPr>
        <w:t>（5）中信期货有限公司</w:t>
      </w:r>
    </w:p>
    <w:p>
      <w:pPr>
        <w:adjustRightInd w:val="0"/>
        <w:snapToGrid w:val="0"/>
        <w:spacing w:line="360" w:lineRule="auto"/>
        <w:ind w:firstLine="480" w:firstLineChars="200"/>
        <w:rPr>
          <w:rFonts w:hint="default" w:hAnsi="宋体"/>
          <w:sz w:val="24"/>
        </w:rPr>
      </w:pPr>
      <w:r>
        <w:rPr>
          <w:rFonts w:hint="default" w:hAnsi="宋体"/>
          <w:sz w:val="24"/>
        </w:rPr>
        <w:t>客服电话：400-990-8826</w:t>
      </w:r>
    </w:p>
    <w:p>
      <w:pPr>
        <w:adjustRightInd w:val="0"/>
        <w:snapToGrid w:val="0"/>
        <w:spacing w:line="360" w:lineRule="auto"/>
        <w:ind w:firstLine="480" w:firstLineChars="200"/>
        <w:rPr>
          <w:rFonts w:hint="default" w:hAnsi="宋体"/>
          <w:sz w:val="24"/>
        </w:rPr>
      </w:pPr>
      <w:r>
        <w:rPr>
          <w:rFonts w:hint="default" w:hAnsi="宋体"/>
          <w:sz w:val="24"/>
        </w:rPr>
        <w:t>网站：www.citicsf.com</w:t>
      </w:r>
    </w:p>
    <w:p>
      <w:pPr>
        <w:adjustRightInd w:val="0"/>
        <w:snapToGrid w:val="0"/>
        <w:spacing w:line="360" w:lineRule="auto"/>
        <w:ind w:firstLine="480" w:firstLineChars="200"/>
        <w:rPr>
          <w:rFonts w:hint="default" w:hAnsi="宋体"/>
          <w:sz w:val="24"/>
        </w:rPr>
      </w:pPr>
      <w:r>
        <w:rPr>
          <w:rFonts w:hint="default" w:hAnsi="宋体"/>
          <w:sz w:val="24"/>
        </w:rPr>
        <w:t>（6）中信证券华南股份有限公司</w:t>
      </w:r>
    </w:p>
    <w:p>
      <w:pPr>
        <w:adjustRightInd w:val="0"/>
        <w:snapToGrid w:val="0"/>
        <w:spacing w:line="360" w:lineRule="auto"/>
        <w:ind w:firstLine="480" w:firstLineChars="200"/>
        <w:rPr>
          <w:rFonts w:hint="default" w:hAnsi="宋体"/>
          <w:sz w:val="24"/>
        </w:rPr>
      </w:pPr>
      <w:r>
        <w:rPr>
          <w:rFonts w:hint="default" w:hAnsi="宋体"/>
          <w:sz w:val="24"/>
        </w:rPr>
        <w:t>客服电话：（020）95396</w:t>
      </w:r>
    </w:p>
    <w:p>
      <w:pPr>
        <w:adjustRightInd w:val="0"/>
        <w:snapToGrid w:val="0"/>
        <w:spacing w:line="360" w:lineRule="auto"/>
        <w:ind w:firstLine="480" w:firstLineChars="200"/>
        <w:rPr>
          <w:rFonts w:hint="default" w:hAnsi="宋体"/>
          <w:sz w:val="24"/>
        </w:rPr>
      </w:pPr>
      <w:r>
        <w:rPr>
          <w:rFonts w:hint="default" w:hAnsi="宋体"/>
          <w:sz w:val="24"/>
        </w:rPr>
        <w:t>网址：www.gzs.com.cn</w:t>
      </w:r>
    </w:p>
    <w:p>
      <w:pPr>
        <w:adjustRightInd w:val="0"/>
        <w:snapToGrid w:val="0"/>
        <w:spacing w:line="360" w:lineRule="auto"/>
        <w:ind w:firstLine="480" w:firstLineChars="200"/>
        <w:rPr>
          <w:rFonts w:hint="default" w:hAnsi="宋体"/>
          <w:sz w:val="24"/>
        </w:rPr>
      </w:pPr>
      <w:r>
        <w:rPr>
          <w:rFonts w:hint="default" w:hAnsi="宋体"/>
          <w:sz w:val="24"/>
        </w:rPr>
        <w:t>（7）华泰证券股份有限公司</w:t>
      </w:r>
    </w:p>
    <w:p>
      <w:pPr>
        <w:adjustRightInd w:val="0"/>
        <w:snapToGrid w:val="0"/>
        <w:spacing w:line="360" w:lineRule="auto"/>
        <w:ind w:firstLine="480" w:firstLineChars="200"/>
        <w:rPr>
          <w:rFonts w:hint="default" w:hAnsi="宋体"/>
          <w:sz w:val="24"/>
        </w:rPr>
      </w:pPr>
      <w:r>
        <w:rPr>
          <w:rFonts w:hint="default" w:hAnsi="宋体"/>
          <w:sz w:val="24"/>
        </w:rPr>
        <w:t>客户服务电话：95597</w:t>
      </w:r>
    </w:p>
    <w:p>
      <w:pPr>
        <w:adjustRightInd w:val="0"/>
        <w:snapToGrid w:val="0"/>
        <w:spacing w:line="360" w:lineRule="auto"/>
        <w:ind w:firstLine="480" w:firstLineChars="200"/>
        <w:rPr>
          <w:rFonts w:hint="default" w:hAnsi="宋体"/>
          <w:sz w:val="24"/>
        </w:rPr>
      </w:pPr>
      <w:r>
        <w:rPr>
          <w:rFonts w:hint="default" w:hAnsi="宋体"/>
          <w:sz w:val="24"/>
        </w:rPr>
        <w:t>网址：www.htsc.com.cn</w:t>
      </w:r>
    </w:p>
    <w:p>
      <w:pPr>
        <w:adjustRightInd w:val="0"/>
        <w:snapToGrid w:val="0"/>
        <w:spacing w:line="360" w:lineRule="auto"/>
        <w:ind w:firstLine="480" w:firstLineChars="200"/>
        <w:rPr>
          <w:rFonts w:hint="default" w:hAnsi="宋体"/>
          <w:sz w:val="24"/>
        </w:rPr>
      </w:pPr>
      <w:r>
        <w:rPr>
          <w:rFonts w:hint="default" w:hAnsi="宋体"/>
          <w:sz w:val="24"/>
        </w:rPr>
        <w:t>（8）蚂蚁（杭州）基金销售有限公司</w:t>
      </w:r>
    </w:p>
    <w:p>
      <w:pPr>
        <w:adjustRightInd w:val="0"/>
        <w:snapToGrid w:val="0"/>
        <w:spacing w:line="360" w:lineRule="auto"/>
        <w:ind w:firstLine="480" w:firstLineChars="200"/>
        <w:rPr>
          <w:rFonts w:hint="default" w:hAnsi="宋体"/>
          <w:sz w:val="24"/>
        </w:rPr>
      </w:pPr>
      <w:r>
        <w:rPr>
          <w:rFonts w:hint="default" w:hAnsi="宋体"/>
          <w:sz w:val="24"/>
        </w:rPr>
        <w:t>客户服务电话：95188-8</w:t>
      </w:r>
    </w:p>
    <w:p>
      <w:pPr>
        <w:adjustRightInd w:val="0"/>
        <w:snapToGrid w:val="0"/>
        <w:spacing w:line="360" w:lineRule="auto"/>
        <w:ind w:firstLine="480" w:firstLineChars="200"/>
        <w:rPr>
          <w:rFonts w:hint="default" w:hAnsi="宋体"/>
          <w:sz w:val="24"/>
        </w:rPr>
      </w:pPr>
      <w:r>
        <w:rPr>
          <w:rFonts w:hint="default" w:hAnsi="宋体"/>
          <w:sz w:val="24"/>
        </w:rPr>
        <w:t>网址：www.fund123.cn</w:t>
      </w:r>
    </w:p>
    <w:p>
      <w:pPr>
        <w:adjustRightInd w:val="0"/>
        <w:snapToGrid w:val="0"/>
        <w:spacing w:line="360" w:lineRule="auto"/>
        <w:ind w:firstLine="480" w:firstLineChars="200"/>
        <w:rPr>
          <w:rFonts w:hint="default" w:hAnsi="宋体"/>
          <w:sz w:val="24"/>
        </w:rPr>
      </w:pPr>
      <w:r>
        <w:rPr>
          <w:rFonts w:hint="default" w:hAnsi="宋体"/>
          <w:sz w:val="24"/>
        </w:rPr>
        <w:t>（9）上海天天基金销售有限公司</w:t>
      </w:r>
    </w:p>
    <w:p>
      <w:pPr>
        <w:adjustRightInd w:val="0"/>
        <w:snapToGrid w:val="0"/>
        <w:spacing w:line="360" w:lineRule="auto"/>
        <w:ind w:firstLine="480" w:firstLineChars="200"/>
        <w:rPr>
          <w:rFonts w:hint="default" w:hAnsi="宋体"/>
          <w:sz w:val="24"/>
        </w:rPr>
      </w:pPr>
      <w:r>
        <w:rPr>
          <w:rFonts w:hint="default" w:hAnsi="宋体"/>
          <w:sz w:val="24"/>
        </w:rPr>
        <w:t>客户服务电话：400-1818-188</w:t>
      </w:r>
    </w:p>
    <w:p>
      <w:pPr>
        <w:adjustRightInd w:val="0"/>
        <w:snapToGrid w:val="0"/>
        <w:spacing w:line="360" w:lineRule="auto"/>
        <w:ind w:firstLine="480" w:firstLineChars="200"/>
        <w:rPr>
          <w:rFonts w:hint="default" w:hAnsi="宋体"/>
          <w:sz w:val="24"/>
        </w:rPr>
      </w:pPr>
      <w:r>
        <w:rPr>
          <w:rFonts w:hint="default" w:hAnsi="宋体"/>
          <w:sz w:val="24"/>
        </w:rPr>
        <w:t>网址：www.1234567.com.cn</w:t>
      </w:r>
    </w:p>
    <w:p>
      <w:pPr>
        <w:adjustRightInd w:val="0"/>
        <w:snapToGrid w:val="0"/>
        <w:spacing w:line="360" w:lineRule="auto"/>
        <w:ind w:firstLine="480" w:firstLineChars="200"/>
        <w:rPr>
          <w:rFonts w:hint="default" w:hAnsi="宋体"/>
          <w:sz w:val="24"/>
        </w:rPr>
      </w:pPr>
      <w:r>
        <w:rPr>
          <w:rFonts w:hint="default" w:hAnsi="宋体"/>
          <w:sz w:val="24"/>
        </w:rPr>
        <w:t>（10）浙江同花顺基金销售有限公司</w:t>
      </w:r>
    </w:p>
    <w:p>
      <w:pPr>
        <w:adjustRightInd w:val="0"/>
        <w:snapToGrid w:val="0"/>
        <w:spacing w:line="360" w:lineRule="auto"/>
        <w:ind w:firstLine="480" w:firstLineChars="200"/>
        <w:rPr>
          <w:rFonts w:hint="default" w:hAnsi="宋体"/>
          <w:sz w:val="24"/>
        </w:rPr>
      </w:pPr>
      <w:r>
        <w:rPr>
          <w:rFonts w:hint="default" w:hAnsi="宋体"/>
          <w:sz w:val="24"/>
        </w:rPr>
        <w:t>客户服务电话：952555</w:t>
      </w:r>
    </w:p>
    <w:p>
      <w:pPr>
        <w:adjustRightInd w:val="0"/>
        <w:snapToGrid w:val="0"/>
        <w:spacing w:line="360" w:lineRule="auto"/>
        <w:ind w:firstLine="480" w:firstLineChars="200"/>
        <w:rPr>
          <w:rFonts w:hint="default" w:hAnsi="宋体"/>
          <w:sz w:val="24"/>
        </w:rPr>
      </w:pPr>
      <w:r>
        <w:rPr>
          <w:rFonts w:hint="default" w:hAnsi="宋体"/>
          <w:sz w:val="24"/>
        </w:rPr>
        <w:t>网址：https://fund.10jqka.com.cn/</w:t>
      </w:r>
    </w:p>
    <w:p>
      <w:pPr>
        <w:adjustRightInd w:val="0"/>
        <w:snapToGrid w:val="0"/>
        <w:spacing w:line="360" w:lineRule="auto"/>
        <w:ind w:firstLine="480" w:firstLineChars="200"/>
        <w:rPr>
          <w:rFonts w:hint="default" w:hAnsi="宋体"/>
          <w:sz w:val="24"/>
        </w:rPr>
      </w:pPr>
      <w:r>
        <w:rPr>
          <w:rFonts w:hint="default" w:hAnsi="宋体"/>
          <w:sz w:val="24"/>
        </w:rPr>
        <w:t>（11）腾安基金销售（深圳）有限公司</w:t>
      </w:r>
    </w:p>
    <w:p>
      <w:pPr>
        <w:adjustRightInd w:val="0"/>
        <w:snapToGrid w:val="0"/>
        <w:spacing w:line="360" w:lineRule="auto"/>
        <w:ind w:firstLine="480" w:firstLineChars="200"/>
        <w:rPr>
          <w:rFonts w:hint="default" w:hAnsi="宋体"/>
          <w:sz w:val="24"/>
        </w:rPr>
      </w:pPr>
      <w:r>
        <w:rPr>
          <w:rFonts w:hint="default" w:hAnsi="宋体"/>
          <w:sz w:val="24"/>
        </w:rPr>
        <w:t>客户服务电话：95017（拨通后转1转8）</w:t>
      </w:r>
    </w:p>
    <w:p>
      <w:pPr>
        <w:adjustRightInd w:val="0"/>
        <w:snapToGrid w:val="0"/>
        <w:spacing w:line="360" w:lineRule="auto"/>
        <w:ind w:firstLine="480" w:firstLineChars="200"/>
        <w:rPr>
          <w:rFonts w:hint="default" w:hAnsi="宋体"/>
          <w:sz w:val="24"/>
        </w:rPr>
      </w:pPr>
      <w:r>
        <w:rPr>
          <w:rFonts w:hint="default" w:hAnsi="宋体"/>
          <w:sz w:val="24"/>
        </w:rPr>
        <w:t>网址：http://www.tenganxinxi.com/</w:t>
      </w:r>
    </w:p>
    <w:p>
      <w:pPr>
        <w:adjustRightInd w:val="0"/>
        <w:snapToGrid w:val="0"/>
        <w:spacing w:line="360" w:lineRule="auto"/>
        <w:ind w:firstLine="480" w:firstLineChars="200"/>
        <w:rPr>
          <w:rFonts w:hint="default" w:hAnsi="宋体"/>
          <w:sz w:val="24"/>
        </w:rPr>
      </w:pPr>
      <w:r>
        <w:rPr>
          <w:rFonts w:hint="default" w:hAnsi="宋体"/>
          <w:sz w:val="24"/>
        </w:rPr>
        <w:t>（12）京东肯特瑞基金销售有限公司</w:t>
      </w:r>
    </w:p>
    <w:p>
      <w:pPr>
        <w:adjustRightInd w:val="0"/>
        <w:snapToGrid w:val="0"/>
        <w:spacing w:line="360" w:lineRule="auto"/>
        <w:ind w:firstLine="480" w:firstLineChars="200"/>
        <w:rPr>
          <w:rFonts w:hint="default" w:hAnsi="宋体"/>
          <w:sz w:val="24"/>
        </w:rPr>
      </w:pPr>
      <w:r>
        <w:rPr>
          <w:rFonts w:hint="default" w:hAnsi="宋体"/>
          <w:sz w:val="24"/>
        </w:rPr>
        <w:t>客服热线：95118</w:t>
      </w:r>
    </w:p>
    <w:p>
      <w:pPr>
        <w:adjustRightInd w:val="0"/>
        <w:snapToGrid w:val="0"/>
        <w:spacing w:line="360" w:lineRule="auto"/>
        <w:ind w:firstLine="480" w:firstLineChars="200"/>
        <w:rPr>
          <w:rFonts w:hint="eastAsia" w:hAnsi="宋体" w:eastAsia="宋体"/>
          <w:sz w:val="24"/>
          <w:lang w:eastAsia="zh-CN"/>
        </w:rPr>
      </w:pPr>
      <w:r>
        <w:rPr>
          <w:rFonts w:hint="default" w:hAnsi="宋体"/>
          <w:sz w:val="24"/>
        </w:rPr>
        <w:t>网址：kenterui.jd.com</w:t>
      </w:r>
    </w:p>
    <w:p>
      <w:pPr>
        <w:adjustRightInd w:val="0"/>
        <w:snapToGrid w:val="0"/>
        <w:spacing w:line="360" w:lineRule="auto"/>
        <w:ind w:firstLine="480" w:firstLineChars="200"/>
        <w:rPr>
          <w:rFonts w:asciiTheme="minorEastAsia" w:hAnsiTheme="minorEastAsia"/>
          <w:sz w:val="24"/>
          <w:szCs w:val="24"/>
        </w:rPr>
      </w:pPr>
    </w:p>
    <w:p>
      <w:pPr>
        <w:adjustRightInd w:val="0"/>
        <w:snapToGrid w:val="0"/>
        <w:spacing w:line="360" w:lineRule="auto"/>
        <w:ind w:firstLine="480" w:firstLineChars="200"/>
        <w:rPr>
          <w:bCs/>
          <w:sz w:val="24"/>
          <w:szCs w:val="24"/>
        </w:rPr>
      </w:pPr>
      <w:r>
        <w:rPr>
          <w:bCs/>
          <w:sz w:val="24"/>
          <w:szCs w:val="24"/>
        </w:rPr>
        <w:t>风险提示：</w:t>
      </w:r>
    </w:p>
    <w:p>
      <w:pPr>
        <w:adjustRightInd w:val="0"/>
        <w:snapToGrid w:val="0"/>
        <w:spacing w:line="360" w:lineRule="auto"/>
        <w:ind w:firstLine="480" w:firstLineChars="200"/>
        <w:rPr>
          <w:bCs/>
          <w:sz w:val="24"/>
          <w:szCs w:val="24"/>
        </w:rPr>
      </w:pPr>
      <w:r>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type="textWrapping"/>
      </w:r>
    </w:p>
    <w:p>
      <w:pPr>
        <w:adjustRightInd w:val="0"/>
        <w:snapToGrid w:val="0"/>
        <w:spacing w:line="360" w:lineRule="auto"/>
        <w:ind w:firstLine="480" w:firstLineChars="200"/>
        <w:rPr>
          <w:bCs/>
          <w:sz w:val="24"/>
          <w:szCs w:val="24"/>
        </w:rPr>
      </w:pPr>
      <w:r>
        <w:rPr>
          <w:bCs/>
          <w:sz w:val="24"/>
          <w:szCs w:val="24"/>
        </w:rPr>
        <w:t>特此公告。</w:t>
      </w:r>
    </w:p>
    <w:p>
      <w:pPr>
        <w:adjustRightInd w:val="0"/>
        <w:snapToGrid w:val="0"/>
        <w:spacing w:line="360" w:lineRule="auto"/>
        <w:rPr>
          <w:bCs/>
          <w:sz w:val="24"/>
          <w:szCs w:val="24"/>
        </w:rPr>
      </w:pPr>
    </w:p>
    <w:p>
      <w:pPr>
        <w:adjustRightInd w:val="0"/>
        <w:snapToGrid w:val="0"/>
        <w:spacing w:line="360" w:lineRule="auto"/>
        <w:ind w:firstLine="480" w:firstLineChars="200"/>
        <w:jc w:val="right"/>
        <w:rPr>
          <w:bCs/>
          <w:sz w:val="24"/>
          <w:szCs w:val="24"/>
        </w:rPr>
      </w:pPr>
      <w:r>
        <w:rPr>
          <w:bCs/>
          <w:sz w:val="24"/>
          <w:szCs w:val="24"/>
        </w:rPr>
        <w:t>交银施罗德基金管理有限公司</w:t>
      </w:r>
    </w:p>
    <w:p>
      <w:pPr>
        <w:adjustRightInd w:val="0"/>
        <w:snapToGrid w:val="0"/>
        <w:spacing w:line="360" w:lineRule="auto"/>
        <w:ind w:firstLine="480" w:firstLineChars="200"/>
        <w:jc w:val="right"/>
        <w:rPr>
          <w:sz w:val="24"/>
        </w:rPr>
      </w:pPr>
      <w:r>
        <w:rPr>
          <w:bCs/>
          <w:sz w:val="24"/>
          <w:szCs w:val="24"/>
        </w:rPr>
        <w:t>二〇二</w:t>
      </w:r>
      <w:r>
        <w:rPr>
          <w:rFonts w:hint="eastAsia"/>
          <w:bCs/>
          <w:sz w:val="24"/>
          <w:szCs w:val="24"/>
          <w:lang w:val="en-US" w:eastAsia="zh-CN"/>
        </w:rPr>
        <w:t>六</w:t>
      </w:r>
      <w:r>
        <w:rPr>
          <w:bCs/>
          <w:sz w:val="24"/>
          <w:szCs w:val="24"/>
        </w:rPr>
        <w:t>年</w:t>
      </w:r>
      <w:r>
        <w:rPr>
          <w:rFonts w:hint="eastAsia"/>
          <w:bCs/>
          <w:sz w:val="24"/>
          <w:szCs w:val="24"/>
          <w:lang w:val="en-US" w:eastAsia="zh-CN"/>
        </w:rPr>
        <w:t>一</w:t>
      </w:r>
      <w:r>
        <w:rPr>
          <w:bCs/>
          <w:sz w:val="24"/>
          <w:szCs w:val="24"/>
        </w:rPr>
        <w:t>月</w:t>
      </w:r>
      <w:r>
        <w:rPr>
          <w:rFonts w:hint="eastAsia"/>
          <w:bCs/>
          <w:sz w:val="24"/>
          <w:szCs w:val="24"/>
          <w:lang w:val="en-US" w:eastAsia="zh-CN"/>
        </w:rPr>
        <w:t>二十三</w:t>
      </w:r>
      <w:r>
        <w:rPr>
          <w:bCs/>
          <w:sz w:val="24"/>
          <w:szCs w:val="24"/>
        </w:rPr>
        <w:t>日</w:t>
      </w:r>
    </w:p>
    <w:p>
      <w:pPr>
        <w:adjustRightInd w:val="0"/>
        <w:snapToGrid w:val="0"/>
        <w:spacing w:line="360" w:lineRule="auto"/>
        <w:ind w:firstLine="480" w:firstLineChars="200"/>
        <w:jc w:val="right"/>
        <w:rPr>
          <w:sz w:val="24"/>
        </w:rPr>
      </w:pP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280"/>
      </w:tabs>
      <w:jc w:val="right"/>
      <w:rPr>
        <w:rFonts w:cs="宋体"/>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pPr>
      <w:pStyle w:val="23"/>
      <w:pBdr>
        <w:bottom w:val="none" w:color="auto" w:sz="0" w:space="0"/>
      </w:pBdr>
      <w:tabs>
        <w:tab w:val="right" w:pos="8280"/>
      </w:tabs>
      <w:jc w:val="right"/>
      <w:rPr>
        <w:rFonts w:ascii="宋体"/>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5764C"/>
    <w:rsid w:val="000608AF"/>
    <w:rsid w:val="000613A0"/>
    <w:rsid w:val="00062FF7"/>
    <w:rsid w:val="000643A1"/>
    <w:rsid w:val="00064F3C"/>
    <w:rsid w:val="000672DD"/>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345"/>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E66FD"/>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8A9"/>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6C52"/>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131"/>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2CC4"/>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1AA3"/>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0A4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7A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65CD"/>
    <w:rsid w:val="00427369"/>
    <w:rsid w:val="00427D8B"/>
    <w:rsid w:val="00427F6A"/>
    <w:rsid w:val="00430575"/>
    <w:rsid w:val="00430BB4"/>
    <w:rsid w:val="0043111B"/>
    <w:rsid w:val="00431DC4"/>
    <w:rsid w:val="00431E54"/>
    <w:rsid w:val="00433257"/>
    <w:rsid w:val="0043376E"/>
    <w:rsid w:val="00433E71"/>
    <w:rsid w:val="0043465E"/>
    <w:rsid w:val="0043575D"/>
    <w:rsid w:val="00436BFB"/>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1F7"/>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A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8F6"/>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06E"/>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0675"/>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171"/>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943"/>
    <w:rsid w:val="007C2AE9"/>
    <w:rsid w:val="007C4117"/>
    <w:rsid w:val="007C56AC"/>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2D5C"/>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56B15"/>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96A41"/>
    <w:rsid w:val="008976AD"/>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D71BE"/>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76CDB"/>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4E18"/>
    <w:rsid w:val="00BB549B"/>
    <w:rsid w:val="00BB5DC2"/>
    <w:rsid w:val="00BB71C1"/>
    <w:rsid w:val="00BC172B"/>
    <w:rsid w:val="00BC2397"/>
    <w:rsid w:val="00BC3937"/>
    <w:rsid w:val="00BC519E"/>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BF5ED5"/>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328"/>
    <w:rsid w:val="00C24CB2"/>
    <w:rsid w:val="00C253CB"/>
    <w:rsid w:val="00C255DB"/>
    <w:rsid w:val="00C269D8"/>
    <w:rsid w:val="00C272C0"/>
    <w:rsid w:val="00C2760A"/>
    <w:rsid w:val="00C3038A"/>
    <w:rsid w:val="00C31493"/>
    <w:rsid w:val="00C333AF"/>
    <w:rsid w:val="00C34205"/>
    <w:rsid w:val="00C34685"/>
    <w:rsid w:val="00C36895"/>
    <w:rsid w:val="00C40DA4"/>
    <w:rsid w:val="00C42BC5"/>
    <w:rsid w:val="00C44E63"/>
    <w:rsid w:val="00C45457"/>
    <w:rsid w:val="00C45A48"/>
    <w:rsid w:val="00C45E79"/>
    <w:rsid w:val="00C47709"/>
    <w:rsid w:val="00C47E9C"/>
    <w:rsid w:val="00C50492"/>
    <w:rsid w:val="00C51044"/>
    <w:rsid w:val="00C51987"/>
    <w:rsid w:val="00C558E9"/>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CE8"/>
    <w:rsid w:val="00C77D37"/>
    <w:rsid w:val="00C812A2"/>
    <w:rsid w:val="00C81775"/>
    <w:rsid w:val="00C817DC"/>
    <w:rsid w:val="00C86575"/>
    <w:rsid w:val="00C91A5B"/>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17"/>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03A7"/>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2A5"/>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0E30"/>
    <w:rsid w:val="00F71DF1"/>
    <w:rsid w:val="00F736DD"/>
    <w:rsid w:val="00F742BD"/>
    <w:rsid w:val="00F76981"/>
    <w:rsid w:val="00F771B1"/>
    <w:rsid w:val="00F80024"/>
    <w:rsid w:val="00F80A31"/>
    <w:rsid w:val="00F81ACA"/>
    <w:rsid w:val="00F83034"/>
    <w:rsid w:val="00F834D9"/>
    <w:rsid w:val="00F86408"/>
    <w:rsid w:val="00F87FAB"/>
    <w:rsid w:val="00F90407"/>
    <w:rsid w:val="00F91706"/>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C7E17"/>
    <w:rsid w:val="00FD1D12"/>
    <w:rsid w:val="00FD3B00"/>
    <w:rsid w:val="00FD436D"/>
    <w:rsid w:val="00FD5AD1"/>
    <w:rsid w:val="00FD6432"/>
    <w:rsid w:val="00FD6B49"/>
    <w:rsid w:val="00FD6E4E"/>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677"/>
    <w:rsid w:val="00FE7BCA"/>
    <w:rsid w:val="00FF29B1"/>
    <w:rsid w:val="00FF43F7"/>
    <w:rsid w:val="00FF59EC"/>
    <w:rsid w:val="00FF6444"/>
    <w:rsid w:val="02EA0655"/>
    <w:rsid w:val="0A897349"/>
    <w:rsid w:val="0E6226D5"/>
    <w:rsid w:val="154500F5"/>
    <w:rsid w:val="164976AB"/>
    <w:rsid w:val="18C34F8A"/>
    <w:rsid w:val="20F118B7"/>
    <w:rsid w:val="271E1753"/>
    <w:rsid w:val="2E372D73"/>
    <w:rsid w:val="315251CF"/>
    <w:rsid w:val="3E20566B"/>
    <w:rsid w:val="4DCF53C1"/>
    <w:rsid w:val="566249E3"/>
    <w:rsid w:val="5BEA08B3"/>
    <w:rsid w:val="5DB62D7A"/>
    <w:rsid w:val="6B2549B1"/>
    <w:rsid w:val="78097DE1"/>
    <w:rsid w:val="79683065"/>
    <w:rsid w:val="7A2137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44"/>
    <w:qFormat/>
    <w:uiPriority w:val="99"/>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45"/>
    <w:qFormat/>
    <w:uiPriority w:val="99"/>
    <w:pPr>
      <w:keepNext/>
      <w:keepLines/>
      <w:spacing w:line="360" w:lineRule="auto"/>
      <w:outlineLvl w:val="2"/>
    </w:pPr>
    <w:rPr>
      <w:b/>
      <w:bCs/>
      <w:sz w:val="24"/>
      <w:szCs w:val="24"/>
    </w:rPr>
  </w:style>
  <w:style w:type="paragraph" w:styleId="6">
    <w:name w:val="heading 4"/>
    <w:basedOn w:val="1"/>
    <w:next w:val="4"/>
    <w:link w:val="46"/>
    <w:qFormat/>
    <w:uiPriority w:val="99"/>
    <w:pPr>
      <w:keepNext/>
      <w:keepLines/>
      <w:spacing w:line="360" w:lineRule="auto"/>
      <w:outlineLvl w:val="3"/>
    </w:pPr>
    <w:rPr>
      <w:rFonts w:ascii="Arial" w:hAnsi="Arial" w:eastAsia="黑体" w:cs="Arial"/>
      <w:b/>
      <w:bCs/>
      <w:sz w:val="24"/>
      <w:szCs w:val="24"/>
    </w:rPr>
  </w:style>
  <w:style w:type="paragraph" w:styleId="7">
    <w:name w:val="heading 5"/>
    <w:basedOn w:val="8"/>
    <w:next w:val="8"/>
    <w:link w:val="47"/>
    <w:qFormat/>
    <w:uiPriority w:val="99"/>
    <w:pPr>
      <w:snapToGrid w:val="0"/>
      <w:spacing w:after="0" w:line="360" w:lineRule="auto"/>
      <w:outlineLvl w:val="4"/>
    </w:pPr>
    <w:rPr>
      <w:rFonts w:eastAsia="楷体_GB2312"/>
      <w:sz w:val="24"/>
      <w:szCs w:val="24"/>
    </w:rPr>
  </w:style>
  <w:style w:type="paragraph" w:styleId="9">
    <w:name w:val="heading 6"/>
    <w:basedOn w:val="1"/>
    <w:next w:val="8"/>
    <w:link w:val="48"/>
    <w:qFormat/>
    <w:uiPriority w:val="99"/>
    <w:pPr>
      <w:snapToGrid w:val="0"/>
      <w:spacing w:before="60" w:after="60" w:line="360" w:lineRule="auto"/>
      <w:outlineLvl w:val="5"/>
    </w:pPr>
    <w:rPr>
      <w:rFonts w:eastAsia="楷体_GB2312"/>
      <w:sz w:val="24"/>
      <w:szCs w:val="24"/>
    </w:rPr>
  </w:style>
  <w:style w:type="character" w:default="1" w:styleId="36">
    <w:name w:val="Default Paragraph Font"/>
    <w:semiHidden/>
    <w:unhideWhenUsed/>
    <w:uiPriority w:val="1"/>
  </w:style>
  <w:style w:type="table" w:default="1" w:styleId="34">
    <w:name w:val="Normal Table"/>
    <w:semiHidden/>
    <w:unhideWhenUsed/>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pPr>
    <w:rPr>
      <w:sz w:val="24"/>
      <w:szCs w:val="24"/>
    </w:rPr>
  </w:style>
  <w:style w:type="paragraph" w:styleId="8">
    <w:name w:val="Body Text"/>
    <w:basedOn w:val="1"/>
    <w:link w:val="49"/>
    <w:qFormat/>
    <w:uiPriority w:val="99"/>
    <w:pPr>
      <w:spacing w:after="120"/>
    </w:pPr>
  </w:style>
  <w:style w:type="paragraph" w:styleId="10">
    <w:name w:val="toc 7"/>
    <w:basedOn w:val="1"/>
    <w:next w:val="1"/>
    <w:semiHidden/>
    <w:qFormat/>
    <w:uiPriority w:val="99"/>
    <w:pPr>
      <w:ind w:left="1260"/>
      <w:jc w:val="left"/>
    </w:pPr>
  </w:style>
  <w:style w:type="paragraph" w:styleId="11">
    <w:name w:val="Document Map"/>
    <w:basedOn w:val="1"/>
    <w:link w:val="80"/>
    <w:semiHidden/>
    <w:unhideWhenUsed/>
    <w:qFormat/>
    <w:uiPriority w:val="99"/>
    <w:rPr>
      <w:rFonts w:ascii="宋体"/>
      <w:sz w:val="18"/>
      <w:szCs w:val="18"/>
    </w:rPr>
  </w:style>
  <w:style w:type="paragraph" w:styleId="12">
    <w:name w:val="annotation text"/>
    <w:basedOn w:val="1"/>
    <w:link w:val="62"/>
    <w:semiHidden/>
    <w:qFormat/>
    <w:uiPriority w:val="99"/>
    <w:pPr>
      <w:jc w:val="left"/>
    </w:pPr>
  </w:style>
  <w:style w:type="paragraph" w:styleId="13">
    <w:name w:val="Body Text Indent"/>
    <w:basedOn w:val="1"/>
    <w:link w:val="58"/>
    <w:qFormat/>
    <w:uiPriority w:val="99"/>
    <w:pPr>
      <w:spacing w:before="50" w:after="50" w:line="360" w:lineRule="auto"/>
      <w:ind w:left="1260" w:leftChars="600" w:firstLine="420" w:firstLineChars="175"/>
    </w:pPr>
    <w:rPr>
      <w:rFonts w:ascii="宋体" w:hAnsi="宋体" w:cs="宋体"/>
      <w:sz w:val="24"/>
      <w:szCs w:val="24"/>
    </w:rPr>
  </w:style>
  <w:style w:type="paragraph" w:styleId="14">
    <w:name w:val="Block Text"/>
    <w:basedOn w:val="1"/>
    <w:qFormat/>
    <w:uiPriority w:val="9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15">
    <w:name w:val="toc 5"/>
    <w:basedOn w:val="1"/>
    <w:next w:val="1"/>
    <w:semiHidden/>
    <w:qFormat/>
    <w:uiPriority w:val="99"/>
    <w:pPr>
      <w:ind w:left="840"/>
      <w:jc w:val="left"/>
    </w:pPr>
  </w:style>
  <w:style w:type="paragraph" w:styleId="16">
    <w:name w:val="toc 3"/>
    <w:basedOn w:val="1"/>
    <w:next w:val="1"/>
    <w:semiHidden/>
    <w:qFormat/>
    <w:uiPriority w:val="99"/>
    <w:pPr>
      <w:ind w:left="420"/>
      <w:jc w:val="left"/>
    </w:pPr>
    <w:rPr>
      <w:i/>
      <w:iCs/>
    </w:rPr>
  </w:style>
  <w:style w:type="paragraph" w:styleId="17">
    <w:name w:val="Plain Text"/>
    <w:basedOn w:val="1"/>
    <w:link w:val="55"/>
    <w:qFormat/>
    <w:uiPriority w:val="99"/>
    <w:rPr>
      <w:rFonts w:ascii="宋体" w:hAnsi="Courier New" w:cs="宋体"/>
      <w:sz w:val="16"/>
      <w:szCs w:val="16"/>
    </w:rPr>
  </w:style>
  <w:style w:type="paragraph" w:styleId="18">
    <w:name w:val="toc 8"/>
    <w:basedOn w:val="1"/>
    <w:next w:val="1"/>
    <w:semiHidden/>
    <w:qFormat/>
    <w:uiPriority w:val="99"/>
    <w:pPr>
      <w:ind w:left="1470"/>
      <w:jc w:val="left"/>
    </w:pPr>
  </w:style>
  <w:style w:type="paragraph" w:styleId="19">
    <w:name w:val="Date"/>
    <w:basedOn w:val="1"/>
    <w:next w:val="1"/>
    <w:link w:val="64"/>
    <w:qFormat/>
    <w:uiPriority w:val="99"/>
    <w:pPr>
      <w:ind w:left="100" w:leftChars="2500"/>
    </w:pPr>
  </w:style>
  <w:style w:type="paragraph" w:styleId="20">
    <w:name w:val="Body Text Indent 2"/>
    <w:basedOn w:val="1"/>
    <w:link w:val="52"/>
    <w:qFormat/>
    <w:uiPriority w:val="99"/>
    <w:pPr>
      <w:spacing w:before="50" w:after="50" w:line="360" w:lineRule="auto"/>
      <w:ind w:firstLine="420"/>
    </w:pPr>
    <w:rPr>
      <w:rFonts w:ascii="宋体" w:hAnsi="宋体" w:cs="宋体"/>
      <w:color w:val="0000FF"/>
      <w:sz w:val="24"/>
      <w:szCs w:val="24"/>
    </w:rPr>
  </w:style>
  <w:style w:type="paragraph" w:styleId="21">
    <w:name w:val="Balloon Text"/>
    <w:basedOn w:val="1"/>
    <w:link w:val="60"/>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296"/>
      </w:tabs>
      <w:spacing w:before="120" w:after="120"/>
      <w:jc w:val="left"/>
    </w:pPr>
    <w:rPr>
      <w:rFonts w:eastAsia="黑体"/>
      <w:b/>
      <w:bCs/>
      <w:caps/>
      <w:sz w:val="32"/>
      <w:szCs w:val="32"/>
    </w:rPr>
  </w:style>
  <w:style w:type="paragraph" w:styleId="25">
    <w:name w:val="toc 4"/>
    <w:basedOn w:val="1"/>
    <w:next w:val="1"/>
    <w:semiHidden/>
    <w:qFormat/>
    <w:uiPriority w:val="99"/>
    <w:pPr>
      <w:ind w:left="630"/>
      <w:jc w:val="left"/>
    </w:pPr>
  </w:style>
  <w:style w:type="paragraph" w:styleId="26">
    <w:name w:val="footnote text"/>
    <w:basedOn w:val="1"/>
    <w:link w:val="56"/>
    <w:semiHidden/>
    <w:qFormat/>
    <w:uiPriority w:val="99"/>
    <w:pPr>
      <w:snapToGrid w:val="0"/>
      <w:jc w:val="left"/>
    </w:pPr>
    <w:rPr>
      <w:sz w:val="18"/>
      <w:szCs w:val="18"/>
    </w:rPr>
  </w:style>
  <w:style w:type="paragraph" w:styleId="27">
    <w:name w:val="toc 6"/>
    <w:basedOn w:val="1"/>
    <w:next w:val="1"/>
    <w:semiHidden/>
    <w:qFormat/>
    <w:uiPriority w:val="99"/>
    <w:pPr>
      <w:ind w:left="1050"/>
      <w:jc w:val="left"/>
    </w:pPr>
  </w:style>
  <w:style w:type="paragraph" w:styleId="28">
    <w:name w:val="Body Text Indent 3"/>
    <w:basedOn w:val="1"/>
    <w:link w:val="59"/>
    <w:qFormat/>
    <w:uiPriority w:val="99"/>
    <w:pPr>
      <w:spacing w:before="50" w:after="50" w:line="360" w:lineRule="auto"/>
      <w:ind w:left="1260" w:leftChars="600" w:firstLine="480" w:firstLineChars="200"/>
    </w:pPr>
    <w:rPr>
      <w:rFonts w:ascii="宋体" w:hAnsi="宋体" w:cs="宋体"/>
      <w:sz w:val="24"/>
      <w:szCs w:val="24"/>
    </w:rPr>
  </w:style>
  <w:style w:type="paragraph" w:styleId="29">
    <w:name w:val="toc 2"/>
    <w:basedOn w:val="1"/>
    <w:next w:val="1"/>
    <w:semiHidden/>
    <w:qFormat/>
    <w:uiPriority w:val="99"/>
    <w:pPr>
      <w:ind w:left="210"/>
      <w:jc w:val="left"/>
    </w:pPr>
    <w:rPr>
      <w:smallCaps/>
    </w:rPr>
  </w:style>
  <w:style w:type="paragraph" w:styleId="30">
    <w:name w:val="toc 9"/>
    <w:basedOn w:val="1"/>
    <w:next w:val="1"/>
    <w:semiHidden/>
    <w:qFormat/>
    <w:uiPriority w:val="99"/>
    <w:pPr>
      <w:ind w:left="1680"/>
      <w:jc w:val="left"/>
    </w:p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link w:val="63"/>
    <w:semiHidden/>
    <w:qFormat/>
    <w:uiPriority w:val="99"/>
    <w:rPr>
      <w:b/>
      <w:bCs/>
    </w:rPr>
  </w:style>
  <w:style w:type="paragraph" w:styleId="33">
    <w:name w:val="Body Text First Indent"/>
    <w:basedOn w:val="8"/>
    <w:link w:val="57"/>
    <w:qFormat/>
    <w:uiPriority w:val="99"/>
    <w:pPr>
      <w:spacing w:line="300" w:lineRule="auto"/>
      <w:ind w:firstLine="425" w:firstLineChars="15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99"/>
    <w:rPr>
      <w:b/>
      <w:bCs/>
    </w:rPr>
  </w:style>
  <w:style w:type="character" w:styleId="38">
    <w:name w:val="page number"/>
    <w:basedOn w:val="36"/>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semiHidden/>
    <w:qFormat/>
    <w:uiPriority w:val="99"/>
    <w:rPr>
      <w:sz w:val="21"/>
      <w:szCs w:val="21"/>
    </w:rPr>
  </w:style>
  <w:style w:type="character" w:styleId="42">
    <w:name w:val="footnote reference"/>
    <w:semiHidden/>
    <w:qFormat/>
    <w:uiPriority w:val="99"/>
    <w:rPr>
      <w:vertAlign w:val="superscript"/>
    </w:rPr>
  </w:style>
  <w:style w:type="character" w:customStyle="1" w:styleId="43">
    <w:name w:val="标题 1 字符"/>
    <w:link w:val="2"/>
    <w:qFormat/>
    <w:uiPriority w:val="9"/>
    <w:rPr>
      <w:b/>
      <w:bCs/>
      <w:kern w:val="44"/>
      <w:sz w:val="44"/>
      <w:szCs w:val="44"/>
    </w:rPr>
  </w:style>
  <w:style w:type="character" w:customStyle="1" w:styleId="44">
    <w:name w:val="标题 2 字符"/>
    <w:link w:val="3"/>
    <w:semiHidden/>
    <w:qFormat/>
    <w:uiPriority w:val="9"/>
    <w:rPr>
      <w:rFonts w:ascii="Cambria" w:hAnsi="Cambria" w:eastAsia="宋体" w:cs="Times New Roman"/>
      <w:b/>
      <w:bCs/>
      <w:sz w:val="32"/>
      <w:szCs w:val="32"/>
    </w:rPr>
  </w:style>
  <w:style w:type="character" w:customStyle="1" w:styleId="45">
    <w:name w:val="标题 3 字符"/>
    <w:link w:val="5"/>
    <w:semiHidden/>
    <w:qFormat/>
    <w:uiPriority w:val="9"/>
    <w:rPr>
      <w:b/>
      <w:bCs/>
      <w:sz w:val="32"/>
      <w:szCs w:val="32"/>
    </w:rPr>
  </w:style>
  <w:style w:type="character" w:customStyle="1" w:styleId="46">
    <w:name w:val="标题 4 字符"/>
    <w:link w:val="6"/>
    <w:qFormat/>
    <w:locked/>
    <w:uiPriority w:val="99"/>
    <w:rPr>
      <w:rFonts w:ascii="Arial" w:hAnsi="Arial" w:eastAsia="黑体" w:cs="Arial"/>
      <w:b/>
      <w:bCs/>
      <w:kern w:val="2"/>
      <w:sz w:val="24"/>
      <w:szCs w:val="24"/>
    </w:rPr>
  </w:style>
  <w:style w:type="character" w:customStyle="1" w:styleId="47">
    <w:name w:val="标题 5 字符"/>
    <w:link w:val="7"/>
    <w:semiHidden/>
    <w:qFormat/>
    <w:uiPriority w:val="9"/>
    <w:rPr>
      <w:b/>
      <w:bCs/>
      <w:sz w:val="28"/>
      <w:szCs w:val="28"/>
    </w:rPr>
  </w:style>
  <w:style w:type="character" w:customStyle="1" w:styleId="48">
    <w:name w:val="标题 6 字符"/>
    <w:link w:val="9"/>
    <w:semiHidden/>
    <w:qFormat/>
    <w:uiPriority w:val="9"/>
    <w:rPr>
      <w:rFonts w:ascii="Cambria" w:hAnsi="Cambria" w:eastAsia="宋体" w:cs="Times New Roman"/>
      <w:b/>
      <w:bCs/>
      <w:sz w:val="24"/>
      <w:szCs w:val="24"/>
    </w:rPr>
  </w:style>
  <w:style w:type="character" w:customStyle="1" w:styleId="49">
    <w:name w:val="正文文本 字符"/>
    <w:link w:val="8"/>
    <w:semiHidden/>
    <w:qFormat/>
    <w:uiPriority w:val="99"/>
    <w:rPr>
      <w:szCs w:val="21"/>
    </w:rPr>
  </w:style>
  <w:style w:type="paragraph" w:customStyle="1" w:styleId="50">
    <w:name w:val="ccidsiTemplate"/>
    <w:basedOn w:val="1"/>
    <w:qFormat/>
    <w:uiPriority w:val="99"/>
    <w:pPr>
      <w:spacing w:line="360" w:lineRule="auto"/>
    </w:pPr>
    <w:rPr>
      <w:sz w:val="24"/>
      <w:szCs w:val="24"/>
    </w:rPr>
  </w:style>
  <w:style w:type="character" w:customStyle="1" w:styleId="51">
    <w:name w:val="big1"/>
    <w:qFormat/>
    <w:uiPriority w:val="99"/>
    <w:rPr>
      <w:spacing w:val="360"/>
      <w:sz w:val="22"/>
      <w:szCs w:val="22"/>
    </w:rPr>
  </w:style>
  <w:style w:type="character" w:customStyle="1" w:styleId="52">
    <w:name w:val="正文文本缩进 2 字符"/>
    <w:link w:val="20"/>
    <w:semiHidden/>
    <w:qFormat/>
    <w:uiPriority w:val="99"/>
    <w:rPr>
      <w:szCs w:val="21"/>
    </w:rPr>
  </w:style>
  <w:style w:type="character" w:customStyle="1" w:styleId="53">
    <w:name w:val="页眉 字符"/>
    <w:link w:val="23"/>
    <w:qFormat/>
    <w:uiPriority w:val="99"/>
    <w:rPr>
      <w:kern w:val="2"/>
      <w:sz w:val="18"/>
      <w:szCs w:val="18"/>
    </w:rPr>
  </w:style>
  <w:style w:type="character" w:customStyle="1" w:styleId="54">
    <w:name w:val="页脚 字符"/>
    <w:link w:val="22"/>
    <w:qFormat/>
    <w:locked/>
    <w:uiPriority w:val="99"/>
    <w:rPr>
      <w:kern w:val="2"/>
      <w:sz w:val="18"/>
      <w:szCs w:val="18"/>
    </w:rPr>
  </w:style>
  <w:style w:type="character" w:customStyle="1" w:styleId="55">
    <w:name w:val="纯文本 字符"/>
    <w:link w:val="17"/>
    <w:qFormat/>
    <w:locked/>
    <w:uiPriority w:val="99"/>
    <w:rPr>
      <w:rFonts w:ascii="宋体" w:hAnsi="Courier New" w:cs="宋体"/>
      <w:kern w:val="2"/>
      <w:sz w:val="16"/>
      <w:szCs w:val="16"/>
    </w:rPr>
  </w:style>
  <w:style w:type="character" w:customStyle="1" w:styleId="56">
    <w:name w:val="脚注文本 字符"/>
    <w:link w:val="26"/>
    <w:semiHidden/>
    <w:qFormat/>
    <w:locked/>
    <w:uiPriority w:val="99"/>
    <w:rPr>
      <w:kern w:val="2"/>
      <w:sz w:val="18"/>
      <w:szCs w:val="18"/>
    </w:rPr>
  </w:style>
  <w:style w:type="character" w:customStyle="1" w:styleId="57">
    <w:name w:val="正文首行缩进 字符"/>
    <w:link w:val="33"/>
    <w:semiHidden/>
    <w:qFormat/>
    <w:uiPriority w:val="99"/>
    <w:rPr>
      <w:szCs w:val="21"/>
    </w:rPr>
  </w:style>
  <w:style w:type="character" w:customStyle="1" w:styleId="58">
    <w:name w:val="正文文本缩进 字符"/>
    <w:link w:val="13"/>
    <w:semiHidden/>
    <w:qFormat/>
    <w:uiPriority w:val="99"/>
    <w:rPr>
      <w:szCs w:val="21"/>
    </w:rPr>
  </w:style>
  <w:style w:type="character" w:customStyle="1" w:styleId="59">
    <w:name w:val="正文文本缩进 3 字符"/>
    <w:link w:val="28"/>
    <w:semiHidden/>
    <w:qFormat/>
    <w:uiPriority w:val="99"/>
    <w:rPr>
      <w:sz w:val="16"/>
      <w:szCs w:val="16"/>
    </w:rPr>
  </w:style>
  <w:style w:type="character" w:customStyle="1" w:styleId="60">
    <w:name w:val="批注框文本 字符"/>
    <w:link w:val="21"/>
    <w:semiHidden/>
    <w:qFormat/>
    <w:uiPriority w:val="99"/>
    <w:rPr>
      <w:sz w:val="0"/>
      <w:szCs w:val="0"/>
    </w:rPr>
  </w:style>
  <w:style w:type="character" w:customStyle="1" w:styleId="61">
    <w:name w:val="ten51"/>
    <w:qFormat/>
    <w:uiPriority w:val="99"/>
    <w:rPr>
      <w:sz w:val="21"/>
      <w:szCs w:val="21"/>
    </w:rPr>
  </w:style>
  <w:style w:type="character" w:customStyle="1" w:styleId="62">
    <w:name w:val="批注文字 字符"/>
    <w:link w:val="12"/>
    <w:qFormat/>
    <w:locked/>
    <w:uiPriority w:val="99"/>
    <w:rPr>
      <w:kern w:val="2"/>
      <w:sz w:val="24"/>
      <w:szCs w:val="24"/>
    </w:rPr>
  </w:style>
  <w:style w:type="character" w:customStyle="1" w:styleId="63">
    <w:name w:val="批注主题 字符"/>
    <w:link w:val="32"/>
    <w:semiHidden/>
    <w:qFormat/>
    <w:uiPriority w:val="99"/>
    <w:rPr>
      <w:b/>
      <w:bCs/>
      <w:kern w:val="2"/>
      <w:sz w:val="24"/>
      <w:szCs w:val="21"/>
    </w:rPr>
  </w:style>
  <w:style w:type="character" w:customStyle="1" w:styleId="64">
    <w:name w:val="日期 字符"/>
    <w:link w:val="19"/>
    <w:semiHidden/>
    <w:qFormat/>
    <w:uiPriority w:val="99"/>
    <w:rPr>
      <w:szCs w:val="21"/>
    </w:rPr>
  </w:style>
  <w:style w:type="paragraph" w:customStyle="1" w:styleId="65">
    <w:name w:val="Char Char Char Char Char Char Char Char Char1 Char Char Char Char Char Char Char"/>
    <w:basedOn w:val="1"/>
    <w:qFormat/>
    <w:uiPriority w:val="99"/>
    <w:pPr>
      <w:tabs>
        <w:tab w:val="left" w:pos="840"/>
      </w:tabs>
      <w:ind w:left="840" w:hanging="360"/>
    </w:pPr>
    <w:rPr>
      <w:sz w:val="24"/>
      <w:szCs w:val="24"/>
    </w:rPr>
  </w:style>
  <w:style w:type="paragraph" w:customStyle="1" w:styleId="66">
    <w:name w:val="Char Char Char Char Char Char Char"/>
    <w:basedOn w:val="1"/>
    <w:qFormat/>
    <w:uiPriority w:val="99"/>
    <w:pPr>
      <w:tabs>
        <w:tab w:val="left" w:pos="840"/>
      </w:tabs>
      <w:ind w:left="840" w:hanging="360"/>
    </w:pPr>
    <w:rPr>
      <w:sz w:val="24"/>
      <w:szCs w:val="24"/>
    </w:rPr>
  </w:style>
  <w:style w:type="paragraph" w:customStyle="1" w:styleId="67">
    <w:name w:val="Char"/>
    <w:basedOn w:val="1"/>
    <w:qFormat/>
    <w:uiPriority w:val="99"/>
  </w:style>
  <w:style w:type="paragraph" w:customStyle="1" w:styleId="68">
    <w:name w:val="默认段落字体 Para Char"/>
    <w:basedOn w:val="1"/>
    <w:qFormat/>
    <w:uiPriority w:val="99"/>
    <w:pPr>
      <w:tabs>
        <w:tab w:val="left" w:pos="840"/>
      </w:tabs>
      <w:ind w:left="840" w:hanging="420"/>
    </w:pPr>
    <w:rPr>
      <w:sz w:val="24"/>
      <w:szCs w:val="24"/>
    </w:rPr>
  </w:style>
  <w:style w:type="paragraph" w:customStyle="1" w:styleId="69">
    <w:name w:val="Char Char Char Char1 Char Char Char"/>
    <w:basedOn w:val="1"/>
    <w:qFormat/>
    <w:uiPriority w:val="99"/>
  </w:style>
  <w:style w:type="paragraph" w:customStyle="1" w:styleId="70">
    <w:name w:val="Char Char Char Char Char"/>
    <w:basedOn w:val="1"/>
    <w:qFormat/>
    <w:uiPriority w:val="99"/>
    <w:pPr>
      <w:tabs>
        <w:tab w:val="left" w:pos="840"/>
      </w:tabs>
      <w:ind w:left="840" w:hanging="360"/>
    </w:pPr>
    <w:rPr>
      <w:sz w:val="24"/>
      <w:szCs w:val="24"/>
    </w:rPr>
  </w:style>
  <w:style w:type="paragraph" w:customStyle="1" w:styleId="71">
    <w:name w:val="Char Char"/>
    <w:basedOn w:val="1"/>
    <w:qFormat/>
    <w:uiPriority w:val="99"/>
    <w:pPr>
      <w:tabs>
        <w:tab w:val="left" w:pos="840"/>
      </w:tabs>
      <w:ind w:left="840" w:hanging="360"/>
    </w:pPr>
    <w:rPr>
      <w:sz w:val="24"/>
      <w:szCs w:val="24"/>
    </w:rPr>
  </w:style>
  <w:style w:type="paragraph" w:customStyle="1" w:styleId="72">
    <w:name w:val="默认段落字体 Para Char Char Char Char Char Char"/>
    <w:basedOn w:val="1"/>
    <w:qFormat/>
    <w:uiPriority w:val="99"/>
    <w:pPr>
      <w:tabs>
        <w:tab w:val="left" w:pos="840"/>
      </w:tabs>
      <w:ind w:left="840" w:hanging="360"/>
    </w:pPr>
    <w:rPr>
      <w:sz w:val="24"/>
      <w:szCs w:val="24"/>
    </w:rPr>
  </w:style>
  <w:style w:type="paragraph" w:customStyle="1" w:styleId="73">
    <w:name w:val="Char Char Char Char Char Char Char Char Char1 Char Char Char Char"/>
    <w:basedOn w:val="1"/>
    <w:qFormat/>
    <w:uiPriority w:val="99"/>
    <w:pPr>
      <w:tabs>
        <w:tab w:val="left" w:pos="840"/>
      </w:tabs>
      <w:ind w:left="840" w:hanging="360"/>
    </w:pPr>
    <w:rPr>
      <w:sz w:val="24"/>
      <w:szCs w:val="24"/>
    </w:rPr>
  </w:style>
  <w:style w:type="paragraph" w:customStyle="1" w:styleId="74">
    <w:name w:val="1 Char"/>
    <w:basedOn w:val="1"/>
    <w:semiHidden/>
    <w:qFormat/>
    <w:uiPriority w:val="99"/>
    <w:pPr>
      <w:tabs>
        <w:tab w:val="left" w:pos="360"/>
      </w:tabs>
    </w:pPr>
    <w:rPr>
      <w:sz w:val="24"/>
      <w:szCs w:val="24"/>
    </w:rPr>
  </w:style>
  <w:style w:type="paragraph" w:customStyle="1" w:styleId="75">
    <w:name w:val="Char Char Char"/>
    <w:basedOn w:val="1"/>
    <w:qFormat/>
    <w:uiPriority w:val="99"/>
  </w:style>
  <w:style w:type="paragraph" w:customStyle="1" w:styleId="76">
    <w:name w:val="Char1 Char Char Char Char Char Char"/>
    <w:basedOn w:val="1"/>
    <w:qFormat/>
    <w:uiPriority w:val="99"/>
  </w:style>
  <w:style w:type="paragraph" w:customStyle="1" w:styleId="77">
    <w:name w:val="c_"/>
    <w:qFormat/>
    <w:uiPriority w:val="99"/>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34"/>
    <w:pPr>
      <w:ind w:firstLine="420" w:firstLineChars="200"/>
    </w:pPr>
  </w:style>
  <w:style w:type="character" w:customStyle="1" w:styleId="80">
    <w:name w:val="文档结构图 字符"/>
    <w:link w:val="11"/>
    <w:semiHidden/>
    <w:qFormat/>
    <w:uiPriority w:val="99"/>
    <w:rPr>
      <w:rFonts w:ascii="宋体"/>
      <w:kern w:val="2"/>
      <w:sz w:val="18"/>
      <w:szCs w:val="18"/>
    </w:rPr>
  </w:style>
  <w:style w:type="character" w:customStyle="1" w:styleId="81">
    <w:name w:val="txtcontent11"/>
    <w:qFormat/>
    <w:uiPriority w:val="0"/>
    <w:rPr>
      <w:rFonts w:hint="default" w:ascii="Times New Roman" w:hAnsi="Times New Roman" w:cs="Times New Roman"/>
      <w:color w:val="000000"/>
    </w:rPr>
  </w:style>
  <w:style w:type="paragraph" w:customStyle="1" w:styleId="82">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83">
    <w:name w:val="修订3"/>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83CED5-2CA9-4566-A04B-098597359452}">
  <ds:schemaRefs/>
</ds:datastoreItem>
</file>

<file path=docProps/app.xml><?xml version="1.0" encoding="utf-8"?>
<Properties xmlns="http://schemas.openxmlformats.org/officeDocument/2006/extended-properties" xmlns:vt="http://schemas.openxmlformats.org/officeDocument/2006/docPropsVTypes">
  <Template>Normal</Template>
  <Company>jysld</Company>
  <Pages>2</Pages>
  <Words>185</Words>
  <Characters>1061</Characters>
  <Lines>8</Lines>
  <Paragraphs>2</Paragraphs>
  <TotalTime>6</TotalTime>
  <ScaleCrop>false</ScaleCrop>
  <LinksUpToDate>false</LinksUpToDate>
  <CharactersWithSpaces>1244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2025-12-29T08:58:00Z</dcterms:created>
  <dc:creator>xzwang</dc:creator>
  <cp:lastModifiedBy>刘晨晨</cp:lastModifiedBy>
  <cp:lastPrinted>2015-04-27T09:59:00Z</cp:lastPrinted>
  <dcterms:modified xsi:type="dcterms:W3CDTF">2026-01-21T07:59:02Z</dcterms:modified>
  <dc:title>募集方案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ADECC0968D47472DB4C594A6048D847F</vt:lpwstr>
  </property>
</Properties>
</file>