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F2" w:rsidRDefault="00F1773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</w:t>
      </w:r>
      <w:r>
        <w:rPr>
          <w:rFonts w:eastAsiaTheme="minorEastAsia" w:hAnsiTheme="minorEastAsia" w:hint="eastAsia"/>
          <w:b/>
          <w:kern w:val="0"/>
          <w:sz w:val="30"/>
          <w:szCs w:val="30"/>
        </w:rPr>
        <w:t>交银施罗德裕泰两年定期开放债券型证券投资基金</w:t>
      </w:r>
      <w:r>
        <w:rPr>
          <w:rFonts w:eastAsiaTheme="minorEastAsia" w:hAnsiTheme="minorEastAsia"/>
          <w:b/>
          <w:kern w:val="0"/>
          <w:sz w:val="30"/>
          <w:szCs w:val="30"/>
        </w:rPr>
        <w:t>暂停大额申购</w:t>
      </w:r>
      <w:r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6C7BF2" w:rsidRDefault="00F1773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2026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</w:t>
      </w:r>
      <w:r>
        <w:rPr>
          <w:rFonts w:eastAsiaTheme="minorEastAsia" w:hint="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16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6C7BF2" w:rsidRDefault="006C7BF2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6C7BF2" w:rsidRDefault="00F1773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2894"/>
        <w:gridCol w:w="3404"/>
      </w:tblGrid>
      <w:tr w:rsidR="006C7BF2">
        <w:tc>
          <w:tcPr>
            <w:tcW w:w="2491" w:type="dxa"/>
          </w:tcPr>
          <w:p w:rsidR="006C7BF2" w:rsidRDefault="00F1773B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298" w:type="dxa"/>
            <w:gridSpan w:val="2"/>
            <w:vAlign w:val="center"/>
          </w:tcPr>
          <w:p w:rsidR="006C7BF2" w:rsidRDefault="00F1773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交银施罗德裕泰两年定期开放债券型证券投资基金</w:t>
            </w:r>
          </w:p>
        </w:tc>
      </w:tr>
      <w:tr w:rsidR="006C7BF2">
        <w:tc>
          <w:tcPr>
            <w:tcW w:w="2491" w:type="dxa"/>
          </w:tcPr>
          <w:p w:rsidR="006C7BF2" w:rsidRDefault="00F1773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298" w:type="dxa"/>
            <w:gridSpan w:val="2"/>
            <w:vAlign w:val="center"/>
          </w:tcPr>
          <w:p w:rsidR="006C7BF2" w:rsidRDefault="00F1773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Theme="minorEastAsia" w:hint="eastAsia"/>
                <w:sz w:val="24"/>
                <w:szCs w:val="24"/>
              </w:rPr>
              <w:t>交银裕泰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两年定期开放债券</w:t>
            </w:r>
          </w:p>
        </w:tc>
      </w:tr>
      <w:tr w:rsidR="006C7BF2">
        <w:tc>
          <w:tcPr>
            <w:tcW w:w="2491" w:type="dxa"/>
          </w:tcPr>
          <w:p w:rsidR="006C7BF2" w:rsidRDefault="00F1773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298" w:type="dxa"/>
            <w:gridSpan w:val="2"/>
            <w:vAlign w:val="center"/>
          </w:tcPr>
          <w:p w:rsidR="006C7BF2" w:rsidRDefault="00F1773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008223</w:t>
            </w:r>
          </w:p>
        </w:tc>
      </w:tr>
      <w:tr w:rsidR="006C7BF2">
        <w:tc>
          <w:tcPr>
            <w:tcW w:w="2491" w:type="dxa"/>
          </w:tcPr>
          <w:p w:rsidR="006C7BF2" w:rsidRDefault="00F1773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298" w:type="dxa"/>
            <w:gridSpan w:val="2"/>
            <w:vAlign w:val="center"/>
          </w:tcPr>
          <w:p w:rsidR="006C7BF2" w:rsidRDefault="00F1773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6C7BF2">
        <w:tc>
          <w:tcPr>
            <w:tcW w:w="2491" w:type="dxa"/>
          </w:tcPr>
          <w:p w:rsidR="006C7BF2" w:rsidRDefault="00F1773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298" w:type="dxa"/>
            <w:gridSpan w:val="2"/>
            <w:vAlign w:val="center"/>
          </w:tcPr>
          <w:p w:rsidR="006C7BF2" w:rsidRDefault="00F1773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《交银施罗德裕泰两年定期开放债券型证券投资基金基金合同》、《交银施罗德裕泰两年定期开放债券型证券投资基金招募说明书》等</w:t>
            </w:r>
          </w:p>
        </w:tc>
      </w:tr>
      <w:tr w:rsidR="006C7BF2">
        <w:tc>
          <w:tcPr>
            <w:tcW w:w="2491" w:type="dxa"/>
            <w:vMerge w:val="restart"/>
            <w:vAlign w:val="center"/>
          </w:tcPr>
          <w:p w:rsidR="006C7BF2" w:rsidRDefault="006C7BF2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6C7BF2" w:rsidRDefault="00F1773B"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6C7BF2" w:rsidRDefault="006C7BF2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6C7BF2" w:rsidRDefault="006C7BF2"/>
        </w:tc>
        <w:tc>
          <w:tcPr>
            <w:tcW w:w="2894" w:type="dxa"/>
          </w:tcPr>
          <w:p w:rsidR="006C7BF2" w:rsidRDefault="00F1773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404" w:type="dxa"/>
            <w:vAlign w:val="center"/>
          </w:tcPr>
          <w:p w:rsidR="006C7BF2" w:rsidRDefault="00F1773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2026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19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6C7BF2">
        <w:tc>
          <w:tcPr>
            <w:tcW w:w="2491" w:type="dxa"/>
            <w:vMerge/>
          </w:tcPr>
          <w:p w:rsidR="006C7BF2" w:rsidRDefault="006C7BF2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6C7BF2" w:rsidRDefault="00F1773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限制大额申购金额（单位：元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404" w:type="dxa"/>
            <w:vAlign w:val="center"/>
          </w:tcPr>
          <w:p w:rsidR="006C7BF2" w:rsidRDefault="00F1773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6C7BF2">
        <w:tc>
          <w:tcPr>
            <w:tcW w:w="2491" w:type="dxa"/>
            <w:vMerge/>
          </w:tcPr>
          <w:p w:rsidR="006C7BF2" w:rsidRDefault="006C7BF2"/>
        </w:tc>
        <w:tc>
          <w:tcPr>
            <w:tcW w:w="2894" w:type="dxa"/>
          </w:tcPr>
          <w:p w:rsidR="006C7BF2" w:rsidRDefault="00F1773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</w:t>
            </w: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4" w:type="dxa"/>
          </w:tcPr>
          <w:p w:rsidR="006C7BF2" w:rsidRDefault="00F1773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</w:tbl>
    <w:p w:rsidR="006C7BF2" w:rsidRDefault="00F1773B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注：</w:t>
      </w:r>
      <w:r>
        <w:rPr>
          <w:rFonts w:eastAsiaTheme="minorEastAsia" w:hAnsiTheme="minorEastAsia" w:hint="eastAsia"/>
          <w:sz w:val="24"/>
          <w:szCs w:val="24"/>
        </w:rPr>
        <w:t>对于当日单个基金账户单笔或多笔累计申购的金额超过人民币</w:t>
      </w:r>
      <w:r>
        <w:rPr>
          <w:rFonts w:eastAsiaTheme="minorEastAsia" w:hAnsiTheme="minorEastAsia" w:hint="eastAsia"/>
          <w:sz w:val="24"/>
          <w:szCs w:val="24"/>
        </w:rPr>
        <w:t>10</w:t>
      </w:r>
      <w:r>
        <w:rPr>
          <w:rFonts w:eastAsiaTheme="minorEastAsia" w:hAnsiTheme="minorEastAsia"/>
          <w:sz w:val="24"/>
          <w:szCs w:val="24"/>
        </w:rPr>
        <w:t>0</w:t>
      </w:r>
      <w:r>
        <w:rPr>
          <w:rFonts w:eastAsiaTheme="minorEastAsia" w:hAnsiTheme="minorEastAsia" w:hint="eastAsia"/>
          <w:sz w:val="24"/>
          <w:szCs w:val="24"/>
        </w:rPr>
        <w:t>万元（不含）的申请，本基金管理人有权拒绝。</w:t>
      </w:r>
    </w:p>
    <w:p w:rsidR="006C7BF2" w:rsidRDefault="00F1773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6C7BF2" w:rsidRDefault="00F1773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1</w:t>
      </w:r>
      <w:r>
        <w:rPr>
          <w:rFonts w:eastAsiaTheme="minorEastAsia" w:hAnsiTheme="minorEastAsia"/>
          <w:sz w:val="24"/>
          <w:szCs w:val="24"/>
        </w:rPr>
        <w:t>）在本基金上述暂停大额申购业务期间，本基金的赎回业务正常进行。</w:t>
      </w:r>
    </w:p>
    <w:p w:rsidR="006C7BF2" w:rsidRPr="00F1773B" w:rsidRDefault="00F1773B">
      <w:pPr>
        <w:spacing w:line="360" w:lineRule="auto"/>
        <w:ind w:firstLineChars="200" w:firstLine="480"/>
        <w:rPr>
          <w:rFonts w:eastAsiaTheme="minorEastAsia" w:hAnsi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 w:hAnsiTheme="minorEastAsia"/>
          <w:sz w:val="24"/>
          <w:szCs w:val="24"/>
        </w:rPr>
        <w:t>）</w:t>
      </w:r>
      <w:r>
        <w:rPr>
          <w:rFonts w:eastAsiaTheme="minorEastAsia" w:hAnsiTheme="minorEastAsia" w:hint="eastAsia"/>
          <w:sz w:val="24"/>
          <w:szCs w:val="24"/>
        </w:rPr>
        <w:t>本基金</w:t>
      </w:r>
      <w:r>
        <w:rPr>
          <w:rFonts w:eastAsiaTheme="minorEastAsia" w:hAnsiTheme="minorEastAsia" w:hint="eastAsia"/>
          <w:sz w:val="24"/>
          <w:szCs w:val="24"/>
        </w:rPr>
        <w:t>自</w:t>
      </w:r>
      <w:r>
        <w:rPr>
          <w:rFonts w:eastAsiaTheme="minorEastAsia" w:hAnsiTheme="minorEastAsia" w:hint="eastAsia"/>
          <w:sz w:val="24"/>
          <w:szCs w:val="24"/>
        </w:rPr>
        <w:t>2026</w:t>
      </w:r>
      <w:r>
        <w:rPr>
          <w:rFonts w:eastAsiaTheme="minorEastAsia" w:hAnsiTheme="minorEastAsia" w:hint="eastAsia"/>
          <w:sz w:val="24"/>
          <w:szCs w:val="24"/>
        </w:rPr>
        <w:t>年</w:t>
      </w:r>
      <w:r>
        <w:rPr>
          <w:rFonts w:eastAsiaTheme="minorEastAsia" w:hAnsiTheme="minorEastAsia" w:hint="eastAsia"/>
          <w:sz w:val="24"/>
          <w:szCs w:val="24"/>
        </w:rPr>
        <w:t>1</w:t>
      </w:r>
      <w:r>
        <w:rPr>
          <w:rFonts w:eastAsiaTheme="minorEastAsia" w:hAnsiTheme="minorEastAsia" w:hint="eastAsia"/>
          <w:sz w:val="24"/>
          <w:szCs w:val="24"/>
        </w:rPr>
        <w:t>月</w:t>
      </w:r>
      <w:r>
        <w:rPr>
          <w:rFonts w:eastAsiaTheme="minorEastAsia" w:hAnsiTheme="minorEastAsia" w:hint="eastAsia"/>
          <w:sz w:val="24"/>
          <w:szCs w:val="24"/>
        </w:rPr>
        <w:t>19</w:t>
      </w:r>
      <w:r>
        <w:rPr>
          <w:rFonts w:eastAsiaTheme="minorEastAsia" w:hAnsiTheme="minorEastAsia" w:hint="eastAsia"/>
          <w:sz w:val="24"/>
          <w:szCs w:val="24"/>
        </w:rPr>
        <w:t>日起进入开放期</w:t>
      </w:r>
      <w:r>
        <w:rPr>
          <w:rFonts w:eastAsiaTheme="minorEastAsia" w:hAnsiTheme="minorEastAsia" w:hint="eastAsia"/>
          <w:sz w:val="24"/>
          <w:szCs w:val="24"/>
        </w:rPr>
        <w:t>，</w:t>
      </w:r>
      <w:r>
        <w:rPr>
          <w:rFonts w:hint="eastAsia"/>
          <w:sz w:val="24"/>
        </w:rPr>
        <w:t>本次开放的具体时间为</w:t>
      </w:r>
      <w:r>
        <w:rPr>
          <w:rFonts w:hint="eastAsia"/>
          <w:sz w:val="24"/>
        </w:rPr>
        <w:t>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sz w:val="24"/>
        </w:rPr>
        <w:t>19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2</w:t>
      </w:r>
      <w:r>
        <w:rPr>
          <w:rFonts w:hint="eastAsia"/>
          <w:sz w:val="24"/>
        </w:rPr>
        <w:t>月</w:t>
      </w:r>
      <w:r>
        <w:rPr>
          <w:sz w:val="24"/>
        </w:rPr>
        <w:t>13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。上述暂停大额申购业务</w:t>
      </w:r>
      <w:r>
        <w:rPr>
          <w:rFonts w:hint="eastAsia"/>
          <w:sz w:val="24"/>
        </w:rPr>
        <w:t>事项仅</w:t>
      </w:r>
      <w:r>
        <w:rPr>
          <w:rFonts w:hint="eastAsia"/>
          <w:sz w:val="24"/>
        </w:rPr>
        <w:t>适用于</w:t>
      </w:r>
      <w:r>
        <w:rPr>
          <w:rFonts w:hint="eastAsia"/>
          <w:sz w:val="24"/>
        </w:rPr>
        <w:t>本次</w:t>
      </w:r>
      <w:r>
        <w:rPr>
          <w:rFonts w:hint="eastAsia"/>
          <w:sz w:val="24"/>
        </w:rPr>
        <w:t>开放期，</w:t>
      </w:r>
      <w:r>
        <w:rPr>
          <w:rFonts w:eastAsiaTheme="minorEastAsia" w:hAnsiTheme="minorEastAsia" w:hint="eastAsia"/>
          <w:sz w:val="24"/>
          <w:szCs w:val="24"/>
        </w:rPr>
        <w:t>进入封闭期后</w:t>
      </w:r>
      <w:r>
        <w:rPr>
          <w:rFonts w:eastAsiaTheme="minorEastAsia" w:hAnsiTheme="minorEastAsia"/>
          <w:sz w:val="24"/>
          <w:szCs w:val="24"/>
        </w:rPr>
        <w:t>取消上述暂停大额申购业务限制</w:t>
      </w:r>
      <w:r>
        <w:rPr>
          <w:rFonts w:eastAsiaTheme="minorEastAsia" w:hAnsiTheme="minorEastAsia" w:hint="eastAsia"/>
          <w:sz w:val="24"/>
          <w:szCs w:val="24"/>
        </w:rPr>
        <w:t>。在开放期间，本基金管理人有权依据本基金的规模情况和市场变化情况，根据基金合同的约定，提前结束办理申购、赎回业务</w:t>
      </w:r>
      <w:r>
        <w:rPr>
          <w:rFonts w:eastAsiaTheme="minorEastAsia" w:hAnsiTheme="minorEastAsia" w:hint="eastAsia"/>
          <w:sz w:val="24"/>
          <w:szCs w:val="24"/>
        </w:rPr>
        <w:t>，</w:t>
      </w:r>
      <w:r>
        <w:rPr>
          <w:rFonts w:eastAsiaTheme="minorEastAsia" w:hAnsiTheme="minorEastAsia"/>
          <w:sz w:val="24"/>
          <w:szCs w:val="24"/>
        </w:rPr>
        <w:t>本基金管理人将另行公告。</w:t>
      </w:r>
    </w:p>
    <w:p w:rsidR="006C7BF2" w:rsidRDefault="00F1773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3</w:t>
      </w:r>
      <w:r>
        <w:rPr>
          <w:rFonts w:eastAsiaTheme="minorEastAsia" w:hAnsiTheme="minorEastAsia"/>
          <w:sz w:val="24"/>
          <w:szCs w:val="24"/>
        </w:rPr>
        <w:t>）投资者可以登录本公司网站（</w:t>
      </w:r>
      <w:r>
        <w:rPr>
          <w:rFonts w:eastAsiaTheme="minorEastAsia"/>
          <w:sz w:val="24"/>
          <w:szCs w:val="24"/>
        </w:rPr>
        <w:t>www.fund001.com</w:t>
      </w:r>
      <w:r>
        <w:rPr>
          <w:rFonts w:eastAsiaTheme="minorEastAsia" w:hAnsiTheme="minorEastAsia"/>
          <w:sz w:val="24"/>
          <w:szCs w:val="24"/>
        </w:rPr>
        <w:t>）或拨打客户服务电话（</w:t>
      </w:r>
      <w:r>
        <w:rPr>
          <w:rFonts w:eastAsiaTheme="minorEastAsia"/>
          <w:sz w:val="24"/>
          <w:szCs w:val="24"/>
        </w:rPr>
        <w:t>400-700-5000</w:t>
      </w:r>
      <w:r>
        <w:rPr>
          <w:rFonts w:eastAsiaTheme="minorEastAsia" w:hAnsiTheme="minorEastAsia"/>
          <w:sz w:val="24"/>
          <w:szCs w:val="24"/>
        </w:rPr>
        <w:t>，</w:t>
      </w:r>
      <w:r>
        <w:rPr>
          <w:rFonts w:eastAsiaTheme="minorEastAsia"/>
          <w:sz w:val="24"/>
          <w:szCs w:val="24"/>
        </w:rPr>
        <w:t>021-61055000</w:t>
      </w:r>
      <w:r>
        <w:rPr>
          <w:rFonts w:eastAsiaTheme="minorEastAsia" w:hAnsiTheme="minorEastAsia"/>
          <w:sz w:val="24"/>
          <w:szCs w:val="24"/>
        </w:rPr>
        <w:t>）咨询基金相关信息。</w:t>
      </w:r>
    </w:p>
    <w:p w:rsidR="006C7BF2" w:rsidRDefault="006C7BF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6C7BF2" w:rsidRDefault="00F1773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lastRenderedPageBreak/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6C7BF2" w:rsidRDefault="006C7BF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6C7BF2" w:rsidRDefault="00F1773B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特此公告。</w:t>
      </w:r>
    </w:p>
    <w:p w:rsidR="006C7BF2" w:rsidRDefault="006C7BF2">
      <w:pPr>
        <w:rPr>
          <w:rFonts w:eastAsiaTheme="minorEastAsia"/>
          <w:sz w:val="24"/>
          <w:szCs w:val="24"/>
        </w:rPr>
      </w:pPr>
    </w:p>
    <w:sectPr w:rsidR="006C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7F46"/>
    <w:rsid w:val="00024315"/>
    <w:rsid w:val="000411A5"/>
    <w:rsid w:val="00041353"/>
    <w:rsid w:val="000466C6"/>
    <w:rsid w:val="00087133"/>
    <w:rsid w:val="00095A80"/>
    <w:rsid w:val="00097CEA"/>
    <w:rsid w:val="000D472C"/>
    <w:rsid w:val="000E1817"/>
    <w:rsid w:val="000E4CBF"/>
    <w:rsid w:val="000F55E1"/>
    <w:rsid w:val="0012500E"/>
    <w:rsid w:val="0013025A"/>
    <w:rsid w:val="00160DAE"/>
    <w:rsid w:val="00172472"/>
    <w:rsid w:val="00180DA3"/>
    <w:rsid w:val="001B4F9F"/>
    <w:rsid w:val="001D3B58"/>
    <w:rsid w:val="001F0502"/>
    <w:rsid w:val="002241A8"/>
    <w:rsid w:val="00245724"/>
    <w:rsid w:val="00285347"/>
    <w:rsid w:val="002935EF"/>
    <w:rsid w:val="00297148"/>
    <w:rsid w:val="002A6277"/>
    <w:rsid w:val="002B3273"/>
    <w:rsid w:val="002C1251"/>
    <w:rsid w:val="002C4BA9"/>
    <w:rsid w:val="002D2A24"/>
    <w:rsid w:val="002D475A"/>
    <w:rsid w:val="002F7241"/>
    <w:rsid w:val="00327DA7"/>
    <w:rsid w:val="00331105"/>
    <w:rsid w:val="0033476C"/>
    <w:rsid w:val="003423ED"/>
    <w:rsid w:val="0036784E"/>
    <w:rsid w:val="003753B6"/>
    <w:rsid w:val="003936F9"/>
    <w:rsid w:val="003D0DCF"/>
    <w:rsid w:val="003D3818"/>
    <w:rsid w:val="00401BAA"/>
    <w:rsid w:val="00463139"/>
    <w:rsid w:val="00470869"/>
    <w:rsid w:val="00470E32"/>
    <w:rsid w:val="00473FE4"/>
    <w:rsid w:val="004966BA"/>
    <w:rsid w:val="004B1D96"/>
    <w:rsid w:val="004C07E2"/>
    <w:rsid w:val="004D6346"/>
    <w:rsid w:val="004F0521"/>
    <w:rsid w:val="004F51E8"/>
    <w:rsid w:val="00536E8E"/>
    <w:rsid w:val="0055497B"/>
    <w:rsid w:val="00566AFA"/>
    <w:rsid w:val="00567DDA"/>
    <w:rsid w:val="005B1035"/>
    <w:rsid w:val="005C5A05"/>
    <w:rsid w:val="005F2DBE"/>
    <w:rsid w:val="00603A93"/>
    <w:rsid w:val="00607CF1"/>
    <w:rsid w:val="00633C51"/>
    <w:rsid w:val="00646522"/>
    <w:rsid w:val="00653F13"/>
    <w:rsid w:val="00663031"/>
    <w:rsid w:val="00677C51"/>
    <w:rsid w:val="006A0A5E"/>
    <w:rsid w:val="006B6C4C"/>
    <w:rsid w:val="006C7BF2"/>
    <w:rsid w:val="006E4616"/>
    <w:rsid w:val="006E57FC"/>
    <w:rsid w:val="006F45AB"/>
    <w:rsid w:val="0073228C"/>
    <w:rsid w:val="00753E39"/>
    <w:rsid w:val="00762FED"/>
    <w:rsid w:val="00770DB7"/>
    <w:rsid w:val="007B0250"/>
    <w:rsid w:val="007B1D31"/>
    <w:rsid w:val="007C7A6A"/>
    <w:rsid w:val="008255A0"/>
    <w:rsid w:val="00837E48"/>
    <w:rsid w:val="00846A58"/>
    <w:rsid w:val="008472DB"/>
    <w:rsid w:val="008712F5"/>
    <w:rsid w:val="008D65EE"/>
    <w:rsid w:val="008D6773"/>
    <w:rsid w:val="008E2A7E"/>
    <w:rsid w:val="008F64F2"/>
    <w:rsid w:val="009233FD"/>
    <w:rsid w:val="0092541D"/>
    <w:rsid w:val="00930327"/>
    <w:rsid w:val="00956B0F"/>
    <w:rsid w:val="00981679"/>
    <w:rsid w:val="009A0237"/>
    <w:rsid w:val="009C5858"/>
    <w:rsid w:val="009C6B75"/>
    <w:rsid w:val="00A15BAB"/>
    <w:rsid w:val="00A243B0"/>
    <w:rsid w:val="00A2638C"/>
    <w:rsid w:val="00A428CE"/>
    <w:rsid w:val="00A5414E"/>
    <w:rsid w:val="00A71771"/>
    <w:rsid w:val="00A745E5"/>
    <w:rsid w:val="00AB7BA5"/>
    <w:rsid w:val="00AC0E51"/>
    <w:rsid w:val="00AD4FCC"/>
    <w:rsid w:val="00AD7BDD"/>
    <w:rsid w:val="00AF024E"/>
    <w:rsid w:val="00B0212F"/>
    <w:rsid w:val="00B101F7"/>
    <w:rsid w:val="00B13FDA"/>
    <w:rsid w:val="00B25C61"/>
    <w:rsid w:val="00B867A9"/>
    <w:rsid w:val="00B872E5"/>
    <w:rsid w:val="00B909FC"/>
    <w:rsid w:val="00BD545A"/>
    <w:rsid w:val="00BD601B"/>
    <w:rsid w:val="00C4500C"/>
    <w:rsid w:val="00C569C3"/>
    <w:rsid w:val="00C57BA0"/>
    <w:rsid w:val="00C70EDA"/>
    <w:rsid w:val="00C8127F"/>
    <w:rsid w:val="00C844A2"/>
    <w:rsid w:val="00C97172"/>
    <w:rsid w:val="00CD6473"/>
    <w:rsid w:val="00CD74DC"/>
    <w:rsid w:val="00CF5EAE"/>
    <w:rsid w:val="00D043F8"/>
    <w:rsid w:val="00D114B7"/>
    <w:rsid w:val="00D1301E"/>
    <w:rsid w:val="00D1480F"/>
    <w:rsid w:val="00D327FA"/>
    <w:rsid w:val="00D6095E"/>
    <w:rsid w:val="00D95A18"/>
    <w:rsid w:val="00DD22A8"/>
    <w:rsid w:val="00DE25A8"/>
    <w:rsid w:val="00DF159B"/>
    <w:rsid w:val="00DF484A"/>
    <w:rsid w:val="00E27D76"/>
    <w:rsid w:val="00E3565A"/>
    <w:rsid w:val="00E414B0"/>
    <w:rsid w:val="00E63200"/>
    <w:rsid w:val="00E714AE"/>
    <w:rsid w:val="00E830A4"/>
    <w:rsid w:val="00E9491B"/>
    <w:rsid w:val="00EA7B49"/>
    <w:rsid w:val="00EC47F6"/>
    <w:rsid w:val="00EE1823"/>
    <w:rsid w:val="00EF476D"/>
    <w:rsid w:val="00EF6D2E"/>
    <w:rsid w:val="00F15B17"/>
    <w:rsid w:val="00F1773B"/>
    <w:rsid w:val="00F27E02"/>
    <w:rsid w:val="00F64447"/>
    <w:rsid w:val="00FD5102"/>
    <w:rsid w:val="00FD6EF4"/>
    <w:rsid w:val="00FE41E3"/>
    <w:rsid w:val="00FF1A2E"/>
    <w:rsid w:val="1B7115CF"/>
    <w:rsid w:val="333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7AE56-5115-440F-A35B-9B1E58C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pPr>
      <w:snapToGrid w:val="0"/>
      <w:jc w:val="left"/>
    </w:pPr>
    <w:rPr>
      <w:rFonts w:eastAsia="宋体"/>
      <w:sz w:val="18"/>
    </w:rPr>
  </w:style>
  <w:style w:type="character" w:styleId="ab">
    <w:name w:val="footnote reference"/>
    <w:basedOn w:val="a0"/>
    <w:rPr>
      <w:vertAlign w:val="superscript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aa">
    <w:name w:val="脚注文本 字符"/>
    <w:basedOn w:val="a0"/>
    <w:link w:val="a9"/>
    <w:rPr>
      <w:rFonts w:ascii="Times New Roman" w:eastAsia="宋体" w:hAnsi="Times New Roman" w:cs="Times New Roman"/>
      <w:sz w:val="18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方正仿宋简体" w:hAnsi="Times New Roman" w:cs="Times New Roman"/>
      <w:sz w:val="18"/>
      <w:szCs w:val="18"/>
    </w:rPr>
  </w:style>
  <w:style w:type="paragraph" w:customStyle="1" w:styleId="11">
    <w:name w:val="修订1"/>
    <w:hidden/>
    <w:uiPriority w:val="99"/>
    <w:semiHidden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张婧</cp:lastModifiedBy>
  <cp:revision>2</cp:revision>
  <dcterms:created xsi:type="dcterms:W3CDTF">2026-01-15T02:49:00Z</dcterms:created>
  <dcterms:modified xsi:type="dcterms:W3CDTF">2026-01-15T02:49:00Z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E2C42C92322F46769B0BE913B595C37B</vt:lpwstr>
  </property>
</Properties>
</file>