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069BE" w14:textId="7FA4E408" w:rsidR="009A63B5" w:rsidRDefault="007E2DE2">
      <w:pPr>
        <w:jc w:val="center"/>
        <w:rPr>
          <w:rFonts w:ascii="Times New Roman" w:eastAsiaTheme="majorEastAsia" w:hAnsi="Times New Roman" w:cs="Times New Roman"/>
          <w:b/>
          <w:sz w:val="30"/>
          <w:szCs w:val="30"/>
        </w:rPr>
      </w:pPr>
      <w:r>
        <w:rPr>
          <w:rFonts w:ascii="Times New Roman" w:eastAsiaTheme="majorEastAsia" w:hAnsi="Times New Roman" w:cs="Times New Roman"/>
          <w:b/>
          <w:sz w:val="30"/>
          <w:szCs w:val="30"/>
        </w:rPr>
        <w:t>交银施罗德基金管理有限公司关于</w:t>
      </w:r>
      <w:r>
        <w:rPr>
          <w:rFonts w:ascii="Times New Roman" w:eastAsiaTheme="majorEastAsia" w:hAnsi="Times New Roman" w:cs="Times New Roman" w:hint="eastAsia"/>
          <w:b/>
          <w:sz w:val="30"/>
          <w:szCs w:val="30"/>
        </w:rPr>
        <w:t>交银施罗德可转债债券型证券投资基金投资范围增加存托凭证、修改转换条款并相应修改法律文件</w:t>
      </w:r>
      <w:r>
        <w:rPr>
          <w:rFonts w:ascii="Times New Roman" w:eastAsiaTheme="majorEastAsia" w:hAnsi="Times New Roman" w:cs="Times New Roman"/>
          <w:b/>
          <w:sz w:val="30"/>
          <w:szCs w:val="30"/>
        </w:rPr>
        <w:t>的公告</w:t>
      </w:r>
    </w:p>
    <w:p w14:paraId="5B658DD1" w14:textId="77777777" w:rsidR="009A63B5" w:rsidRDefault="009A63B5">
      <w:pPr>
        <w:jc w:val="center"/>
        <w:rPr>
          <w:rFonts w:ascii="Times New Roman" w:eastAsiaTheme="majorEastAsia" w:hAnsi="Times New Roman" w:cs="Times New Roman"/>
          <w:b/>
          <w:sz w:val="30"/>
          <w:szCs w:val="30"/>
        </w:rPr>
      </w:pPr>
    </w:p>
    <w:p w14:paraId="61FE6510" w14:textId="3440E02B" w:rsidR="009A63B5" w:rsidRDefault="007E2DE2">
      <w:pPr>
        <w:adjustRightInd w:val="0"/>
        <w:snapToGrid w:val="0"/>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为进一步丰富基金投资品种，满足投资者需求，根据《中华人民共和国证券投资基金法》、《公开募集证券投资基金运作管理办法》、《存托凭证发行与交易管理办法（试行）》等法律法规及《交银施罗德可转债债券型证券投资基金基金合同》（以下简称“《基金合同》”）的约定</w:t>
      </w:r>
      <w:r>
        <w:rPr>
          <w:rFonts w:ascii="Times New Roman" w:eastAsiaTheme="majorEastAsia" w:hAnsi="Times New Roman" w:cs="Times New Roman"/>
          <w:bCs/>
          <w:sz w:val="24"/>
          <w:szCs w:val="20"/>
        </w:rPr>
        <w:t>，</w:t>
      </w:r>
      <w:r>
        <w:rPr>
          <w:rFonts w:ascii="Times New Roman" w:eastAsiaTheme="majorEastAsia" w:hAnsi="Times New Roman" w:cs="Times New Roman" w:hint="eastAsia"/>
          <w:bCs/>
          <w:sz w:val="24"/>
          <w:szCs w:val="20"/>
        </w:rPr>
        <w:t>交银施罗德基金管理有限公司（以下简称“</w:t>
      </w:r>
      <w:r>
        <w:rPr>
          <w:rFonts w:ascii="Times New Roman" w:eastAsiaTheme="majorEastAsia" w:hAnsi="Times New Roman" w:cs="Times New Roman"/>
          <w:bCs/>
          <w:sz w:val="24"/>
          <w:szCs w:val="20"/>
        </w:rPr>
        <w:t>本</w:t>
      </w:r>
      <w:r>
        <w:rPr>
          <w:rFonts w:ascii="Times New Roman" w:eastAsiaTheme="majorEastAsia" w:hAnsi="Times New Roman" w:cs="Times New Roman" w:hint="eastAsia"/>
          <w:bCs/>
          <w:sz w:val="24"/>
          <w:szCs w:val="20"/>
        </w:rPr>
        <w:t>公司”）</w:t>
      </w:r>
      <w:r>
        <w:rPr>
          <w:rFonts w:ascii="Times New Roman" w:eastAsiaTheme="majorEastAsia" w:hAnsi="Times New Roman" w:cs="Times New Roman"/>
          <w:bCs/>
          <w:sz w:val="24"/>
          <w:szCs w:val="20"/>
        </w:rPr>
        <w:t>经与基金托管人</w:t>
      </w:r>
      <w:r>
        <w:rPr>
          <w:rFonts w:ascii="Times New Roman" w:eastAsiaTheme="majorEastAsia" w:hAnsi="Times New Roman" w:cs="Times New Roman" w:hint="eastAsia"/>
          <w:bCs/>
          <w:sz w:val="24"/>
          <w:szCs w:val="20"/>
        </w:rPr>
        <w:t>中国农业银行股份有限公司</w:t>
      </w:r>
      <w:r>
        <w:rPr>
          <w:rFonts w:ascii="Times New Roman" w:eastAsiaTheme="majorEastAsia" w:hAnsi="Times New Roman" w:cs="Times New Roman"/>
          <w:bCs/>
          <w:sz w:val="24"/>
          <w:szCs w:val="20"/>
        </w:rPr>
        <w:t>协商一致</w:t>
      </w:r>
      <w:r>
        <w:rPr>
          <w:rFonts w:ascii="Times New Roman" w:eastAsiaTheme="majorEastAsia" w:hAnsi="Times New Roman" w:cs="Times New Roman" w:hint="eastAsia"/>
          <w:bCs/>
          <w:sz w:val="24"/>
          <w:szCs w:val="20"/>
        </w:rPr>
        <w:t>，决定将存托凭证纳入交银施罗德可转债债券型证券投资基金的投资范围、修改转换条款，并相应修改《基金合同》等法律文件。本次修订对基金份额持有人利益无实质性不利影响，修订将自</w:t>
      </w:r>
      <w:r>
        <w:rPr>
          <w:rFonts w:ascii="Times New Roman" w:eastAsiaTheme="majorEastAsia" w:hAnsi="Times New Roman" w:cs="Times New Roman" w:hint="eastAsia"/>
          <w:bCs/>
          <w:sz w:val="24"/>
          <w:szCs w:val="20"/>
        </w:rPr>
        <w:t>202</w:t>
      </w:r>
      <w:r>
        <w:rPr>
          <w:rFonts w:ascii="Times New Roman" w:eastAsiaTheme="majorEastAsia" w:hAnsi="Times New Roman" w:cs="Times New Roman"/>
          <w:bCs/>
          <w:sz w:val="24"/>
          <w:szCs w:val="20"/>
        </w:rPr>
        <w:t>5</w:t>
      </w:r>
      <w:r>
        <w:rPr>
          <w:rFonts w:ascii="Times New Roman" w:eastAsiaTheme="majorEastAsia" w:hAnsi="Times New Roman" w:cs="Times New Roman" w:hint="eastAsia"/>
          <w:bCs/>
          <w:sz w:val="24"/>
          <w:szCs w:val="20"/>
        </w:rPr>
        <w:t>年</w:t>
      </w:r>
      <w:r>
        <w:rPr>
          <w:rFonts w:ascii="Times New Roman" w:eastAsiaTheme="majorEastAsia" w:hAnsi="Times New Roman" w:cs="Times New Roman"/>
          <w:bCs/>
          <w:sz w:val="24"/>
          <w:szCs w:val="20"/>
        </w:rPr>
        <w:t>12</w:t>
      </w:r>
      <w:r>
        <w:rPr>
          <w:rFonts w:ascii="Times New Roman" w:eastAsiaTheme="majorEastAsia" w:hAnsi="Times New Roman" w:cs="Times New Roman" w:hint="eastAsia"/>
          <w:bCs/>
          <w:sz w:val="24"/>
          <w:szCs w:val="20"/>
        </w:rPr>
        <w:t>月</w:t>
      </w:r>
      <w:r>
        <w:rPr>
          <w:rFonts w:ascii="Times New Roman" w:eastAsiaTheme="majorEastAsia" w:hAnsi="Times New Roman" w:cs="Times New Roman"/>
          <w:bCs/>
          <w:sz w:val="24"/>
          <w:szCs w:val="20"/>
        </w:rPr>
        <w:t>24</w:t>
      </w:r>
      <w:r>
        <w:rPr>
          <w:rFonts w:ascii="Times New Roman" w:eastAsiaTheme="majorEastAsia" w:hAnsi="Times New Roman" w:cs="Times New Roman" w:hint="eastAsia"/>
          <w:bCs/>
          <w:sz w:val="24"/>
          <w:szCs w:val="20"/>
        </w:rPr>
        <w:t>日起正式生效</w:t>
      </w:r>
      <w:r>
        <w:rPr>
          <w:rFonts w:ascii="Times New Roman" w:eastAsiaTheme="majorEastAsia" w:hAnsi="Times New Roman" w:cs="Times New Roman"/>
          <w:bCs/>
          <w:sz w:val="24"/>
          <w:szCs w:val="20"/>
        </w:rPr>
        <w:t>。</w:t>
      </w:r>
    </w:p>
    <w:p w14:paraId="7778045B" w14:textId="77777777" w:rsidR="009A63B5" w:rsidRDefault="007E2DE2">
      <w:pPr>
        <w:adjustRightInd w:val="0"/>
        <w:snapToGrid w:val="0"/>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现将相关情况公告如下：</w:t>
      </w:r>
    </w:p>
    <w:p w14:paraId="524C0654" w14:textId="77777777" w:rsidR="009A63B5" w:rsidRDefault="009A63B5">
      <w:pPr>
        <w:adjustRightInd w:val="0"/>
        <w:snapToGrid w:val="0"/>
        <w:spacing w:line="360" w:lineRule="auto"/>
        <w:ind w:firstLineChars="200" w:firstLine="480"/>
        <w:rPr>
          <w:rFonts w:ascii="Times New Roman" w:eastAsiaTheme="majorEastAsia" w:hAnsi="Times New Roman" w:cs="Times New Roman"/>
          <w:bCs/>
          <w:sz w:val="24"/>
          <w:szCs w:val="20"/>
        </w:rPr>
      </w:pPr>
    </w:p>
    <w:p w14:paraId="499B9450" w14:textId="77777777" w:rsidR="009A63B5" w:rsidRDefault="007E2DE2">
      <w:pPr>
        <w:spacing w:line="360" w:lineRule="auto"/>
        <w:ind w:firstLineChars="200" w:firstLine="482"/>
        <w:rPr>
          <w:rFonts w:ascii="Times New Roman" w:eastAsiaTheme="majorEastAsia" w:hAnsi="Times New Roman" w:cs="Times New Roman"/>
          <w:b/>
          <w:bCs/>
          <w:sz w:val="24"/>
          <w:szCs w:val="20"/>
        </w:rPr>
      </w:pPr>
      <w:r>
        <w:rPr>
          <w:rFonts w:ascii="Times New Roman" w:eastAsiaTheme="majorEastAsia" w:hAnsi="Times New Roman" w:cs="Times New Roman" w:hint="eastAsia"/>
          <w:b/>
          <w:bCs/>
          <w:sz w:val="24"/>
          <w:szCs w:val="20"/>
        </w:rPr>
        <w:t>一、《基金合同》主要修订内容</w:t>
      </w:r>
    </w:p>
    <w:p w14:paraId="7095AC0F" w14:textId="77777777" w:rsidR="009A63B5" w:rsidRDefault="007E2DE2">
      <w:pPr>
        <w:spacing w:line="360" w:lineRule="auto"/>
        <w:ind w:firstLineChars="200" w:firstLine="482"/>
        <w:rPr>
          <w:rFonts w:ascii="Times New Roman" w:eastAsiaTheme="majorEastAsia" w:hAnsi="Times New Roman" w:cs="Times New Roman"/>
          <w:b/>
          <w:bCs/>
          <w:sz w:val="24"/>
          <w:szCs w:val="20"/>
        </w:rPr>
      </w:pPr>
      <w:r>
        <w:rPr>
          <w:rFonts w:ascii="Times New Roman" w:eastAsiaTheme="majorEastAsia" w:hAnsi="Times New Roman" w:cs="Times New Roman" w:hint="eastAsia"/>
          <w:b/>
          <w:bCs/>
          <w:sz w:val="24"/>
          <w:szCs w:val="20"/>
        </w:rPr>
        <w:t>1</w:t>
      </w:r>
      <w:r>
        <w:rPr>
          <w:rFonts w:ascii="Times New Roman" w:eastAsiaTheme="majorEastAsia" w:hAnsi="Times New Roman" w:cs="Times New Roman" w:hint="eastAsia"/>
          <w:b/>
          <w:bCs/>
          <w:sz w:val="24"/>
          <w:szCs w:val="20"/>
        </w:rPr>
        <w:t>、在前言部分增加存托凭证的风险提示</w:t>
      </w:r>
    </w:p>
    <w:p w14:paraId="38F6A3FA" w14:textId="77777777" w:rsidR="009A63B5" w:rsidRDefault="007E2DE2">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基金招募说明书“风险揭示”章节内容。</w:t>
      </w:r>
    </w:p>
    <w:p w14:paraId="68FD7048" w14:textId="77777777" w:rsidR="009A63B5" w:rsidRDefault="007E2DE2">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本基金可根据投资策略需要或市场环境的变化，选择将部分基金资产投资于存托凭证或选择不将基金资产投资于存托凭证，基金资产并非必然投资存托凭证。”</w:t>
      </w:r>
      <w:bookmarkStart w:id="0" w:name="_GoBack"/>
      <w:bookmarkEnd w:id="0"/>
    </w:p>
    <w:p w14:paraId="5DC9586A" w14:textId="77777777" w:rsidR="009A63B5" w:rsidRDefault="007E2DE2">
      <w:pPr>
        <w:spacing w:line="360" w:lineRule="auto"/>
        <w:ind w:firstLineChars="200" w:firstLine="482"/>
        <w:rPr>
          <w:rFonts w:ascii="Times New Roman" w:eastAsiaTheme="majorEastAsia" w:hAnsi="Times New Roman" w:cs="Times New Roman"/>
          <w:b/>
          <w:bCs/>
          <w:sz w:val="24"/>
          <w:szCs w:val="20"/>
        </w:rPr>
      </w:pPr>
      <w:r>
        <w:rPr>
          <w:rFonts w:ascii="Times New Roman" w:eastAsiaTheme="majorEastAsia" w:hAnsi="Times New Roman" w:cs="Times New Roman" w:hint="eastAsia"/>
          <w:b/>
          <w:bCs/>
          <w:sz w:val="24"/>
          <w:szCs w:val="20"/>
        </w:rPr>
        <w:t>2</w:t>
      </w:r>
      <w:r>
        <w:rPr>
          <w:rFonts w:ascii="Times New Roman" w:eastAsiaTheme="majorEastAsia" w:hAnsi="Times New Roman" w:cs="Times New Roman" w:hint="eastAsia"/>
          <w:b/>
          <w:bCs/>
          <w:sz w:val="24"/>
          <w:szCs w:val="20"/>
        </w:rPr>
        <w:t>、修改基金份额类别的转换要求</w:t>
      </w:r>
    </w:p>
    <w:p w14:paraId="1051C7AE" w14:textId="77777777" w:rsidR="009A63B5" w:rsidRDefault="007E2DE2">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原“本基金不同基金份额类别之间不得互相转换。”修改为“本基金不同基金份额类别之间的转换规定请见招募说明书或相关公告。”</w:t>
      </w:r>
    </w:p>
    <w:p w14:paraId="2C662AA4" w14:textId="37E4A1CC" w:rsidR="009A63B5" w:rsidRDefault="007E2DE2">
      <w:pPr>
        <w:spacing w:line="360" w:lineRule="auto"/>
        <w:ind w:firstLineChars="200" w:firstLine="482"/>
        <w:rPr>
          <w:rFonts w:ascii="Times New Roman" w:eastAsiaTheme="majorEastAsia" w:hAnsi="Times New Roman" w:cs="Times New Roman"/>
          <w:b/>
          <w:bCs/>
          <w:sz w:val="24"/>
          <w:szCs w:val="20"/>
        </w:rPr>
      </w:pPr>
      <w:r>
        <w:rPr>
          <w:rFonts w:ascii="Times New Roman" w:eastAsiaTheme="majorEastAsia" w:hAnsi="Times New Roman" w:cs="Times New Roman"/>
          <w:b/>
          <w:bCs/>
          <w:sz w:val="24"/>
          <w:szCs w:val="20"/>
        </w:rPr>
        <w:t>3</w:t>
      </w:r>
      <w:r>
        <w:rPr>
          <w:rFonts w:ascii="Times New Roman" w:eastAsiaTheme="majorEastAsia" w:hAnsi="Times New Roman" w:cs="Times New Roman" w:hint="eastAsia"/>
          <w:b/>
          <w:bCs/>
          <w:sz w:val="24"/>
          <w:szCs w:val="20"/>
        </w:rPr>
        <w:t>、在投资范围中增加存托凭证</w:t>
      </w:r>
    </w:p>
    <w:p w14:paraId="667E938B" w14:textId="77777777" w:rsidR="009A63B5" w:rsidRDefault="007E2DE2">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“本基金的投资范围为具有良好流动性的金融工具，包括国内依法发行上市</w:t>
      </w:r>
      <w:r>
        <w:rPr>
          <w:rFonts w:ascii="Times New Roman" w:eastAsiaTheme="majorEastAsia" w:hAnsi="Times New Roman" w:cs="Times New Roman" w:hint="eastAsia"/>
          <w:bCs/>
          <w:sz w:val="24"/>
          <w:szCs w:val="20"/>
        </w:rPr>
        <w:lastRenderedPageBreak/>
        <w:t>的股票（含中小板、创业板及其他经中国证监会核准上市的股票</w:t>
      </w:r>
      <w:r>
        <w:rPr>
          <w:rFonts w:ascii="Times New Roman" w:eastAsiaTheme="majorEastAsia" w:hAnsi="Times New Roman" w:cs="Times New Roman" w:hint="eastAsia"/>
          <w:b/>
          <w:bCs/>
          <w:sz w:val="24"/>
          <w:szCs w:val="20"/>
        </w:rPr>
        <w:t>、存托凭证</w:t>
      </w:r>
      <w:r>
        <w:rPr>
          <w:rFonts w:ascii="Times New Roman" w:eastAsiaTheme="majorEastAsia" w:hAnsi="Times New Roman" w:cs="Times New Roman" w:hint="eastAsia"/>
          <w:bCs/>
          <w:sz w:val="24"/>
          <w:szCs w:val="20"/>
        </w:rPr>
        <w:t>）、债券（包括国债、金融债、央行票据、地方政府债、政府支持机构债、企业债、公司债、短期融资券、超短期融资券、中期票据、可转换债券（含可交换债券、可分离交易可转债）、次级债等）、资产支持证券、债券回购、银行存款（包括定期存款、协议存款等）、同业存单、货币市场工具以及法律法规或中国证监会允许基金投资的其他金融工具（但须符合中国证监会相关规定）。”</w:t>
      </w:r>
    </w:p>
    <w:p w14:paraId="4F7C9CC9" w14:textId="77777777" w:rsidR="009A63B5" w:rsidRDefault="007E2DE2">
      <w:pPr>
        <w:spacing w:line="360" w:lineRule="auto"/>
        <w:ind w:firstLineChars="200" w:firstLine="482"/>
        <w:rPr>
          <w:rFonts w:ascii="Times New Roman" w:eastAsiaTheme="majorEastAsia" w:hAnsi="Times New Roman" w:cs="Times New Roman"/>
          <w:b/>
          <w:bCs/>
          <w:sz w:val="24"/>
          <w:szCs w:val="20"/>
        </w:rPr>
      </w:pPr>
      <w:r>
        <w:rPr>
          <w:rFonts w:ascii="Times New Roman" w:eastAsiaTheme="majorEastAsia" w:hAnsi="Times New Roman" w:cs="Times New Roman" w:hint="eastAsia"/>
          <w:b/>
          <w:bCs/>
          <w:sz w:val="24"/>
          <w:szCs w:val="20"/>
        </w:rPr>
        <w:t>4</w:t>
      </w:r>
      <w:r>
        <w:rPr>
          <w:rFonts w:ascii="Times New Roman" w:eastAsiaTheme="majorEastAsia" w:hAnsi="Times New Roman" w:cs="Times New Roman" w:hint="eastAsia"/>
          <w:b/>
          <w:bCs/>
          <w:sz w:val="24"/>
          <w:szCs w:val="20"/>
        </w:rPr>
        <w:t>、在投资策略中增加存托凭证的投资策略</w:t>
      </w:r>
    </w:p>
    <w:p w14:paraId="7A97B5DD" w14:textId="77777777" w:rsidR="009A63B5" w:rsidRDefault="007E2DE2">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“本基金投资存托凭证的策略依照境内上市交易的股票投资策略执行。”</w:t>
      </w:r>
    </w:p>
    <w:p w14:paraId="2928E03D" w14:textId="77777777" w:rsidR="009A63B5" w:rsidRDefault="007E2DE2">
      <w:pPr>
        <w:spacing w:line="360" w:lineRule="auto"/>
        <w:ind w:firstLineChars="200" w:firstLine="482"/>
        <w:rPr>
          <w:rFonts w:ascii="Times New Roman" w:eastAsiaTheme="majorEastAsia" w:hAnsi="Times New Roman" w:cs="Times New Roman"/>
          <w:b/>
          <w:bCs/>
          <w:sz w:val="24"/>
          <w:szCs w:val="20"/>
        </w:rPr>
      </w:pPr>
      <w:r>
        <w:rPr>
          <w:rFonts w:ascii="Times New Roman" w:eastAsiaTheme="majorEastAsia" w:hAnsi="Times New Roman" w:cs="Times New Roman" w:hint="eastAsia"/>
          <w:b/>
          <w:bCs/>
          <w:sz w:val="24"/>
          <w:szCs w:val="20"/>
        </w:rPr>
        <w:t>5</w:t>
      </w:r>
      <w:r>
        <w:rPr>
          <w:rFonts w:ascii="Times New Roman" w:eastAsiaTheme="majorEastAsia" w:hAnsi="Times New Roman" w:cs="Times New Roman" w:hint="eastAsia"/>
          <w:b/>
          <w:bCs/>
          <w:sz w:val="24"/>
          <w:szCs w:val="20"/>
        </w:rPr>
        <w:t>、在投资限制中增加存托凭证</w:t>
      </w:r>
    </w:p>
    <w:p w14:paraId="5852C8A4" w14:textId="77777777" w:rsidR="009A63B5" w:rsidRDefault="007E2DE2">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“本基金投资存托凭证的比例限制依照境内上市交易的股票执行；”</w:t>
      </w:r>
    </w:p>
    <w:p w14:paraId="7AE81C28" w14:textId="77777777" w:rsidR="009A63B5" w:rsidRDefault="007E2DE2">
      <w:pPr>
        <w:spacing w:line="360" w:lineRule="auto"/>
        <w:ind w:firstLineChars="200" w:firstLine="482"/>
        <w:rPr>
          <w:rFonts w:ascii="Times New Roman" w:eastAsiaTheme="majorEastAsia" w:hAnsi="Times New Roman" w:cs="Times New Roman"/>
          <w:b/>
          <w:bCs/>
          <w:sz w:val="24"/>
          <w:szCs w:val="20"/>
        </w:rPr>
      </w:pPr>
      <w:r>
        <w:rPr>
          <w:rFonts w:ascii="Times New Roman" w:eastAsiaTheme="majorEastAsia" w:hAnsi="Times New Roman" w:cs="Times New Roman" w:hint="eastAsia"/>
          <w:b/>
          <w:bCs/>
          <w:sz w:val="24"/>
          <w:szCs w:val="20"/>
        </w:rPr>
        <w:t>6</w:t>
      </w:r>
      <w:r>
        <w:rPr>
          <w:rFonts w:ascii="Times New Roman" w:eastAsiaTheme="majorEastAsia" w:hAnsi="Times New Roman" w:cs="Times New Roman" w:hint="eastAsia"/>
          <w:b/>
          <w:bCs/>
          <w:sz w:val="24"/>
          <w:szCs w:val="20"/>
        </w:rPr>
        <w:t>、在估值方法中增加存托凭证的估值核算方法</w:t>
      </w:r>
    </w:p>
    <w:p w14:paraId="358D2FE8" w14:textId="77777777" w:rsidR="009A63B5" w:rsidRDefault="007E2DE2">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“本基金投资存托凭证的估值核算依照境内上市交易的股票执行。”</w:t>
      </w:r>
    </w:p>
    <w:p w14:paraId="0473970D" w14:textId="77777777" w:rsidR="009A63B5" w:rsidRDefault="009A63B5">
      <w:pPr>
        <w:adjustRightInd w:val="0"/>
        <w:snapToGrid w:val="0"/>
        <w:spacing w:line="360" w:lineRule="auto"/>
        <w:ind w:firstLineChars="200" w:firstLine="480"/>
        <w:rPr>
          <w:rFonts w:ascii="Times New Roman" w:eastAsiaTheme="majorEastAsia" w:hAnsi="Times New Roman" w:cs="Times New Roman"/>
          <w:bCs/>
          <w:sz w:val="24"/>
          <w:szCs w:val="20"/>
        </w:rPr>
      </w:pPr>
    </w:p>
    <w:p w14:paraId="617670F0" w14:textId="77777777" w:rsidR="009A63B5" w:rsidRDefault="007E2DE2">
      <w:pPr>
        <w:spacing w:line="360" w:lineRule="auto"/>
        <w:ind w:firstLineChars="200" w:firstLine="482"/>
        <w:rPr>
          <w:rFonts w:ascii="Times New Roman" w:eastAsiaTheme="majorEastAsia" w:hAnsi="Times New Roman" w:cs="Times New Roman"/>
          <w:b/>
          <w:bCs/>
          <w:sz w:val="24"/>
          <w:szCs w:val="20"/>
        </w:rPr>
      </w:pPr>
      <w:r>
        <w:rPr>
          <w:rFonts w:ascii="Times New Roman" w:eastAsiaTheme="majorEastAsia" w:hAnsi="Times New Roman" w:cs="Times New Roman" w:hint="eastAsia"/>
          <w:b/>
          <w:bCs/>
          <w:sz w:val="24"/>
          <w:szCs w:val="20"/>
        </w:rPr>
        <w:t>二、托管协议、</w:t>
      </w:r>
      <w:r>
        <w:rPr>
          <w:rFonts w:ascii="Times New Roman" w:eastAsiaTheme="majorEastAsia" w:hAnsi="Times New Roman" w:cs="Times New Roman"/>
          <w:b/>
          <w:bCs/>
          <w:sz w:val="24"/>
          <w:szCs w:val="20"/>
        </w:rPr>
        <w:t>招募说明书</w:t>
      </w:r>
      <w:r>
        <w:rPr>
          <w:rFonts w:ascii="Times New Roman" w:eastAsiaTheme="majorEastAsia" w:hAnsi="Times New Roman" w:cs="Times New Roman" w:hint="eastAsia"/>
          <w:b/>
          <w:bCs/>
          <w:sz w:val="24"/>
          <w:szCs w:val="20"/>
        </w:rPr>
        <w:t>、产品资料概要</w:t>
      </w:r>
      <w:r>
        <w:rPr>
          <w:rFonts w:ascii="Times New Roman" w:eastAsiaTheme="majorEastAsia" w:hAnsi="Times New Roman" w:cs="Times New Roman"/>
          <w:b/>
          <w:bCs/>
          <w:sz w:val="24"/>
          <w:szCs w:val="20"/>
        </w:rPr>
        <w:t>等</w:t>
      </w:r>
      <w:r>
        <w:rPr>
          <w:rFonts w:ascii="Times New Roman" w:eastAsiaTheme="majorEastAsia" w:hAnsi="Times New Roman" w:cs="Times New Roman" w:hint="eastAsia"/>
          <w:b/>
          <w:bCs/>
          <w:sz w:val="24"/>
          <w:szCs w:val="20"/>
        </w:rPr>
        <w:t>修订内容</w:t>
      </w:r>
    </w:p>
    <w:p w14:paraId="17D78F44" w14:textId="77777777" w:rsidR="009A63B5" w:rsidRDefault="007E2DE2">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托管协议、</w:t>
      </w:r>
      <w:r>
        <w:rPr>
          <w:rFonts w:ascii="Times New Roman" w:eastAsiaTheme="majorEastAsia" w:hAnsi="Times New Roman" w:cs="Times New Roman"/>
          <w:bCs/>
          <w:sz w:val="24"/>
          <w:szCs w:val="20"/>
        </w:rPr>
        <w:t>招募说明书</w:t>
      </w:r>
      <w:r>
        <w:rPr>
          <w:rFonts w:ascii="Times New Roman" w:eastAsiaTheme="majorEastAsia" w:hAnsi="Times New Roman" w:cs="Times New Roman" w:hint="eastAsia"/>
          <w:bCs/>
          <w:sz w:val="24"/>
          <w:szCs w:val="20"/>
        </w:rPr>
        <w:t>、产品资料概要</w:t>
      </w:r>
      <w:r>
        <w:rPr>
          <w:rFonts w:ascii="Times New Roman" w:eastAsiaTheme="majorEastAsia" w:hAnsi="Times New Roman" w:cs="Times New Roman"/>
          <w:bCs/>
          <w:sz w:val="24"/>
          <w:szCs w:val="20"/>
        </w:rPr>
        <w:t>等</w:t>
      </w:r>
      <w:r>
        <w:rPr>
          <w:rFonts w:ascii="Times New Roman" w:eastAsiaTheme="majorEastAsia" w:hAnsi="Times New Roman" w:cs="Times New Roman" w:hint="eastAsia"/>
          <w:bCs/>
          <w:sz w:val="24"/>
          <w:szCs w:val="20"/>
        </w:rPr>
        <w:t>涉及上述相关内容的条款也均进行了相应修订。</w:t>
      </w:r>
    </w:p>
    <w:p w14:paraId="439FE2A5" w14:textId="77777777" w:rsidR="009A63B5" w:rsidRDefault="009A63B5">
      <w:pPr>
        <w:spacing w:line="360" w:lineRule="auto"/>
        <w:ind w:firstLineChars="200" w:firstLine="420"/>
      </w:pPr>
    </w:p>
    <w:p w14:paraId="67C69D98" w14:textId="77777777" w:rsidR="009A63B5" w:rsidRDefault="007E2DE2">
      <w:pPr>
        <w:pStyle w:val="ad"/>
        <w:spacing w:before="0" w:beforeAutospacing="0" w:after="0" w:afterAutospacing="0" w:line="360" w:lineRule="auto"/>
        <w:ind w:firstLineChars="200" w:firstLine="482"/>
        <w:jc w:val="both"/>
        <w:rPr>
          <w:rFonts w:ascii="Times New Roman" w:eastAsiaTheme="majorEastAsia" w:hAnsi="Times New Roman" w:cs="Times New Roman"/>
          <w:b/>
          <w:color w:val="000000"/>
        </w:rPr>
      </w:pPr>
      <w:r>
        <w:rPr>
          <w:rFonts w:ascii="Times New Roman" w:eastAsiaTheme="majorEastAsia" w:hAnsi="Times New Roman" w:cs="Times New Roman" w:hint="eastAsia"/>
          <w:b/>
          <w:color w:val="000000"/>
        </w:rPr>
        <w:t>重要提示：</w:t>
      </w:r>
    </w:p>
    <w:p w14:paraId="4998BF43" w14:textId="77777777" w:rsidR="009A63B5" w:rsidRDefault="007E2DE2">
      <w:pPr>
        <w:pStyle w:val="ad"/>
        <w:spacing w:before="0" w:beforeAutospacing="0" w:after="0" w:afterAutospacing="0" w:line="360" w:lineRule="auto"/>
        <w:ind w:firstLineChars="200" w:firstLine="480"/>
        <w:jc w:val="both"/>
        <w:rPr>
          <w:rFonts w:ascii="Times New Roman" w:eastAsiaTheme="majorEastAsia" w:hAnsi="Times New Roman" w:cs="Times New Roman"/>
          <w:color w:val="000000"/>
        </w:rPr>
      </w:pPr>
      <w:r>
        <w:rPr>
          <w:rFonts w:ascii="Times New Roman" w:eastAsiaTheme="majorEastAsia" w:hAnsi="Times New Roman" w:cs="Times New Roman"/>
          <w:color w:val="000000"/>
        </w:rPr>
        <w:t>1</w:t>
      </w:r>
      <w:r>
        <w:rPr>
          <w:rFonts w:ascii="Times New Roman" w:eastAsiaTheme="majorEastAsia" w:hAnsi="Times New Roman" w:cs="Times New Roman"/>
          <w:color w:val="000000"/>
        </w:rPr>
        <w:t>、上述修改对基金份额持有人利益无实质性不利影响，可不经基金份额持有人大会</w:t>
      </w:r>
      <w:r>
        <w:rPr>
          <w:rFonts w:ascii="Times New Roman" w:eastAsiaTheme="majorEastAsia" w:hAnsi="Times New Roman" w:cs="Times New Roman" w:hint="eastAsia"/>
          <w:color w:val="000000"/>
        </w:rPr>
        <w:t>审议</w:t>
      </w:r>
      <w:r>
        <w:rPr>
          <w:rFonts w:ascii="Times New Roman" w:eastAsiaTheme="majorEastAsia" w:hAnsi="Times New Roman" w:cs="Times New Roman"/>
          <w:color w:val="000000"/>
        </w:rPr>
        <w:t>。</w:t>
      </w:r>
    </w:p>
    <w:p w14:paraId="03EE4E87" w14:textId="57327236" w:rsidR="009A63B5" w:rsidRDefault="007E2DE2">
      <w:pPr>
        <w:pStyle w:val="ad"/>
        <w:spacing w:before="0" w:beforeAutospacing="0" w:after="0" w:afterAutospacing="0" w:line="360" w:lineRule="auto"/>
        <w:ind w:firstLineChars="200" w:firstLine="480"/>
        <w:jc w:val="both"/>
        <w:rPr>
          <w:rFonts w:ascii="Times New Roman" w:eastAsiaTheme="majorEastAsia" w:hAnsi="Times New Roman" w:cs="Times New Roman"/>
          <w:color w:val="000000"/>
        </w:rPr>
      </w:pPr>
      <w:r>
        <w:rPr>
          <w:rFonts w:ascii="Times New Roman" w:eastAsiaTheme="majorEastAsia" w:hAnsi="Times New Roman" w:cs="Times New Roman"/>
          <w:color w:val="000000"/>
        </w:rPr>
        <w:t>2</w:t>
      </w:r>
      <w:r>
        <w:rPr>
          <w:rFonts w:ascii="Times New Roman" w:eastAsiaTheme="majorEastAsia" w:hAnsi="Times New Roman" w:cs="Times New Roman"/>
          <w:color w:val="000000"/>
        </w:rPr>
        <w:t>、</w:t>
      </w:r>
      <w:r>
        <w:rPr>
          <w:rFonts w:ascii="Times New Roman" w:eastAsiaTheme="majorEastAsia" w:hAnsi="Times New Roman" w:cs="Times New Roman" w:hint="eastAsia"/>
          <w:color w:val="000000"/>
        </w:rPr>
        <w:t>修改后的基金合同、托管协议自</w:t>
      </w:r>
      <w:r>
        <w:rPr>
          <w:rFonts w:ascii="Times New Roman" w:eastAsiaTheme="majorEastAsia" w:hAnsi="Times New Roman" w:cs="Times New Roman" w:hint="eastAsia"/>
          <w:color w:val="000000"/>
        </w:rPr>
        <w:t>2025</w:t>
      </w:r>
      <w:r>
        <w:rPr>
          <w:rFonts w:ascii="Times New Roman" w:eastAsiaTheme="majorEastAsia" w:hAnsi="Times New Roman" w:cs="Times New Roman" w:hint="eastAsia"/>
          <w:color w:val="000000"/>
        </w:rPr>
        <w:t>年</w:t>
      </w:r>
      <w:r>
        <w:rPr>
          <w:rFonts w:ascii="Times New Roman" w:eastAsiaTheme="majorEastAsia" w:hAnsi="Times New Roman" w:cs="Times New Roman"/>
          <w:bCs/>
          <w:szCs w:val="20"/>
        </w:rPr>
        <w:t>12</w:t>
      </w:r>
      <w:r>
        <w:rPr>
          <w:rFonts w:ascii="Times New Roman" w:eastAsiaTheme="majorEastAsia" w:hAnsi="Times New Roman" w:cs="Times New Roman" w:hint="eastAsia"/>
          <w:bCs/>
          <w:szCs w:val="20"/>
        </w:rPr>
        <w:t>月</w:t>
      </w:r>
      <w:r>
        <w:rPr>
          <w:rFonts w:ascii="Times New Roman" w:eastAsiaTheme="majorEastAsia" w:hAnsi="Times New Roman" w:cs="Times New Roman"/>
          <w:bCs/>
          <w:szCs w:val="20"/>
        </w:rPr>
        <w:t>24</w:t>
      </w:r>
      <w:r>
        <w:rPr>
          <w:rFonts w:ascii="Times New Roman" w:eastAsiaTheme="majorEastAsia" w:hAnsi="Times New Roman" w:cs="Times New Roman" w:hint="eastAsia"/>
          <w:bCs/>
          <w:szCs w:val="20"/>
        </w:rPr>
        <w:t>日</w:t>
      </w:r>
      <w:r>
        <w:rPr>
          <w:rFonts w:ascii="Times New Roman" w:eastAsiaTheme="majorEastAsia" w:hAnsi="Times New Roman" w:cs="Times New Roman" w:hint="eastAsia"/>
          <w:color w:val="000000"/>
        </w:rPr>
        <w:t>起生效，本公司已履行了规定程序，符合相关法律法规的规定及基金合同、托管协议的约定。修改后的基金合同、托管协议全文将与本公告同日登载于基金管理人网站（</w:t>
      </w:r>
      <w:r>
        <w:rPr>
          <w:rFonts w:ascii="Times New Roman" w:eastAsiaTheme="majorEastAsia" w:hAnsi="Times New Roman" w:cs="Times New Roman" w:hint="eastAsia"/>
          <w:color w:val="000000"/>
        </w:rPr>
        <w:t>www.fund001.com</w:t>
      </w:r>
      <w:r>
        <w:rPr>
          <w:rFonts w:ascii="Times New Roman" w:eastAsiaTheme="majorEastAsia" w:hAnsi="Times New Roman" w:cs="Times New Roman" w:hint="eastAsia"/>
          <w:color w:val="000000"/>
        </w:rPr>
        <w:t>）及中国证监会基金电子披露网站（</w:t>
      </w:r>
      <w:r>
        <w:rPr>
          <w:rFonts w:ascii="Times New Roman" w:eastAsiaTheme="majorEastAsia" w:hAnsi="Times New Roman" w:cs="Times New Roman" w:hint="eastAsia"/>
          <w:color w:val="000000"/>
        </w:rPr>
        <w:t>http://eid.csrc.gov.cn/fund</w:t>
      </w:r>
      <w:r>
        <w:rPr>
          <w:rFonts w:ascii="Times New Roman" w:eastAsiaTheme="majorEastAsia" w:hAnsi="Times New Roman" w:cs="Times New Roman" w:hint="eastAsia"/>
          <w:color w:val="000000"/>
        </w:rPr>
        <w:t>）。本次修订后的招募说明书（更新）和基金产品资料概要（更新）将在本公司网站发布，供投资者查阅。</w:t>
      </w:r>
    </w:p>
    <w:p w14:paraId="684734B5" w14:textId="77777777" w:rsidR="009A63B5" w:rsidRDefault="007E2DE2">
      <w:pPr>
        <w:pStyle w:val="ad"/>
        <w:spacing w:before="0" w:beforeAutospacing="0" w:after="0" w:afterAutospacing="0" w:line="360" w:lineRule="auto"/>
        <w:ind w:firstLineChars="200" w:firstLine="480"/>
        <w:rPr>
          <w:rFonts w:ascii="Times New Roman" w:eastAsiaTheme="majorEastAsia" w:hAnsi="Times New Roman" w:cs="Times New Roman"/>
          <w:color w:val="000000"/>
        </w:rPr>
      </w:pPr>
      <w:r>
        <w:rPr>
          <w:rFonts w:ascii="Times New Roman" w:eastAsiaTheme="majorEastAsia" w:hAnsi="Times New Roman" w:cs="Times New Roman"/>
          <w:color w:val="000000"/>
        </w:rPr>
        <w:t>3</w:t>
      </w:r>
      <w:r>
        <w:rPr>
          <w:rFonts w:ascii="Times New Roman" w:eastAsiaTheme="majorEastAsia" w:hAnsi="Times New Roman" w:cs="Times New Roman"/>
          <w:color w:val="000000"/>
        </w:rPr>
        <w:t>、投资者可登录本基金管理人网站（</w:t>
      </w:r>
      <w:r>
        <w:rPr>
          <w:rFonts w:ascii="Times New Roman" w:eastAsiaTheme="majorEastAsia" w:hAnsi="Times New Roman" w:cs="Times New Roman"/>
          <w:color w:val="000000"/>
        </w:rPr>
        <w:t>www.fund001.com</w:t>
      </w:r>
      <w:r>
        <w:rPr>
          <w:rFonts w:ascii="Times New Roman" w:eastAsiaTheme="majorEastAsia" w:hAnsi="Times New Roman" w:cs="Times New Roman"/>
          <w:color w:val="000000"/>
        </w:rPr>
        <w:t>）或拨打本基金管理人的客户服务电话</w:t>
      </w:r>
      <w:r>
        <w:rPr>
          <w:rFonts w:ascii="Times New Roman" w:eastAsiaTheme="majorEastAsia" w:hAnsi="Times New Roman" w:cs="Times New Roman"/>
          <w:color w:val="000000"/>
        </w:rPr>
        <w:t>400-700-5000</w:t>
      </w:r>
      <w:r>
        <w:rPr>
          <w:rFonts w:ascii="Times New Roman" w:eastAsiaTheme="majorEastAsia" w:hAnsi="Times New Roman" w:cs="Times New Roman"/>
          <w:color w:val="000000"/>
        </w:rPr>
        <w:t>（免长途话费），（</w:t>
      </w:r>
      <w:r>
        <w:rPr>
          <w:rFonts w:ascii="Times New Roman" w:eastAsiaTheme="majorEastAsia" w:hAnsi="Times New Roman" w:cs="Times New Roman"/>
          <w:color w:val="000000"/>
        </w:rPr>
        <w:t>021</w:t>
      </w:r>
      <w:r>
        <w:rPr>
          <w:rFonts w:ascii="Times New Roman" w:eastAsiaTheme="majorEastAsia" w:hAnsi="Times New Roman" w:cs="Times New Roman"/>
          <w:color w:val="000000"/>
        </w:rPr>
        <w:t>）</w:t>
      </w:r>
      <w:r>
        <w:rPr>
          <w:rFonts w:ascii="Times New Roman" w:eastAsiaTheme="majorEastAsia" w:hAnsi="Times New Roman" w:cs="Times New Roman"/>
          <w:color w:val="000000"/>
        </w:rPr>
        <w:t>61055000</w:t>
      </w:r>
      <w:r>
        <w:rPr>
          <w:rFonts w:ascii="Times New Roman" w:eastAsiaTheme="majorEastAsia" w:hAnsi="Times New Roman" w:cs="Times New Roman"/>
          <w:color w:val="000000"/>
        </w:rPr>
        <w:t>进行咨询、查询。</w:t>
      </w:r>
    </w:p>
    <w:p w14:paraId="0EBDEF48" w14:textId="77777777" w:rsidR="009A63B5" w:rsidRDefault="007E2DE2">
      <w:pPr>
        <w:pStyle w:val="ad"/>
        <w:spacing w:line="360" w:lineRule="auto"/>
        <w:ind w:firstLineChars="200" w:firstLine="480"/>
        <w:rPr>
          <w:rFonts w:ascii="Times New Roman" w:eastAsiaTheme="majorEastAsia" w:hAnsi="Times New Roman" w:cs="Times New Roman"/>
          <w:color w:val="000000"/>
        </w:rPr>
      </w:pPr>
      <w:r>
        <w:rPr>
          <w:rFonts w:ascii="Times New Roman" w:eastAsiaTheme="majorEastAsia" w:hAnsi="Times New Roman" w:cs="Times New Roman"/>
          <w:color w:val="000000"/>
        </w:rPr>
        <w:lastRenderedPageBreak/>
        <w:t>风险提示：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14:paraId="2791435F" w14:textId="77777777" w:rsidR="009A63B5" w:rsidRDefault="007E2DE2">
      <w:pPr>
        <w:pStyle w:val="ad"/>
        <w:spacing w:before="0" w:beforeAutospacing="0" w:after="0" w:afterAutospacing="0" w:line="360" w:lineRule="auto"/>
        <w:ind w:firstLineChars="200" w:firstLine="480"/>
        <w:rPr>
          <w:rFonts w:ascii="Times New Roman" w:eastAsiaTheme="majorEastAsia" w:hAnsi="Times New Roman" w:cs="Times New Roman"/>
          <w:color w:val="000000"/>
        </w:rPr>
      </w:pPr>
      <w:r>
        <w:rPr>
          <w:rFonts w:ascii="Times New Roman" w:eastAsiaTheme="majorEastAsia" w:hAnsi="Times New Roman" w:cs="Times New Roman"/>
          <w:color w:val="000000"/>
        </w:rPr>
        <w:t>特此公告。</w:t>
      </w:r>
    </w:p>
    <w:p w14:paraId="0AD25F6B" w14:textId="77777777" w:rsidR="009A63B5" w:rsidRDefault="007E2DE2">
      <w:pPr>
        <w:pStyle w:val="ad"/>
        <w:spacing w:line="360" w:lineRule="auto"/>
        <w:jc w:val="right"/>
        <w:rPr>
          <w:rFonts w:ascii="Times New Roman" w:eastAsiaTheme="majorEastAsia" w:hAnsi="Times New Roman" w:cs="Times New Roman"/>
          <w:color w:val="000000"/>
        </w:rPr>
      </w:pPr>
      <w:r>
        <w:rPr>
          <w:rFonts w:ascii="Times New Roman" w:eastAsiaTheme="majorEastAsia" w:hAnsi="Times New Roman" w:cs="Times New Roman"/>
          <w:color w:val="000000"/>
        </w:rPr>
        <w:t>交银施罗德基金管理有限公司</w:t>
      </w:r>
    </w:p>
    <w:p w14:paraId="43A33F6C" w14:textId="45545A68" w:rsidR="009A63B5" w:rsidRDefault="007E2DE2">
      <w:pPr>
        <w:pStyle w:val="ad"/>
        <w:spacing w:line="360" w:lineRule="auto"/>
        <w:jc w:val="right"/>
      </w:pPr>
      <w:r>
        <w:rPr>
          <w:rFonts w:ascii="Times New Roman" w:eastAsiaTheme="majorEastAsia" w:hAnsi="Times New Roman" w:cs="Times New Roman"/>
          <w:color w:val="000000"/>
        </w:rPr>
        <w:t>二〇二</w:t>
      </w:r>
      <w:r>
        <w:rPr>
          <w:rFonts w:ascii="Times New Roman" w:eastAsiaTheme="majorEastAsia" w:hAnsi="Times New Roman" w:cs="Times New Roman" w:hint="eastAsia"/>
          <w:color w:val="000000"/>
        </w:rPr>
        <w:t>五</w:t>
      </w:r>
      <w:r>
        <w:rPr>
          <w:rFonts w:ascii="Times New Roman" w:eastAsiaTheme="majorEastAsia" w:hAnsi="Times New Roman" w:cs="Times New Roman"/>
          <w:color w:val="000000"/>
        </w:rPr>
        <w:t>年</w:t>
      </w:r>
      <w:r>
        <w:rPr>
          <w:rFonts w:ascii="Times New Roman" w:eastAsiaTheme="majorEastAsia" w:hAnsi="Times New Roman" w:cs="Times New Roman" w:hint="eastAsia"/>
          <w:color w:val="000000"/>
        </w:rPr>
        <w:t>十二</w:t>
      </w:r>
      <w:r>
        <w:rPr>
          <w:rFonts w:ascii="Times New Roman" w:eastAsiaTheme="majorEastAsia" w:hAnsi="Times New Roman" w:cs="Times New Roman"/>
          <w:color w:val="000000"/>
        </w:rPr>
        <w:t>月</w:t>
      </w:r>
      <w:r>
        <w:rPr>
          <w:rFonts w:ascii="Times New Roman" w:eastAsiaTheme="majorEastAsia" w:hAnsi="Times New Roman" w:cs="Times New Roman" w:hint="eastAsia"/>
          <w:color w:val="000000"/>
        </w:rPr>
        <w:t>二十四</w:t>
      </w:r>
      <w:r>
        <w:rPr>
          <w:rFonts w:ascii="Times New Roman" w:eastAsiaTheme="majorEastAsia" w:hAnsi="Times New Roman" w:cs="Times New Roman"/>
          <w:color w:val="000000"/>
        </w:rPr>
        <w:t>日</w:t>
      </w:r>
    </w:p>
    <w:sectPr w:rsidR="009A63B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41D3F" w14:textId="77777777" w:rsidR="00814302" w:rsidRDefault="00814302">
      <w:r>
        <w:separator/>
      </w:r>
    </w:p>
  </w:endnote>
  <w:endnote w:type="continuationSeparator" w:id="0">
    <w:p w14:paraId="0581EF95" w14:textId="77777777" w:rsidR="00814302" w:rsidRDefault="0081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618663"/>
    </w:sdtPr>
    <w:sdtEndPr/>
    <w:sdtContent>
      <w:p w14:paraId="43D127B8" w14:textId="22084538" w:rsidR="009A63B5" w:rsidRDefault="007E2DE2">
        <w:pPr>
          <w:pStyle w:val="a9"/>
          <w:jc w:val="right"/>
        </w:pPr>
        <w:r>
          <w:fldChar w:fldCharType="begin"/>
        </w:r>
        <w:r>
          <w:instrText>PAGE   \* MERGEFORMAT</w:instrText>
        </w:r>
        <w:r>
          <w:fldChar w:fldCharType="separate"/>
        </w:r>
        <w:r w:rsidR="009C6621" w:rsidRPr="009C6621">
          <w:rPr>
            <w:noProof/>
            <w:lang w:val="zh-CN"/>
          </w:rPr>
          <w:t>2</w:t>
        </w:r>
        <w:r>
          <w:fldChar w:fldCharType="end"/>
        </w:r>
      </w:p>
    </w:sdtContent>
  </w:sdt>
  <w:p w14:paraId="49ED8BFE" w14:textId="77777777" w:rsidR="009A63B5" w:rsidRDefault="009A63B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655DF" w14:textId="77777777" w:rsidR="00814302" w:rsidRDefault="00814302">
      <w:r>
        <w:separator/>
      </w:r>
    </w:p>
  </w:footnote>
  <w:footnote w:type="continuationSeparator" w:id="0">
    <w:p w14:paraId="7D438C7F" w14:textId="77777777" w:rsidR="00814302" w:rsidRDefault="00814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46"/>
    <w:rsid w:val="000036BE"/>
    <w:rsid w:val="000068D4"/>
    <w:rsid w:val="000114C4"/>
    <w:rsid w:val="00012BFD"/>
    <w:rsid w:val="000251E6"/>
    <w:rsid w:val="000277DA"/>
    <w:rsid w:val="00031078"/>
    <w:rsid w:val="00034218"/>
    <w:rsid w:val="00037EE0"/>
    <w:rsid w:val="000458A4"/>
    <w:rsid w:val="00053286"/>
    <w:rsid w:val="00055F04"/>
    <w:rsid w:val="0005794E"/>
    <w:rsid w:val="0006140E"/>
    <w:rsid w:val="00061F8F"/>
    <w:rsid w:val="00063809"/>
    <w:rsid w:val="00063B70"/>
    <w:rsid w:val="00064928"/>
    <w:rsid w:val="00065F75"/>
    <w:rsid w:val="0006658F"/>
    <w:rsid w:val="0006726F"/>
    <w:rsid w:val="000708CC"/>
    <w:rsid w:val="00072602"/>
    <w:rsid w:val="0007340C"/>
    <w:rsid w:val="000748A9"/>
    <w:rsid w:val="0008648E"/>
    <w:rsid w:val="000873ED"/>
    <w:rsid w:val="000903A5"/>
    <w:rsid w:val="000910C2"/>
    <w:rsid w:val="00092EB2"/>
    <w:rsid w:val="00096DD2"/>
    <w:rsid w:val="00097096"/>
    <w:rsid w:val="00097346"/>
    <w:rsid w:val="00097C70"/>
    <w:rsid w:val="000A3905"/>
    <w:rsid w:val="000B1D05"/>
    <w:rsid w:val="000B30E8"/>
    <w:rsid w:val="000B4BB5"/>
    <w:rsid w:val="000C339F"/>
    <w:rsid w:val="000C453D"/>
    <w:rsid w:val="000D00C7"/>
    <w:rsid w:val="000D0917"/>
    <w:rsid w:val="000D284F"/>
    <w:rsid w:val="000D4906"/>
    <w:rsid w:val="000D77E7"/>
    <w:rsid w:val="000D7BDD"/>
    <w:rsid w:val="000E0655"/>
    <w:rsid w:val="000E7512"/>
    <w:rsid w:val="000E77C6"/>
    <w:rsid w:val="000F5D4F"/>
    <w:rsid w:val="000F7AFD"/>
    <w:rsid w:val="0010360B"/>
    <w:rsid w:val="00105F43"/>
    <w:rsid w:val="00106181"/>
    <w:rsid w:val="001126EF"/>
    <w:rsid w:val="00116A95"/>
    <w:rsid w:val="00123111"/>
    <w:rsid w:val="00124702"/>
    <w:rsid w:val="00124E75"/>
    <w:rsid w:val="001278EA"/>
    <w:rsid w:val="0013040F"/>
    <w:rsid w:val="00134359"/>
    <w:rsid w:val="001346B4"/>
    <w:rsid w:val="00134CC8"/>
    <w:rsid w:val="0013704C"/>
    <w:rsid w:val="00154213"/>
    <w:rsid w:val="00155E75"/>
    <w:rsid w:val="001618F5"/>
    <w:rsid w:val="00165C80"/>
    <w:rsid w:val="00170AB4"/>
    <w:rsid w:val="00171CB5"/>
    <w:rsid w:val="00180E03"/>
    <w:rsid w:val="001823AE"/>
    <w:rsid w:val="00184885"/>
    <w:rsid w:val="0018656D"/>
    <w:rsid w:val="00191075"/>
    <w:rsid w:val="00194AF7"/>
    <w:rsid w:val="001A017E"/>
    <w:rsid w:val="001A1AD5"/>
    <w:rsid w:val="001A46D6"/>
    <w:rsid w:val="001A4E85"/>
    <w:rsid w:val="001A7621"/>
    <w:rsid w:val="001B3BB5"/>
    <w:rsid w:val="001B40BA"/>
    <w:rsid w:val="001B4ADB"/>
    <w:rsid w:val="001B52BD"/>
    <w:rsid w:val="001B54B6"/>
    <w:rsid w:val="001C2429"/>
    <w:rsid w:val="001C5444"/>
    <w:rsid w:val="001D5BEF"/>
    <w:rsid w:val="001D68B5"/>
    <w:rsid w:val="001D6BA1"/>
    <w:rsid w:val="001E0DBC"/>
    <w:rsid w:val="001E0E23"/>
    <w:rsid w:val="001E1FE3"/>
    <w:rsid w:val="001E4229"/>
    <w:rsid w:val="001E735D"/>
    <w:rsid w:val="001F2D88"/>
    <w:rsid w:val="001F78B4"/>
    <w:rsid w:val="00202E04"/>
    <w:rsid w:val="00204FCE"/>
    <w:rsid w:val="00210F89"/>
    <w:rsid w:val="00215388"/>
    <w:rsid w:val="002226B9"/>
    <w:rsid w:val="0022672C"/>
    <w:rsid w:val="00227080"/>
    <w:rsid w:val="00230266"/>
    <w:rsid w:val="002308FC"/>
    <w:rsid w:val="00236CAB"/>
    <w:rsid w:val="002375A7"/>
    <w:rsid w:val="00245008"/>
    <w:rsid w:val="00246885"/>
    <w:rsid w:val="00255441"/>
    <w:rsid w:val="0025749D"/>
    <w:rsid w:val="00261460"/>
    <w:rsid w:val="00267310"/>
    <w:rsid w:val="002708EF"/>
    <w:rsid w:val="00280ECD"/>
    <w:rsid w:val="00290567"/>
    <w:rsid w:val="00292E7A"/>
    <w:rsid w:val="00297699"/>
    <w:rsid w:val="002A0074"/>
    <w:rsid w:val="002A1523"/>
    <w:rsid w:val="002A5FB0"/>
    <w:rsid w:val="002A6BF9"/>
    <w:rsid w:val="002A6F38"/>
    <w:rsid w:val="002A7767"/>
    <w:rsid w:val="002B0FEC"/>
    <w:rsid w:val="002B7C2A"/>
    <w:rsid w:val="002C1BA7"/>
    <w:rsid w:val="002C2715"/>
    <w:rsid w:val="002C29FF"/>
    <w:rsid w:val="002D289C"/>
    <w:rsid w:val="002D35CA"/>
    <w:rsid w:val="002D37B4"/>
    <w:rsid w:val="002E2BEE"/>
    <w:rsid w:val="002F09AC"/>
    <w:rsid w:val="002F0CD4"/>
    <w:rsid w:val="002F1720"/>
    <w:rsid w:val="003068EE"/>
    <w:rsid w:val="00307F1A"/>
    <w:rsid w:val="00310B84"/>
    <w:rsid w:val="00310F53"/>
    <w:rsid w:val="00314043"/>
    <w:rsid w:val="003179B9"/>
    <w:rsid w:val="00320090"/>
    <w:rsid w:val="00320607"/>
    <w:rsid w:val="0032403D"/>
    <w:rsid w:val="0032437C"/>
    <w:rsid w:val="0032585B"/>
    <w:rsid w:val="00326D55"/>
    <w:rsid w:val="00333C76"/>
    <w:rsid w:val="00333ECD"/>
    <w:rsid w:val="00335252"/>
    <w:rsid w:val="00335482"/>
    <w:rsid w:val="00335E45"/>
    <w:rsid w:val="003415CF"/>
    <w:rsid w:val="003429D2"/>
    <w:rsid w:val="00343BB6"/>
    <w:rsid w:val="0034401E"/>
    <w:rsid w:val="0035120B"/>
    <w:rsid w:val="00352F5F"/>
    <w:rsid w:val="00354347"/>
    <w:rsid w:val="0035725F"/>
    <w:rsid w:val="00357B02"/>
    <w:rsid w:val="00360587"/>
    <w:rsid w:val="00370D0A"/>
    <w:rsid w:val="0037379B"/>
    <w:rsid w:val="00374829"/>
    <w:rsid w:val="00377E18"/>
    <w:rsid w:val="00380DDF"/>
    <w:rsid w:val="0038243B"/>
    <w:rsid w:val="00383CAA"/>
    <w:rsid w:val="00387972"/>
    <w:rsid w:val="0039059A"/>
    <w:rsid w:val="003919E2"/>
    <w:rsid w:val="0039571A"/>
    <w:rsid w:val="00396AE9"/>
    <w:rsid w:val="003A3CAD"/>
    <w:rsid w:val="003A5A67"/>
    <w:rsid w:val="003B19AF"/>
    <w:rsid w:val="003B4E5B"/>
    <w:rsid w:val="003D0ABE"/>
    <w:rsid w:val="003E08D2"/>
    <w:rsid w:val="003F4739"/>
    <w:rsid w:val="004000FD"/>
    <w:rsid w:val="00405955"/>
    <w:rsid w:val="00416BF0"/>
    <w:rsid w:val="0043285A"/>
    <w:rsid w:val="0043744B"/>
    <w:rsid w:val="00441ADF"/>
    <w:rsid w:val="0044463C"/>
    <w:rsid w:val="00451B45"/>
    <w:rsid w:val="00457ADE"/>
    <w:rsid w:val="00461D30"/>
    <w:rsid w:val="004621C1"/>
    <w:rsid w:val="0047240A"/>
    <w:rsid w:val="0047420B"/>
    <w:rsid w:val="0047470B"/>
    <w:rsid w:val="00480A4D"/>
    <w:rsid w:val="00480D08"/>
    <w:rsid w:val="00484F9E"/>
    <w:rsid w:val="00490C06"/>
    <w:rsid w:val="004920EA"/>
    <w:rsid w:val="00495473"/>
    <w:rsid w:val="00496E28"/>
    <w:rsid w:val="00497534"/>
    <w:rsid w:val="004A3EB7"/>
    <w:rsid w:val="004A7543"/>
    <w:rsid w:val="004B134F"/>
    <w:rsid w:val="004B1FED"/>
    <w:rsid w:val="004B6E26"/>
    <w:rsid w:val="004D05DD"/>
    <w:rsid w:val="004D11AD"/>
    <w:rsid w:val="004D4E4E"/>
    <w:rsid w:val="004D756A"/>
    <w:rsid w:val="004E2AF7"/>
    <w:rsid w:val="004E4869"/>
    <w:rsid w:val="004E6EC2"/>
    <w:rsid w:val="004F2B6D"/>
    <w:rsid w:val="004F4396"/>
    <w:rsid w:val="004F6469"/>
    <w:rsid w:val="00500DB4"/>
    <w:rsid w:val="00504950"/>
    <w:rsid w:val="00506E2C"/>
    <w:rsid w:val="0051110A"/>
    <w:rsid w:val="00511B61"/>
    <w:rsid w:val="00512939"/>
    <w:rsid w:val="00512D08"/>
    <w:rsid w:val="005139AA"/>
    <w:rsid w:val="00514806"/>
    <w:rsid w:val="00515BD9"/>
    <w:rsid w:val="0051696F"/>
    <w:rsid w:val="00517A9E"/>
    <w:rsid w:val="0052141E"/>
    <w:rsid w:val="00521D1E"/>
    <w:rsid w:val="005234EC"/>
    <w:rsid w:val="00523E72"/>
    <w:rsid w:val="00526BD0"/>
    <w:rsid w:val="00527244"/>
    <w:rsid w:val="00532774"/>
    <w:rsid w:val="00534D44"/>
    <w:rsid w:val="00551CE4"/>
    <w:rsid w:val="00552487"/>
    <w:rsid w:val="0055311F"/>
    <w:rsid w:val="00553833"/>
    <w:rsid w:val="00561449"/>
    <w:rsid w:val="0056521B"/>
    <w:rsid w:val="00565CEB"/>
    <w:rsid w:val="00566B1C"/>
    <w:rsid w:val="0057774E"/>
    <w:rsid w:val="005828E6"/>
    <w:rsid w:val="00583B5E"/>
    <w:rsid w:val="0058534C"/>
    <w:rsid w:val="00587071"/>
    <w:rsid w:val="005876E1"/>
    <w:rsid w:val="00590980"/>
    <w:rsid w:val="005926A3"/>
    <w:rsid w:val="00592E50"/>
    <w:rsid w:val="005A0ABC"/>
    <w:rsid w:val="005A1702"/>
    <w:rsid w:val="005A1D7A"/>
    <w:rsid w:val="005A4570"/>
    <w:rsid w:val="005A7965"/>
    <w:rsid w:val="005B0E95"/>
    <w:rsid w:val="005B5654"/>
    <w:rsid w:val="005B7DD4"/>
    <w:rsid w:val="005C295F"/>
    <w:rsid w:val="005C34D0"/>
    <w:rsid w:val="005C4CDB"/>
    <w:rsid w:val="005D1CBA"/>
    <w:rsid w:val="005D2876"/>
    <w:rsid w:val="005D38A3"/>
    <w:rsid w:val="005F13D6"/>
    <w:rsid w:val="005F23EF"/>
    <w:rsid w:val="005F2AF7"/>
    <w:rsid w:val="0060060C"/>
    <w:rsid w:val="00613958"/>
    <w:rsid w:val="006150A5"/>
    <w:rsid w:val="0062023F"/>
    <w:rsid w:val="00622E1C"/>
    <w:rsid w:val="006272DF"/>
    <w:rsid w:val="00630CF3"/>
    <w:rsid w:val="00631FC4"/>
    <w:rsid w:val="00635225"/>
    <w:rsid w:val="00636865"/>
    <w:rsid w:val="0063794A"/>
    <w:rsid w:val="006413CB"/>
    <w:rsid w:val="00643583"/>
    <w:rsid w:val="00653789"/>
    <w:rsid w:val="00653AA5"/>
    <w:rsid w:val="00653AEE"/>
    <w:rsid w:val="00653BDA"/>
    <w:rsid w:val="00655B8A"/>
    <w:rsid w:val="00660E52"/>
    <w:rsid w:val="006627D1"/>
    <w:rsid w:val="00662937"/>
    <w:rsid w:val="00667925"/>
    <w:rsid w:val="00667F9F"/>
    <w:rsid w:val="00671D42"/>
    <w:rsid w:val="00672CA5"/>
    <w:rsid w:val="00674E74"/>
    <w:rsid w:val="00681121"/>
    <w:rsid w:val="0068381E"/>
    <w:rsid w:val="00684620"/>
    <w:rsid w:val="006878E4"/>
    <w:rsid w:val="00692065"/>
    <w:rsid w:val="00692C89"/>
    <w:rsid w:val="0069418A"/>
    <w:rsid w:val="00695C4E"/>
    <w:rsid w:val="00696384"/>
    <w:rsid w:val="00696762"/>
    <w:rsid w:val="00696AC2"/>
    <w:rsid w:val="006A012B"/>
    <w:rsid w:val="006A1BCB"/>
    <w:rsid w:val="006A32F4"/>
    <w:rsid w:val="006A3C1D"/>
    <w:rsid w:val="006A5DB7"/>
    <w:rsid w:val="006A7BC8"/>
    <w:rsid w:val="006B429D"/>
    <w:rsid w:val="006B62F0"/>
    <w:rsid w:val="006C2149"/>
    <w:rsid w:val="006C64C9"/>
    <w:rsid w:val="006D22B3"/>
    <w:rsid w:val="006D5D9E"/>
    <w:rsid w:val="006E1FF9"/>
    <w:rsid w:val="00701CBF"/>
    <w:rsid w:val="00703B67"/>
    <w:rsid w:val="007047A3"/>
    <w:rsid w:val="007059E8"/>
    <w:rsid w:val="00712AD4"/>
    <w:rsid w:val="00712D98"/>
    <w:rsid w:val="00713CC8"/>
    <w:rsid w:val="00720573"/>
    <w:rsid w:val="00722154"/>
    <w:rsid w:val="00723FA5"/>
    <w:rsid w:val="007248C7"/>
    <w:rsid w:val="00724B97"/>
    <w:rsid w:val="007339C7"/>
    <w:rsid w:val="00734561"/>
    <w:rsid w:val="0073563B"/>
    <w:rsid w:val="00735789"/>
    <w:rsid w:val="00737256"/>
    <w:rsid w:val="00737CA6"/>
    <w:rsid w:val="00741E64"/>
    <w:rsid w:val="007426CB"/>
    <w:rsid w:val="00747FA2"/>
    <w:rsid w:val="007519DB"/>
    <w:rsid w:val="00751DEC"/>
    <w:rsid w:val="00751E2D"/>
    <w:rsid w:val="00751F60"/>
    <w:rsid w:val="00753FDD"/>
    <w:rsid w:val="0076454E"/>
    <w:rsid w:val="00765E78"/>
    <w:rsid w:val="0076603A"/>
    <w:rsid w:val="00770880"/>
    <w:rsid w:val="00771C26"/>
    <w:rsid w:val="00772AEA"/>
    <w:rsid w:val="007767F0"/>
    <w:rsid w:val="00781F26"/>
    <w:rsid w:val="00783A06"/>
    <w:rsid w:val="00793B59"/>
    <w:rsid w:val="007A340D"/>
    <w:rsid w:val="007A54C0"/>
    <w:rsid w:val="007A57D1"/>
    <w:rsid w:val="007B138F"/>
    <w:rsid w:val="007B4740"/>
    <w:rsid w:val="007C0CC2"/>
    <w:rsid w:val="007C234F"/>
    <w:rsid w:val="007C5168"/>
    <w:rsid w:val="007D613B"/>
    <w:rsid w:val="007E0BE6"/>
    <w:rsid w:val="007E2DE2"/>
    <w:rsid w:val="007E3956"/>
    <w:rsid w:val="007E5DAC"/>
    <w:rsid w:val="007F2052"/>
    <w:rsid w:val="007F32D7"/>
    <w:rsid w:val="007F4A23"/>
    <w:rsid w:val="007F65E3"/>
    <w:rsid w:val="00801768"/>
    <w:rsid w:val="00814302"/>
    <w:rsid w:val="00825504"/>
    <w:rsid w:val="0083006A"/>
    <w:rsid w:val="0083208A"/>
    <w:rsid w:val="008345DC"/>
    <w:rsid w:val="00835252"/>
    <w:rsid w:val="00843C9D"/>
    <w:rsid w:val="00853791"/>
    <w:rsid w:val="008539B9"/>
    <w:rsid w:val="00856C32"/>
    <w:rsid w:val="0086018E"/>
    <w:rsid w:val="0086045F"/>
    <w:rsid w:val="0086049D"/>
    <w:rsid w:val="0087001C"/>
    <w:rsid w:val="008720B5"/>
    <w:rsid w:val="008756B2"/>
    <w:rsid w:val="008777F8"/>
    <w:rsid w:val="00880756"/>
    <w:rsid w:val="0088314E"/>
    <w:rsid w:val="008867E3"/>
    <w:rsid w:val="00890B82"/>
    <w:rsid w:val="00893F10"/>
    <w:rsid w:val="0089532B"/>
    <w:rsid w:val="008A197A"/>
    <w:rsid w:val="008A3596"/>
    <w:rsid w:val="008B09A3"/>
    <w:rsid w:val="008B1C74"/>
    <w:rsid w:val="008B52E0"/>
    <w:rsid w:val="008C1BA3"/>
    <w:rsid w:val="008C3678"/>
    <w:rsid w:val="008D08F5"/>
    <w:rsid w:val="008D3272"/>
    <w:rsid w:val="008D33B8"/>
    <w:rsid w:val="008E3B48"/>
    <w:rsid w:val="008E4757"/>
    <w:rsid w:val="008E510E"/>
    <w:rsid w:val="008E55B0"/>
    <w:rsid w:val="008E798C"/>
    <w:rsid w:val="008F71CF"/>
    <w:rsid w:val="00902C56"/>
    <w:rsid w:val="0090374E"/>
    <w:rsid w:val="00911785"/>
    <w:rsid w:val="0091518A"/>
    <w:rsid w:val="009153F6"/>
    <w:rsid w:val="00921EC5"/>
    <w:rsid w:val="00924724"/>
    <w:rsid w:val="009260BE"/>
    <w:rsid w:val="009269AF"/>
    <w:rsid w:val="009370FD"/>
    <w:rsid w:val="00943E7A"/>
    <w:rsid w:val="009518D0"/>
    <w:rsid w:val="00952868"/>
    <w:rsid w:val="00961CFD"/>
    <w:rsid w:val="00965419"/>
    <w:rsid w:val="00966E68"/>
    <w:rsid w:val="00970432"/>
    <w:rsid w:val="00970875"/>
    <w:rsid w:val="00970BC0"/>
    <w:rsid w:val="0097341C"/>
    <w:rsid w:val="009762B9"/>
    <w:rsid w:val="009854E1"/>
    <w:rsid w:val="00986C22"/>
    <w:rsid w:val="0098777C"/>
    <w:rsid w:val="00990EEA"/>
    <w:rsid w:val="009A63B5"/>
    <w:rsid w:val="009A7AEE"/>
    <w:rsid w:val="009B0DC3"/>
    <w:rsid w:val="009C0D71"/>
    <w:rsid w:val="009C18D0"/>
    <w:rsid w:val="009C4B46"/>
    <w:rsid w:val="009C6621"/>
    <w:rsid w:val="009D07E4"/>
    <w:rsid w:val="009D7805"/>
    <w:rsid w:val="009E23F5"/>
    <w:rsid w:val="009E3192"/>
    <w:rsid w:val="009E6919"/>
    <w:rsid w:val="009E7DA1"/>
    <w:rsid w:val="00A03552"/>
    <w:rsid w:val="00A07DA5"/>
    <w:rsid w:val="00A127CC"/>
    <w:rsid w:val="00A20007"/>
    <w:rsid w:val="00A207AF"/>
    <w:rsid w:val="00A21B18"/>
    <w:rsid w:val="00A247EA"/>
    <w:rsid w:val="00A24E8D"/>
    <w:rsid w:val="00A27A85"/>
    <w:rsid w:val="00A27BCC"/>
    <w:rsid w:val="00A311A5"/>
    <w:rsid w:val="00A31F62"/>
    <w:rsid w:val="00A338E7"/>
    <w:rsid w:val="00A340A3"/>
    <w:rsid w:val="00A40AA4"/>
    <w:rsid w:val="00A40C80"/>
    <w:rsid w:val="00A4149A"/>
    <w:rsid w:val="00A42A8E"/>
    <w:rsid w:val="00A43C8D"/>
    <w:rsid w:val="00A477F0"/>
    <w:rsid w:val="00A50C6D"/>
    <w:rsid w:val="00A548DA"/>
    <w:rsid w:val="00A55FAE"/>
    <w:rsid w:val="00A560F2"/>
    <w:rsid w:val="00A57543"/>
    <w:rsid w:val="00A605B1"/>
    <w:rsid w:val="00A61226"/>
    <w:rsid w:val="00A65DE7"/>
    <w:rsid w:val="00A6602A"/>
    <w:rsid w:val="00A76382"/>
    <w:rsid w:val="00A7643A"/>
    <w:rsid w:val="00A76E72"/>
    <w:rsid w:val="00A82924"/>
    <w:rsid w:val="00A92158"/>
    <w:rsid w:val="00A93305"/>
    <w:rsid w:val="00A95A4B"/>
    <w:rsid w:val="00AA55D1"/>
    <w:rsid w:val="00AA77F8"/>
    <w:rsid w:val="00AB2F05"/>
    <w:rsid w:val="00AB3E9A"/>
    <w:rsid w:val="00AB713A"/>
    <w:rsid w:val="00AC4346"/>
    <w:rsid w:val="00AD1195"/>
    <w:rsid w:val="00AD2A83"/>
    <w:rsid w:val="00AF0C1B"/>
    <w:rsid w:val="00B00B8E"/>
    <w:rsid w:val="00B04921"/>
    <w:rsid w:val="00B063E7"/>
    <w:rsid w:val="00B11669"/>
    <w:rsid w:val="00B128C1"/>
    <w:rsid w:val="00B20613"/>
    <w:rsid w:val="00B221C5"/>
    <w:rsid w:val="00B2556D"/>
    <w:rsid w:val="00B3747E"/>
    <w:rsid w:val="00B40DDD"/>
    <w:rsid w:val="00B41DA1"/>
    <w:rsid w:val="00B44167"/>
    <w:rsid w:val="00B45D5F"/>
    <w:rsid w:val="00B54B6A"/>
    <w:rsid w:val="00B5546A"/>
    <w:rsid w:val="00B55A93"/>
    <w:rsid w:val="00B5637A"/>
    <w:rsid w:val="00B574D0"/>
    <w:rsid w:val="00B65A95"/>
    <w:rsid w:val="00B7286B"/>
    <w:rsid w:val="00B73E48"/>
    <w:rsid w:val="00B8047E"/>
    <w:rsid w:val="00B81AFA"/>
    <w:rsid w:val="00B84BC8"/>
    <w:rsid w:val="00B859E2"/>
    <w:rsid w:val="00B90092"/>
    <w:rsid w:val="00B97E46"/>
    <w:rsid w:val="00BB1BA5"/>
    <w:rsid w:val="00BB2067"/>
    <w:rsid w:val="00BB4E10"/>
    <w:rsid w:val="00BB7B86"/>
    <w:rsid w:val="00BC22E2"/>
    <w:rsid w:val="00BC535A"/>
    <w:rsid w:val="00BD208B"/>
    <w:rsid w:val="00BD63CF"/>
    <w:rsid w:val="00BE0837"/>
    <w:rsid w:val="00BE1BED"/>
    <w:rsid w:val="00BE67A5"/>
    <w:rsid w:val="00BF1D0F"/>
    <w:rsid w:val="00BF35FB"/>
    <w:rsid w:val="00BF5895"/>
    <w:rsid w:val="00BF6E02"/>
    <w:rsid w:val="00BF70F1"/>
    <w:rsid w:val="00C02027"/>
    <w:rsid w:val="00C021CA"/>
    <w:rsid w:val="00C03283"/>
    <w:rsid w:val="00C034CB"/>
    <w:rsid w:val="00C05537"/>
    <w:rsid w:val="00C101B0"/>
    <w:rsid w:val="00C116C3"/>
    <w:rsid w:val="00C12E52"/>
    <w:rsid w:val="00C146A1"/>
    <w:rsid w:val="00C1585B"/>
    <w:rsid w:val="00C23710"/>
    <w:rsid w:val="00C24746"/>
    <w:rsid w:val="00C3640C"/>
    <w:rsid w:val="00C479F6"/>
    <w:rsid w:val="00C47CE1"/>
    <w:rsid w:val="00C52778"/>
    <w:rsid w:val="00C643C3"/>
    <w:rsid w:val="00C8308E"/>
    <w:rsid w:val="00C83D95"/>
    <w:rsid w:val="00C8693F"/>
    <w:rsid w:val="00C937B9"/>
    <w:rsid w:val="00C93813"/>
    <w:rsid w:val="00C93C94"/>
    <w:rsid w:val="00CA01C6"/>
    <w:rsid w:val="00CA1758"/>
    <w:rsid w:val="00CA211E"/>
    <w:rsid w:val="00CA2797"/>
    <w:rsid w:val="00CA459E"/>
    <w:rsid w:val="00CA5ABD"/>
    <w:rsid w:val="00CB0D8B"/>
    <w:rsid w:val="00CC0FF4"/>
    <w:rsid w:val="00CC103C"/>
    <w:rsid w:val="00CC5DE7"/>
    <w:rsid w:val="00CC77B2"/>
    <w:rsid w:val="00CD7D2A"/>
    <w:rsid w:val="00CE246E"/>
    <w:rsid w:val="00CE2C69"/>
    <w:rsid w:val="00CE3AB5"/>
    <w:rsid w:val="00CE3B06"/>
    <w:rsid w:val="00D0065F"/>
    <w:rsid w:val="00D017A6"/>
    <w:rsid w:val="00D05701"/>
    <w:rsid w:val="00D10417"/>
    <w:rsid w:val="00D12A9B"/>
    <w:rsid w:val="00D17B52"/>
    <w:rsid w:val="00D31F04"/>
    <w:rsid w:val="00D32F58"/>
    <w:rsid w:val="00D333B3"/>
    <w:rsid w:val="00D33C0B"/>
    <w:rsid w:val="00D340B4"/>
    <w:rsid w:val="00D361CE"/>
    <w:rsid w:val="00D430C1"/>
    <w:rsid w:val="00D433F5"/>
    <w:rsid w:val="00D4370C"/>
    <w:rsid w:val="00D60140"/>
    <w:rsid w:val="00D60C56"/>
    <w:rsid w:val="00D63AAE"/>
    <w:rsid w:val="00D651D5"/>
    <w:rsid w:val="00D65F04"/>
    <w:rsid w:val="00D6675A"/>
    <w:rsid w:val="00D66E36"/>
    <w:rsid w:val="00D73B93"/>
    <w:rsid w:val="00D74AFB"/>
    <w:rsid w:val="00D75630"/>
    <w:rsid w:val="00D8101D"/>
    <w:rsid w:val="00D82225"/>
    <w:rsid w:val="00D839D4"/>
    <w:rsid w:val="00D859A0"/>
    <w:rsid w:val="00D85A41"/>
    <w:rsid w:val="00D85E06"/>
    <w:rsid w:val="00D90AED"/>
    <w:rsid w:val="00D90F47"/>
    <w:rsid w:val="00D93410"/>
    <w:rsid w:val="00DA1170"/>
    <w:rsid w:val="00DA163D"/>
    <w:rsid w:val="00DB077C"/>
    <w:rsid w:val="00DB4AE0"/>
    <w:rsid w:val="00DB4C93"/>
    <w:rsid w:val="00DB5DCB"/>
    <w:rsid w:val="00DC058F"/>
    <w:rsid w:val="00DC1290"/>
    <w:rsid w:val="00DC314F"/>
    <w:rsid w:val="00DC6C35"/>
    <w:rsid w:val="00DD104D"/>
    <w:rsid w:val="00DD5A3F"/>
    <w:rsid w:val="00DE159B"/>
    <w:rsid w:val="00DE3CC6"/>
    <w:rsid w:val="00DF0AC7"/>
    <w:rsid w:val="00E0547E"/>
    <w:rsid w:val="00E06E33"/>
    <w:rsid w:val="00E07E77"/>
    <w:rsid w:val="00E14AAF"/>
    <w:rsid w:val="00E16769"/>
    <w:rsid w:val="00E172ED"/>
    <w:rsid w:val="00E21C02"/>
    <w:rsid w:val="00E26983"/>
    <w:rsid w:val="00E26CCF"/>
    <w:rsid w:val="00E307C8"/>
    <w:rsid w:val="00E33314"/>
    <w:rsid w:val="00E359EA"/>
    <w:rsid w:val="00E407E4"/>
    <w:rsid w:val="00E423DA"/>
    <w:rsid w:val="00E432C9"/>
    <w:rsid w:val="00E43B75"/>
    <w:rsid w:val="00E44E54"/>
    <w:rsid w:val="00E506A2"/>
    <w:rsid w:val="00E519BA"/>
    <w:rsid w:val="00E52950"/>
    <w:rsid w:val="00E52F6E"/>
    <w:rsid w:val="00E5377B"/>
    <w:rsid w:val="00E6079F"/>
    <w:rsid w:val="00E620A7"/>
    <w:rsid w:val="00E7211D"/>
    <w:rsid w:val="00E73EE8"/>
    <w:rsid w:val="00E746EF"/>
    <w:rsid w:val="00E77765"/>
    <w:rsid w:val="00E802D0"/>
    <w:rsid w:val="00E81ADC"/>
    <w:rsid w:val="00E84C46"/>
    <w:rsid w:val="00E92A3C"/>
    <w:rsid w:val="00E94785"/>
    <w:rsid w:val="00EA5D98"/>
    <w:rsid w:val="00EB1182"/>
    <w:rsid w:val="00EB4284"/>
    <w:rsid w:val="00EB4847"/>
    <w:rsid w:val="00EB5DEA"/>
    <w:rsid w:val="00EB7781"/>
    <w:rsid w:val="00EC159D"/>
    <w:rsid w:val="00EC294E"/>
    <w:rsid w:val="00EC2D7F"/>
    <w:rsid w:val="00EC2DB7"/>
    <w:rsid w:val="00ED04DA"/>
    <w:rsid w:val="00ED1C9B"/>
    <w:rsid w:val="00ED2D75"/>
    <w:rsid w:val="00ED4436"/>
    <w:rsid w:val="00EE049E"/>
    <w:rsid w:val="00EE2F36"/>
    <w:rsid w:val="00EE6F50"/>
    <w:rsid w:val="00EF3403"/>
    <w:rsid w:val="00EF4017"/>
    <w:rsid w:val="00F0065B"/>
    <w:rsid w:val="00F02245"/>
    <w:rsid w:val="00F03DEE"/>
    <w:rsid w:val="00F04E04"/>
    <w:rsid w:val="00F05BEB"/>
    <w:rsid w:val="00F05F3B"/>
    <w:rsid w:val="00F07383"/>
    <w:rsid w:val="00F07E60"/>
    <w:rsid w:val="00F10752"/>
    <w:rsid w:val="00F20ACF"/>
    <w:rsid w:val="00F2465A"/>
    <w:rsid w:val="00F26475"/>
    <w:rsid w:val="00F2776B"/>
    <w:rsid w:val="00F2798C"/>
    <w:rsid w:val="00F332E6"/>
    <w:rsid w:val="00F3584E"/>
    <w:rsid w:val="00F4620B"/>
    <w:rsid w:val="00F51998"/>
    <w:rsid w:val="00F52AE7"/>
    <w:rsid w:val="00F55003"/>
    <w:rsid w:val="00F57D67"/>
    <w:rsid w:val="00F60088"/>
    <w:rsid w:val="00F65073"/>
    <w:rsid w:val="00F700A7"/>
    <w:rsid w:val="00F72B4C"/>
    <w:rsid w:val="00F742BD"/>
    <w:rsid w:val="00F74533"/>
    <w:rsid w:val="00F74C8E"/>
    <w:rsid w:val="00F7540C"/>
    <w:rsid w:val="00F7740E"/>
    <w:rsid w:val="00F77714"/>
    <w:rsid w:val="00F81507"/>
    <w:rsid w:val="00F85C7B"/>
    <w:rsid w:val="00F9545D"/>
    <w:rsid w:val="00FA1839"/>
    <w:rsid w:val="00FA7BCE"/>
    <w:rsid w:val="00FB280B"/>
    <w:rsid w:val="00FB2C63"/>
    <w:rsid w:val="00FB3110"/>
    <w:rsid w:val="00FB4613"/>
    <w:rsid w:val="00FB6F55"/>
    <w:rsid w:val="00FC3291"/>
    <w:rsid w:val="00FC3A51"/>
    <w:rsid w:val="00FC5277"/>
    <w:rsid w:val="00FF21E0"/>
    <w:rsid w:val="00FF3376"/>
    <w:rsid w:val="00FF61DF"/>
    <w:rsid w:val="00FF701D"/>
    <w:rsid w:val="00FF7F32"/>
    <w:rsid w:val="09554EAD"/>
    <w:rsid w:val="1A5B5D58"/>
    <w:rsid w:val="1D285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B8690"/>
  <w15:docId w15:val="{395CE584-177C-46AA-8AFB-F36D7EAE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af"/>
    <w:uiPriority w:val="99"/>
    <w:semiHidden/>
    <w:unhideWhenUsed/>
    <w:qFormat/>
    <w:rPr>
      <w:b/>
      <w:bCs/>
    </w:rPr>
  </w:style>
  <w:style w:type="table" w:styleId="af0">
    <w:name w:val="Table Grid"/>
    <w:basedOn w:val="a1"/>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uiPriority w:val="99"/>
    <w:qFormat/>
    <w:rPr>
      <w:color w:val="0000FF"/>
      <w:u w:val="single"/>
    </w:rPr>
  </w:style>
  <w:style w:type="character" w:styleId="af2">
    <w:name w:val="annotation reference"/>
    <w:basedOn w:val="a0"/>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character" w:customStyle="1" w:styleId="a6">
    <w:name w:val="批注文字 字符"/>
    <w:basedOn w:val="a0"/>
    <w:link w:val="a5"/>
    <w:uiPriority w:val="99"/>
    <w:semiHidden/>
    <w:qFormat/>
  </w:style>
  <w:style w:type="character" w:customStyle="1" w:styleId="af">
    <w:name w:val="批注主题 字符"/>
    <w:basedOn w:val="a6"/>
    <w:link w:val="ae"/>
    <w:uiPriority w:val="99"/>
    <w:semiHidden/>
    <w:qFormat/>
    <w:rPr>
      <w:b/>
      <w:bCs/>
    </w:rPr>
  </w:style>
  <w:style w:type="paragraph" w:customStyle="1" w:styleId="1">
    <w:name w:val="修订1"/>
    <w:hidden/>
    <w:uiPriority w:val="99"/>
    <w:semiHidden/>
    <w:qFormat/>
    <w:rPr>
      <w:kern w:val="2"/>
      <w:sz w:val="21"/>
      <w:szCs w:val="22"/>
    </w:rPr>
  </w:style>
  <w:style w:type="character" w:customStyle="1" w:styleId="a4">
    <w:name w:val="文档结构图 字符"/>
    <w:basedOn w:val="a0"/>
    <w:link w:val="a3"/>
    <w:uiPriority w:val="99"/>
    <w:semiHidden/>
    <w:qFormat/>
    <w:rPr>
      <w:rFonts w:ascii="宋体" w:eastAsia="宋体"/>
      <w:sz w:val="18"/>
      <w:szCs w:val="18"/>
    </w:rPr>
  </w:style>
  <w:style w:type="paragraph" w:customStyle="1" w:styleId="Char">
    <w:name w:val="Char"/>
    <w:basedOn w:val="a"/>
    <w:qFormat/>
    <w:rPr>
      <w:rFonts w:ascii="Times New Roman" w:eastAsia="宋体" w:hAnsi="Times New Roman" w:cs="Times New Roman"/>
      <w:szCs w:val="24"/>
    </w:rPr>
  </w:style>
  <w:style w:type="paragraph" w:customStyle="1" w:styleId="af3">
    <w:name w:val="项目"/>
    <w:basedOn w:val="4"/>
    <w:qFormat/>
    <w:pPr>
      <w:snapToGrid w:val="0"/>
      <w:spacing w:before="120" w:after="120" w:line="360" w:lineRule="auto"/>
    </w:pPr>
    <w:rPr>
      <w:rFonts w:ascii="Times New Roman" w:eastAsia="楷体_GB2312" w:hAnsi="Times New Roman" w:cs="Times New Roman"/>
      <w:b w:val="0"/>
      <w:sz w:val="24"/>
      <w:szCs w:val="20"/>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paragraph" w:styleId="af4">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table" w:customStyle="1" w:styleId="10">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修订2"/>
    <w:hidden/>
    <w:uiPriority w:val="99"/>
    <w:semiHidden/>
    <w:rPr>
      <w:kern w:val="2"/>
      <w:sz w:val="21"/>
      <w:szCs w:val="22"/>
    </w:rPr>
  </w:style>
  <w:style w:type="character" w:customStyle="1" w:styleId="30">
    <w:name w:val="标题 3 字符"/>
    <w:basedOn w:val="a0"/>
    <w:link w:val="3"/>
    <w:uiPriority w:val="9"/>
    <w:semiHidden/>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24918-20D5-4BDE-8640-58097A236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243</Words>
  <Characters>1387</Characters>
  <Application>Microsoft Office Word</Application>
  <DocSecurity>0</DocSecurity>
  <Lines>11</Lines>
  <Paragraphs>3</Paragraphs>
  <ScaleCrop>false</ScaleCrop>
  <Company>wind</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yfjiang.may</dc:creator>
  <cp:lastModifiedBy>刘晨晨</cp:lastModifiedBy>
  <cp:revision>170</cp:revision>
  <cp:lastPrinted>2018-06-27T05:58:00Z</cp:lastPrinted>
  <dcterms:created xsi:type="dcterms:W3CDTF">2020-03-16T08:42:00Z</dcterms:created>
  <dcterms:modified xsi:type="dcterms:W3CDTF">2025-12-23T06:07:00Z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F9FA2A802470427581ADBF5A3AD4C58E</vt:lpwstr>
  </property>
</Properties>
</file>