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bCs/>
          <w:color w:val="000000"/>
          <w:sz w:val="30"/>
          <w:szCs w:val="30"/>
        </w:rPr>
      </w:pPr>
      <w:bookmarkStart w:id="0" w:name="_Toc249760023"/>
      <w:r>
        <w:rPr>
          <w:rFonts w:hint="eastAsia"/>
          <w:b/>
          <w:bCs/>
          <w:color w:val="000000"/>
          <w:sz w:val="30"/>
          <w:szCs w:val="30"/>
        </w:rPr>
        <w:t>交银施罗德基金管理有限公司关于交银施罗德中证海外中国互联网指数型证券投资基金（LOF）于境外主要市场节假日暂停及</w:t>
      </w:r>
      <w:r>
        <w:rPr>
          <w:b/>
          <w:bCs/>
          <w:color w:val="000000"/>
          <w:sz w:val="30"/>
          <w:szCs w:val="30"/>
        </w:rPr>
        <w:t>节后恢复</w:t>
      </w:r>
      <w:r>
        <w:rPr>
          <w:rFonts w:hint="eastAsia"/>
          <w:b/>
          <w:bCs/>
          <w:color w:val="000000"/>
          <w:sz w:val="30"/>
          <w:szCs w:val="30"/>
        </w:rPr>
        <w:t>基金申购、赎回和定期定额投资业务的公告</w:t>
      </w:r>
    </w:p>
    <w:p>
      <w:pPr>
        <w:spacing w:line="360" w:lineRule="auto"/>
        <w:jc w:val="center"/>
        <w:rPr>
          <w:sz w:val="24"/>
        </w:rPr>
      </w:pPr>
      <w:r>
        <w:rPr>
          <w:rFonts w:hint="eastAsia" w:ascii="宋体" w:hAnsi="宋体"/>
          <w:b/>
          <w:sz w:val="24"/>
        </w:rPr>
        <w:t>公告送出日期：</w:t>
      </w:r>
      <w:r>
        <w:rPr>
          <w:b/>
          <w:bCs/>
          <w:sz w:val="24"/>
        </w:rPr>
        <w:t>2025</w:t>
      </w:r>
      <w:r>
        <w:rPr>
          <w:rFonts w:hint="eastAsia"/>
          <w:b/>
          <w:bCs/>
          <w:sz w:val="24"/>
        </w:rPr>
        <w:t>年</w:t>
      </w:r>
      <w:r>
        <w:rPr>
          <w:rFonts w:hint="eastAsia"/>
          <w:b/>
          <w:bCs/>
          <w:sz w:val="24"/>
          <w:lang w:val="en-US" w:eastAsia="zh-CN"/>
        </w:rPr>
        <w:t>12</w:t>
      </w:r>
      <w:r>
        <w:rPr>
          <w:rFonts w:hint="eastAsia"/>
          <w:b/>
          <w:bCs/>
          <w:sz w:val="24"/>
        </w:rPr>
        <w:t>月</w:t>
      </w:r>
      <w:r>
        <w:rPr>
          <w:rFonts w:hint="eastAsia"/>
          <w:b/>
          <w:bCs/>
          <w:sz w:val="24"/>
          <w:lang w:val="en-US" w:eastAsia="zh-CN"/>
        </w:rPr>
        <w:t>22</w:t>
      </w:r>
      <w:r>
        <w:rPr>
          <w:rFonts w:hint="eastAsia"/>
          <w:b/>
          <w:bCs/>
          <w:sz w:val="24"/>
        </w:rPr>
        <w:t>日</w:t>
      </w:r>
    </w:p>
    <w:p>
      <w:pPr>
        <w:spacing w:line="360" w:lineRule="auto"/>
        <w:jc w:val="center"/>
        <w:rPr>
          <w:color w:val="000000"/>
          <w:sz w:val="24"/>
        </w:rPr>
      </w:pPr>
    </w:p>
    <w:bookmarkEnd w:id="0"/>
    <w:p>
      <w:pPr>
        <w:pStyle w:val="2"/>
        <w:keepNext w:val="0"/>
        <w:keepLines w:val="0"/>
        <w:spacing w:before="0" w:after="0" w:line="360" w:lineRule="auto"/>
        <w:rPr>
          <w:rFonts w:ascii="宋体" w:hAnsi="宋体"/>
          <w:bCs w:val="0"/>
          <w:sz w:val="24"/>
          <w:szCs w:val="24"/>
        </w:rPr>
      </w:pPr>
      <w:r>
        <w:rPr>
          <w:rFonts w:hint="eastAsia" w:ascii="宋体" w:hAnsi="宋体"/>
          <w:bCs w:val="0"/>
          <w:sz w:val="24"/>
          <w:szCs w:val="24"/>
        </w:rPr>
        <w:t>1.公告基本信息</w:t>
      </w:r>
    </w:p>
    <w:tbl>
      <w:tblPr>
        <w:tblStyle w:val="8"/>
        <w:tblW w:w="520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91"/>
        <w:gridCol w:w="2745"/>
        <w:gridCol w:w="36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基金名称</w:t>
            </w:r>
          </w:p>
        </w:tc>
        <w:tc>
          <w:tcPr>
            <w:tcW w:w="3597" w:type="pct"/>
            <w:gridSpan w:val="2"/>
            <w:tcBorders>
              <w:top w:val="single" w:color="000000" w:sz="4" w:space="0"/>
              <w:left w:val="single" w:color="000000" w:sz="4" w:space="0"/>
              <w:bottom w:val="single" w:color="000000" w:sz="4" w:space="0"/>
              <w:right w:val="single" w:color="000000" w:sz="4" w:space="0"/>
            </w:tcBorders>
            <w:vAlign w:val="center"/>
          </w:tcPr>
          <w:p>
            <w:pPr>
              <w:jc w:val="left"/>
              <w:rPr>
                <w:sz w:val="24"/>
              </w:rPr>
            </w:pPr>
            <w:r>
              <w:rPr>
                <w:rFonts w:hint="eastAsia"/>
                <w:sz w:val="24"/>
              </w:rPr>
              <w:t>交银施罗德中证海外中国互联网指数型证券投资基金（LOF）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基金简称</w:t>
            </w:r>
          </w:p>
        </w:tc>
        <w:tc>
          <w:tcPr>
            <w:tcW w:w="3597" w:type="pct"/>
            <w:gridSpan w:val="2"/>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交银中证海外中国互联网指数(LOF)</w:t>
            </w:r>
          </w:p>
          <w:p>
            <w:pPr>
              <w:rPr>
                <w:kern w:val="0"/>
                <w:sz w:val="20"/>
                <w:szCs w:val="20"/>
              </w:rPr>
            </w:pPr>
            <w:r>
              <w:rPr>
                <w:rFonts w:hint="eastAsia"/>
                <w:sz w:val="24"/>
              </w:rPr>
              <w:t>（场内简称：中概互联网LOF）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基金主代码</w:t>
            </w:r>
          </w:p>
        </w:tc>
        <w:tc>
          <w:tcPr>
            <w:tcW w:w="3597" w:type="pct"/>
            <w:gridSpan w:val="2"/>
            <w:tcBorders>
              <w:top w:val="single" w:color="000000" w:sz="4" w:space="0"/>
              <w:left w:val="single" w:color="000000" w:sz="4" w:space="0"/>
              <w:bottom w:val="single" w:color="000000" w:sz="4" w:space="0"/>
              <w:right w:val="single" w:color="000000" w:sz="4" w:space="0"/>
            </w:tcBorders>
            <w:vAlign w:val="center"/>
          </w:tcPr>
          <w:p>
            <w:pPr>
              <w:rPr>
                <w:sz w:val="24"/>
              </w:rPr>
            </w:pPr>
            <w:r>
              <w:rPr>
                <w:sz w:val="24"/>
              </w:rPr>
              <w:t>164906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基金管理人名称</w:t>
            </w:r>
          </w:p>
        </w:tc>
        <w:tc>
          <w:tcPr>
            <w:tcW w:w="3597" w:type="pct"/>
            <w:gridSpan w:val="2"/>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交银施罗德基金管理有限公司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公告依据</w:t>
            </w:r>
          </w:p>
        </w:tc>
        <w:tc>
          <w:tcPr>
            <w:tcW w:w="3597" w:type="pct"/>
            <w:gridSpan w:val="2"/>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《交银施罗德中证海外中国互联网指数型证券投资基金（LOF）基金合同》、《交银施罗德中证海外中国互联网指数型证券投资基金（LOF）招募说明书》等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1403" w:type="pct"/>
            <w:vMerge w:val="restart"/>
            <w:tcBorders>
              <w:top w:val="nil"/>
              <w:left w:val="single" w:color="000000" w:sz="4" w:space="0"/>
              <w:right w:val="single" w:color="000000" w:sz="4" w:space="0"/>
            </w:tcBorders>
            <w:vAlign w:val="center"/>
          </w:tcPr>
          <w:p>
            <w:pPr>
              <w:jc w:val="center"/>
              <w:rPr>
                <w:sz w:val="24"/>
              </w:rPr>
            </w:pPr>
            <w:r>
              <w:rPr>
                <w:rFonts w:hint="eastAsia"/>
                <w:sz w:val="24"/>
              </w:rPr>
              <w:t>暂停相关业务的起始日及原因说明</w:t>
            </w: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暂停申购起始日</w:t>
            </w:r>
          </w:p>
        </w:tc>
        <w:tc>
          <w:tcPr>
            <w:tcW w:w="2051" w:type="pct"/>
            <w:tcBorders>
              <w:top w:val="single" w:color="000000" w:sz="4" w:space="0"/>
              <w:left w:val="single" w:color="000000" w:sz="4" w:space="0"/>
              <w:bottom w:val="single" w:color="000000" w:sz="4" w:space="0"/>
              <w:right w:val="single" w:color="000000" w:sz="4" w:space="0"/>
            </w:tcBorders>
            <w:vAlign w:val="center"/>
          </w:tcPr>
          <w:p>
            <w:r>
              <w:rPr>
                <w:sz w:val="24"/>
              </w:rPr>
              <w:t>2025</w:t>
            </w:r>
            <w:r>
              <w:rPr>
                <w:rFonts w:hint="eastAsia"/>
                <w:sz w:val="24"/>
              </w:rPr>
              <w:t>年</w:t>
            </w:r>
            <w:r>
              <w:rPr>
                <w:rFonts w:hint="eastAsia"/>
                <w:sz w:val="24"/>
                <w:highlight w:val="none"/>
                <w:lang w:val="en-US" w:eastAsia="zh-CN"/>
              </w:rPr>
              <w:t>12月25日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1403" w:type="pct"/>
            <w:vMerge w:val="continue"/>
            <w:tcBorders>
              <w:left w:val="single" w:color="000000" w:sz="4" w:space="0"/>
              <w:right w:val="single" w:color="000000" w:sz="4" w:space="0"/>
            </w:tcBorders>
            <w:vAlign w:val="center"/>
          </w:tcPr>
          <w:p>
            <w:pPr>
              <w:rPr>
                <w:sz w:val="24"/>
              </w:rPr>
            </w:pP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暂停赎回起始日</w:t>
            </w:r>
          </w:p>
        </w:tc>
        <w:tc>
          <w:tcPr>
            <w:tcW w:w="2051" w:type="pct"/>
            <w:tcBorders>
              <w:top w:val="single" w:color="000000" w:sz="4" w:space="0"/>
              <w:left w:val="single" w:color="000000" w:sz="4" w:space="0"/>
              <w:bottom w:val="single" w:color="000000" w:sz="4" w:space="0"/>
              <w:right w:val="single" w:color="000000" w:sz="4" w:space="0"/>
            </w:tcBorders>
            <w:vAlign w:val="center"/>
          </w:tcPr>
          <w:p>
            <w:r>
              <w:rPr>
                <w:sz w:val="24"/>
              </w:rPr>
              <w:t>2025</w:t>
            </w:r>
            <w:r>
              <w:rPr>
                <w:rFonts w:hint="eastAsia"/>
                <w:sz w:val="24"/>
              </w:rPr>
              <w:t>年</w:t>
            </w:r>
            <w:r>
              <w:rPr>
                <w:rFonts w:hint="eastAsia"/>
                <w:sz w:val="24"/>
                <w:highlight w:val="none"/>
                <w:lang w:val="en-US" w:eastAsia="zh-CN"/>
              </w:rPr>
              <w:t>12月25日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1403" w:type="pct"/>
            <w:vMerge w:val="continue"/>
            <w:tcBorders>
              <w:left w:val="single" w:color="000000" w:sz="4" w:space="0"/>
              <w:right w:val="single" w:color="000000" w:sz="4" w:space="0"/>
            </w:tcBorders>
            <w:vAlign w:val="center"/>
          </w:tcPr>
          <w:p>
            <w:pPr>
              <w:rPr>
                <w:sz w:val="24"/>
              </w:rPr>
            </w:pP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暂停定期定额投资起始日</w:t>
            </w:r>
          </w:p>
        </w:tc>
        <w:tc>
          <w:tcPr>
            <w:tcW w:w="2051" w:type="pct"/>
            <w:tcBorders>
              <w:top w:val="single" w:color="000000" w:sz="4" w:space="0"/>
              <w:left w:val="single" w:color="000000" w:sz="4" w:space="0"/>
              <w:bottom w:val="single" w:color="000000" w:sz="4" w:space="0"/>
              <w:right w:val="single" w:color="000000" w:sz="4" w:space="0"/>
            </w:tcBorders>
            <w:vAlign w:val="center"/>
          </w:tcPr>
          <w:p>
            <w:r>
              <w:rPr>
                <w:sz w:val="24"/>
              </w:rPr>
              <w:t>2025</w:t>
            </w:r>
            <w:r>
              <w:rPr>
                <w:rFonts w:hint="eastAsia"/>
                <w:sz w:val="24"/>
              </w:rPr>
              <w:t>年</w:t>
            </w:r>
            <w:r>
              <w:rPr>
                <w:rFonts w:hint="eastAsia"/>
                <w:sz w:val="24"/>
                <w:highlight w:val="none"/>
                <w:lang w:val="en-US" w:eastAsia="zh-CN"/>
              </w:rPr>
              <w:t>12月25日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vMerge w:val="continue"/>
            <w:tcBorders>
              <w:left w:val="single" w:color="000000" w:sz="4" w:space="0"/>
              <w:bottom w:val="single" w:color="000000" w:sz="4" w:space="0"/>
              <w:right w:val="single" w:color="000000" w:sz="4" w:space="0"/>
            </w:tcBorders>
            <w:vAlign w:val="center"/>
          </w:tcPr>
          <w:p>
            <w:pPr>
              <w:rPr>
                <w:sz w:val="24"/>
              </w:rPr>
            </w:pP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暂停申购、赎回、定期定额投资的原因说明</w:t>
            </w:r>
          </w:p>
        </w:tc>
        <w:tc>
          <w:tcPr>
            <w:tcW w:w="2051" w:type="pct"/>
            <w:tcBorders>
              <w:top w:val="single" w:color="000000" w:sz="4" w:space="0"/>
              <w:left w:val="single" w:color="000000" w:sz="4" w:space="0"/>
              <w:bottom w:val="single" w:color="000000" w:sz="4" w:space="0"/>
              <w:right w:val="single" w:color="000000" w:sz="4" w:space="0"/>
            </w:tcBorders>
            <w:vAlign w:val="center"/>
          </w:tcPr>
          <w:p>
            <w:r>
              <w:rPr>
                <w:sz w:val="24"/>
              </w:rPr>
              <w:t>2025</w:t>
            </w:r>
            <w:r>
              <w:rPr>
                <w:rFonts w:hint="eastAsia"/>
                <w:sz w:val="24"/>
              </w:rPr>
              <w:t>年</w:t>
            </w:r>
            <w:r>
              <w:rPr>
                <w:rFonts w:hint="eastAsia"/>
                <w:sz w:val="24"/>
                <w:highlight w:val="none"/>
                <w:lang w:val="en-US" w:eastAsia="zh-CN"/>
              </w:rPr>
              <w:t>12月25日、12月26日</w:t>
            </w:r>
            <w:r>
              <w:rPr>
                <w:rFonts w:hint="eastAsia"/>
                <w:sz w:val="24"/>
              </w:rPr>
              <w:t>为境外主要市场节假日，交银施罗德中证海外中国互联网指数型证券投资基金（LOF）投资所处的主要市场休市，交银施罗德基金管理有限公司（以下简称“本公司”）决定于</w:t>
            </w:r>
            <w:r>
              <w:rPr>
                <w:rFonts w:hint="eastAsia"/>
                <w:sz w:val="24"/>
                <w:highlight w:val="none"/>
                <w:lang w:val="en-US" w:eastAsia="zh-CN"/>
              </w:rPr>
              <w:t>12月25日</w:t>
            </w:r>
            <w:r>
              <w:rPr>
                <w:rFonts w:hint="eastAsia"/>
                <w:sz w:val="24"/>
              </w:rPr>
              <w:t>起暂停本基金的申购、赎回和定期定额投资业务。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left w:val="single" w:color="000000" w:sz="4" w:space="0"/>
              <w:right w:val="single" w:color="000000" w:sz="4" w:space="0"/>
            </w:tcBorders>
            <w:vAlign w:val="center"/>
          </w:tcPr>
          <w:p>
            <w:pPr>
              <w:rPr>
                <w:sz w:val="24"/>
              </w:rPr>
            </w:pPr>
            <w:r>
              <w:rPr>
                <w:rFonts w:hint="eastAsia"/>
                <w:sz w:val="24"/>
              </w:rPr>
              <w:t xml:space="preserve">下属分级基金的基金简称 </w:t>
            </w: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交银中证海外中国互联网指数(LOF)A</w:t>
            </w:r>
          </w:p>
        </w:tc>
        <w:tc>
          <w:tcPr>
            <w:tcW w:w="2051"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交银中证海外中国互联网指数(LOF)C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left w:val="single" w:color="000000" w:sz="4" w:space="0"/>
              <w:right w:val="single" w:color="000000" w:sz="4" w:space="0"/>
            </w:tcBorders>
            <w:vAlign w:val="center"/>
          </w:tcPr>
          <w:p>
            <w:pPr>
              <w:rPr>
                <w:sz w:val="24"/>
              </w:rPr>
            </w:pPr>
            <w:r>
              <w:rPr>
                <w:rFonts w:hint="eastAsia"/>
                <w:sz w:val="24"/>
              </w:rPr>
              <w:t>下属分级基金的交易代码</w:t>
            </w: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sz w:val="24"/>
              </w:rPr>
              <w:t>164906</w:t>
            </w:r>
          </w:p>
        </w:tc>
        <w:tc>
          <w:tcPr>
            <w:tcW w:w="2051" w:type="pct"/>
            <w:tcBorders>
              <w:top w:val="single" w:color="000000" w:sz="4" w:space="0"/>
              <w:left w:val="single" w:color="000000" w:sz="4" w:space="0"/>
              <w:bottom w:val="single" w:color="000000" w:sz="4" w:space="0"/>
              <w:right w:val="single" w:color="000000" w:sz="4" w:space="0"/>
            </w:tcBorders>
            <w:vAlign w:val="center"/>
          </w:tcPr>
          <w:p>
            <w:pPr>
              <w:rPr>
                <w:sz w:val="24"/>
              </w:rPr>
            </w:pPr>
            <w:r>
              <w:rPr>
                <w:sz w:val="24"/>
              </w:rPr>
              <w:t>013945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left w:val="single" w:color="000000" w:sz="4" w:space="0"/>
              <w:bottom w:val="single" w:color="000000" w:sz="4" w:space="0"/>
              <w:right w:val="single" w:color="000000" w:sz="4" w:space="0"/>
            </w:tcBorders>
            <w:vAlign w:val="center"/>
          </w:tcPr>
          <w:p>
            <w:pPr>
              <w:rPr>
                <w:sz w:val="24"/>
              </w:rPr>
            </w:pPr>
            <w:r>
              <w:rPr>
                <w:rFonts w:hint="eastAsia"/>
                <w:sz w:val="24"/>
              </w:rPr>
              <w:t>该分级基金是否暂停申购、赎回、定期定额投资业务</w:t>
            </w: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是</w:t>
            </w:r>
          </w:p>
        </w:tc>
        <w:tc>
          <w:tcPr>
            <w:tcW w:w="2051"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是</w:t>
            </w:r>
          </w:p>
        </w:tc>
      </w:tr>
    </w:tbl>
    <w:p>
      <w:pPr>
        <w:pStyle w:val="2"/>
        <w:keepNext w:val="0"/>
        <w:keepLines w:val="0"/>
        <w:spacing w:before="0" w:after="0" w:line="360" w:lineRule="auto"/>
        <w:rPr>
          <w:color w:val="000000"/>
          <w:sz w:val="24"/>
          <w:szCs w:val="24"/>
        </w:rPr>
      </w:pPr>
    </w:p>
    <w:p>
      <w:pPr>
        <w:pStyle w:val="2"/>
        <w:keepNext w:val="0"/>
        <w:keepLines w:val="0"/>
        <w:spacing w:before="0" w:after="0" w:line="360" w:lineRule="auto"/>
        <w:rPr>
          <w:color w:val="000000"/>
          <w:sz w:val="24"/>
          <w:szCs w:val="24"/>
        </w:rPr>
      </w:pPr>
      <w:r>
        <w:rPr>
          <w:color w:val="000000"/>
          <w:sz w:val="24"/>
          <w:szCs w:val="24"/>
        </w:rPr>
        <w:t>2.</w:t>
      </w:r>
      <w:r>
        <w:rPr>
          <w:rFonts w:hint="eastAsia"/>
          <w:color w:val="000000"/>
          <w:sz w:val="24"/>
          <w:szCs w:val="24"/>
        </w:rPr>
        <w:t>其他需要提示的事项</w:t>
      </w:r>
    </w:p>
    <w:p>
      <w:pPr>
        <w:spacing w:line="360" w:lineRule="auto"/>
        <w:ind w:firstLine="480" w:firstLineChars="200"/>
        <w:rPr>
          <w:color w:val="000000"/>
          <w:sz w:val="24"/>
        </w:rPr>
      </w:pPr>
      <w:r>
        <w:rPr>
          <w:rFonts w:hint="eastAsia"/>
          <w:color w:val="000000"/>
          <w:sz w:val="24"/>
        </w:rPr>
        <w:t>（1）自202</w:t>
      </w:r>
      <w:r>
        <w:rPr>
          <w:color w:val="000000"/>
          <w:sz w:val="24"/>
        </w:rPr>
        <w:t>5</w:t>
      </w:r>
      <w:r>
        <w:rPr>
          <w:rFonts w:hint="eastAsia"/>
          <w:color w:val="000000"/>
          <w:sz w:val="24"/>
        </w:rPr>
        <w:t>年</w:t>
      </w:r>
      <w:r>
        <w:rPr>
          <w:rFonts w:hint="eastAsia"/>
          <w:sz w:val="24"/>
          <w:highlight w:val="none"/>
          <w:lang w:val="en-US" w:eastAsia="zh-CN"/>
        </w:rPr>
        <w:t>12月29</w:t>
      </w:r>
      <w:bookmarkStart w:id="1" w:name="_GoBack"/>
      <w:bookmarkEnd w:id="1"/>
      <w:r>
        <w:rPr>
          <w:rFonts w:hint="eastAsia"/>
          <w:sz w:val="24"/>
          <w:highlight w:val="none"/>
          <w:lang w:val="en-US" w:eastAsia="zh-CN"/>
        </w:rPr>
        <w:t>日</w:t>
      </w:r>
      <w:r>
        <w:rPr>
          <w:rFonts w:hint="eastAsia"/>
          <w:color w:val="000000"/>
          <w:sz w:val="24"/>
        </w:rPr>
        <w:t>起，本基金将恢复办理日常申购、赎回和定期定额投资业务，届时不再另行公告。</w:t>
      </w:r>
    </w:p>
    <w:p>
      <w:pPr>
        <w:spacing w:line="360" w:lineRule="auto"/>
        <w:ind w:firstLine="480" w:firstLineChars="200"/>
        <w:rPr>
          <w:color w:val="000000"/>
          <w:sz w:val="24"/>
        </w:rPr>
      </w:pPr>
      <w:r>
        <w:rPr>
          <w:rFonts w:hint="eastAsia"/>
          <w:color w:val="000000"/>
          <w:sz w:val="24"/>
        </w:rPr>
        <w:t>（2）投资者可通过以下途径了解或咨询详请：</w:t>
      </w:r>
    </w:p>
    <w:p>
      <w:pPr>
        <w:spacing w:line="360" w:lineRule="auto"/>
        <w:ind w:firstLine="480" w:firstLineChars="200"/>
        <w:rPr>
          <w:color w:val="000000"/>
          <w:sz w:val="24"/>
        </w:rPr>
      </w:pPr>
      <w:r>
        <w:rPr>
          <w:color w:val="000000"/>
          <w:sz w:val="24"/>
        </w:rPr>
        <w:t>1</w:t>
      </w:r>
      <w:r>
        <w:rPr>
          <w:rFonts w:hint="eastAsia"/>
          <w:color w:val="000000"/>
          <w:sz w:val="24"/>
        </w:rPr>
        <w:t>）本公司网址：</w:t>
      </w:r>
      <w:r>
        <w:rPr>
          <w:color w:val="000000"/>
          <w:sz w:val="24"/>
        </w:rPr>
        <w:t>www.fund</w:t>
      </w:r>
      <w:r>
        <w:rPr>
          <w:rFonts w:hint="eastAsia"/>
          <w:color w:val="000000"/>
          <w:sz w:val="24"/>
        </w:rPr>
        <w:t>001</w:t>
      </w:r>
      <w:r>
        <w:rPr>
          <w:color w:val="000000"/>
          <w:sz w:val="24"/>
        </w:rPr>
        <w:t>.com</w:t>
      </w:r>
    </w:p>
    <w:p>
      <w:pPr>
        <w:spacing w:line="360" w:lineRule="auto"/>
        <w:ind w:firstLine="480" w:firstLineChars="200"/>
        <w:rPr>
          <w:color w:val="000000"/>
          <w:sz w:val="24"/>
        </w:rPr>
      </w:pPr>
      <w:r>
        <w:rPr>
          <w:color w:val="000000"/>
          <w:sz w:val="24"/>
        </w:rPr>
        <w:t>2</w:t>
      </w:r>
      <w:r>
        <w:rPr>
          <w:rFonts w:hint="eastAsia"/>
          <w:color w:val="000000"/>
          <w:sz w:val="24"/>
        </w:rPr>
        <w:t>）本公司客户服务电话：</w:t>
      </w:r>
      <w:r>
        <w:rPr>
          <w:color w:val="000000"/>
          <w:sz w:val="24"/>
        </w:rPr>
        <w:t>400-700-5000</w:t>
      </w:r>
      <w:r>
        <w:rPr>
          <w:rFonts w:hint="eastAsia"/>
          <w:color w:val="000000"/>
          <w:sz w:val="24"/>
        </w:rPr>
        <w:t>（免长途话费），（</w:t>
      </w:r>
      <w:r>
        <w:rPr>
          <w:color w:val="000000"/>
          <w:sz w:val="24"/>
        </w:rPr>
        <w:t>021</w:t>
      </w:r>
      <w:r>
        <w:rPr>
          <w:rFonts w:hint="eastAsia"/>
          <w:color w:val="000000"/>
          <w:sz w:val="24"/>
        </w:rPr>
        <w:t>）</w:t>
      </w:r>
      <w:r>
        <w:rPr>
          <w:color w:val="000000"/>
          <w:sz w:val="24"/>
        </w:rPr>
        <w:t>61055000</w:t>
      </w:r>
    </w:p>
    <w:p>
      <w:pPr>
        <w:spacing w:line="360" w:lineRule="auto"/>
        <w:ind w:firstLine="480" w:firstLineChars="200"/>
        <w:rPr>
          <w:color w:val="000000"/>
          <w:sz w:val="24"/>
        </w:rPr>
      </w:pPr>
      <w:r>
        <w:rPr>
          <w:color w:val="000000"/>
          <w:sz w:val="24"/>
        </w:rPr>
        <w:t>3</w:t>
      </w:r>
      <w:r>
        <w:rPr>
          <w:rFonts w:hint="eastAsia"/>
          <w:color w:val="000000"/>
          <w:sz w:val="24"/>
        </w:rPr>
        <w:t>）本公司客户服务邮箱：</w:t>
      </w:r>
      <w:r>
        <w:rPr>
          <w:color w:val="000000"/>
          <w:sz w:val="24"/>
        </w:rPr>
        <w:t>services@jysld.com</w:t>
      </w:r>
    </w:p>
    <w:p>
      <w:pPr>
        <w:spacing w:line="360" w:lineRule="auto"/>
        <w:ind w:firstLine="480" w:firstLineChars="200"/>
        <w:rPr>
          <w:color w:val="000000"/>
          <w:sz w:val="24"/>
        </w:rPr>
      </w:pPr>
    </w:p>
    <w:p>
      <w:pPr>
        <w:spacing w:line="360" w:lineRule="auto"/>
        <w:ind w:firstLine="480" w:firstLineChars="200"/>
        <w:rPr>
          <w:color w:val="000000"/>
          <w:sz w:val="24"/>
        </w:rPr>
      </w:pPr>
      <w:r>
        <w:rPr>
          <w:rFonts w:hint="eastAsia"/>
          <w:color w:val="000000"/>
          <w:sz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pPr>
        <w:spacing w:line="360" w:lineRule="auto"/>
        <w:ind w:firstLine="480" w:firstLineChars="200"/>
        <w:rPr>
          <w:color w:val="000000"/>
          <w:sz w:val="24"/>
        </w:rPr>
      </w:pPr>
    </w:p>
    <w:p>
      <w:pPr>
        <w:spacing w:line="360" w:lineRule="auto"/>
        <w:ind w:firstLine="480" w:firstLineChars="200"/>
        <w:rPr>
          <w:color w:val="000000"/>
          <w:sz w:val="24"/>
        </w:rPr>
      </w:pPr>
      <w:r>
        <w:rPr>
          <w:rFonts w:hint="eastAsia"/>
          <w:color w:val="000000"/>
          <w:sz w:val="24"/>
        </w:rPr>
        <w:t>特此公告。</w:t>
      </w:r>
    </w:p>
    <w:p>
      <w:pPr>
        <w:spacing w:line="360" w:lineRule="auto"/>
        <w:ind w:firstLine="420" w:firstLineChars="200"/>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宋体" w:hAnsi="宋体" w:cs="宋体"/>
        <w:kern w:val="0"/>
        <w:sz w:val="24"/>
        <w:szCs w:val="24"/>
      </w:rPr>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5462270" cy="385445"/>
          <wp:effectExtent l="0" t="0" r="508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462270" cy="38544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8D5"/>
    <w:rsid w:val="00004C8A"/>
    <w:rsid w:val="000072BE"/>
    <w:rsid w:val="00031FF8"/>
    <w:rsid w:val="00036C65"/>
    <w:rsid w:val="0003756C"/>
    <w:rsid w:val="00046E9C"/>
    <w:rsid w:val="00066A2C"/>
    <w:rsid w:val="00081891"/>
    <w:rsid w:val="00081972"/>
    <w:rsid w:val="00081DCE"/>
    <w:rsid w:val="000A1123"/>
    <w:rsid w:val="000A57C6"/>
    <w:rsid w:val="000A5FA3"/>
    <w:rsid w:val="000B15D6"/>
    <w:rsid w:val="000C7A3A"/>
    <w:rsid w:val="000E1720"/>
    <w:rsid w:val="000F4715"/>
    <w:rsid w:val="001026C6"/>
    <w:rsid w:val="00102C45"/>
    <w:rsid w:val="001177A2"/>
    <w:rsid w:val="001177E6"/>
    <w:rsid w:val="00131560"/>
    <w:rsid w:val="0014137B"/>
    <w:rsid w:val="00144688"/>
    <w:rsid w:val="00167CB1"/>
    <w:rsid w:val="001771BB"/>
    <w:rsid w:val="00194BE7"/>
    <w:rsid w:val="00197D61"/>
    <w:rsid w:val="001A3F7F"/>
    <w:rsid w:val="001A540E"/>
    <w:rsid w:val="001B18D5"/>
    <w:rsid w:val="001B2C80"/>
    <w:rsid w:val="001B46D0"/>
    <w:rsid w:val="001B7FFC"/>
    <w:rsid w:val="001C0C74"/>
    <w:rsid w:val="001D06BE"/>
    <w:rsid w:val="001D697E"/>
    <w:rsid w:val="001D7512"/>
    <w:rsid w:val="001E3D7A"/>
    <w:rsid w:val="001E59B3"/>
    <w:rsid w:val="001E6237"/>
    <w:rsid w:val="001F5408"/>
    <w:rsid w:val="00220101"/>
    <w:rsid w:val="002300E8"/>
    <w:rsid w:val="00233321"/>
    <w:rsid w:val="00236796"/>
    <w:rsid w:val="002370E1"/>
    <w:rsid w:val="00243A26"/>
    <w:rsid w:val="0026040C"/>
    <w:rsid w:val="00261140"/>
    <w:rsid w:val="002647E2"/>
    <w:rsid w:val="00274B91"/>
    <w:rsid w:val="002768B4"/>
    <w:rsid w:val="00293AA5"/>
    <w:rsid w:val="002B6FE8"/>
    <w:rsid w:val="002E26DC"/>
    <w:rsid w:val="002E4451"/>
    <w:rsid w:val="002E46A6"/>
    <w:rsid w:val="002E6184"/>
    <w:rsid w:val="002E7861"/>
    <w:rsid w:val="002F21FD"/>
    <w:rsid w:val="002F254C"/>
    <w:rsid w:val="00303BCA"/>
    <w:rsid w:val="00304283"/>
    <w:rsid w:val="00313C0E"/>
    <w:rsid w:val="0031520A"/>
    <w:rsid w:val="00320A5C"/>
    <w:rsid w:val="00346CDC"/>
    <w:rsid w:val="00350438"/>
    <w:rsid w:val="00355CA3"/>
    <w:rsid w:val="00362B6D"/>
    <w:rsid w:val="00362BB5"/>
    <w:rsid w:val="00371771"/>
    <w:rsid w:val="003775D4"/>
    <w:rsid w:val="00381395"/>
    <w:rsid w:val="00386330"/>
    <w:rsid w:val="00387344"/>
    <w:rsid w:val="003A116A"/>
    <w:rsid w:val="003A4500"/>
    <w:rsid w:val="003A5ACD"/>
    <w:rsid w:val="003C056B"/>
    <w:rsid w:val="003F0743"/>
    <w:rsid w:val="003F65D7"/>
    <w:rsid w:val="004045A2"/>
    <w:rsid w:val="00412943"/>
    <w:rsid w:val="004309A5"/>
    <w:rsid w:val="004347EC"/>
    <w:rsid w:val="00435869"/>
    <w:rsid w:val="0043623F"/>
    <w:rsid w:val="004451FB"/>
    <w:rsid w:val="00464A54"/>
    <w:rsid w:val="00464C85"/>
    <w:rsid w:val="004A1131"/>
    <w:rsid w:val="004A4F96"/>
    <w:rsid w:val="004B5F23"/>
    <w:rsid w:val="004C4847"/>
    <w:rsid w:val="004E04CA"/>
    <w:rsid w:val="004E0C62"/>
    <w:rsid w:val="00501C93"/>
    <w:rsid w:val="005107ED"/>
    <w:rsid w:val="0051133E"/>
    <w:rsid w:val="0052411F"/>
    <w:rsid w:val="00530E22"/>
    <w:rsid w:val="00545219"/>
    <w:rsid w:val="00564A17"/>
    <w:rsid w:val="00567D1B"/>
    <w:rsid w:val="00573695"/>
    <w:rsid w:val="00592B63"/>
    <w:rsid w:val="005972D2"/>
    <w:rsid w:val="005A33D0"/>
    <w:rsid w:val="005B0E53"/>
    <w:rsid w:val="005B2EA5"/>
    <w:rsid w:val="005B61E9"/>
    <w:rsid w:val="005C0CC6"/>
    <w:rsid w:val="005C17EC"/>
    <w:rsid w:val="005D1892"/>
    <w:rsid w:val="005D18C2"/>
    <w:rsid w:val="005D3A38"/>
    <w:rsid w:val="005D546F"/>
    <w:rsid w:val="005D5FEE"/>
    <w:rsid w:val="005F1D07"/>
    <w:rsid w:val="00605216"/>
    <w:rsid w:val="00623698"/>
    <w:rsid w:val="006246ED"/>
    <w:rsid w:val="00625772"/>
    <w:rsid w:val="00626804"/>
    <w:rsid w:val="0063296A"/>
    <w:rsid w:val="006476F7"/>
    <w:rsid w:val="00654EAE"/>
    <w:rsid w:val="00670AC0"/>
    <w:rsid w:val="0067229A"/>
    <w:rsid w:val="006728BF"/>
    <w:rsid w:val="006849E0"/>
    <w:rsid w:val="006A624A"/>
    <w:rsid w:val="006A7D15"/>
    <w:rsid w:val="006B1C27"/>
    <w:rsid w:val="0070143C"/>
    <w:rsid w:val="00701D75"/>
    <w:rsid w:val="00704EA1"/>
    <w:rsid w:val="00707143"/>
    <w:rsid w:val="007101A7"/>
    <w:rsid w:val="00721BC4"/>
    <w:rsid w:val="00726AB2"/>
    <w:rsid w:val="00730C90"/>
    <w:rsid w:val="00747232"/>
    <w:rsid w:val="00747F7F"/>
    <w:rsid w:val="0076344C"/>
    <w:rsid w:val="00772123"/>
    <w:rsid w:val="00774AC0"/>
    <w:rsid w:val="00782425"/>
    <w:rsid w:val="0078413B"/>
    <w:rsid w:val="00787AA4"/>
    <w:rsid w:val="007A7D4E"/>
    <w:rsid w:val="007B495D"/>
    <w:rsid w:val="007C4750"/>
    <w:rsid w:val="007D4AD2"/>
    <w:rsid w:val="007F1BA1"/>
    <w:rsid w:val="00811711"/>
    <w:rsid w:val="00824238"/>
    <w:rsid w:val="0084246E"/>
    <w:rsid w:val="00854E22"/>
    <w:rsid w:val="00861631"/>
    <w:rsid w:val="008641DA"/>
    <w:rsid w:val="008737FA"/>
    <w:rsid w:val="0088579F"/>
    <w:rsid w:val="00896C0A"/>
    <w:rsid w:val="008A66FA"/>
    <w:rsid w:val="008A776C"/>
    <w:rsid w:val="008C3FD3"/>
    <w:rsid w:val="008E0CA6"/>
    <w:rsid w:val="008E33CD"/>
    <w:rsid w:val="008E3EA3"/>
    <w:rsid w:val="008E4CBD"/>
    <w:rsid w:val="008E4F89"/>
    <w:rsid w:val="008F394E"/>
    <w:rsid w:val="008F567D"/>
    <w:rsid w:val="00910246"/>
    <w:rsid w:val="00916A7B"/>
    <w:rsid w:val="00920492"/>
    <w:rsid w:val="00920E12"/>
    <w:rsid w:val="00922878"/>
    <w:rsid w:val="009325C7"/>
    <w:rsid w:val="009403A4"/>
    <w:rsid w:val="00942836"/>
    <w:rsid w:val="00942E72"/>
    <w:rsid w:val="00946F1A"/>
    <w:rsid w:val="009516F4"/>
    <w:rsid w:val="00957EE2"/>
    <w:rsid w:val="009903BB"/>
    <w:rsid w:val="009A129F"/>
    <w:rsid w:val="009A665D"/>
    <w:rsid w:val="009B313D"/>
    <w:rsid w:val="009C2483"/>
    <w:rsid w:val="009E5D43"/>
    <w:rsid w:val="009F4FFF"/>
    <w:rsid w:val="00A059BA"/>
    <w:rsid w:val="00A14D50"/>
    <w:rsid w:val="00A1731C"/>
    <w:rsid w:val="00A24671"/>
    <w:rsid w:val="00A326F1"/>
    <w:rsid w:val="00A335F0"/>
    <w:rsid w:val="00A5758C"/>
    <w:rsid w:val="00A61152"/>
    <w:rsid w:val="00A67B39"/>
    <w:rsid w:val="00A71E83"/>
    <w:rsid w:val="00A7624D"/>
    <w:rsid w:val="00A80152"/>
    <w:rsid w:val="00A85D89"/>
    <w:rsid w:val="00A95BF6"/>
    <w:rsid w:val="00A97FFC"/>
    <w:rsid w:val="00AA0A7D"/>
    <w:rsid w:val="00AA1249"/>
    <w:rsid w:val="00AA1F91"/>
    <w:rsid w:val="00AA2121"/>
    <w:rsid w:val="00AC6D1A"/>
    <w:rsid w:val="00AD06BC"/>
    <w:rsid w:val="00AD4D35"/>
    <w:rsid w:val="00AD7A11"/>
    <w:rsid w:val="00AE2BDA"/>
    <w:rsid w:val="00AF11B2"/>
    <w:rsid w:val="00AF143E"/>
    <w:rsid w:val="00AF3A2F"/>
    <w:rsid w:val="00AF490D"/>
    <w:rsid w:val="00B17E7D"/>
    <w:rsid w:val="00B206C1"/>
    <w:rsid w:val="00B5512F"/>
    <w:rsid w:val="00B57B06"/>
    <w:rsid w:val="00B650BE"/>
    <w:rsid w:val="00B72BA2"/>
    <w:rsid w:val="00B74604"/>
    <w:rsid w:val="00B86B29"/>
    <w:rsid w:val="00B91AD7"/>
    <w:rsid w:val="00B955AE"/>
    <w:rsid w:val="00BC3237"/>
    <w:rsid w:val="00BC6DF3"/>
    <w:rsid w:val="00BD2E20"/>
    <w:rsid w:val="00BD6DF6"/>
    <w:rsid w:val="00BE6318"/>
    <w:rsid w:val="00BF01F7"/>
    <w:rsid w:val="00BF6337"/>
    <w:rsid w:val="00C02117"/>
    <w:rsid w:val="00C042A6"/>
    <w:rsid w:val="00C11EC5"/>
    <w:rsid w:val="00C225E3"/>
    <w:rsid w:val="00C25CE6"/>
    <w:rsid w:val="00C36711"/>
    <w:rsid w:val="00C36D71"/>
    <w:rsid w:val="00C61365"/>
    <w:rsid w:val="00C73DCB"/>
    <w:rsid w:val="00C80646"/>
    <w:rsid w:val="00C8375C"/>
    <w:rsid w:val="00C83A04"/>
    <w:rsid w:val="00C91CCC"/>
    <w:rsid w:val="00C964A0"/>
    <w:rsid w:val="00CB05D6"/>
    <w:rsid w:val="00CC1261"/>
    <w:rsid w:val="00CD257A"/>
    <w:rsid w:val="00CD4E22"/>
    <w:rsid w:val="00CF45D1"/>
    <w:rsid w:val="00CF747C"/>
    <w:rsid w:val="00D0105A"/>
    <w:rsid w:val="00D102A5"/>
    <w:rsid w:val="00D2060E"/>
    <w:rsid w:val="00D22D5D"/>
    <w:rsid w:val="00D25EAD"/>
    <w:rsid w:val="00D2635C"/>
    <w:rsid w:val="00D26C41"/>
    <w:rsid w:val="00D47924"/>
    <w:rsid w:val="00D551C0"/>
    <w:rsid w:val="00D65254"/>
    <w:rsid w:val="00D66FF3"/>
    <w:rsid w:val="00D717E6"/>
    <w:rsid w:val="00D762CB"/>
    <w:rsid w:val="00D90339"/>
    <w:rsid w:val="00D90ADA"/>
    <w:rsid w:val="00DA2FB1"/>
    <w:rsid w:val="00DB3888"/>
    <w:rsid w:val="00DB4D51"/>
    <w:rsid w:val="00DC6914"/>
    <w:rsid w:val="00DD2AD9"/>
    <w:rsid w:val="00DD4429"/>
    <w:rsid w:val="00DD5CDA"/>
    <w:rsid w:val="00DD73B7"/>
    <w:rsid w:val="00DE2B50"/>
    <w:rsid w:val="00DF4A6E"/>
    <w:rsid w:val="00DF5AD2"/>
    <w:rsid w:val="00DF5AF9"/>
    <w:rsid w:val="00E40B58"/>
    <w:rsid w:val="00E659E6"/>
    <w:rsid w:val="00E70FE6"/>
    <w:rsid w:val="00E77E31"/>
    <w:rsid w:val="00E828DD"/>
    <w:rsid w:val="00EA2F18"/>
    <w:rsid w:val="00EB45D1"/>
    <w:rsid w:val="00EC0491"/>
    <w:rsid w:val="00ED35E0"/>
    <w:rsid w:val="00EE2B7A"/>
    <w:rsid w:val="00F00584"/>
    <w:rsid w:val="00F02107"/>
    <w:rsid w:val="00F25C4F"/>
    <w:rsid w:val="00F3528F"/>
    <w:rsid w:val="00F46272"/>
    <w:rsid w:val="00F46C17"/>
    <w:rsid w:val="00F7753A"/>
    <w:rsid w:val="00F804B2"/>
    <w:rsid w:val="00F94DD5"/>
    <w:rsid w:val="00FA04FE"/>
    <w:rsid w:val="00FA4317"/>
    <w:rsid w:val="00FB0422"/>
    <w:rsid w:val="00FB5ED5"/>
    <w:rsid w:val="00FC24A8"/>
    <w:rsid w:val="00FD5041"/>
    <w:rsid w:val="00FE6182"/>
    <w:rsid w:val="05D05AED"/>
    <w:rsid w:val="0A956166"/>
    <w:rsid w:val="0BF902FC"/>
    <w:rsid w:val="0DE3532D"/>
    <w:rsid w:val="0E047776"/>
    <w:rsid w:val="183B7320"/>
    <w:rsid w:val="1A151C1D"/>
    <w:rsid w:val="2468083F"/>
    <w:rsid w:val="2D5E17C3"/>
    <w:rsid w:val="2E112BA2"/>
    <w:rsid w:val="3916379E"/>
    <w:rsid w:val="405C3D1C"/>
    <w:rsid w:val="4E52248E"/>
    <w:rsid w:val="500233CF"/>
    <w:rsid w:val="562750D0"/>
    <w:rsid w:val="59A05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2"/>
    <w:semiHidden/>
    <w:unhideWhenUsed/>
    <w:qFormat/>
    <w:uiPriority w:val="0"/>
    <w:pPr>
      <w:keepNext/>
      <w:keepLines/>
      <w:spacing w:before="260" w:after="260" w:line="415"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99"/>
    <w:rPr>
      <w:b/>
      <w:bCs/>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semiHidden/>
    <w:unhideWhenUsed/>
    <w:qFormat/>
    <w:uiPriority w:val="99"/>
    <w:rPr>
      <w:sz w:val="21"/>
      <w:szCs w:val="21"/>
    </w:rPr>
  </w:style>
  <w:style w:type="character" w:customStyle="1" w:styleId="12">
    <w:name w:val="标题 3 字符"/>
    <w:link w:val="2"/>
    <w:semiHidden/>
    <w:qFormat/>
    <w:uiPriority w:val="0"/>
    <w:rPr>
      <w:rFonts w:ascii="Times New Roman" w:hAnsi="Times New Roman" w:eastAsia="宋体" w:cs="Times New Roman"/>
      <w:b/>
      <w:bCs/>
      <w:sz w:val="32"/>
      <w:szCs w:val="32"/>
    </w:rPr>
  </w:style>
  <w:style w:type="character" w:customStyle="1" w:styleId="13">
    <w:name w:val="页眉 字符"/>
    <w:link w:val="6"/>
    <w:qFormat/>
    <w:uiPriority w:val="99"/>
    <w:rPr>
      <w:rFonts w:ascii="Times New Roman" w:hAnsi="Times New Roman"/>
      <w:kern w:val="2"/>
      <w:sz w:val="18"/>
      <w:szCs w:val="18"/>
    </w:rPr>
  </w:style>
  <w:style w:type="character" w:customStyle="1" w:styleId="14">
    <w:name w:val="页脚 字符"/>
    <w:link w:val="5"/>
    <w:qFormat/>
    <w:uiPriority w:val="99"/>
    <w:rPr>
      <w:rFonts w:ascii="Times New Roman" w:hAnsi="Times New Roman"/>
      <w:kern w:val="2"/>
      <w:sz w:val="18"/>
      <w:szCs w:val="18"/>
    </w:rPr>
  </w:style>
  <w:style w:type="character" w:customStyle="1" w:styleId="15">
    <w:name w:val="批注框文本 字符"/>
    <w:link w:val="4"/>
    <w:semiHidden/>
    <w:qFormat/>
    <w:uiPriority w:val="99"/>
    <w:rPr>
      <w:rFonts w:ascii="Times New Roman" w:hAnsi="Times New Roman"/>
      <w:kern w:val="2"/>
      <w:sz w:val="18"/>
      <w:szCs w:val="18"/>
    </w:rPr>
  </w:style>
  <w:style w:type="character" w:customStyle="1" w:styleId="16">
    <w:name w:val="批注文字 字符"/>
    <w:link w:val="3"/>
    <w:semiHidden/>
    <w:qFormat/>
    <w:uiPriority w:val="99"/>
    <w:rPr>
      <w:rFonts w:ascii="Times New Roman" w:hAnsi="Times New Roman"/>
      <w:kern w:val="2"/>
      <w:sz w:val="21"/>
      <w:szCs w:val="24"/>
    </w:rPr>
  </w:style>
  <w:style w:type="character" w:customStyle="1" w:styleId="17">
    <w:name w:val="批注主题 字符"/>
    <w:link w:val="7"/>
    <w:semiHidden/>
    <w:qFormat/>
    <w:uiPriority w:val="99"/>
    <w:rPr>
      <w:rFonts w:ascii="Times New Roman" w:hAnsi="Times New Roman"/>
      <w:b/>
      <w:bCs/>
      <w:kern w:val="2"/>
      <w:sz w:val="21"/>
      <w:szCs w:val="24"/>
    </w:rPr>
  </w:style>
  <w:style w:type="paragraph" w:customStyle="1" w:styleId="1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142</Words>
  <Characters>810</Characters>
  <Lines>6</Lines>
  <Paragraphs>1</Paragraphs>
  <TotalTime>0</TotalTime>
  <ScaleCrop>false</ScaleCrop>
  <LinksUpToDate>false</LinksUpToDate>
  <CharactersWithSpaces>951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2018-06-26T02:53:00Z</dcterms:created>
  <dc:creator>王晚婷</dc:creator>
  <cp:lastModifiedBy>haotingting</cp:lastModifiedBy>
  <dcterms:modified xsi:type="dcterms:W3CDTF">2025-12-17T02:54:51Z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8CC8C46407CA47BEA1B2C7B031063945</vt:lpwstr>
  </property>
</Properties>
</file>