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cs="宋体" w:eastAsiaTheme="minorEastAsia"/>
          <w:b/>
          <w:kern w:val="0"/>
          <w:sz w:val="30"/>
          <w:szCs w:val="30"/>
        </w:rPr>
      </w:pPr>
      <w:bookmarkStart w:id="2" w:name="_GoBack"/>
      <w:r>
        <w:rPr>
          <w:rFonts w:hint="eastAsia" w:cs="宋体" w:eastAsiaTheme="minorEastAsia"/>
          <w:b/>
          <w:kern w:val="0"/>
          <w:sz w:val="30"/>
          <w:szCs w:val="30"/>
        </w:rPr>
        <w:t>交银施罗德基金管理有限公司关于交银施罗德中证智选沪深港科技50交易型开放式指数证券投资基金基金合同生效公告</w:t>
      </w:r>
      <w:bookmarkEnd w:id="2"/>
    </w:p>
    <w:p>
      <w:pPr>
        <w:jc w:val="center"/>
        <w:rPr>
          <w:rFonts w:cs="宋体" w:eastAsiaTheme="minorEastAsia"/>
          <w:kern w:val="0"/>
          <w:sz w:val="24"/>
          <w:szCs w:val="24"/>
        </w:rPr>
      </w:pPr>
      <w:r>
        <w:rPr>
          <w:rFonts w:hint="eastAsia" w:eastAsiaTheme="minorEastAsia"/>
          <w:color w:val="000000"/>
          <w:sz w:val="24"/>
          <w:szCs w:val="24"/>
        </w:rPr>
        <w:t>公告送出日期：</w:t>
      </w:r>
      <w:r>
        <w:rPr>
          <w:rFonts w:hint="eastAsia" w:eastAsiaTheme="minorEastAsia"/>
          <w:bCs/>
          <w:sz w:val="24"/>
          <w:szCs w:val="24"/>
        </w:rPr>
        <w:t>202</w:t>
      </w:r>
      <w:r>
        <w:rPr>
          <w:rFonts w:eastAsiaTheme="minorEastAsia"/>
          <w:bCs/>
          <w:sz w:val="24"/>
          <w:szCs w:val="24"/>
        </w:rPr>
        <w:t>5</w:t>
      </w:r>
      <w:r>
        <w:rPr>
          <w:rFonts w:hint="eastAsia" w:eastAsiaTheme="minorEastAsia"/>
          <w:bCs/>
          <w:sz w:val="24"/>
          <w:szCs w:val="24"/>
        </w:rPr>
        <w:t>年</w:t>
      </w:r>
      <w:r>
        <w:rPr>
          <w:rFonts w:eastAsiaTheme="minorEastAsia"/>
          <w:bCs/>
          <w:sz w:val="24"/>
          <w:szCs w:val="24"/>
        </w:rPr>
        <w:t>12</w:t>
      </w:r>
      <w:r>
        <w:rPr>
          <w:rFonts w:hint="eastAsia" w:eastAsiaTheme="minorEastAsia"/>
          <w:bCs/>
          <w:sz w:val="24"/>
          <w:szCs w:val="24"/>
        </w:rPr>
        <w:t>月</w:t>
      </w:r>
      <w:r>
        <w:rPr>
          <w:rFonts w:eastAsiaTheme="minorEastAsia"/>
          <w:bCs/>
          <w:sz w:val="24"/>
          <w:szCs w:val="24"/>
        </w:rPr>
        <w:t>11</w:t>
      </w:r>
      <w:r>
        <w:rPr>
          <w:rFonts w:hint="eastAsia" w:eastAsiaTheme="minorEastAsia"/>
          <w:bCs/>
          <w:sz w:val="24"/>
          <w:szCs w:val="24"/>
        </w:rPr>
        <w:t>日</w:t>
      </w:r>
    </w:p>
    <w:p>
      <w:pPr>
        <w:spacing w:line="560" w:lineRule="exact"/>
        <w:rPr>
          <w:rFonts w:eastAsiaTheme="minorEastAsia"/>
          <w:color w:val="000000"/>
          <w:sz w:val="24"/>
          <w:szCs w:val="24"/>
        </w:rPr>
      </w:pPr>
    </w:p>
    <w:p>
      <w:pPr>
        <w:pStyle w:val="2"/>
        <w:spacing w:line="560" w:lineRule="exact"/>
        <w:rPr>
          <w:rFonts w:ascii="Times New Roman" w:hAnsi="Times New Roman" w:eastAsiaTheme="minorEastAsia"/>
          <w:bCs w:val="0"/>
          <w:color w:val="000000"/>
          <w:sz w:val="24"/>
          <w:szCs w:val="24"/>
        </w:rPr>
      </w:pPr>
      <w:bookmarkStart w:id="0" w:name="_Toc275961391"/>
      <w:r>
        <w:rPr>
          <w:rFonts w:ascii="Times New Roman" w:hAnsi="Times New Roman" w:eastAsiaTheme="minorEastAsia"/>
          <w:bCs w:val="0"/>
          <w:color w:val="000000"/>
          <w:sz w:val="24"/>
          <w:szCs w:val="24"/>
        </w:rPr>
        <w:t>1 公告基本信息</w:t>
      </w:r>
      <w:bookmarkEnd w:id="0"/>
    </w:p>
    <w:tbl>
      <w:tblPr>
        <w:tblStyle w:val="10"/>
        <w:tblW w:w="52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50"/>
        <w:gridCol w:w="5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716" w:type="pct"/>
            <w:vAlign w:val="center"/>
          </w:tcPr>
          <w:p>
            <w:pPr>
              <w:spacing w:line="560" w:lineRule="exact"/>
              <w:rPr>
                <w:rFonts w:eastAsiaTheme="minorEastAsia"/>
                <w:color w:val="000000"/>
                <w:sz w:val="24"/>
                <w:szCs w:val="24"/>
              </w:rPr>
            </w:pPr>
            <w:r>
              <w:rPr>
                <w:rFonts w:eastAsiaTheme="minorEastAsia"/>
                <w:color w:val="000000"/>
                <w:sz w:val="24"/>
                <w:szCs w:val="24"/>
              </w:rPr>
              <w:t>基金名称</w:t>
            </w:r>
          </w:p>
        </w:tc>
        <w:tc>
          <w:tcPr>
            <w:tcW w:w="3284" w:type="pct"/>
            <w:vAlign w:val="center"/>
          </w:tcPr>
          <w:p>
            <w:pPr>
              <w:rPr>
                <w:rFonts w:eastAsiaTheme="minorEastAsia"/>
                <w:sz w:val="24"/>
                <w:szCs w:val="24"/>
              </w:rPr>
            </w:pPr>
            <w:r>
              <w:rPr>
                <w:rFonts w:hint="eastAsia" w:eastAsiaTheme="minorEastAsia"/>
                <w:sz w:val="24"/>
                <w:szCs w:val="24"/>
              </w:rPr>
              <w:t>交银施罗德中证智选沪深港科技50交易型开放式指数证券投资基金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716" w:type="pct"/>
            <w:vAlign w:val="center"/>
          </w:tcPr>
          <w:p>
            <w:pPr>
              <w:spacing w:line="560" w:lineRule="exact"/>
              <w:rPr>
                <w:rFonts w:eastAsiaTheme="minorEastAsia"/>
                <w:color w:val="000000"/>
                <w:sz w:val="24"/>
                <w:szCs w:val="24"/>
              </w:rPr>
            </w:pPr>
            <w:r>
              <w:rPr>
                <w:rFonts w:eastAsiaTheme="minorEastAsia"/>
                <w:color w:val="000000"/>
                <w:sz w:val="24"/>
                <w:szCs w:val="24"/>
              </w:rPr>
              <w:t>基金简称</w:t>
            </w:r>
          </w:p>
        </w:tc>
        <w:tc>
          <w:tcPr>
            <w:tcW w:w="3284" w:type="pct"/>
            <w:vAlign w:val="center"/>
          </w:tcPr>
          <w:p>
            <w:pPr>
              <w:rPr>
                <w:rFonts w:eastAsiaTheme="minorEastAsia"/>
                <w:sz w:val="24"/>
                <w:szCs w:val="24"/>
              </w:rPr>
            </w:pPr>
            <w:r>
              <w:rPr>
                <w:rFonts w:hint="eastAsia" w:eastAsiaTheme="minorEastAsia"/>
                <w:sz w:val="24"/>
                <w:szCs w:val="24"/>
              </w:rPr>
              <w:t>交银中证智选沪深港科技50E</w:t>
            </w:r>
            <w:r>
              <w:rPr>
                <w:rFonts w:eastAsiaTheme="minorEastAsia"/>
                <w:sz w:val="24"/>
                <w:szCs w:val="24"/>
              </w:rPr>
              <w:t>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716" w:type="pct"/>
            <w:vAlign w:val="center"/>
          </w:tcPr>
          <w:p>
            <w:pPr>
              <w:spacing w:line="560" w:lineRule="exact"/>
              <w:rPr>
                <w:rFonts w:eastAsiaTheme="minorEastAsia"/>
                <w:color w:val="000000"/>
                <w:sz w:val="24"/>
                <w:szCs w:val="24"/>
              </w:rPr>
            </w:pPr>
            <w:r>
              <w:rPr>
                <w:rFonts w:eastAsiaTheme="minorEastAsia"/>
                <w:color w:val="000000"/>
                <w:sz w:val="24"/>
                <w:szCs w:val="24"/>
              </w:rPr>
              <w:t>基金主代码</w:t>
            </w:r>
          </w:p>
        </w:tc>
        <w:tc>
          <w:tcPr>
            <w:tcW w:w="3284" w:type="pct"/>
            <w:vAlign w:val="center"/>
          </w:tcPr>
          <w:p>
            <w:pPr>
              <w:rPr>
                <w:rFonts w:eastAsiaTheme="minorEastAsia"/>
                <w:sz w:val="24"/>
                <w:szCs w:val="24"/>
              </w:rPr>
            </w:pPr>
            <w:r>
              <w:rPr>
                <w:rFonts w:eastAsiaTheme="minorEastAsia"/>
                <w:sz w:val="24"/>
                <w:szCs w:val="24"/>
              </w:rPr>
              <w:t>517950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716" w:type="pct"/>
            <w:vAlign w:val="center"/>
          </w:tcPr>
          <w:p>
            <w:pPr>
              <w:spacing w:line="560" w:lineRule="exact"/>
              <w:rPr>
                <w:rFonts w:eastAsiaTheme="minorEastAsia"/>
                <w:color w:val="000000"/>
                <w:sz w:val="24"/>
                <w:szCs w:val="24"/>
              </w:rPr>
            </w:pPr>
            <w:r>
              <w:rPr>
                <w:rFonts w:eastAsiaTheme="minorEastAsia"/>
                <w:color w:val="000000"/>
                <w:sz w:val="24"/>
                <w:szCs w:val="24"/>
              </w:rPr>
              <w:t>基金运作方式</w:t>
            </w:r>
          </w:p>
        </w:tc>
        <w:tc>
          <w:tcPr>
            <w:tcW w:w="3284" w:type="pct"/>
            <w:vAlign w:val="center"/>
          </w:tcPr>
          <w:p>
            <w:pPr>
              <w:rPr>
                <w:rFonts w:eastAsiaTheme="minorEastAsia"/>
                <w:sz w:val="24"/>
                <w:szCs w:val="24"/>
              </w:rPr>
            </w:pPr>
            <w:r>
              <w:rPr>
                <w:rFonts w:hint="eastAsia" w:eastAsiaTheme="minorEastAsia"/>
                <w:sz w:val="24"/>
                <w:szCs w:val="24"/>
              </w:rPr>
              <w:t>交易</w:t>
            </w:r>
            <w:r>
              <w:rPr>
                <w:rFonts w:eastAsiaTheme="minorEastAsia"/>
                <w:sz w:val="24"/>
                <w:szCs w:val="24"/>
              </w:rPr>
              <w:t>型</w:t>
            </w:r>
            <w:r>
              <w:rPr>
                <w:rFonts w:hint="eastAsia" w:eastAsiaTheme="minorEastAsia"/>
                <w:sz w:val="24"/>
                <w:szCs w:val="24"/>
              </w:rPr>
              <w:t>开放式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716" w:type="pct"/>
            <w:vAlign w:val="center"/>
          </w:tcPr>
          <w:p>
            <w:pPr>
              <w:spacing w:line="560" w:lineRule="exact"/>
              <w:rPr>
                <w:rFonts w:eastAsiaTheme="minorEastAsia"/>
                <w:color w:val="000000"/>
                <w:sz w:val="24"/>
                <w:szCs w:val="24"/>
              </w:rPr>
            </w:pPr>
            <w:r>
              <w:rPr>
                <w:rFonts w:eastAsiaTheme="minorEastAsia"/>
                <w:color w:val="000000"/>
                <w:sz w:val="24"/>
                <w:szCs w:val="24"/>
              </w:rPr>
              <w:t>基金合同生效日</w:t>
            </w:r>
          </w:p>
        </w:tc>
        <w:tc>
          <w:tcPr>
            <w:tcW w:w="3284" w:type="pct"/>
            <w:vAlign w:val="center"/>
          </w:tcPr>
          <w:p>
            <w:pPr>
              <w:rPr>
                <w:rFonts w:eastAsiaTheme="minorEastAsia"/>
                <w:sz w:val="24"/>
                <w:szCs w:val="24"/>
              </w:rPr>
            </w:pPr>
            <w:r>
              <w:rPr>
                <w:rFonts w:hint="eastAsia" w:eastAsiaTheme="minorEastAsia"/>
                <w:sz w:val="24"/>
                <w:szCs w:val="24"/>
              </w:rPr>
              <w:t>202</w:t>
            </w:r>
            <w:r>
              <w:rPr>
                <w:rFonts w:eastAsiaTheme="minorEastAsia"/>
                <w:sz w:val="24"/>
                <w:szCs w:val="24"/>
              </w:rPr>
              <w:t>5</w:t>
            </w:r>
            <w:r>
              <w:rPr>
                <w:rFonts w:hint="eastAsia" w:eastAsiaTheme="minorEastAsia"/>
                <w:sz w:val="24"/>
                <w:szCs w:val="24"/>
              </w:rPr>
              <w:t>年</w:t>
            </w:r>
            <w:r>
              <w:rPr>
                <w:rFonts w:eastAsiaTheme="minorEastAsia"/>
                <w:sz w:val="24"/>
                <w:szCs w:val="24"/>
              </w:rPr>
              <w:t>12</w:t>
            </w:r>
            <w:r>
              <w:rPr>
                <w:rFonts w:hint="eastAsia" w:eastAsiaTheme="minorEastAsia"/>
                <w:sz w:val="24"/>
                <w:szCs w:val="24"/>
              </w:rPr>
              <w:t>月</w:t>
            </w:r>
            <w:r>
              <w:rPr>
                <w:rFonts w:eastAsiaTheme="minorEastAsia"/>
                <w:sz w:val="24"/>
                <w:szCs w:val="24"/>
              </w:rPr>
              <w:t>10</w:t>
            </w:r>
            <w:r>
              <w:rPr>
                <w:rFonts w:hint="eastAsia" w:eastAsiaTheme="minorEastAsia"/>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716" w:type="pct"/>
            <w:vAlign w:val="center"/>
          </w:tcPr>
          <w:p>
            <w:pPr>
              <w:spacing w:line="560" w:lineRule="exact"/>
              <w:rPr>
                <w:rFonts w:eastAsiaTheme="minorEastAsia"/>
                <w:color w:val="000000"/>
                <w:sz w:val="24"/>
                <w:szCs w:val="24"/>
              </w:rPr>
            </w:pPr>
            <w:r>
              <w:rPr>
                <w:rFonts w:eastAsiaTheme="minorEastAsia"/>
                <w:color w:val="000000"/>
                <w:sz w:val="24"/>
                <w:szCs w:val="24"/>
              </w:rPr>
              <w:t>基金管理人名称</w:t>
            </w:r>
          </w:p>
        </w:tc>
        <w:tc>
          <w:tcPr>
            <w:tcW w:w="3284" w:type="pct"/>
            <w:vAlign w:val="center"/>
          </w:tcPr>
          <w:p>
            <w:pPr>
              <w:rPr>
                <w:rFonts w:eastAsiaTheme="minorEastAsia"/>
                <w:sz w:val="24"/>
                <w:szCs w:val="24"/>
              </w:rPr>
            </w:pPr>
            <w:r>
              <w:rPr>
                <w:rFonts w:eastAsiaTheme="minorEastAsia"/>
                <w:sz w:val="24"/>
                <w:szCs w:val="24"/>
              </w:rPr>
              <w:t>交银施罗德基金管理有限公司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716" w:type="pct"/>
            <w:vAlign w:val="center"/>
          </w:tcPr>
          <w:p>
            <w:pPr>
              <w:spacing w:line="560" w:lineRule="exact"/>
              <w:rPr>
                <w:rFonts w:eastAsiaTheme="minorEastAsia"/>
                <w:color w:val="000000"/>
                <w:sz w:val="24"/>
                <w:szCs w:val="24"/>
              </w:rPr>
            </w:pPr>
            <w:r>
              <w:rPr>
                <w:rFonts w:eastAsiaTheme="minorEastAsia"/>
                <w:color w:val="000000"/>
                <w:sz w:val="24"/>
                <w:szCs w:val="24"/>
              </w:rPr>
              <w:t>基金托管人名称</w:t>
            </w:r>
          </w:p>
        </w:tc>
        <w:tc>
          <w:tcPr>
            <w:tcW w:w="3284" w:type="pct"/>
            <w:vAlign w:val="center"/>
          </w:tcPr>
          <w:p>
            <w:pPr>
              <w:rPr>
                <w:rFonts w:eastAsiaTheme="minorEastAsia"/>
                <w:sz w:val="24"/>
                <w:szCs w:val="24"/>
              </w:rPr>
            </w:pPr>
            <w:r>
              <w:rPr>
                <w:rFonts w:hint="eastAsia" w:eastAsiaTheme="minorEastAsia"/>
                <w:sz w:val="24"/>
                <w:szCs w:val="24"/>
              </w:rPr>
              <w:t>国泰海通证券股份有限公司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716" w:type="pct"/>
            <w:vAlign w:val="center"/>
          </w:tcPr>
          <w:p>
            <w:pPr>
              <w:spacing w:line="560" w:lineRule="exact"/>
              <w:rPr>
                <w:rFonts w:eastAsiaTheme="minorEastAsia"/>
                <w:color w:val="000000"/>
                <w:sz w:val="24"/>
                <w:szCs w:val="24"/>
              </w:rPr>
            </w:pPr>
            <w:r>
              <w:rPr>
                <w:rFonts w:eastAsiaTheme="minorEastAsia"/>
                <w:color w:val="000000"/>
                <w:sz w:val="24"/>
                <w:szCs w:val="24"/>
              </w:rPr>
              <w:t>公告依据</w:t>
            </w:r>
          </w:p>
        </w:tc>
        <w:tc>
          <w:tcPr>
            <w:tcW w:w="3284" w:type="pct"/>
            <w:vAlign w:val="center"/>
          </w:tcPr>
          <w:p>
            <w:pPr>
              <w:rPr>
                <w:rFonts w:eastAsiaTheme="minorEastAsia"/>
                <w:sz w:val="24"/>
                <w:szCs w:val="24"/>
              </w:rPr>
            </w:pPr>
            <w:r>
              <w:rPr>
                <w:rFonts w:eastAsiaTheme="minorEastAsia"/>
                <w:sz w:val="24"/>
                <w:szCs w:val="24"/>
              </w:rPr>
              <w:t>《</w:t>
            </w:r>
            <w:r>
              <w:rPr>
                <w:rFonts w:hint="eastAsia" w:eastAsiaTheme="minorEastAsia"/>
                <w:sz w:val="24"/>
                <w:szCs w:val="24"/>
              </w:rPr>
              <w:t>交银施罗德中证智选沪深港科技50交易型开放式指数证券投资基金</w:t>
            </w:r>
            <w:r>
              <w:rPr>
                <w:rFonts w:eastAsiaTheme="minorEastAsia"/>
                <w:sz w:val="24"/>
                <w:szCs w:val="24"/>
              </w:rPr>
              <w:t>基金合同》、《</w:t>
            </w:r>
            <w:r>
              <w:rPr>
                <w:rFonts w:hint="eastAsia" w:eastAsiaTheme="minorEastAsia"/>
                <w:sz w:val="24"/>
                <w:szCs w:val="24"/>
              </w:rPr>
              <w:t>交银施罗德中证智选沪深港科技50交易型开放式指数证券投资基金</w:t>
            </w:r>
            <w:r>
              <w:rPr>
                <w:rFonts w:eastAsiaTheme="minorEastAsia"/>
                <w:sz w:val="24"/>
                <w:szCs w:val="24"/>
              </w:rPr>
              <w:t>招募说明书》等</w:t>
            </w:r>
          </w:p>
        </w:tc>
      </w:tr>
    </w:tbl>
    <w:p>
      <w:pPr>
        <w:rPr>
          <w:rFonts w:eastAsiaTheme="minorEastAsia"/>
          <w:sz w:val="24"/>
          <w:szCs w:val="24"/>
        </w:rPr>
      </w:pPr>
      <w:bookmarkStart w:id="1" w:name="_Toc275961392"/>
      <w:r>
        <w:rPr>
          <w:rFonts w:hint="eastAsia" w:eastAsiaTheme="minorEastAsia"/>
          <w:sz w:val="24"/>
          <w:szCs w:val="24"/>
        </w:rPr>
        <w:t>注：交银施罗德中证智选沪深港科技50交易型开放式指数证券投资基金场内简称为“交银科技”，场内扩位简称为“沪深港科技50ETF交银”。</w:t>
      </w:r>
    </w:p>
    <w:p>
      <w:pPr>
        <w:pStyle w:val="2"/>
        <w:spacing w:line="530" w:lineRule="exact"/>
        <w:rPr>
          <w:rFonts w:ascii="Times New Roman" w:hAnsi="Times New Roman" w:eastAsiaTheme="minorEastAsia"/>
          <w:bCs w:val="0"/>
          <w:color w:val="000000"/>
          <w:sz w:val="24"/>
          <w:szCs w:val="24"/>
        </w:rPr>
      </w:pPr>
      <w:r>
        <w:rPr>
          <w:rFonts w:ascii="Times New Roman" w:hAnsi="Times New Roman" w:eastAsiaTheme="minorEastAsia"/>
          <w:bCs w:val="0"/>
          <w:color w:val="000000"/>
          <w:sz w:val="24"/>
          <w:szCs w:val="24"/>
        </w:rPr>
        <w:t>2 基金募集情况</w:t>
      </w:r>
      <w:bookmarkEnd w:id="1"/>
    </w:p>
    <w:tbl>
      <w:tblPr>
        <w:tblStyle w:val="10"/>
        <w:tblpPr w:leftFromText="180" w:rightFromText="180" w:vertAnchor="text" w:tblpXSpec="center" w:tblpY="1"/>
        <w:tblOverlap w:val="never"/>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3118"/>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exact"/>
        </w:trPr>
        <w:tc>
          <w:tcPr>
            <w:tcW w:w="5807" w:type="dxa"/>
            <w:gridSpan w:val="2"/>
            <w:vAlign w:val="center"/>
          </w:tcPr>
          <w:p>
            <w:pPr>
              <w:rPr>
                <w:rFonts w:eastAsiaTheme="minorEastAsia"/>
                <w:color w:val="000000"/>
                <w:sz w:val="24"/>
                <w:szCs w:val="24"/>
              </w:rPr>
            </w:pPr>
            <w:r>
              <w:rPr>
                <w:rFonts w:eastAsiaTheme="minorEastAsia"/>
                <w:color w:val="000000"/>
                <w:sz w:val="24"/>
                <w:szCs w:val="24"/>
              </w:rPr>
              <w:t>基金募集申请获中国证监会</w:t>
            </w:r>
            <w:r>
              <w:rPr>
                <w:rFonts w:hint="eastAsia" w:eastAsiaTheme="minorEastAsia"/>
                <w:color w:val="000000"/>
                <w:sz w:val="24"/>
                <w:szCs w:val="24"/>
              </w:rPr>
              <w:t>准予注册</w:t>
            </w:r>
            <w:r>
              <w:rPr>
                <w:rFonts w:eastAsiaTheme="minorEastAsia"/>
                <w:color w:val="000000"/>
                <w:sz w:val="24"/>
                <w:szCs w:val="24"/>
              </w:rPr>
              <w:t>的文号</w:t>
            </w:r>
          </w:p>
        </w:tc>
        <w:tc>
          <w:tcPr>
            <w:tcW w:w="3119" w:type="dxa"/>
            <w:vAlign w:val="center"/>
          </w:tcPr>
          <w:p>
            <w:pPr>
              <w:rPr>
                <w:rFonts w:eastAsiaTheme="minorEastAsia"/>
                <w:sz w:val="24"/>
                <w:szCs w:val="24"/>
              </w:rPr>
            </w:pPr>
            <w:r>
              <w:rPr>
                <w:rFonts w:hint="eastAsia" w:eastAsiaTheme="minorEastAsia"/>
                <w:sz w:val="24"/>
                <w:szCs w:val="24"/>
              </w:rPr>
              <w:t>证监许可【202</w:t>
            </w:r>
            <w:r>
              <w:rPr>
                <w:rFonts w:eastAsiaTheme="minorEastAsia"/>
                <w:sz w:val="24"/>
                <w:szCs w:val="24"/>
              </w:rPr>
              <w:t>5</w:t>
            </w:r>
            <w:r>
              <w:rPr>
                <w:rFonts w:hint="eastAsia" w:eastAsiaTheme="minorEastAsia"/>
                <w:sz w:val="24"/>
                <w:szCs w:val="24"/>
              </w:rPr>
              <w:t>】</w:t>
            </w:r>
            <w:r>
              <w:rPr>
                <w:rFonts w:eastAsiaTheme="minorEastAsia"/>
                <w:sz w:val="24"/>
                <w:szCs w:val="24"/>
              </w:rPr>
              <w:t>2287</w:t>
            </w:r>
            <w:r>
              <w:rPr>
                <w:rFonts w:hint="eastAsia" w:eastAsiaTheme="minorEastAsia"/>
                <w:sz w:val="24"/>
                <w:szCs w:val="24"/>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5807" w:type="dxa"/>
            <w:gridSpan w:val="2"/>
            <w:vAlign w:val="center"/>
          </w:tcPr>
          <w:p>
            <w:pPr>
              <w:spacing w:line="530" w:lineRule="exact"/>
              <w:rPr>
                <w:rFonts w:eastAsiaTheme="minorEastAsia"/>
                <w:color w:val="000000"/>
                <w:sz w:val="24"/>
                <w:szCs w:val="24"/>
              </w:rPr>
            </w:pPr>
            <w:r>
              <w:rPr>
                <w:rFonts w:eastAsiaTheme="minorEastAsia"/>
                <w:color w:val="000000"/>
                <w:sz w:val="24"/>
                <w:szCs w:val="24"/>
              </w:rPr>
              <w:t>基金募集期间</w:t>
            </w:r>
          </w:p>
        </w:tc>
        <w:tc>
          <w:tcPr>
            <w:tcW w:w="3119" w:type="dxa"/>
            <w:vAlign w:val="center"/>
          </w:tcPr>
          <w:p>
            <w:pPr>
              <w:rPr>
                <w:rFonts w:eastAsiaTheme="minorEastAsia"/>
                <w:sz w:val="24"/>
                <w:szCs w:val="24"/>
              </w:rPr>
            </w:pPr>
            <w:r>
              <w:rPr>
                <w:rFonts w:hint="eastAsia" w:eastAsiaTheme="minorEastAsia"/>
                <w:sz w:val="24"/>
                <w:szCs w:val="24"/>
              </w:rPr>
              <w:t>自202</w:t>
            </w:r>
            <w:r>
              <w:rPr>
                <w:rFonts w:eastAsiaTheme="minorEastAsia"/>
                <w:sz w:val="24"/>
                <w:szCs w:val="24"/>
              </w:rPr>
              <w:t>5</w:t>
            </w:r>
            <w:r>
              <w:rPr>
                <w:rFonts w:hint="eastAsia" w:eastAsiaTheme="minorEastAsia"/>
                <w:sz w:val="24"/>
                <w:szCs w:val="24"/>
              </w:rPr>
              <w:t>年</w:t>
            </w:r>
            <w:r>
              <w:rPr>
                <w:rFonts w:eastAsiaTheme="minorEastAsia"/>
                <w:sz w:val="24"/>
                <w:szCs w:val="24"/>
              </w:rPr>
              <w:t>12</w:t>
            </w:r>
            <w:r>
              <w:rPr>
                <w:rFonts w:hint="eastAsia" w:eastAsiaTheme="minorEastAsia"/>
                <w:sz w:val="24"/>
                <w:szCs w:val="24"/>
              </w:rPr>
              <w:t>月</w:t>
            </w:r>
            <w:r>
              <w:rPr>
                <w:rFonts w:eastAsiaTheme="minorEastAsia"/>
                <w:sz w:val="24"/>
                <w:szCs w:val="24"/>
              </w:rPr>
              <w:t>1</w:t>
            </w:r>
            <w:r>
              <w:rPr>
                <w:rFonts w:hint="eastAsia" w:eastAsiaTheme="minorEastAsia"/>
                <w:sz w:val="24"/>
                <w:szCs w:val="24"/>
              </w:rPr>
              <w:t>日</w:t>
            </w:r>
          </w:p>
          <w:p>
            <w:pPr>
              <w:rPr>
                <w:rFonts w:eastAsiaTheme="minorEastAsia"/>
                <w:sz w:val="24"/>
                <w:szCs w:val="24"/>
              </w:rPr>
            </w:pPr>
            <w:r>
              <w:rPr>
                <w:rFonts w:hint="eastAsia" w:eastAsiaTheme="minorEastAsia"/>
                <w:sz w:val="24"/>
                <w:szCs w:val="24"/>
              </w:rPr>
              <w:t>至202</w:t>
            </w:r>
            <w:r>
              <w:rPr>
                <w:rFonts w:eastAsiaTheme="minorEastAsia"/>
                <w:sz w:val="24"/>
                <w:szCs w:val="24"/>
              </w:rPr>
              <w:t>5</w:t>
            </w:r>
            <w:r>
              <w:rPr>
                <w:rFonts w:hint="eastAsia" w:eastAsiaTheme="minorEastAsia"/>
                <w:sz w:val="24"/>
                <w:szCs w:val="24"/>
              </w:rPr>
              <w:t>年</w:t>
            </w:r>
            <w:r>
              <w:rPr>
                <w:rFonts w:eastAsiaTheme="minorEastAsia"/>
                <w:sz w:val="24"/>
                <w:szCs w:val="24"/>
              </w:rPr>
              <w:t>12</w:t>
            </w:r>
            <w:r>
              <w:rPr>
                <w:rFonts w:hint="eastAsia" w:eastAsiaTheme="minorEastAsia"/>
                <w:sz w:val="24"/>
                <w:szCs w:val="24"/>
              </w:rPr>
              <w:t>月</w:t>
            </w:r>
            <w:r>
              <w:rPr>
                <w:rFonts w:eastAsiaTheme="minorEastAsia"/>
                <w:sz w:val="24"/>
                <w:szCs w:val="24"/>
              </w:rPr>
              <w:t>5</w:t>
            </w:r>
            <w:r>
              <w:rPr>
                <w:rFonts w:hint="eastAsia" w:eastAsiaTheme="minorEastAsia"/>
                <w:sz w:val="24"/>
                <w:szCs w:val="24"/>
              </w:rPr>
              <w:t>日</w:t>
            </w:r>
            <w:r>
              <w:rPr>
                <w:rFonts w:eastAsiaTheme="minorEastAsia"/>
                <w:sz w:val="24"/>
                <w:szCs w:val="24"/>
              </w:rPr>
              <w:t>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5807" w:type="dxa"/>
            <w:gridSpan w:val="2"/>
            <w:vAlign w:val="center"/>
          </w:tcPr>
          <w:p>
            <w:pPr>
              <w:spacing w:line="530" w:lineRule="exact"/>
              <w:rPr>
                <w:rFonts w:eastAsiaTheme="minorEastAsia"/>
                <w:color w:val="000000"/>
                <w:sz w:val="24"/>
                <w:szCs w:val="24"/>
              </w:rPr>
            </w:pPr>
            <w:r>
              <w:rPr>
                <w:rFonts w:eastAsiaTheme="minorEastAsia"/>
                <w:color w:val="000000"/>
                <w:sz w:val="24"/>
                <w:szCs w:val="24"/>
              </w:rPr>
              <w:t>验资机构名称</w:t>
            </w:r>
          </w:p>
        </w:tc>
        <w:tc>
          <w:tcPr>
            <w:tcW w:w="3119" w:type="dxa"/>
            <w:vAlign w:val="center"/>
          </w:tcPr>
          <w:p>
            <w:pPr>
              <w:rPr>
                <w:rFonts w:eastAsiaTheme="minorEastAsia"/>
                <w:sz w:val="24"/>
                <w:szCs w:val="24"/>
              </w:rPr>
            </w:pPr>
            <w:r>
              <w:rPr>
                <w:rFonts w:hint="eastAsia" w:eastAsiaTheme="minorEastAsia"/>
                <w:sz w:val="24"/>
                <w:szCs w:val="24"/>
              </w:rPr>
              <w:t>德勤华永会计师事务所（特殊普通合伙）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exact"/>
        </w:trPr>
        <w:tc>
          <w:tcPr>
            <w:tcW w:w="5807" w:type="dxa"/>
            <w:gridSpan w:val="2"/>
            <w:vAlign w:val="center"/>
          </w:tcPr>
          <w:p>
            <w:pPr>
              <w:rPr>
                <w:rFonts w:eastAsiaTheme="minorEastAsia"/>
                <w:color w:val="000000"/>
                <w:sz w:val="24"/>
                <w:szCs w:val="24"/>
              </w:rPr>
            </w:pPr>
            <w:r>
              <w:rPr>
                <w:rFonts w:hint="eastAsia" w:eastAsiaTheme="minorEastAsia"/>
                <w:color w:val="000000"/>
                <w:sz w:val="24"/>
                <w:szCs w:val="24"/>
              </w:rPr>
              <w:t>募集资金划入基金托管专户的日期</w:t>
            </w:r>
          </w:p>
        </w:tc>
        <w:tc>
          <w:tcPr>
            <w:tcW w:w="3119" w:type="dxa"/>
            <w:vAlign w:val="center"/>
          </w:tcPr>
          <w:p>
            <w:pPr>
              <w:rPr>
                <w:rFonts w:eastAsiaTheme="minorEastAsia"/>
                <w:sz w:val="24"/>
                <w:szCs w:val="24"/>
              </w:rPr>
            </w:pPr>
            <w:r>
              <w:rPr>
                <w:rFonts w:hint="eastAsia" w:eastAsiaTheme="minorEastAsia"/>
                <w:sz w:val="24"/>
                <w:szCs w:val="24"/>
              </w:rPr>
              <w:t>202</w:t>
            </w:r>
            <w:r>
              <w:rPr>
                <w:rFonts w:eastAsiaTheme="minorEastAsia"/>
                <w:sz w:val="24"/>
                <w:szCs w:val="24"/>
              </w:rPr>
              <w:t>5</w:t>
            </w:r>
            <w:r>
              <w:rPr>
                <w:rFonts w:hint="eastAsia" w:eastAsiaTheme="minorEastAsia"/>
                <w:sz w:val="24"/>
                <w:szCs w:val="24"/>
              </w:rPr>
              <w:t>年</w:t>
            </w:r>
            <w:r>
              <w:rPr>
                <w:rFonts w:eastAsiaTheme="minorEastAsia"/>
                <w:sz w:val="24"/>
                <w:szCs w:val="24"/>
              </w:rPr>
              <w:t>12</w:t>
            </w:r>
            <w:r>
              <w:rPr>
                <w:rFonts w:hint="eastAsia" w:eastAsiaTheme="minorEastAsia"/>
                <w:sz w:val="24"/>
                <w:szCs w:val="24"/>
              </w:rPr>
              <w:t>月</w:t>
            </w:r>
            <w:r>
              <w:rPr>
                <w:rFonts w:eastAsiaTheme="minorEastAsia"/>
                <w:sz w:val="24"/>
                <w:szCs w:val="24"/>
              </w:rPr>
              <w:t>10</w:t>
            </w:r>
            <w:r>
              <w:rPr>
                <w:rFonts w:hint="eastAsia" w:eastAsiaTheme="minorEastAsia"/>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exact"/>
        </w:trPr>
        <w:tc>
          <w:tcPr>
            <w:tcW w:w="5807" w:type="dxa"/>
            <w:gridSpan w:val="2"/>
            <w:vAlign w:val="center"/>
          </w:tcPr>
          <w:p>
            <w:pPr>
              <w:rPr>
                <w:rFonts w:eastAsiaTheme="minorEastAsia"/>
                <w:color w:val="000000"/>
                <w:sz w:val="24"/>
                <w:szCs w:val="24"/>
              </w:rPr>
            </w:pPr>
            <w:r>
              <w:rPr>
                <w:rFonts w:hint="eastAsia" w:eastAsiaTheme="minorEastAsia"/>
                <w:color w:val="000000"/>
                <w:sz w:val="24"/>
                <w:szCs w:val="24"/>
              </w:rPr>
              <w:t>募集有效认购总户数（单位：</w:t>
            </w:r>
            <w:r>
              <w:rPr>
                <w:rFonts w:hint="eastAsia" w:eastAsiaTheme="minorEastAsia"/>
                <w:color w:val="000000"/>
                <w:kern w:val="0"/>
                <w:sz w:val="24"/>
                <w:szCs w:val="24"/>
              </w:rPr>
              <w:t>户</w:t>
            </w:r>
            <w:r>
              <w:rPr>
                <w:rFonts w:hint="eastAsia" w:eastAsiaTheme="minorEastAsia"/>
                <w:color w:val="000000"/>
                <w:sz w:val="24"/>
                <w:szCs w:val="24"/>
              </w:rPr>
              <w:t>）</w:t>
            </w:r>
          </w:p>
        </w:tc>
        <w:tc>
          <w:tcPr>
            <w:tcW w:w="3119" w:type="dxa"/>
            <w:shd w:val="clear" w:color="auto" w:fill="auto"/>
            <w:vAlign w:val="center"/>
          </w:tcPr>
          <w:p>
            <w:pPr>
              <w:rPr>
                <w:rFonts w:eastAsiaTheme="minorEastAsia"/>
                <w:sz w:val="24"/>
                <w:szCs w:val="24"/>
              </w:rPr>
            </w:pPr>
            <w:r>
              <w:rPr>
                <w:rFonts w:eastAsiaTheme="minorEastAsia"/>
                <w:sz w:val="24"/>
                <w:szCs w:val="24"/>
              </w:rPr>
              <w:t>1</w:t>
            </w:r>
            <w:r>
              <w:rPr>
                <w:rFonts w:hint="eastAsia" w:eastAsiaTheme="minorEastAsia"/>
                <w:sz w:val="24"/>
                <w:szCs w:val="24"/>
              </w:rPr>
              <w:t>,75</w:t>
            </w:r>
            <w:r>
              <w:rPr>
                <w:rFonts w:eastAsiaTheme="minorEastAsia"/>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exact"/>
        </w:trPr>
        <w:tc>
          <w:tcPr>
            <w:tcW w:w="5807" w:type="dxa"/>
            <w:gridSpan w:val="2"/>
            <w:vAlign w:val="center"/>
          </w:tcPr>
          <w:p>
            <w:r>
              <w:rPr>
                <w:rFonts w:hint="eastAsia" w:eastAsiaTheme="minorEastAsia"/>
                <w:sz w:val="24"/>
                <w:szCs w:val="24"/>
              </w:rPr>
              <w:t>募集期间净认购金额（单位：元）</w:t>
            </w:r>
          </w:p>
        </w:tc>
        <w:tc>
          <w:tcPr>
            <w:tcW w:w="3119" w:type="dxa"/>
            <w:vAlign w:val="center"/>
          </w:tcPr>
          <w:p>
            <w:pPr>
              <w:rPr>
                <w:rFonts w:eastAsiaTheme="minorEastAsia"/>
                <w:sz w:val="24"/>
                <w:szCs w:val="24"/>
              </w:rPr>
            </w:pPr>
            <w:r>
              <w:rPr>
                <w:rFonts w:eastAsiaTheme="minorEastAsia"/>
                <w:sz w:val="24"/>
                <w:szCs w:val="24"/>
                <w:highlight w:val="none"/>
              </w:rPr>
              <w:t>392,123,000.00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exact"/>
        </w:trPr>
        <w:tc>
          <w:tcPr>
            <w:tcW w:w="5807" w:type="dxa"/>
            <w:gridSpan w:val="2"/>
            <w:vAlign w:val="center"/>
          </w:tcPr>
          <w:p>
            <w:pPr>
              <w:rPr>
                <w:rFonts w:eastAsiaTheme="minorEastAsia"/>
                <w:sz w:val="24"/>
                <w:szCs w:val="24"/>
              </w:rPr>
            </w:pPr>
            <w:r>
              <w:rPr>
                <w:rFonts w:hint="eastAsia" w:eastAsiaTheme="minorEastAsia"/>
                <w:sz w:val="24"/>
                <w:szCs w:val="24"/>
              </w:rPr>
              <w:t>认购资金在募集期间产生的利息（单位：元）</w:t>
            </w:r>
          </w:p>
        </w:tc>
        <w:tc>
          <w:tcPr>
            <w:tcW w:w="3119" w:type="dxa"/>
            <w:vAlign w:val="center"/>
          </w:tcPr>
          <w:p>
            <w:pPr>
              <w:rPr>
                <w:rFonts w:eastAsiaTheme="minorEastAsia"/>
                <w:sz w:val="24"/>
                <w:szCs w:val="24"/>
              </w:rPr>
            </w:pPr>
            <w:r>
              <w:rPr>
                <w:rFonts w:hint="eastAsia" w:eastAsiaTheme="minorEastAsia"/>
                <w:sz w:val="24"/>
                <w:szCs w:val="24"/>
                <w:highlight w:val="none"/>
              </w:rPr>
              <w:t>21,876.82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2689" w:type="dxa"/>
            <w:vMerge w:val="restart"/>
            <w:vAlign w:val="center"/>
          </w:tcPr>
          <w:p>
            <w:pPr>
              <w:rPr>
                <w:rFonts w:eastAsiaTheme="minorEastAsia"/>
                <w:color w:val="000000"/>
                <w:sz w:val="24"/>
                <w:szCs w:val="24"/>
              </w:rPr>
            </w:pPr>
            <w:r>
              <w:rPr>
                <w:rFonts w:hint="eastAsia" w:eastAsiaTheme="minorEastAsia"/>
                <w:color w:val="000000"/>
                <w:sz w:val="24"/>
                <w:szCs w:val="24"/>
              </w:rPr>
              <w:t>募集份额（单位：份）</w:t>
            </w:r>
          </w:p>
        </w:tc>
        <w:tc>
          <w:tcPr>
            <w:tcW w:w="3118" w:type="dxa"/>
            <w:vAlign w:val="center"/>
          </w:tcPr>
          <w:p>
            <w:pPr>
              <w:rPr>
                <w:rFonts w:eastAsiaTheme="minorEastAsia"/>
                <w:sz w:val="24"/>
                <w:szCs w:val="24"/>
              </w:rPr>
            </w:pPr>
            <w:r>
              <w:rPr>
                <w:rFonts w:hint="eastAsia" w:eastAsiaTheme="minorEastAsia"/>
                <w:sz w:val="24"/>
                <w:szCs w:val="24"/>
              </w:rPr>
              <w:t>有效认购份额</w:t>
            </w:r>
          </w:p>
        </w:tc>
        <w:tc>
          <w:tcPr>
            <w:tcW w:w="3119" w:type="dxa"/>
            <w:vAlign w:val="center"/>
          </w:tcPr>
          <w:p>
            <w:pPr>
              <w:rPr>
                <w:rFonts w:eastAsiaTheme="minorEastAsia"/>
                <w:sz w:val="24"/>
                <w:szCs w:val="24"/>
              </w:rPr>
            </w:pPr>
            <w:r>
              <w:rPr>
                <w:rFonts w:eastAsiaTheme="minorEastAsia"/>
                <w:sz w:val="24"/>
                <w:szCs w:val="24"/>
                <w:highlight w:val="none"/>
              </w:rPr>
              <w:t>392,123,000.00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2689" w:type="dxa"/>
            <w:vMerge w:val="continue"/>
            <w:vAlign w:val="center"/>
          </w:tcPr>
          <w:p>
            <w:pPr>
              <w:spacing w:line="530" w:lineRule="exact"/>
              <w:rPr>
                <w:rFonts w:eastAsiaTheme="minorEastAsia"/>
                <w:color w:val="000000"/>
                <w:sz w:val="24"/>
                <w:szCs w:val="24"/>
              </w:rPr>
            </w:pPr>
          </w:p>
        </w:tc>
        <w:tc>
          <w:tcPr>
            <w:tcW w:w="3118" w:type="dxa"/>
            <w:vAlign w:val="center"/>
          </w:tcPr>
          <w:p>
            <w:pPr>
              <w:rPr>
                <w:rFonts w:eastAsiaTheme="minorEastAsia"/>
                <w:sz w:val="24"/>
                <w:szCs w:val="24"/>
              </w:rPr>
            </w:pPr>
            <w:r>
              <w:rPr>
                <w:rFonts w:hint="eastAsia" w:eastAsiaTheme="minorEastAsia"/>
                <w:sz w:val="24"/>
                <w:szCs w:val="24"/>
              </w:rPr>
              <w:t>利息结转的份额</w:t>
            </w:r>
          </w:p>
        </w:tc>
        <w:tc>
          <w:tcPr>
            <w:tcW w:w="3119" w:type="dxa"/>
            <w:vAlign w:val="center"/>
          </w:tcPr>
          <w:p>
            <w:pPr>
              <w:rPr>
                <w:rFonts w:eastAsiaTheme="minorEastAsia"/>
                <w:sz w:val="24"/>
                <w:szCs w:val="24"/>
              </w:rPr>
            </w:pPr>
            <w:r>
              <w:rPr>
                <w:rFonts w:eastAsiaTheme="minorEastAsia"/>
                <w:sz w:val="24"/>
                <w:szCs w:val="24"/>
                <w:highlight w:val="none"/>
              </w:rPr>
              <w:t>233</w:t>
            </w:r>
            <w:r>
              <w:rPr>
                <w:rFonts w:eastAsiaTheme="minorEastAsia"/>
                <w:sz w:val="24"/>
                <w:szCs w:val="24"/>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2689" w:type="dxa"/>
            <w:vMerge w:val="continue"/>
            <w:vAlign w:val="center"/>
          </w:tcPr>
          <w:p>
            <w:pPr>
              <w:spacing w:line="530" w:lineRule="exact"/>
              <w:rPr>
                <w:rFonts w:eastAsiaTheme="minorEastAsia"/>
                <w:color w:val="000000"/>
                <w:sz w:val="24"/>
                <w:szCs w:val="24"/>
              </w:rPr>
            </w:pPr>
          </w:p>
        </w:tc>
        <w:tc>
          <w:tcPr>
            <w:tcW w:w="3118" w:type="dxa"/>
            <w:vAlign w:val="center"/>
          </w:tcPr>
          <w:p>
            <w:pPr>
              <w:rPr>
                <w:rFonts w:eastAsiaTheme="minorEastAsia"/>
                <w:sz w:val="24"/>
                <w:szCs w:val="24"/>
              </w:rPr>
            </w:pPr>
            <w:r>
              <w:rPr>
                <w:rFonts w:hint="eastAsia" w:eastAsiaTheme="minorEastAsia"/>
                <w:sz w:val="24"/>
                <w:szCs w:val="24"/>
              </w:rPr>
              <w:t>合计</w:t>
            </w:r>
          </w:p>
        </w:tc>
        <w:tc>
          <w:tcPr>
            <w:tcW w:w="3119" w:type="dxa"/>
            <w:vAlign w:val="center"/>
          </w:tcPr>
          <w:p>
            <w:pPr>
              <w:rPr>
                <w:rFonts w:eastAsiaTheme="minorEastAsia"/>
                <w:sz w:val="24"/>
                <w:szCs w:val="24"/>
              </w:rPr>
            </w:pPr>
            <w:r>
              <w:rPr>
                <w:rFonts w:eastAsiaTheme="minorEastAsia"/>
                <w:sz w:val="24"/>
                <w:szCs w:val="24"/>
                <w:highlight w:val="none"/>
              </w:rPr>
              <w:t>392,123,233.00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2689" w:type="dxa"/>
            <w:vMerge w:val="restart"/>
            <w:vAlign w:val="center"/>
          </w:tcPr>
          <w:p>
            <w:pPr>
              <w:rPr>
                <w:rFonts w:eastAsiaTheme="minorEastAsia"/>
                <w:sz w:val="24"/>
                <w:szCs w:val="24"/>
              </w:rPr>
            </w:pPr>
            <w:r>
              <w:rPr>
                <w:rFonts w:hint="eastAsia" w:eastAsiaTheme="minorEastAsia"/>
                <w:sz w:val="24"/>
                <w:szCs w:val="24"/>
              </w:rPr>
              <w:t>其中：募集期间基金管理人运用固有资金认购本基金情况</w:t>
            </w:r>
          </w:p>
        </w:tc>
        <w:tc>
          <w:tcPr>
            <w:tcW w:w="3118" w:type="dxa"/>
            <w:vAlign w:val="center"/>
          </w:tcPr>
          <w:p>
            <w:pPr>
              <w:rPr>
                <w:rFonts w:eastAsiaTheme="minorEastAsia"/>
                <w:sz w:val="24"/>
                <w:szCs w:val="24"/>
              </w:rPr>
            </w:pPr>
            <w:r>
              <w:rPr>
                <w:rFonts w:hint="eastAsia" w:eastAsiaTheme="minorEastAsia"/>
                <w:sz w:val="24"/>
                <w:szCs w:val="24"/>
              </w:rPr>
              <w:t>认购的基金份额（单位：份）</w:t>
            </w:r>
          </w:p>
        </w:tc>
        <w:tc>
          <w:tcPr>
            <w:tcW w:w="3119" w:type="dxa"/>
            <w:vAlign w:val="center"/>
          </w:tcPr>
          <w:p>
            <w:pPr>
              <w:jc w:val="left"/>
              <w:rPr>
                <w:rFonts w:eastAsiaTheme="minorEastAsia"/>
                <w:color w:val="000000"/>
                <w:sz w:val="24"/>
                <w:szCs w:val="24"/>
              </w:rPr>
            </w:pPr>
            <w:r>
              <w:rPr>
                <w:rFonts w:eastAsiaTheme="minorEastAsia"/>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2689" w:type="dxa"/>
            <w:vMerge w:val="continue"/>
            <w:vAlign w:val="center"/>
          </w:tcPr>
          <w:p>
            <w:pPr>
              <w:rPr>
                <w:rFonts w:eastAsiaTheme="minorEastAsia"/>
                <w:sz w:val="24"/>
                <w:szCs w:val="24"/>
              </w:rPr>
            </w:pPr>
          </w:p>
        </w:tc>
        <w:tc>
          <w:tcPr>
            <w:tcW w:w="3118" w:type="dxa"/>
            <w:vAlign w:val="center"/>
          </w:tcPr>
          <w:p>
            <w:pPr>
              <w:rPr>
                <w:rFonts w:eastAsiaTheme="minorEastAsia"/>
                <w:sz w:val="24"/>
                <w:szCs w:val="24"/>
              </w:rPr>
            </w:pPr>
            <w:r>
              <w:rPr>
                <w:rFonts w:hint="eastAsia" w:eastAsiaTheme="minorEastAsia"/>
                <w:sz w:val="24"/>
                <w:szCs w:val="24"/>
              </w:rPr>
              <w:t>占基金总份额比例</w:t>
            </w:r>
          </w:p>
        </w:tc>
        <w:tc>
          <w:tcPr>
            <w:tcW w:w="3119" w:type="dxa"/>
            <w:vAlign w:val="center"/>
          </w:tcPr>
          <w:p>
            <w:pPr>
              <w:jc w:val="left"/>
              <w:rPr>
                <w:rFonts w:eastAsiaTheme="minorEastAsia"/>
                <w:color w:val="000000"/>
                <w:sz w:val="24"/>
                <w:szCs w:val="24"/>
              </w:rPr>
            </w:pPr>
            <w:r>
              <w:rPr>
                <w:rFonts w:eastAsiaTheme="minorEastAsia"/>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2689" w:type="dxa"/>
            <w:vMerge w:val="continue"/>
            <w:vAlign w:val="center"/>
          </w:tcPr>
          <w:p>
            <w:pPr>
              <w:rPr>
                <w:rFonts w:eastAsiaTheme="minorEastAsia"/>
                <w:sz w:val="24"/>
                <w:szCs w:val="24"/>
              </w:rPr>
            </w:pPr>
          </w:p>
        </w:tc>
        <w:tc>
          <w:tcPr>
            <w:tcW w:w="3118" w:type="dxa"/>
            <w:vAlign w:val="center"/>
          </w:tcPr>
          <w:p>
            <w:pPr>
              <w:rPr>
                <w:rFonts w:eastAsiaTheme="minorEastAsia"/>
                <w:sz w:val="24"/>
                <w:szCs w:val="24"/>
              </w:rPr>
            </w:pPr>
            <w:r>
              <w:rPr>
                <w:rFonts w:hint="eastAsia" w:eastAsiaTheme="minorEastAsia"/>
                <w:sz w:val="24"/>
                <w:szCs w:val="24"/>
              </w:rPr>
              <w:t>其他需要说明的事项</w:t>
            </w:r>
          </w:p>
        </w:tc>
        <w:tc>
          <w:tcPr>
            <w:tcW w:w="3119" w:type="dxa"/>
            <w:vAlign w:val="center"/>
          </w:tcPr>
          <w:p>
            <w:pPr>
              <w:jc w:val="left"/>
              <w:rPr>
                <w:rFonts w:eastAsiaTheme="minorEastAsia"/>
                <w:sz w:val="24"/>
                <w:szCs w:val="24"/>
              </w:rPr>
            </w:pPr>
            <w:r>
              <w:rPr>
                <w:rFonts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trPr>
        <w:tc>
          <w:tcPr>
            <w:tcW w:w="2689" w:type="dxa"/>
            <w:vMerge w:val="restart"/>
            <w:vAlign w:val="center"/>
          </w:tcPr>
          <w:p>
            <w:pPr>
              <w:rPr>
                <w:rFonts w:eastAsiaTheme="minorEastAsia"/>
                <w:sz w:val="24"/>
                <w:szCs w:val="24"/>
              </w:rPr>
            </w:pPr>
            <w:r>
              <w:rPr>
                <w:rFonts w:hint="eastAsia" w:eastAsiaTheme="minorEastAsia"/>
                <w:sz w:val="24"/>
                <w:szCs w:val="24"/>
              </w:rPr>
              <w:t>其中：募集期间基金管理人的从业人员认购本基金情况</w:t>
            </w:r>
          </w:p>
        </w:tc>
        <w:tc>
          <w:tcPr>
            <w:tcW w:w="3118" w:type="dxa"/>
            <w:vAlign w:val="center"/>
          </w:tcPr>
          <w:p>
            <w:pPr>
              <w:rPr>
                <w:rFonts w:eastAsiaTheme="minorEastAsia"/>
                <w:sz w:val="24"/>
                <w:szCs w:val="24"/>
              </w:rPr>
            </w:pPr>
            <w:r>
              <w:rPr>
                <w:rFonts w:hint="eastAsia" w:eastAsiaTheme="minorEastAsia"/>
                <w:sz w:val="24"/>
                <w:szCs w:val="24"/>
              </w:rPr>
              <w:t>认购的基金份额（单位：份）</w:t>
            </w:r>
          </w:p>
        </w:tc>
        <w:tc>
          <w:tcPr>
            <w:tcW w:w="3119" w:type="dxa"/>
            <w:vAlign w:val="center"/>
          </w:tcPr>
          <w:p>
            <w:pPr>
              <w:jc w:val="left"/>
              <w:rPr>
                <w:rFonts w:eastAsiaTheme="minorEastAsia"/>
                <w:sz w:val="24"/>
                <w:szCs w:val="24"/>
              </w:rPr>
            </w:pPr>
            <w:r>
              <w:rPr>
                <w:rFonts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exact"/>
        </w:trPr>
        <w:tc>
          <w:tcPr>
            <w:tcW w:w="2689" w:type="dxa"/>
            <w:vMerge w:val="continue"/>
            <w:vAlign w:val="center"/>
          </w:tcPr>
          <w:p>
            <w:pPr>
              <w:spacing w:line="560" w:lineRule="exact"/>
              <w:rPr>
                <w:rFonts w:eastAsiaTheme="minorEastAsia"/>
                <w:color w:val="000000"/>
                <w:sz w:val="24"/>
                <w:szCs w:val="24"/>
              </w:rPr>
            </w:pPr>
          </w:p>
        </w:tc>
        <w:tc>
          <w:tcPr>
            <w:tcW w:w="3118" w:type="dxa"/>
            <w:vAlign w:val="center"/>
          </w:tcPr>
          <w:p>
            <w:pPr>
              <w:rPr>
                <w:rFonts w:eastAsiaTheme="minorEastAsia"/>
                <w:sz w:val="24"/>
                <w:szCs w:val="24"/>
              </w:rPr>
            </w:pPr>
            <w:r>
              <w:rPr>
                <w:rFonts w:hint="eastAsia" w:eastAsiaTheme="minorEastAsia"/>
                <w:sz w:val="24"/>
                <w:szCs w:val="24"/>
              </w:rPr>
              <w:t>占基金总份额比例</w:t>
            </w:r>
          </w:p>
        </w:tc>
        <w:tc>
          <w:tcPr>
            <w:tcW w:w="3119" w:type="dxa"/>
            <w:vAlign w:val="center"/>
          </w:tcPr>
          <w:p>
            <w:pPr>
              <w:widowControl/>
              <w:jc w:val="left"/>
              <w:rPr>
                <w:rFonts w:eastAsiaTheme="minorEastAsia"/>
                <w:sz w:val="24"/>
                <w:szCs w:val="24"/>
              </w:rPr>
            </w:pPr>
            <w:r>
              <w:rPr>
                <w:rFonts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exact"/>
        </w:trPr>
        <w:tc>
          <w:tcPr>
            <w:tcW w:w="5807" w:type="dxa"/>
            <w:gridSpan w:val="2"/>
            <w:vAlign w:val="center"/>
          </w:tcPr>
          <w:p>
            <w:pPr>
              <w:spacing w:line="560" w:lineRule="exact"/>
              <w:rPr>
                <w:rFonts w:eastAsiaTheme="minorEastAsia"/>
                <w:color w:val="000000"/>
                <w:sz w:val="24"/>
                <w:szCs w:val="24"/>
              </w:rPr>
            </w:pPr>
            <w:r>
              <w:rPr>
                <w:rFonts w:hint="eastAsia" w:eastAsiaTheme="minorEastAsia"/>
                <w:color w:val="000000"/>
                <w:sz w:val="24"/>
                <w:szCs w:val="24"/>
              </w:rPr>
              <w:t>募集期限届满基金是否符合法律法规规定的办理基金备案手续的条件</w:t>
            </w:r>
          </w:p>
        </w:tc>
        <w:tc>
          <w:tcPr>
            <w:tcW w:w="3119" w:type="dxa"/>
            <w:vAlign w:val="center"/>
          </w:tcPr>
          <w:p>
            <w:pPr>
              <w:spacing w:line="560" w:lineRule="exact"/>
              <w:rPr>
                <w:rFonts w:cs="宋体" w:eastAsiaTheme="minorEastAsia"/>
                <w:sz w:val="24"/>
                <w:szCs w:val="24"/>
              </w:rPr>
            </w:pPr>
            <w:r>
              <w:rPr>
                <w:rFonts w:hint="eastAsia" w:eastAsiaTheme="minorEastAsia"/>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exact"/>
        </w:trPr>
        <w:tc>
          <w:tcPr>
            <w:tcW w:w="5807" w:type="dxa"/>
            <w:gridSpan w:val="2"/>
            <w:vAlign w:val="center"/>
          </w:tcPr>
          <w:p>
            <w:pPr>
              <w:spacing w:line="560" w:lineRule="exact"/>
              <w:rPr>
                <w:rFonts w:eastAsiaTheme="minorEastAsia"/>
                <w:color w:val="000000"/>
                <w:sz w:val="24"/>
                <w:szCs w:val="24"/>
              </w:rPr>
            </w:pPr>
            <w:r>
              <w:rPr>
                <w:rFonts w:eastAsiaTheme="minorEastAsia"/>
                <w:color w:val="000000"/>
                <w:sz w:val="24"/>
                <w:szCs w:val="24"/>
              </w:rPr>
              <w:t>向中国证监会办理基金备案手续获得书面确认的日期</w:t>
            </w:r>
          </w:p>
        </w:tc>
        <w:tc>
          <w:tcPr>
            <w:tcW w:w="3119" w:type="dxa"/>
            <w:vAlign w:val="center"/>
          </w:tcPr>
          <w:p>
            <w:pPr>
              <w:rPr>
                <w:rFonts w:cs="宋体" w:eastAsiaTheme="minorEastAsia"/>
                <w:sz w:val="24"/>
                <w:szCs w:val="24"/>
              </w:rPr>
            </w:pPr>
            <w:r>
              <w:rPr>
                <w:rFonts w:hint="eastAsia" w:eastAsiaTheme="minorEastAsia"/>
                <w:sz w:val="24"/>
                <w:szCs w:val="24"/>
              </w:rPr>
              <w:t>202</w:t>
            </w:r>
            <w:r>
              <w:rPr>
                <w:rFonts w:eastAsiaTheme="minorEastAsia"/>
                <w:sz w:val="24"/>
                <w:szCs w:val="24"/>
              </w:rPr>
              <w:t>5</w:t>
            </w:r>
            <w:r>
              <w:rPr>
                <w:rFonts w:hint="eastAsia" w:eastAsiaTheme="minorEastAsia"/>
                <w:sz w:val="24"/>
                <w:szCs w:val="24"/>
              </w:rPr>
              <w:t>年</w:t>
            </w:r>
            <w:r>
              <w:rPr>
                <w:rFonts w:eastAsiaTheme="minorEastAsia"/>
                <w:sz w:val="24"/>
                <w:szCs w:val="24"/>
              </w:rPr>
              <w:t>12</w:t>
            </w:r>
            <w:r>
              <w:rPr>
                <w:rFonts w:hint="eastAsia" w:eastAsiaTheme="minorEastAsia"/>
                <w:sz w:val="24"/>
                <w:szCs w:val="24"/>
              </w:rPr>
              <w:t>月</w:t>
            </w:r>
            <w:r>
              <w:rPr>
                <w:rFonts w:eastAsiaTheme="minorEastAsia"/>
                <w:sz w:val="24"/>
                <w:szCs w:val="24"/>
              </w:rPr>
              <w:t>10</w:t>
            </w:r>
            <w:r>
              <w:rPr>
                <w:rFonts w:hint="eastAsia" w:eastAsiaTheme="minorEastAsia"/>
                <w:sz w:val="24"/>
                <w:szCs w:val="24"/>
              </w:rPr>
              <w:t>日</w:t>
            </w:r>
          </w:p>
        </w:tc>
      </w:tr>
    </w:tbl>
    <w:p>
      <w:pPr>
        <w:spacing w:line="360" w:lineRule="auto"/>
        <w:rPr>
          <w:rFonts w:eastAsiaTheme="minorEastAsia"/>
          <w:kern w:val="0"/>
          <w:sz w:val="24"/>
          <w:szCs w:val="24"/>
        </w:rPr>
      </w:pPr>
      <w:r>
        <w:rPr>
          <w:rFonts w:eastAsiaTheme="minorEastAsia"/>
          <w:kern w:val="0"/>
          <w:sz w:val="24"/>
          <w:szCs w:val="24"/>
        </w:rPr>
        <w:t>注：</w:t>
      </w:r>
      <w:r>
        <w:rPr>
          <w:rFonts w:hint="eastAsia" w:eastAsiaTheme="minorEastAsia"/>
          <w:kern w:val="0"/>
          <w:sz w:val="24"/>
          <w:szCs w:val="24"/>
        </w:rPr>
        <w:t>（</w:t>
      </w:r>
      <w:r>
        <w:rPr>
          <w:rFonts w:eastAsiaTheme="minorEastAsia"/>
          <w:kern w:val="0"/>
          <w:sz w:val="24"/>
          <w:szCs w:val="24"/>
        </w:rPr>
        <w:t>1</w:t>
      </w:r>
      <w:r>
        <w:rPr>
          <w:rFonts w:hint="eastAsia" w:eastAsiaTheme="minorEastAsia"/>
          <w:kern w:val="0"/>
          <w:sz w:val="24"/>
          <w:szCs w:val="24"/>
        </w:rPr>
        <w:t>）</w:t>
      </w:r>
      <w:r>
        <w:rPr>
          <w:rFonts w:eastAsiaTheme="minorEastAsia"/>
          <w:kern w:val="0"/>
          <w:sz w:val="24"/>
          <w:szCs w:val="24"/>
        </w:rPr>
        <w:t>本基金合同生效前发生的与基金募集活动有关的费用，包括会计师费、律师费、信息披露费以及其他费用，不得从基金财产中列支。</w:t>
      </w:r>
    </w:p>
    <w:p>
      <w:pPr>
        <w:spacing w:line="360" w:lineRule="auto"/>
        <w:ind w:firstLine="480" w:firstLineChars="200"/>
        <w:rPr>
          <w:rFonts w:eastAsiaTheme="minorEastAsia"/>
          <w:kern w:val="0"/>
          <w:sz w:val="24"/>
          <w:szCs w:val="24"/>
        </w:rPr>
      </w:pPr>
      <w:r>
        <w:rPr>
          <w:rFonts w:hint="eastAsia" w:eastAsiaTheme="minorEastAsia"/>
          <w:kern w:val="0"/>
          <w:sz w:val="24"/>
          <w:szCs w:val="24"/>
        </w:rPr>
        <w:t>（</w:t>
      </w:r>
      <w:r>
        <w:rPr>
          <w:rFonts w:eastAsiaTheme="minorEastAsia"/>
          <w:kern w:val="0"/>
          <w:sz w:val="24"/>
          <w:szCs w:val="24"/>
        </w:rPr>
        <w:t>2</w:t>
      </w:r>
      <w:r>
        <w:rPr>
          <w:rFonts w:hint="eastAsia" w:eastAsiaTheme="minorEastAsia"/>
          <w:kern w:val="0"/>
          <w:sz w:val="24"/>
          <w:szCs w:val="24"/>
        </w:rPr>
        <w:t>）本基金管理人的高级管理人员、基金投资和研究部门负责人未认购本基金；本基金基金经理未认购本基金。</w:t>
      </w:r>
    </w:p>
    <w:p>
      <w:pPr>
        <w:spacing w:line="360" w:lineRule="auto"/>
        <w:ind w:firstLine="480" w:firstLineChars="200"/>
        <w:rPr>
          <w:rFonts w:eastAsiaTheme="minorEastAsia"/>
          <w:kern w:val="0"/>
          <w:sz w:val="24"/>
          <w:szCs w:val="24"/>
        </w:rPr>
      </w:pPr>
      <w:r>
        <w:rPr>
          <w:rFonts w:hint="eastAsia" w:eastAsiaTheme="minorEastAsia"/>
          <w:kern w:val="0"/>
          <w:sz w:val="24"/>
          <w:szCs w:val="24"/>
        </w:rPr>
        <w:t>（</w:t>
      </w:r>
      <w:r>
        <w:rPr>
          <w:rFonts w:eastAsiaTheme="minorEastAsia"/>
          <w:kern w:val="0"/>
          <w:sz w:val="24"/>
          <w:szCs w:val="24"/>
        </w:rPr>
        <w:t>3</w:t>
      </w:r>
      <w:r>
        <w:rPr>
          <w:rFonts w:hint="eastAsia" w:eastAsiaTheme="minorEastAsia"/>
          <w:kern w:val="0"/>
          <w:sz w:val="24"/>
          <w:szCs w:val="24"/>
        </w:rPr>
        <w:t>）通过基金管理人进行网下现金认购的有效认购资金在募集期间产生的利息，将折算为基金份额归投资人所有，其中利息转份额以基金管理人的记录为准。利息折算的份额保留至整数位，小数部分舍去，舍去部分计入基金财产。网上现金认购和通过发售代理机构进行网下现金认购的有效认购资金在登记机构清算交收后至划入基金托管专户前产生的利息，计入基金财产，不折算为投资人基金份额。</w:t>
      </w:r>
    </w:p>
    <w:p>
      <w:pPr>
        <w:pStyle w:val="2"/>
        <w:spacing w:line="560" w:lineRule="exact"/>
        <w:rPr>
          <w:rFonts w:ascii="Times New Roman" w:hAnsi="Times New Roman" w:eastAsiaTheme="minorEastAsia"/>
          <w:bCs w:val="0"/>
          <w:color w:val="000000"/>
          <w:sz w:val="24"/>
          <w:szCs w:val="24"/>
        </w:rPr>
      </w:pPr>
      <w:r>
        <w:rPr>
          <w:rFonts w:ascii="Times New Roman" w:hAnsi="Times New Roman" w:eastAsiaTheme="minorEastAsia"/>
          <w:bCs w:val="0"/>
          <w:color w:val="000000"/>
          <w:sz w:val="24"/>
          <w:szCs w:val="24"/>
        </w:rPr>
        <w:t>3 其他需要提示的事项</w:t>
      </w:r>
    </w:p>
    <w:p>
      <w:pPr>
        <w:widowControl/>
        <w:spacing w:line="360" w:lineRule="auto"/>
        <w:ind w:firstLine="480" w:firstLineChars="200"/>
        <w:rPr>
          <w:rFonts w:eastAsiaTheme="minorEastAsia"/>
          <w:kern w:val="0"/>
          <w:sz w:val="24"/>
          <w:szCs w:val="24"/>
        </w:rPr>
      </w:pPr>
      <w:r>
        <w:rPr>
          <w:rFonts w:hint="eastAsia" w:eastAsiaTheme="minorEastAsia"/>
          <w:kern w:val="0"/>
          <w:sz w:val="24"/>
          <w:szCs w:val="24"/>
        </w:rPr>
        <w:t>基金管理人可根据实际情况依法决定本基金开始办理申购的具体日期，具体业务办理时间在申购开始公告中规定。基金管理人自基金合同生效之日起不超过3个月开始办理赎回，具体业务办理时间在赎回开始公告中规定。本基金可在基金上市交易之前开始办理申购、赎回，但在基金申请上市期间，可暂停办理申购、赎回。</w:t>
      </w:r>
      <w:r>
        <w:rPr>
          <w:rFonts w:eastAsiaTheme="minorEastAsia"/>
          <w:kern w:val="0"/>
          <w:sz w:val="24"/>
          <w:szCs w:val="24"/>
        </w:rPr>
        <w:t>办理申购、赎回业务的具体时间由本基金管理人于申购、赎回开放日前依照《</w:t>
      </w:r>
      <w:r>
        <w:rPr>
          <w:rFonts w:hint="eastAsia" w:eastAsiaTheme="minorEastAsia"/>
          <w:kern w:val="0"/>
          <w:sz w:val="24"/>
          <w:szCs w:val="24"/>
        </w:rPr>
        <w:t>公开募集</w:t>
      </w:r>
      <w:r>
        <w:rPr>
          <w:rFonts w:eastAsiaTheme="minorEastAsia"/>
          <w:kern w:val="0"/>
          <w:sz w:val="24"/>
          <w:szCs w:val="24"/>
        </w:rPr>
        <w:t>证券投资基金信息披露管理办法》的有关规定在</w:t>
      </w:r>
      <w:r>
        <w:rPr>
          <w:rFonts w:hint="eastAsia" w:eastAsiaTheme="minorEastAsia"/>
          <w:kern w:val="0"/>
          <w:sz w:val="24"/>
          <w:szCs w:val="24"/>
        </w:rPr>
        <w:t>规定</w:t>
      </w:r>
      <w:r>
        <w:rPr>
          <w:rFonts w:eastAsiaTheme="minorEastAsia"/>
          <w:kern w:val="0"/>
          <w:sz w:val="24"/>
          <w:szCs w:val="24"/>
        </w:rPr>
        <w:t>媒体上公告。</w:t>
      </w:r>
    </w:p>
    <w:p>
      <w:pPr>
        <w:widowControl/>
        <w:spacing w:line="360" w:lineRule="auto"/>
        <w:ind w:firstLine="480" w:firstLineChars="200"/>
        <w:rPr>
          <w:rFonts w:eastAsiaTheme="minorEastAsia"/>
          <w:kern w:val="0"/>
          <w:sz w:val="24"/>
          <w:szCs w:val="24"/>
        </w:rPr>
      </w:pPr>
    </w:p>
    <w:p>
      <w:pPr>
        <w:spacing w:line="360" w:lineRule="auto"/>
        <w:ind w:firstLine="480" w:firstLineChars="200"/>
        <w:rPr>
          <w:rFonts w:eastAsiaTheme="minorEastAsia"/>
          <w:kern w:val="0"/>
          <w:sz w:val="24"/>
          <w:szCs w:val="24"/>
        </w:rPr>
      </w:pPr>
      <w:r>
        <w:rPr>
          <w:rFonts w:hint="eastAsia" w:eastAsiaTheme="minorEastAsia"/>
          <w:kern w:val="0"/>
          <w:sz w:val="24"/>
          <w:szCs w:val="24"/>
        </w:rPr>
        <w:t>风险提示：</w:t>
      </w:r>
    </w:p>
    <w:p>
      <w:pPr>
        <w:widowControl/>
        <w:spacing w:line="360" w:lineRule="auto"/>
        <w:ind w:firstLine="480" w:firstLineChars="200"/>
        <w:rPr>
          <w:rFonts w:eastAsiaTheme="minorEastAsia"/>
          <w:kern w:val="0"/>
          <w:sz w:val="24"/>
          <w:szCs w:val="24"/>
        </w:rPr>
      </w:pPr>
      <w:r>
        <w:rPr>
          <w:rFonts w:hint="eastAsia" w:eastAsiaTheme="minorEastAsia"/>
          <w:kern w:val="0"/>
          <w:sz w:val="24"/>
          <w:szCs w:val="24"/>
        </w:rPr>
        <w:t>本基金管理人承诺以诚实信用、勤勉尽责的原则管理和运用基金财产，但不保证基金一定盈利，也不保证最低收益。基金的过往业绩并不代表其将来表现。投资有风险，敬请投资者认真阅读基金的相关法律文件以及关注本基金的特有风险，并选择适合自身风险承受能力的投资品种进行投资。</w:t>
      </w:r>
    </w:p>
    <w:p>
      <w:pPr>
        <w:widowControl/>
        <w:spacing w:line="360" w:lineRule="auto"/>
        <w:ind w:firstLine="480" w:firstLineChars="200"/>
        <w:rPr>
          <w:rFonts w:eastAsiaTheme="minorEastAsia"/>
          <w:kern w:val="0"/>
          <w:sz w:val="24"/>
          <w:szCs w:val="24"/>
        </w:rPr>
      </w:pPr>
      <w:r>
        <w:rPr>
          <w:rFonts w:hint="eastAsia" w:eastAsiaTheme="minorEastAsia"/>
          <w:kern w:val="0"/>
          <w:sz w:val="24"/>
          <w:szCs w:val="24"/>
        </w:rPr>
        <w:t>特此公告。</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0000000000000000000"/>
    <w:charset w:val="86"/>
    <w:family w:val="auto"/>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5DF"/>
    <w:rsid w:val="000116A2"/>
    <w:rsid w:val="0001569E"/>
    <w:rsid w:val="00020E10"/>
    <w:rsid w:val="00022083"/>
    <w:rsid w:val="000228C8"/>
    <w:rsid w:val="00022B31"/>
    <w:rsid w:val="0002507E"/>
    <w:rsid w:val="00025B55"/>
    <w:rsid w:val="00027356"/>
    <w:rsid w:val="00027DF0"/>
    <w:rsid w:val="0003045F"/>
    <w:rsid w:val="000313EA"/>
    <w:rsid w:val="00032038"/>
    <w:rsid w:val="000330C4"/>
    <w:rsid w:val="00035BD7"/>
    <w:rsid w:val="00035D00"/>
    <w:rsid w:val="000407DA"/>
    <w:rsid w:val="00041353"/>
    <w:rsid w:val="00043C9F"/>
    <w:rsid w:val="0004636C"/>
    <w:rsid w:val="00050349"/>
    <w:rsid w:val="00051430"/>
    <w:rsid w:val="0005208E"/>
    <w:rsid w:val="00053224"/>
    <w:rsid w:val="0005479A"/>
    <w:rsid w:val="00055D1E"/>
    <w:rsid w:val="0005662E"/>
    <w:rsid w:val="00056C15"/>
    <w:rsid w:val="00063472"/>
    <w:rsid w:val="00064A42"/>
    <w:rsid w:val="000667FA"/>
    <w:rsid w:val="0007103E"/>
    <w:rsid w:val="000710DE"/>
    <w:rsid w:val="00074388"/>
    <w:rsid w:val="00074E44"/>
    <w:rsid w:val="00077446"/>
    <w:rsid w:val="00077D6C"/>
    <w:rsid w:val="00077F66"/>
    <w:rsid w:val="00083E36"/>
    <w:rsid w:val="000842FB"/>
    <w:rsid w:val="00087C83"/>
    <w:rsid w:val="00090A74"/>
    <w:rsid w:val="000919E4"/>
    <w:rsid w:val="000A221B"/>
    <w:rsid w:val="000B5039"/>
    <w:rsid w:val="000C3C56"/>
    <w:rsid w:val="000C78D8"/>
    <w:rsid w:val="000D209F"/>
    <w:rsid w:val="000D53DC"/>
    <w:rsid w:val="000D5F83"/>
    <w:rsid w:val="000E03D0"/>
    <w:rsid w:val="000E1829"/>
    <w:rsid w:val="000E3E51"/>
    <w:rsid w:val="000F1D61"/>
    <w:rsid w:val="000F68E8"/>
    <w:rsid w:val="00102950"/>
    <w:rsid w:val="00107ABA"/>
    <w:rsid w:val="00115202"/>
    <w:rsid w:val="00115ACA"/>
    <w:rsid w:val="00115B3C"/>
    <w:rsid w:val="001204F3"/>
    <w:rsid w:val="00120672"/>
    <w:rsid w:val="001258AC"/>
    <w:rsid w:val="00131030"/>
    <w:rsid w:val="00131CAD"/>
    <w:rsid w:val="001322F8"/>
    <w:rsid w:val="00133379"/>
    <w:rsid w:val="00142050"/>
    <w:rsid w:val="00142AB7"/>
    <w:rsid w:val="001457F7"/>
    <w:rsid w:val="00155179"/>
    <w:rsid w:val="001613A7"/>
    <w:rsid w:val="001629D8"/>
    <w:rsid w:val="0016571B"/>
    <w:rsid w:val="001758BD"/>
    <w:rsid w:val="00176ACF"/>
    <w:rsid w:val="00176B7C"/>
    <w:rsid w:val="00180A85"/>
    <w:rsid w:val="0018104F"/>
    <w:rsid w:val="00182710"/>
    <w:rsid w:val="00185DF5"/>
    <w:rsid w:val="0018721B"/>
    <w:rsid w:val="00187287"/>
    <w:rsid w:val="00195C61"/>
    <w:rsid w:val="001965BF"/>
    <w:rsid w:val="001A0386"/>
    <w:rsid w:val="001A3C23"/>
    <w:rsid w:val="001A63ED"/>
    <w:rsid w:val="001B676D"/>
    <w:rsid w:val="001C5EB7"/>
    <w:rsid w:val="001D02D9"/>
    <w:rsid w:val="001D1106"/>
    <w:rsid w:val="001D3511"/>
    <w:rsid w:val="001D39D6"/>
    <w:rsid w:val="001D40B9"/>
    <w:rsid w:val="001D4E91"/>
    <w:rsid w:val="001D6621"/>
    <w:rsid w:val="001E1459"/>
    <w:rsid w:val="001E44EF"/>
    <w:rsid w:val="001E4736"/>
    <w:rsid w:val="001E56A6"/>
    <w:rsid w:val="001E5E0F"/>
    <w:rsid w:val="001F09F4"/>
    <w:rsid w:val="002004BA"/>
    <w:rsid w:val="00201E38"/>
    <w:rsid w:val="00221F2C"/>
    <w:rsid w:val="00224161"/>
    <w:rsid w:val="00227191"/>
    <w:rsid w:val="00235508"/>
    <w:rsid w:val="00235DA6"/>
    <w:rsid w:val="00237088"/>
    <w:rsid w:val="00240036"/>
    <w:rsid w:val="00246AA8"/>
    <w:rsid w:val="00246F51"/>
    <w:rsid w:val="00251199"/>
    <w:rsid w:val="002514F3"/>
    <w:rsid w:val="0025568C"/>
    <w:rsid w:val="00261007"/>
    <w:rsid w:val="0026382B"/>
    <w:rsid w:val="002707A5"/>
    <w:rsid w:val="002708B9"/>
    <w:rsid w:val="00273B37"/>
    <w:rsid w:val="00275D2A"/>
    <w:rsid w:val="00277985"/>
    <w:rsid w:val="002811C2"/>
    <w:rsid w:val="00281608"/>
    <w:rsid w:val="00292AC7"/>
    <w:rsid w:val="0029332C"/>
    <w:rsid w:val="0029360C"/>
    <w:rsid w:val="002A2812"/>
    <w:rsid w:val="002A57CA"/>
    <w:rsid w:val="002B287A"/>
    <w:rsid w:val="002B4F0F"/>
    <w:rsid w:val="002B551A"/>
    <w:rsid w:val="002B6488"/>
    <w:rsid w:val="002C1686"/>
    <w:rsid w:val="002C5B2A"/>
    <w:rsid w:val="002C6274"/>
    <w:rsid w:val="002C7DB3"/>
    <w:rsid w:val="002D0DB5"/>
    <w:rsid w:val="002D7461"/>
    <w:rsid w:val="002E7FED"/>
    <w:rsid w:val="002F5FD9"/>
    <w:rsid w:val="002F60A6"/>
    <w:rsid w:val="003000C2"/>
    <w:rsid w:val="0030037A"/>
    <w:rsid w:val="003034F7"/>
    <w:rsid w:val="00306E2A"/>
    <w:rsid w:val="003173D2"/>
    <w:rsid w:val="003272DC"/>
    <w:rsid w:val="00330845"/>
    <w:rsid w:val="00335958"/>
    <w:rsid w:val="00336811"/>
    <w:rsid w:val="00337F71"/>
    <w:rsid w:val="003400F0"/>
    <w:rsid w:val="00345E41"/>
    <w:rsid w:val="00346C39"/>
    <w:rsid w:val="00351B76"/>
    <w:rsid w:val="00351BC4"/>
    <w:rsid w:val="00353F65"/>
    <w:rsid w:val="003545E4"/>
    <w:rsid w:val="00355193"/>
    <w:rsid w:val="00357AC9"/>
    <w:rsid w:val="00360B2A"/>
    <w:rsid w:val="00361B89"/>
    <w:rsid w:val="00363300"/>
    <w:rsid w:val="00365D2A"/>
    <w:rsid w:val="00366377"/>
    <w:rsid w:val="003675D8"/>
    <w:rsid w:val="003716DE"/>
    <w:rsid w:val="003735A2"/>
    <w:rsid w:val="003770DB"/>
    <w:rsid w:val="0038797C"/>
    <w:rsid w:val="00390E48"/>
    <w:rsid w:val="00391516"/>
    <w:rsid w:val="003946C0"/>
    <w:rsid w:val="00395A7F"/>
    <w:rsid w:val="003A0766"/>
    <w:rsid w:val="003A0EF8"/>
    <w:rsid w:val="003A2BF0"/>
    <w:rsid w:val="003A663C"/>
    <w:rsid w:val="003A66ED"/>
    <w:rsid w:val="003A7935"/>
    <w:rsid w:val="003B2BB7"/>
    <w:rsid w:val="003B4C25"/>
    <w:rsid w:val="003B52DD"/>
    <w:rsid w:val="003C0D0A"/>
    <w:rsid w:val="003C498E"/>
    <w:rsid w:val="003C4D25"/>
    <w:rsid w:val="003C5F43"/>
    <w:rsid w:val="003D01EE"/>
    <w:rsid w:val="003D0993"/>
    <w:rsid w:val="003D6F46"/>
    <w:rsid w:val="003D79E3"/>
    <w:rsid w:val="003E0119"/>
    <w:rsid w:val="003E204C"/>
    <w:rsid w:val="003E7648"/>
    <w:rsid w:val="003F5161"/>
    <w:rsid w:val="003F62E0"/>
    <w:rsid w:val="003F78B4"/>
    <w:rsid w:val="004013B2"/>
    <w:rsid w:val="00404261"/>
    <w:rsid w:val="00410637"/>
    <w:rsid w:val="00416DC4"/>
    <w:rsid w:val="00421195"/>
    <w:rsid w:val="0043048D"/>
    <w:rsid w:val="00432AA7"/>
    <w:rsid w:val="00433603"/>
    <w:rsid w:val="004345F6"/>
    <w:rsid w:val="0043612F"/>
    <w:rsid w:val="0044222E"/>
    <w:rsid w:val="00443ACF"/>
    <w:rsid w:val="00443C52"/>
    <w:rsid w:val="004449D1"/>
    <w:rsid w:val="00457F15"/>
    <w:rsid w:val="004669F8"/>
    <w:rsid w:val="00467A98"/>
    <w:rsid w:val="00470D71"/>
    <w:rsid w:val="00471C46"/>
    <w:rsid w:val="00471F62"/>
    <w:rsid w:val="0047287E"/>
    <w:rsid w:val="004728BC"/>
    <w:rsid w:val="00485747"/>
    <w:rsid w:val="0049139B"/>
    <w:rsid w:val="00492AC6"/>
    <w:rsid w:val="00494441"/>
    <w:rsid w:val="004966BA"/>
    <w:rsid w:val="004A074A"/>
    <w:rsid w:val="004A1F75"/>
    <w:rsid w:val="004A40CB"/>
    <w:rsid w:val="004A51AD"/>
    <w:rsid w:val="004A631B"/>
    <w:rsid w:val="004B1861"/>
    <w:rsid w:val="004B6B00"/>
    <w:rsid w:val="004C055C"/>
    <w:rsid w:val="004C5152"/>
    <w:rsid w:val="004C7B30"/>
    <w:rsid w:val="004D2CFF"/>
    <w:rsid w:val="004D40F4"/>
    <w:rsid w:val="004D6CE8"/>
    <w:rsid w:val="004D7EA3"/>
    <w:rsid w:val="004D7F5F"/>
    <w:rsid w:val="004E5BA6"/>
    <w:rsid w:val="004E61F8"/>
    <w:rsid w:val="004F1DB5"/>
    <w:rsid w:val="004F5D3C"/>
    <w:rsid w:val="004F692B"/>
    <w:rsid w:val="005012DD"/>
    <w:rsid w:val="005025FA"/>
    <w:rsid w:val="00522FF9"/>
    <w:rsid w:val="00525C51"/>
    <w:rsid w:val="0052630B"/>
    <w:rsid w:val="00531CAC"/>
    <w:rsid w:val="00532682"/>
    <w:rsid w:val="0054292E"/>
    <w:rsid w:val="005434E3"/>
    <w:rsid w:val="00543DE4"/>
    <w:rsid w:val="00551804"/>
    <w:rsid w:val="00553FA4"/>
    <w:rsid w:val="00561007"/>
    <w:rsid w:val="00561DFB"/>
    <w:rsid w:val="00565CBB"/>
    <w:rsid w:val="00567DA3"/>
    <w:rsid w:val="00570EA3"/>
    <w:rsid w:val="0057433E"/>
    <w:rsid w:val="00575394"/>
    <w:rsid w:val="00582351"/>
    <w:rsid w:val="0058463A"/>
    <w:rsid w:val="00585268"/>
    <w:rsid w:val="00585A2E"/>
    <w:rsid w:val="00591F82"/>
    <w:rsid w:val="0059261A"/>
    <w:rsid w:val="005A05D5"/>
    <w:rsid w:val="005A137B"/>
    <w:rsid w:val="005A2F1F"/>
    <w:rsid w:val="005A3291"/>
    <w:rsid w:val="005A4BD5"/>
    <w:rsid w:val="005A6A45"/>
    <w:rsid w:val="005B0474"/>
    <w:rsid w:val="005B3965"/>
    <w:rsid w:val="005B61BC"/>
    <w:rsid w:val="005B66AC"/>
    <w:rsid w:val="005B685A"/>
    <w:rsid w:val="005B6B4E"/>
    <w:rsid w:val="005C0B8D"/>
    <w:rsid w:val="005C1B44"/>
    <w:rsid w:val="005C4680"/>
    <w:rsid w:val="005C53D5"/>
    <w:rsid w:val="005C776D"/>
    <w:rsid w:val="005D5CAA"/>
    <w:rsid w:val="005D6260"/>
    <w:rsid w:val="005D6289"/>
    <w:rsid w:val="005D78BE"/>
    <w:rsid w:val="005E0049"/>
    <w:rsid w:val="005F0D33"/>
    <w:rsid w:val="005F72EE"/>
    <w:rsid w:val="005F796C"/>
    <w:rsid w:val="00601BF3"/>
    <w:rsid w:val="00603670"/>
    <w:rsid w:val="00613952"/>
    <w:rsid w:val="00615513"/>
    <w:rsid w:val="0061553F"/>
    <w:rsid w:val="0061685F"/>
    <w:rsid w:val="006205E6"/>
    <w:rsid w:val="006233D5"/>
    <w:rsid w:val="00623C2A"/>
    <w:rsid w:val="00623D12"/>
    <w:rsid w:val="0062797C"/>
    <w:rsid w:val="00630C27"/>
    <w:rsid w:val="00631110"/>
    <w:rsid w:val="006316B0"/>
    <w:rsid w:val="00634C46"/>
    <w:rsid w:val="00634D25"/>
    <w:rsid w:val="00635330"/>
    <w:rsid w:val="00636D84"/>
    <w:rsid w:val="00641C81"/>
    <w:rsid w:val="006632DE"/>
    <w:rsid w:val="006706C5"/>
    <w:rsid w:val="006757DA"/>
    <w:rsid w:val="00677A73"/>
    <w:rsid w:val="0068001C"/>
    <w:rsid w:val="006860C1"/>
    <w:rsid w:val="006900FF"/>
    <w:rsid w:val="006A2A6A"/>
    <w:rsid w:val="006A4579"/>
    <w:rsid w:val="006B402C"/>
    <w:rsid w:val="006B6CCA"/>
    <w:rsid w:val="006C1573"/>
    <w:rsid w:val="006C4A70"/>
    <w:rsid w:val="006C4D5E"/>
    <w:rsid w:val="006C5B33"/>
    <w:rsid w:val="006D56EA"/>
    <w:rsid w:val="006D640D"/>
    <w:rsid w:val="006D67CD"/>
    <w:rsid w:val="006D6968"/>
    <w:rsid w:val="006D79AF"/>
    <w:rsid w:val="006D7B06"/>
    <w:rsid w:val="006E5C65"/>
    <w:rsid w:val="006E6BB0"/>
    <w:rsid w:val="006E7C46"/>
    <w:rsid w:val="006F2656"/>
    <w:rsid w:val="006F2728"/>
    <w:rsid w:val="006F6A28"/>
    <w:rsid w:val="00710FBB"/>
    <w:rsid w:val="00713196"/>
    <w:rsid w:val="007141F5"/>
    <w:rsid w:val="007161E4"/>
    <w:rsid w:val="007164B2"/>
    <w:rsid w:val="00717E45"/>
    <w:rsid w:val="00721018"/>
    <w:rsid w:val="00730CA9"/>
    <w:rsid w:val="0073131B"/>
    <w:rsid w:val="00732355"/>
    <w:rsid w:val="00736B3B"/>
    <w:rsid w:val="00740F43"/>
    <w:rsid w:val="00755AEB"/>
    <w:rsid w:val="007670F3"/>
    <w:rsid w:val="0076782E"/>
    <w:rsid w:val="00771F3C"/>
    <w:rsid w:val="007874DA"/>
    <w:rsid w:val="00790BC2"/>
    <w:rsid w:val="00793A00"/>
    <w:rsid w:val="00795FB9"/>
    <w:rsid w:val="00796A19"/>
    <w:rsid w:val="007A1FBA"/>
    <w:rsid w:val="007A47FE"/>
    <w:rsid w:val="007A52FA"/>
    <w:rsid w:val="007A6461"/>
    <w:rsid w:val="007B1304"/>
    <w:rsid w:val="007B2794"/>
    <w:rsid w:val="007C24C0"/>
    <w:rsid w:val="007C3667"/>
    <w:rsid w:val="007D36F7"/>
    <w:rsid w:val="007D3B86"/>
    <w:rsid w:val="007D3D90"/>
    <w:rsid w:val="007D4091"/>
    <w:rsid w:val="007E1C15"/>
    <w:rsid w:val="007E548D"/>
    <w:rsid w:val="007E5D05"/>
    <w:rsid w:val="007F2BA9"/>
    <w:rsid w:val="007F4376"/>
    <w:rsid w:val="00801C01"/>
    <w:rsid w:val="00802100"/>
    <w:rsid w:val="00804CE5"/>
    <w:rsid w:val="008066EF"/>
    <w:rsid w:val="0080709E"/>
    <w:rsid w:val="00812166"/>
    <w:rsid w:val="00813207"/>
    <w:rsid w:val="008150A5"/>
    <w:rsid w:val="00822303"/>
    <w:rsid w:val="0082274D"/>
    <w:rsid w:val="008251F6"/>
    <w:rsid w:val="00825D74"/>
    <w:rsid w:val="00832507"/>
    <w:rsid w:val="0084455A"/>
    <w:rsid w:val="008551C9"/>
    <w:rsid w:val="008553BA"/>
    <w:rsid w:val="00856562"/>
    <w:rsid w:val="00857E56"/>
    <w:rsid w:val="00860D1E"/>
    <w:rsid w:val="00862DF5"/>
    <w:rsid w:val="00864894"/>
    <w:rsid w:val="008648F1"/>
    <w:rsid w:val="00865588"/>
    <w:rsid w:val="008660BD"/>
    <w:rsid w:val="00866236"/>
    <w:rsid w:val="00871BA0"/>
    <w:rsid w:val="00873914"/>
    <w:rsid w:val="008751FB"/>
    <w:rsid w:val="008754FF"/>
    <w:rsid w:val="00877B57"/>
    <w:rsid w:val="008838B9"/>
    <w:rsid w:val="00884CC9"/>
    <w:rsid w:val="00892CB2"/>
    <w:rsid w:val="00894643"/>
    <w:rsid w:val="008956FE"/>
    <w:rsid w:val="00895A29"/>
    <w:rsid w:val="008A26A0"/>
    <w:rsid w:val="008A2893"/>
    <w:rsid w:val="008B7070"/>
    <w:rsid w:val="008C3CED"/>
    <w:rsid w:val="008C6779"/>
    <w:rsid w:val="008C6FD7"/>
    <w:rsid w:val="008D1678"/>
    <w:rsid w:val="008E08B3"/>
    <w:rsid w:val="008E0998"/>
    <w:rsid w:val="008E0CC1"/>
    <w:rsid w:val="008E13AA"/>
    <w:rsid w:val="008E15D6"/>
    <w:rsid w:val="008E4533"/>
    <w:rsid w:val="008E52F3"/>
    <w:rsid w:val="008F18F9"/>
    <w:rsid w:val="008F28E5"/>
    <w:rsid w:val="008F2920"/>
    <w:rsid w:val="008F4A44"/>
    <w:rsid w:val="00904108"/>
    <w:rsid w:val="009134B6"/>
    <w:rsid w:val="009157BD"/>
    <w:rsid w:val="00920232"/>
    <w:rsid w:val="009206A9"/>
    <w:rsid w:val="00925A66"/>
    <w:rsid w:val="00926DCE"/>
    <w:rsid w:val="00927C2D"/>
    <w:rsid w:val="00931B1F"/>
    <w:rsid w:val="0093293C"/>
    <w:rsid w:val="00936738"/>
    <w:rsid w:val="00936EE6"/>
    <w:rsid w:val="009371A9"/>
    <w:rsid w:val="00943D25"/>
    <w:rsid w:val="00944CBC"/>
    <w:rsid w:val="0094692C"/>
    <w:rsid w:val="00955159"/>
    <w:rsid w:val="0095670E"/>
    <w:rsid w:val="00965098"/>
    <w:rsid w:val="009666C0"/>
    <w:rsid w:val="00971704"/>
    <w:rsid w:val="00971C44"/>
    <w:rsid w:val="00974701"/>
    <w:rsid w:val="00987212"/>
    <w:rsid w:val="00990CDE"/>
    <w:rsid w:val="00991070"/>
    <w:rsid w:val="009965C2"/>
    <w:rsid w:val="00997551"/>
    <w:rsid w:val="009A5815"/>
    <w:rsid w:val="009A5A15"/>
    <w:rsid w:val="009B7360"/>
    <w:rsid w:val="009B78B6"/>
    <w:rsid w:val="009B7BB3"/>
    <w:rsid w:val="009C32F4"/>
    <w:rsid w:val="009C4419"/>
    <w:rsid w:val="009C5969"/>
    <w:rsid w:val="009C5EBC"/>
    <w:rsid w:val="009D27AE"/>
    <w:rsid w:val="009D3F58"/>
    <w:rsid w:val="009D5A54"/>
    <w:rsid w:val="009D75D4"/>
    <w:rsid w:val="009E1BD9"/>
    <w:rsid w:val="009E2EAE"/>
    <w:rsid w:val="009E69BD"/>
    <w:rsid w:val="009F0A11"/>
    <w:rsid w:val="009F4198"/>
    <w:rsid w:val="009F6591"/>
    <w:rsid w:val="009F6A2B"/>
    <w:rsid w:val="009F72C0"/>
    <w:rsid w:val="009F7478"/>
    <w:rsid w:val="00A032FA"/>
    <w:rsid w:val="00A03DAA"/>
    <w:rsid w:val="00A10082"/>
    <w:rsid w:val="00A11CBA"/>
    <w:rsid w:val="00A13D2C"/>
    <w:rsid w:val="00A14E53"/>
    <w:rsid w:val="00A213DC"/>
    <w:rsid w:val="00A231CF"/>
    <w:rsid w:val="00A2414E"/>
    <w:rsid w:val="00A27B23"/>
    <w:rsid w:val="00A307CC"/>
    <w:rsid w:val="00A33B71"/>
    <w:rsid w:val="00A34B96"/>
    <w:rsid w:val="00A35BE9"/>
    <w:rsid w:val="00A35CE3"/>
    <w:rsid w:val="00A44BD2"/>
    <w:rsid w:val="00A52802"/>
    <w:rsid w:val="00A53800"/>
    <w:rsid w:val="00A563C3"/>
    <w:rsid w:val="00A57903"/>
    <w:rsid w:val="00A60BD3"/>
    <w:rsid w:val="00A61671"/>
    <w:rsid w:val="00A61873"/>
    <w:rsid w:val="00A6344C"/>
    <w:rsid w:val="00A6604D"/>
    <w:rsid w:val="00A66B74"/>
    <w:rsid w:val="00A73508"/>
    <w:rsid w:val="00A74AFB"/>
    <w:rsid w:val="00A76E0A"/>
    <w:rsid w:val="00A85291"/>
    <w:rsid w:val="00A92B73"/>
    <w:rsid w:val="00A97A11"/>
    <w:rsid w:val="00AA1205"/>
    <w:rsid w:val="00AA7946"/>
    <w:rsid w:val="00AB011F"/>
    <w:rsid w:val="00AB494D"/>
    <w:rsid w:val="00AB5C5F"/>
    <w:rsid w:val="00AC3E86"/>
    <w:rsid w:val="00AD0817"/>
    <w:rsid w:val="00AD1BFF"/>
    <w:rsid w:val="00AD5E3C"/>
    <w:rsid w:val="00AD6302"/>
    <w:rsid w:val="00AE54B5"/>
    <w:rsid w:val="00AE6118"/>
    <w:rsid w:val="00AF083A"/>
    <w:rsid w:val="00AF0B13"/>
    <w:rsid w:val="00AF11D0"/>
    <w:rsid w:val="00AF36E7"/>
    <w:rsid w:val="00AF5A33"/>
    <w:rsid w:val="00AF6EBA"/>
    <w:rsid w:val="00B002E7"/>
    <w:rsid w:val="00B068C7"/>
    <w:rsid w:val="00B10C79"/>
    <w:rsid w:val="00B153D3"/>
    <w:rsid w:val="00B207E2"/>
    <w:rsid w:val="00B22B34"/>
    <w:rsid w:val="00B22FA8"/>
    <w:rsid w:val="00B2600F"/>
    <w:rsid w:val="00B406BB"/>
    <w:rsid w:val="00B447CB"/>
    <w:rsid w:val="00B44B1C"/>
    <w:rsid w:val="00B5043C"/>
    <w:rsid w:val="00B536F8"/>
    <w:rsid w:val="00B53A7A"/>
    <w:rsid w:val="00B547E0"/>
    <w:rsid w:val="00B54E88"/>
    <w:rsid w:val="00B54FCF"/>
    <w:rsid w:val="00B55909"/>
    <w:rsid w:val="00B561FF"/>
    <w:rsid w:val="00B61EDA"/>
    <w:rsid w:val="00B64DD9"/>
    <w:rsid w:val="00B70700"/>
    <w:rsid w:val="00B77F4F"/>
    <w:rsid w:val="00B820E1"/>
    <w:rsid w:val="00B82298"/>
    <w:rsid w:val="00B82A89"/>
    <w:rsid w:val="00B82B4A"/>
    <w:rsid w:val="00B852DA"/>
    <w:rsid w:val="00B90602"/>
    <w:rsid w:val="00B916FE"/>
    <w:rsid w:val="00B91711"/>
    <w:rsid w:val="00B91738"/>
    <w:rsid w:val="00B955D9"/>
    <w:rsid w:val="00B96BE1"/>
    <w:rsid w:val="00BA79D5"/>
    <w:rsid w:val="00BB2BAF"/>
    <w:rsid w:val="00BB7E8A"/>
    <w:rsid w:val="00BC644F"/>
    <w:rsid w:val="00BD2A37"/>
    <w:rsid w:val="00BD4D21"/>
    <w:rsid w:val="00BD7B8E"/>
    <w:rsid w:val="00BD7EFA"/>
    <w:rsid w:val="00BE2AE5"/>
    <w:rsid w:val="00BE542E"/>
    <w:rsid w:val="00BE6F95"/>
    <w:rsid w:val="00BE7B9B"/>
    <w:rsid w:val="00BF28E1"/>
    <w:rsid w:val="00BF6852"/>
    <w:rsid w:val="00C00536"/>
    <w:rsid w:val="00C072D6"/>
    <w:rsid w:val="00C1325E"/>
    <w:rsid w:val="00C1591D"/>
    <w:rsid w:val="00C17993"/>
    <w:rsid w:val="00C30E6A"/>
    <w:rsid w:val="00C335F7"/>
    <w:rsid w:val="00C35D35"/>
    <w:rsid w:val="00C40FE0"/>
    <w:rsid w:val="00C45C86"/>
    <w:rsid w:val="00C5233D"/>
    <w:rsid w:val="00C626A5"/>
    <w:rsid w:val="00C63E6D"/>
    <w:rsid w:val="00C65D47"/>
    <w:rsid w:val="00C83661"/>
    <w:rsid w:val="00C85D18"/>
    <w:rsid w:val="00C935DF"/>
    <w:rsid w:val="00CA403D"/>
    <w:rsid w:val="00CA4D70"/>
    <w:rsid w:val="00CA5FC5"/>
    <w:rsid w:val="00CA7356"/>
    <w:rsid w:val="00CB0006"/>
    <w:rsid w:val="00CB03BE"/>
    <w:rsid w:val="00CB0572"/>
    <w:rsid w:val="00CB3E1F"/>
    <w:rsid w:val="00CB583A"/>
    <w:rsid w:val="00CB6848"/>
    <w:rsid w:val="00CB6E9B"/>
    <w:rsid w:val="00CC069E"/>
    <w:rsid w:val="00CC551F"/>
    <w:rsid w:val="00CD0783"/>
    <w:rsid w:val="00CD3ADC"/>
    <w:rsid w:val="00CD5199"/>
    <w:rsid w:val="00CD6CA8"/>
    <w:rsid w:val="00CE3C01"/>
    <w:rsid w:val="00CE5D80"/>
    <w:rsid w:val="00CE673B"/>
    <w:rsid w:val="00CE701E"/>
    <w:rsid w:val="00CF3173"/>
    <w:rsid w:val="00D063DE"/>
    <w:rsid w:val="00D15C76"/>
    <w:rsid w:val="00D327FB"/>
    <w:rsid w:val="00D339BD"/>
    <w:rsid w:val="00D35283"/>
    <w:rsid w:val="00D361E1"/>
    <w:rsid w:val="00D517E1"/>
    <w:rsid w:val="00D5237D"/>
    <w:rsid w:val="00D57F49"/>
    <w:rsid w:val="00D60295"/>
    <w:rsid w:val="00D62CA3"/>
    <w:rsid w:val="00D64B99"/>
    <w:rsid w:val="00D64CB4"/>
    <w:rsid w:val="00D710AA"/>
    <w:rsid w:val="00D753E9"/>
    <w:rsid w:val="00D76EFA"/>
    <w:rsid w:val="00D8024F"/>
    <w:rsid w:val="00D826EE"/>
    <w:rsid w:val="00D87CD4"/>
    <w:rsid w:val="00D921BA"/>
    <w:rsid w:val="00D9444D"/>
    <w:rsid w:val="00D94877"/>
    <w:rsid w:val="00DA4A51"/>
    <w:rsid w:val="00DA5A0A"/>
    <w:rsid w:val="00DA630A"/>
    <w:rsid w:val="00DA77B6"/>
    <w:rsid w:val="00DA7F43"/>
    <w:rsid w:val="00DB1342"/>
    <w:rsid w:val="00DB2A12"/>
    <w:rsid w:val="00DC081C"/>
    <w:rsid w:val="00DC4FD4"/>
    <w:rsid w:val="00DC4FF4"/>
    <w:rsid w:val="00DD46CD"/>
    <w:rsid w:val="00DE05CB"/>
    <w:rsid w:val="00DE090E"/>
    <w:rsid w:val="00DE0BA0"/>
    <w:rsid w:val="00DE244E"/>
    <w:rsid w:val="00DE2B7F"/>
    <w:rsid w:val="00DE2E33"/>
    <w:rsid w:val="00DE3711"/>
    <w:rsid w:val="00DE7BC9"/>
    <w:rsid w:val="00DE7E98"/>
    <w:rsid w:val="00DF2C28"/>
    <w:rsid w:val="00E03903"/>
    <w:rsid w:val="00E1438A"/>
    <w:rsid w:val="00E15A54"/>
    <w:rsid w:val="00E17D5D"/>
    <w:rsid w:val="00E2069A"/>
    <w:rsid w:val="00E2122C"/>
    <w:rsid w:val="00E22D1A"/>
    <w:rsid w:val="00E25248"/>
    <w:rsid w:val="00E27659"/>
    <w:rsid w:val="00E45320"/>
    <w:rsid w:val="00E50E02"/>
    <w:rsid w:val="00E5324F"/>
    <w:rsid w:val="00E533EE"/>
    <w:rsid w:val="00E56399"/>
    <w:rsid w:val="00E57275"/>
    <w:rsid w:val="00E613D7"/>
    <w:rsid w:val="00E621E2"/>
    <w:rsid w:val="00E64B95"/>
    <w:rsid w:val="00E66738"/>
    <w:rsid w:val="00E74255"/>
    <w:rsid w:val="00E761DE"/>
    <w:rsid w:val="00E76CE0"/>
    <w:rsid w:val="00E777D8"/>
    <w:rsid w:val="00E77B33"/>
    <w:rsid w:val="00E8215C"/>
    <w:rsid w:val="00E933FA"/>
    <w:rsid w:val="00E954A2"/>
    <w:rsid w:val="00E95D3B"/>
    <w:rsid w:val="00EA0545"/>
    <w:rsid w:val="00EB06D4"/>
    <w:rsid w:val="00EB1D91"/>
    <w:rsid w:val="00EB22F0"/>
    <w:rsid w:val="00EB4F68"/>
    <w:rsid w:val="00EC181E"/>
    <w:rsid w:val="00ED13F9"/>
    <w:rsid w:val="00ED1B61"/>
    <w:rsid w:val="00ED31C2"/>
    <w:rsid w:val="00ED3AC2"/>
    <w:rsid w:val="00ED65D5"/>
    <w:rsid w:val="00EE1819"/>
    <w:rsid w:val="00EE18FB"/>
    <w:rsid w:val="00EE338E"/>
    <w:rsid w:val="00EE75F0"/>
    <w:rsid w:val="00EF19DA"/>
    <w:rsid w:val="00EF1CBB"/>
    <w:rsid w:val="00EF40F5"/>
    <w:rsid w:val="00F0227B"/>
    <w:rsid w:val="00F0485C"/>
    <w:rsid w:val="00F102A0"/>
    <w:rsid w:val="00F13DDD"/>
    <w:rsid w:val="00F1658B"/>
    <w:rsid w:val="00F229A1"/>
    <w:rsid w:val="00F23927"/>
    <w:rsid w:val="00F26989"/>
    <w:rsid w:val="00F338FE"/>
    <w:rsid w:val="00F40A9D"/>
    <w:rsid w:val="00F4292E"/>
    <w:rsid w:val="00F47730"/>
    <w:rsid w:val="00F53425"/>
    <w:rsid w:val="00F566ED"/>
    <w:rsid w:val="00F6092A"/>
    <w:rsid w:val="00F60FA2"/>
    <w:rsid w:val="00F62236"/>
    <w:rsid w:val="00F6422F"/>
    <w:rsid w:val="00F64C16"/>
    <w:rsid w:val="00F67D13"/>
    <w:rsid w:val="00F7145D"/>
    <w:rsid w:val="00F75020"/>
    <w:rsid w:val="00F76A56"/>
    <w:rsid w:val="00F76B10"/>
    <w:rsid w:val="00F76C44"/>
    <w:rsid w:val="00F82497"/>
    <w:rsid w:val="00F85418"/>
    <w:rsid w:val="00F8684F"/>
    <w:rsid w:val="00F92D5C"/>
    <w:rsid w:val="00F975A3"/>
    <w:rsid w:val="00FA2042"/>
    <w:rsid w:val="00FA2D96"/>
    <w:rsid w:val="00FA3E5F"/>
    <w:rsid w:val="00FA70AA"/>
    <w:rsid w:val="00FA7BBE"/>
    <w:rsid w:val="00FB463E"/>
    <w:rsid w:val="00FC5BDE"/>
    <w:rsid w:val="00FC6601"/>
    <w:rsid w:val="00FC6A28"/>
    <w:rsid w:val="00FD1030"/>
    <w:rsid w:val="00FD1FFE"/>
    <w:rsid w:val="00FD5DCA"/>
    <w:rsid w:val="00FE174F"/>
    <w:rsid w:val="00FE1833"/>
    <w:rsid w:val="00FE1F9A"/>
    <w:rsid w:val="00FE4D0A"/>
    <w:rsid w:val="00FF2E75"/>
    <w:rsid w:val="00FF37C0"/>
    <w:rsid w:val="00FF3E55"/>
    <w:rsid w:val="00FF5DD0"/>
    <w:rsid w:val="00FF68C6"/>
    <w:rsid w:val="09373995"/>
    <w:rsid w:val="0C2F472B"/>
    <w:rsid w:val="10703F15"/>
    <w:rsid w:val="134B0AF8"/>
    <w:rsid w:val="2EC31678"/>
    <w:rsid w:val="2F200A12"/>
    <w:rsid w:val="2F936CFC"/>
    <w:rsid w:val="30134BD0"/>
    <w:rsid w:val="3A3C5041"/>
    <w:rsid w:val="42FF594F"/>
    <w:rsid w:val="45CE25EE"/>
    <w:rsid w:val="48F205E0"/>
    <w:rsid w:val="57D60097"/>
    <w:rsid w:val="67EE1836"/>
    <w:rsid w:val="74F979A2"/>
    <w:rsid w:val="7B1C53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imes New Roman"/>
      <w:kern w:val="2"/>
      <w:sz w:val="32"/>
      <w:lang w:val="en-US" w:eastAsia="zh-CN" w:bidi="ar-SA"/>
    </w:rPr>
  </w:style>
  <w:style w:type="paragraph" w:styleId="2">
    <w:name w:val="heading 2"/>
    <w:basedOn w:val="1"/>
    <w:next w:val="1"/>
    <w:link w:val="15"/>
    <w:qFormat/>
    <w:uiPriority w:val="0"/>
    <w:pPr>
      <w:keepNext/>
      <w:keepLines/>
      <w:spacing w:before="260" w:after="260" w:line="416" w:lineRule="auto"/>
      <w:outlineLvl w:val="1"/>
    </w:pPr>
    <w:rPr>
      <w:rFonts w:ascii="Arial" w:hAnsi="Arial" w:eastAsia="黑体"/>
      <w:b/>
      <w:bCs/>
      <w:szCs w:val="32"/>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Document Map"/>
    <w:basedOn w:val="1"/>
    <w:link w:val="19"/>
    <w:semiHidden/>
    <w:unhideWhenUsed/>
    <w:qFormat/>
    <w:uiPriority w:val="99"/>
    <w:rPr>
      <w:rFonts w:ascii="宋体" w:eastAsia="宋体"/>
      <w:sz w:val="18"/>
      <w:szCs w:val="18"/>
    </w:rPr>
  </w:style>
  <w:style w:type="paragraph" w:styleId="4">
    <w:name w:val="annotation text"/>
    <w:basedOn w:val="1"/>
    <w:link w:val="21"/>
    <w:semiHidden/>
    <w:unhideWhenUsed/>
    <w:uiPriority w:val="99"/>
    <w:pPr>
      <w:jc w:val="left"/>
    </w:pPr>
  </w:style>
  <w:style w:type="paragraph" w:styleId="5">
    <w:name w:val="Balloon Text"/>
    <w:basedOn w:val="1"/>
    <w:link w:val="20"/>
    <w:semiHidden/>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link w:val="16"/>
    <w:qFormat/>
    <w:uiPriority w:val="0"/>
    <w:pPr>
      <w:snapToGrid w:val="0"/>
      <w:jc w:val="left"/>
    </w:pPr>
    <w:rPr>
      <w:rFonts w:eastAsia="宋体"/>
      <w:sz w:val="18"/>
    </w:rPr>
  </w:style>
  <w:style w:type="paragraph" w:styleId="9">
    <w:name w:val="annotation subject"/>
    <w:basedOn w:val="4"/>
    <w:next w:val="4"/>
    <w:link w:val="22"/>
    <w:semiHidden/>
    <w:unhideWhenUsed/>
    <w:qFormat/>
    <w:uiPriority w:val="99"/>
    <w:rPr>
      <w:b/>
      <w:bCs/>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semiHidden/>
    <w:unhideWhenUsed/>
    <w:qFormat/>
    <w:uiPriority w:val="99"/>
    <w:rPr>
      <w:sz w:val="21"/>
      <w:szCs w:val="21"/>
    </w:rPr>
  </w:style>
  <w:style w:type="character" w:styleId="14">
    <w:name w:val="footnote reference"/>
    <w:basedOn w:val="12"/>
    <w:qFormat/>
    <w:uiPriority w:val="0"/>
    <w:rPr>
      <w:vertAlign w:val="superscript"/>
    </w:rPr>
  </w:style>
  <w:style w:type="character" w:customStyle="1" w:styleId="15">
    <w:name w:val="标题 2 字符"/>
    <w:basedOn w:val="12"/>
    <w:link w:val="2"/>
    <w:qFormat/>
    <w:uiPriority w:val="0"/>
    <w:rPr>
      <w:rFonts w:ascii="Arial" w:hAnsi="Arial" w:eastAsia="黑体" w:cs="Times New Roman"/>
      <w:b/>
      <w:bCs/>
      <w:sz w:val="32"/>
      <w:szCs w:val="32"/>
    </w:rPr>
  </w:style>
  <w:style w:type="character" w:customStyle="1" w:styleId="16">
    <w:name w:val="脚注文本 字符"/>
    <w:basedOn w:val="12"/>
    <w:link w:val="8"/>
    <w:qFormat/>
    <w:uiPriority w:val="0"/>
    <w:rPr>
      <w:rFonts w:ascii="Times New Roman" w:hAnsi="Times New Roman" w:eastAsia="宋体" w:cs="Times New Roman"/>
      <w:sz w:val="18"/>
      <w:szCs w:val="20"/>
    </w:rPr>
  </w:style>
  <w:style w:type="character" w:customStyle="1" w:styleId="17">
    <w:name w:val="页眉 字符"/>
    <w:basedOn w:val="12"/>
    <w:link w:val="7"/>
    <w:qFormat/>
    <w:uiPriority w:val="99"/>
    <w:rPr>
      <w:rFonts w:ascii="Times New Roman" w:hAnsi="Times New Roman" w:eastAsia="方正仿宋简体" w:cs="Times New Roman"/>
      <w:sz w:val="18"/>
      <w:szCs w:val="18"/>
    </w:rPr>
  </w:style>
  <w:style w:type="character" w:customStyle="1" w:styleId="18">
    <w:name w:val="页脚 字符"/>
    <w:basedOn w:val="12"/>
    <w:link w:val="6"/>
    <w:qFormat/>
    <w:uiPriority w:val="99"/>
    <w:rPr>
      <w:rFonts w:ascii="Times New Roman" w:hAnsi="Times New Roman" w:eastAsia="方正仿宋简体" w:cs="Times New Roman"/>
      <w:sz w:val="18"/>
      <w:szCs w:val="18"/>
    </w:rPr>
  </w:style>
  <w:style w:type="character" w:customStyle="1" w:styleId="19">
    <w:name w:val="文档结构图 字符"/>
    <w:basedOn w:val="12"/>
    <w:link w:val="3"/>
    <w:semiHidden/>
    <w:qFormat/>
    <w:uiPriority w:val="99"/>
    <w:rPr>
      <w:rFonts w:ascii="宋体" w:hAnsi="Times New Roman" w:eastAsia="宋体" w:cs="Times New Roman"/>
      <w:sz w:val="18"/>
      <w:szCs w:val="18"/>
    </w:rPr>
  </w:style>
  <w:style w:type="character" w:customStyle="1" w:styleId="20">
    <w:name w:val="批注框文本 字符"/>
    <w:basedOn w:val="12"/>
    <w:link w:val="5"/>
    <w:semiHidden/>
    <w:qFormat/>
    <w:uiPriority w:val="99"/>
    <w:rPr>
      <w:rFonts w:ascii="Times New Roman" w:hAnsi="Times New Roman" w:eastAsia="方正仿宋简体" w:cs="Times New Roman"/>
      <w:sz w:val="18"/>
      <w:szCs w:val="18"/>
    </w:rPr>
  </w:style>
  <w:style w:type="character" w:customStyle="1" w:styleId="21">
    <w:name w:val="批注文字 字符"/>
    <w:basedOn w:val="12"/>
    <w:link w:val="4"/>
    <w:semiHidden/>
    <w:qFormat/>
    <w:uiPriority w:val="99"/>
    <w:rPr>
      <w:rFonts w:ascii="Times New Roman" w:hAnsi="Times New Roman" w:eastAsia="方正仿宋简体" w:cs="Times New Roman"/>
      <w:sz w:val="32"/>
      <w:szCs w:val="20"/>
    </w:rPr>
  </w:style>
  <w:style w:type="character" w:customStyle="1" w:styleId="22">
    <w:name w:val="批注主题 字符"/>
    <w:basedOn w:val="21"/>
    <w:link w:val="9"/>
    <w:semiHidden/>
    <w:qFormat/>
    <w:uiPriority w:val="99"/>
    <w:rPr>
      <w:rFonts w:ascii="Times New Roman" w:hAnsi="Times New Roman" w:eastAsia="方正仿宋简体" w:cs="Times New Roman"/>
      <w:b/>
      <w:bCs/>
      <w:sz w:val="32"/>
      <w:szCs w:val="20"/>
    </w:rPr>
  </w:style>
  <w:style w:type="paragraph" w:customStyle="1" w:styleId="23">
    <w:name w:val="修订1"/>
    <w:hidden/>
    <w:semiHidden/>
    <w:qFormat/>
    <w:uiPriority w:val="99"/>
    <w:rPr>
      <w:rFonts w:ascii="Times New Roman" w:hAnsi="Times New Roman" w:eastAsia="方正仿宋简体" w:cs="Times New Roman"/>
      <w:kern w:val="2"/>
      <w:sz w:val="32"/>
      <w:lang w:val="en-US" w:eastAsia="zh-CN" w:bidi="ar-SA"/>
    </w:rPr>
  </w:style>
  <w:style w:type="paragraph" w:customStyle="1" w:styleId="24">
    <w:name w:val="修订2"/>
    <w:hidden/>
    <w:semiHidden/>
    <w:uiPriority w:val="99"/>
    <w:rPr>
      <w:rFonts w:ascii="Times New Roman" w:hAnsi="Times New Roman" w:eastAsia="方正仿宋简体" w:cs="Times New Roman"/>
      <w:kern w:val="2"/>
      <w:sz w:val="3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234</Words>
  <Characters>1339</Characters>
  <Lines>11</Lines>
  <Paragraphs>3</Paragraphs>
  <TotalTime>225</TotalTime>
  <ScaleCrop>false</ScaleCrop>
  <LinksUpToDate>false</LinksUpToDate>
  <CharactersWithSpaces>1570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2025-01-20T06:33:00Z</dcterms:created>
  <dc:creator>User</dc:creator>
  <cp:lastModifiedBy>haotingting</cp:lastModifiedBy>
  <cp:lastPrinted>2024-11-26T09:14:00Z</cp:lastPrinted>
  <dcterms:modified xsi:type="dcterms:W3CDTF">2025-12-10T05:07:00Z</dcterms:modified>
  <cp:revision>216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30E0C0C259A6487D9BA77AD3C277968C</vt:lpwstr>
  </property>
</Properties>
</file>