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ascii="宋体" w:hAnsi="宋体"/>
          <w:b/>
          <w:bCs/>
          <w:sz w:val="28"/>
          <w:szCs w:val="28"/>
        </w:rPr>
      </w:pPr>
      <w:r>
        <w:rPr>
          <w:rFonts w:hint="eastAsia" w:ascii="宋体" w:hAnsi="宋体" w:cs="宋体"/>
          <w:b/>
          <w:bCs/>
          <w:sz w:val="28"/>
          <w:szCs w:val="28"/>
        </w:rPr>
        <w:t>交银施罗德中证智选沪深港科技50交易型开放式指数证券投资基金基金份额发售公告</w:t>
      </w:r>
    </w:p>
    <w:p>
      <w:pPr>
        <w:adjustRightInd w:val="0"/>
        <w:snapToGrid w:val="0"/>
        <w:spacing w:before="120" w:line="360" w:lineRule="auto"/>
        <w:jc w:val="center"/>
        <w:rPr>
          <w:rFonts w:ascii="宋体" w:hAnsi="宋体"/>
          <w:b/>
          <w:sz w:val="24"/>
        </w:rPr>
      </w:pPr>
    </w:p>
    <w:p>
      <w:pPr>
        <w:adjustRightInd w:val="0"/>
        <w:snapToGrid w:val="0"/>
        <w:spacing w:before="120" w:line="360" w:lineRule="auto"/>
        <w:jc w:val="center"/>
        <w:outlineLvl w:val="0"/>
        <w:rPr>
          <w:rFonts w:ascii="宋体" w:hAnsi="宋体"/>
          <w:b/>
          <w:sz w:val="24"/>
        </w:rPr>
      </w:pPr>
      <w:r>
        <w:rPr>
          <w:rFonts w:hint="eastAsia" w:ascii="宋体" w:hAnsi="宋体"/>
          <w:b/>
          <w:sz w:val="24"/>
        </w:rPr>
        <w:t>重要提示</w:t>
      </w:r>
    </w:p>
    <w:p>
      <w:pPr>
        <w:adjustRightInd w:val="0"/>
        <w:snapToGrid w:val="0"/>
        <w:spacing w:line="360" w:lineRule="auto"/>
        <w:ind w:firstLine="480" w:firstLineChars="200"/>
        <w:rPr>
          <w:rFonts w:hAnsi="宋体"/>
          <w:sz w:val="24"/>
        </w:rPr>
      </w:pPr>
      <w:r>
        <w:rPr>
          <w:sz w:val="24"/>
        </w:rPr>
        <w:t>1</w:t>
      </w:r>
      <w:r>
        <w:rPr>
          <w:rFonts w:hAnsi="宋体"/>
          <w:sz w:val="24"/>
        </w:rPr>
        <w:t>、</w:t>
      </w:r>
      <w:r>
        <w:rPr>
          <w:rFonts w:hint="eastAsia" w:hAnsi="宋体"/>
          <w:sz w:val="24"/>
        </w:rPr>
        <w:t>交银施罗德中证智选沪深港科技50交易型开放式指数证券投资基金</w:t>
      </w:r>
      <w:r>
        <w:rPr>
          <w:rFonts w:hAnsi="宋体"/>
          <w:sz w:val="24"/>
        </w:rPr>
        <w:t>（以下简称“本基金”）的募集已获中国证券监督管理委员会（以下简称“中国证监会”）证监许可【</w:t>
      </w:r>
      <w:r>
        <w:rPr>
          <w:rFonts w:hint="eastAsia" w:hAnsi="宋体"/>
          <w:sz w:val="24"/>
        </w:rPr>
        <w:t>202</w:t>
      </w:r>
      <w:r>
        <w:rPr>
          <w:rFonts w:hAnsi="宋体"/>
          <w:sz w:val="24"/>
        </w:rPr>
        <w:t>5】</w:t>
      </w:r>
      <w:r>
        <w:rPr>
          <w:kern w:val="0"/>
          <w:sz w:val="24"/>
        </w:rPr>
        <w:t>2287</w:t>
      </w:r>
      <w:r>
        <w:rPr>
          <w:rFonts w:hAnsi="宋体"/>
          <w:sz w:val="24"/>
        </w:rPr>
        <w:t>号文</w:t>
      </w:r>
      <w:r>
        <w:rPr>
          <w:rFonts w:hint="eastAsia" w:ascii="宋体" w:hAnsi="宋体"/>
          <w:sz w:val="24"/>
        </w:rPr>
        <w:t>予以注册</w:t>
      </w:r>
      <w:r>
        <w:rPr>
          <w:rFonts w:hAnsi="宋体"/>
          <w:sz w:val="24"/>
        </w:rPr>
        <w:t>。中国证监会对本基金</w:t>
      </w:r>
      <w:r>
        <w:rPr>
          <w:rFonts w:hint="eastAsia" w:hAnsi="宋体"/>
          <w:sz w:val="24"/>
        </w:rPr>
        <w:t>募集</w:t>
      </w:r>
      <w:r>
        <w:rPr>
          <w:rFonts w:hAnsi="宋体"/>
          <w:sz w:val="24"/>
        </w:rPr>
        <w:t>的</w:t>
      </w:r>
      <w:r>
        <w:rPr>
          <w:rFonts w:hint="eastAsia" w:ascii="宋体" w:hAnsi="宋体"/>
          <w:sz w:val="24"/>
        </w:rPr>
        <w:t>注册</w:t>
      </w:r>
      <w:r>
        <w:rPr>
          <w:rFonts w:hAnsi="宋体"/>
          <w:sz w:val="24"/>
        </w:rPr>
        <w:t>并不代表中国证监会对本基金的</w:t>
      </w:r>
      <w:r>
        <w:rPr>
          <w:rFonts w:hint="eastAsia" w:hAnsi="宋体"/>
          <w:sz w:val="24"/>
        </w:rPr>
        <w:t>投资价值</w:t>
      </w:r>
      <w:r>
        <w:rPr>
          <w:rFonts w:hAnsi="宋体"/>
          <w:sz w:val="24"/>
        </w:rPr>
        <w:t>和市场前景作出实质性判断、推荐或者保证。</w:t>
      </w:r>
    </w:p>
    <w:p>
      <w:pPr>
        <w:adjustRightInd w:val="0"/>
        <w:snapToGrid w:val="0"/>
        <w:spacing w:line="360" w:lineRule="auto"/>
        <w:ind w:firstLine="480" w:firstLineChars="200"/>
        <w:rPr>
          <w:rFonts w:hAnsi="宋体"/>
          <w:sz w:val="24"/>
        </w:rPr>
      </w:pPr>
      <w:r>
        <w:rPr>
          <w:sz w:val="24"/>
        </w:rPr>
        <w:t>2</w:t>
      </w:r>
      <w:r>
        <w:rPr>
          <w:rFonts w:hAnsi="宋体"/>
          <w:sz w:val="24"/>
        </w:rPr>
        <w:t>、</w:t>
      </w:r>
      <w:r>
        <w:rPr>
          <w:rFonts w:hint="eastAsia" w:hAnsi="宋体"/>
          <w:sz w:val="24"/>
        </w:rPr>
        <w:t>本基金是交易型</w:t>
      </w:r>
      <w:r>
        <w:rPr>
          <w:rFonts w:hAnsi="宋体"/>
          <w:sz w:val="24"/>
        </w:rPr>
        <w:t>开放式</w:t>
      </w:r>
      <w:r>
        <w:rPr>
          <w:rFonts w:hint="eastAsia" w:hAnsi="宋体"/>
          <w:sz w:val="24"/>
        </w:rPr>
        <w:t>股票型</w:t>
      </w:r>
      <w:r>
        <w:rPr>
          <w:rFonts w:hAnsi="宋体"/>
          <w:sz w:val="24"/>
        </w:rPr>
        <w:t>证券投资基金。</w:t>
      </w:r>
    </w:p>
    <w:p>
      <w:pPr>
        <w:adjustRightInd w:val="0"/>
        <w:snapToGrid w:val="0"/>
        <w:spacing w:line="360" w:lineRule="auto"/>
        <w:ind w:firstLine="480" w:firstLineChars="200"/>
        <w:rPr>
          <w:rFonts w:hAnsi="宋体"/>
          <w:sz w:val="24"/>
        </w:rPr>
      </w:pPr>
      <w:r>
        <w:rPr>
          <w:sz w:val="24"/>
        </w:rPr>
        <w:t>3</w:t>
      </w:r>
      <w:r>
        <w:rPr>
          <w:rFonts w:hAnsi="宋体"/>
          <w:sz w:val="24"/>
        </w:rPr>
        <w:t>、本基金的</w:t>
      </w:r>
      <w:r>
        <w:rPr>
          <w:rFonts w:hint="eastAsia" w:hAnsi="宋体"/>
          <w:sz w:val="24"/>
        </w:rPr>
        <w:t>基金</w:t>
      </w:r>
      <w:r>
        <w:rPr>
          <w:rFonts w:hAnsi="宋体"/>
          <w:sz w:val="24"/>
        </w:rPr>
        <w:t>管理人为交银施罗德基金管理有限公司（以下使用全称或其简称“本公司”），</w:t>
      </w:r>
      <w:r>
        <w:rPr>
          <w:rFonts w:hint="eastAsia" w:hAnsi="宋体"/>
          <w:sz w:val="24"/>
        </w:rPr>
        <w:t>基金</w:t>
      </w:r>
      <w:r>
        <w:rPr>
          <w:rFonts w:hAnsi="宋体"/>
          <w:sz w:val="24"/>
        </w:rPr>
        <w:t>托管人为</w:t>
      </w:r>
      <w:r>
        <w:rPr>
          <w:rFonts w:hint="eastAsia" w:hAnsi="宋体"/>
          <w:sz w:val="24"/>
        </w:rPr>
        <w:t>国泰海通证券股份有限公司</w:t>
      </w:r>
      <w:r>
        <w:rPr>
          <w:rFonts w:hAnsi="宋体"/>
          <w:sz w:val="24"/>
        </w:rPr>
        <w:t>，登记机构为</w:t>
      </w:r>
      <w:r>
        <w:rPr>
          <w:rFonts w:hint="eastAsia" w:hAnsi="宋体"/>
          <w:sz w:val="24"/>
        </w:rPr>
        <w:t>中国证券登记结算有限责任公司（以下使用全称或其简称“中登”）。</w:t>
      </w:r>
    </w:p>
    <w:p>
      <w:pPr>
        <w:adjustRightInd w:val="0"/>
        <w:snapToGrid w:val="0"/>
        <w:spacing w:line="360" w:lineRule="auto"/>
        <w:ind w:firstLine="480" w:firstLineChars="200"/>
        <w:rPr>
          <w:rFonts w:hAnsi="宋体"/>
          <w:sz w:val="24"/>
        </w:rPr>
      </w:pPr>
      <w:r>
        <w:rPr>
          <w:rFonts w:hint="eastAsia" w:hAnsi="宋体"/>
          <w:sz w:val="24"/>
        </w:rPr>
        <w:t>4、目前投资者可选择网上现金认购和网下现金认购2种方式认购本基金（本基金暂不开通网下股票认购）。基金管理人可根据情况增加其他认购方式，具体以相关公告为准。</w:t>
      </w:r>
    </w:p>
    <w:p>
      <w:pPr>
        <w:adjustRightInd w:val="0"/>
        <w:snapToGrid w:val="0"/>
        <w:spacing w:line="360" w:lineRule="auto"/>
        <w:ind w:firstLine="480" w:firstLineChars="200"/>
        <w:rPr>
          <w:rFonts w:hAnsi="宋体"/>
          <w:sz w:val="24"/>
        </w:rPr>
      </w:pPr>
      <w:r>
        <w:rPr>
          <w:rFonts w:hint="eastAsia" w:hAnsi="宋体"/>
          <w:sz w:val="24"/>
        </w:rPr>
        <w:t>网上现金认购是指投资人通过基金管理人指定的发售代理机构用上海证券交易所交易系统以现金进行的认购。</w:t>
      </w:r>
    </w:p>
    <w:p>
      <w:pPr>
        <w:adjustRightInd w:val="0"/>
        <w:snapToGrid w:val="0"/>
        <w:spacing w:line="360" w:lineRule="auto"/>
        <w:ind w:firstLine="480" w:firstLineChars="200"/>
        <w:rPr>
          <w:rFonts w:hAnsi="宋体"/>
          <w:sz w:val="24"/>
        </w:rPr>
      </w:pPr>
      <w:r>
        <w:rPr>
          <w:rFonts w:hint="eastAsia" w:hAnsi="宋体"/>
          <w:sz w:val="24"/>
        </w:rPr>
        <w:t>网下现金认购是指投资人通过基金管理人及其指定的发售代理机构以现金进行的认购。</w:t>
      </w:r>
    </w:p>
    <w:p>
      <w:pPr>
        <w:adjustRightInd w:val="0"/>
        <w:snapToGrid w:val="0"/>
        <w:spacing w:line="360" w:lineRule="auto"/>
        <w:rPr>
          <w:sz w:val="24"/>
        </w:rPr>
      </w:pPr>
      <w:r>
        <w:rPr>
          <w:rFonts w:hAnsi="宋体"/>
          <w:sz w:val="24"/>
        </w:rPr>
        <w:tab/>
      </w:r>
      <w:r>
        <w:rPr>
          <w:sz w:val="24"/>
        </w:rPr>
        <w:t>5</w:t>
      </w:r>
      <w:r>
        <w:rPr>
          <w:rFonts w:hAnsi="宋体"/>
          <w:sz w:val="24"/>
        </w:rPr>
        <w:t>、基金募集期：本基金自</w:t>
      </w:r>
      <w:r>
        <w:rPr>
          <w:rFonts w:hint="eastAsia"/>
          <w:sz w:val="24"/>
        </w:rPr>
        <w:t>202</w:t>
      </w:r>
      <w:r>
        <w:rPr>
          <w:sz w:val="24"/>
        </w:rPr>
        <w:t>5</w:t>
      </w:r>
      <w:r>
        <w:rPr>
          <w:rFonts w:hint="eastAsia"/>
          <w:sz w:val="24"/>
        </w:rPr>
        <w:t>年</w:t>
      </w:r>
      <w:r>
        <w:rPr>
          <w:sz w:val="24"/>
        </w:rPr>
        <w:t>12</w:t>
      </w:r>
      <w:r>
        <w:rPr>
          <w:rFonts w:hint="eastAsia"/>
          <w:sz w:val="24"/>
        </w:rPr>
        <w:t>月</w:t>
      </w:r>
      <w:r>
        <w:rPr>
          <w:sz w:val="24"/>
        </w:rPr>
        <w:t>1</w:t>
      </w:r>
      <w:r>
        <w:rPr>
          <w:rFonts w:hint="eastAsia"/>
          <w:sz w:val="24"/>
        </w:rPr>
        <w:t>日起至202</w:t>
      </w:r>
      <w:r>
        <w:rPr>
          <w:sz w:val="24"/>
        </w:rPr>
        <w:t>5</w:t>
      </w:r>
      <w:r>
        <w:rPr>
          <w:rFonts w:hint="eastAsia"/>
          <w:sz w:val="24"/>
        </w:rPr>
        <w:t>年</w:t>
      </w:r>
      <w:r>
        <w:rPr>
          <w:sz w:val="24"/>
        </w:rPr>
        <w:t>12</w:t>
      </w:r>
      <w:r>
        <w:rPr>
          <w:rFonts w:hint="eastAsia"/>
          <w:sz w:val="24"/>
        </w:rPr>
        <w:t>月</w:t>
      </w:r>
      <w:r>
        <w:rPr>
          <w:sz w:val="24"/>
        </w:rPr>
        <w:t>5</w:t>
      </w:r>
      <w:r>
        <w:rPr>
          <w:rFonts w:hint="eastAsia"/>
          <w:sz w:val="24"/>
        </w:rPr>
        <w:t>日</w:t>
      </w:r>
      <w:r>
        <w:rPr>
          <w:rFonts w:hAnsi="宋体"/>
          <w:sz w:val="24"/>
        </w:rPr>
        <w:t>止</w:t>
      </w:r>
      <w:r>
        <w:rPr>
          <w:rFonts w:hint="eastAsia" w:hAnsi="宋体"/>
          <w:sz w:val="24"/>
        </w:rPr>
        <w:t>进行发售</w:t>
      </w:r>
      <w:r>
        <w:rPr>
          <w:rFonts w:hAnsi="宋体"/>
          <w:sz w:val="24"/>
        </w:rPr>
        <w:t>。</w:t>
      </w:r>
      <w:r>
        <w:rPr>
          <w:rFonts w:hint="eastAsia" w:hAnsi="宋体"/>
          <w:sz w:val="24"/>
        </w:rPr>
        <w:t>其中，网上现金认购的日期为</w:t>
      </w:r>
      <w:r>
        <w:rPr>
          <w:rFonts w:hint="eastAsia"/>
          <w:sz w:val="24"/>
        </w:rPr>
        <w:t>202</w:t>
      </w:r>
      <w:r>
        <w:rPr>
          <w:sz w:val="24"/>
        </w:rPr>
        <w:t>5</w:t>
      </w:r>
      <w:r>
        <w:rPr>
          <w:rFonts w:hint="eastAsia"/>
          <w:sz w:val="24"/>
        </w:rPr>
        <w:t>年</w:t>
      </w:r>
      <w:r>
        <w:rPr>
          <w:sz w:val="24"/>
        </w:rPr>
        <w:t>12</w:t>
      </w:r>
      <w:r>
        <w:rPr>
          <w:rFonts w:hint="eastAsia"/>
          <w:sz w:val="24"/>
        </w:rPr>
        <w:t>月</w:t>
      </w:r>
      <w:r>
        <w:rPr>
          <w:sz w:val="24"/>
        </w:rPr>
        <w:t>1</w:t>
      </w:r>
      <w:r>
        <w:rPr>
          <w:rFonts w:hint="eastAsia"/>
          <w:sz w:val="24"/>
        </w:rPr>
        <w:t>日至202</w:t>
      </w:r>
      <w:r>
        <w:rPr>
          <w:sz w:val="24"/>
        </w:rPr>
        <w:t>5</w:t>
      </w:r>
      <w:r>
        <w:rPr>
          <w:rFonts w:hint="eastAsia"/>
          <w:sz w:val="24"/>
        </w:rPr>
        <w:t>年</w:t>
      </w:r>
      <w:r>
        <w:rPr>
          <w:sz w:val="24"/>
        </w:rPr>
        <w:t>12</w:t>
      </w:r>
      <w:r>
        <w:rPr>
          <w:rFonts w:hint="eastAsia"/>
          <w:sz w:val="24"/>
        </w:rPr>
        <w:t>月</w:t>
      </w:r>
      <w:r>
        <w:rPr>
          <w:sz w:val="24"/>
        </w:rPr>
        <w:t>5</w:t>
      </w:r>
      <w:r>
        <w:rPr>
          <w:rFonts w:hint="eastAsia"/>
          <w:sz w:val="24"/>
        </w:rPr>
        <w:t>日</w:t>
      </w:r>
      <w:r>
        <w:rPr>
          <w:rFonts w:hAnsi="宋体"/>
          <w:sz w:val="24"/>
        </w:rPr>
        <w:t>止</w:t>
      </w:r>
      <w:r>
        <w:rPr>
          <w:rFonts w:hint="eastAsia" w:hAnsi="宋体"/>
          <w:sz w:val="24"/>
        </w:rPr>
        <w:t>；网下现金认购的日期为</w:t>
      </w:r>
      <w:r>
        <w:rPr>
          <w:rFonts w:hint="eastAsia"/>
          <w:sz w:val="24"/>
        </w:rPr>
        <w:t>202</w:t>
      </w:r>
      <w:r>
        <w:rPr>
          <w:sz w:val="24"/>
        </w:rPr>
        <w:t>5</w:t>
      </w:r>
      <w:r>
        <w:rPr>
          <w:rFonts w:hint="eastAsia"/>
          <w:sz w:val="24"/>
        </w:rPr>
        <w:t>年</w:t>
      </w:r>
      <w:r>
        <w:rPr>
          <w:sz w:val="24"/>
        </w:rPr>
        <w:t>12</w:t>
      </w:r>
      <w:r>
        <w:rPr>
          <w:rFonts w:hint="eastAsia"/>
          <w:sz w:val="24"/>
        </w:rPr>
        <w:t>月</w:t>
      </w:r>
      <w:r>
        <w:rPr>
          <w:sz w:val="24"/>
        </w:rPr>
        <w:t>1</w:t>
      </w:r>
      <w:r>
        <w:rPr>
          <w:rFonts w:hint="eastAsia"/>
          <w:sz w:val="24"/>
        </w:rPr>
        <w:t>日至202</w:t>
      </w:r>
      <w:r>
        <w:rPr>
          <w:sz w:val="24"/>
        </w:rPr>
        <w:t>5</w:t>
      </w:r>
      <w:r>
        <w:rPr>
          <w:rFonts w:hint="eastAsia"/>
          <w:sz w:val="24"/>
        </w:rPr>
        <w:t>年</w:t>
      </w:r>
      <w:r>
        <w:rPr>
          <w:sz w:val="24"/>
        </w:rPr>
        <w:t>12</w:t>
      </w:r>
      <w:r>
        <w:rPr>
          <w:rFonts w:hint="eastAsia"/>
          <w:sz w:val="24"/>
        </w:rPr>
        <w:t>月</w:t>
      </w:r>
      <w:r>
        <w:rPr>
          <w:sz w:val="24"/>
        </w:rPr>
        <w:t>5</w:t>
      </w:r>
      <w:r>
        <w:rPr>
          <w:rFonts w:hint="eastAsia"/>
          <w:sz w:val="24"/>
        </w:rPr>
        <w:t>日</w:t>
      </w:r>
      <w:r>
        <w:rPr>
          <w:rFonts w:hAnsi="宋体"/>
          <w:sz w:val="24"/>
        </w:rPr>
        <w:t>止</w:t>
      </w:r>
      <w:r>
        <w:rPr>
          <w:rFonts w:hint="eastAsia" w:hAnsi="宋体"/>
          <w:sz w:val="24"/>
        </w:rPr>
        <w:t>。如上海证券交易所对网上现金认购时间做出调整，本公司将相应调整并及时公告。</w:t>
      </w:r>
      <w:r>
        <w:rPr>
          <w:rFonts w:hAnsi="宋体"/>
          <w:sz w:val="24"/>
        </w:rPr>
        <w:t>本公司也可根据基金销售情况在募集期限内适当延长或缩短基金发售时间，并及时公告。</w:t>
      </w:r>
    </w:p>
    <w:p>
      <w:pPr>
        <w:autoSpaceDE w:val="0"/>
        <w:autoSpaceDN w:val="0"/>
        <w:adjustRightInd w:val="0"/>
        <w:snapToGrid w:val="0"/>
        <w:spacing w:line="360" w:lineRule="auto"/>
        <w:ind w:firstLine="480" w:firstLineChars="200"/>
        <w:rPr>
          <w:rFonts w:hAnsi="宋体"/>
          <w:sz w:val="24"/>
        </w:rPr>
      </w:pPr>
      <w:r>
        <w:rPr>
          <w:sz w:val="24"/>
        </w:rPr>
        <w:t>6</w:t>
      </w:r>
      <w:r>
        <w:rPr>
          <w:rFonts w:hAnsi="宋体"/>
          <w:sz w:val="24"/>
        </w:rPr>
        <w:t>、</w:t>
      </w:r>
      <w:r>
        <w:rPr>
          <w:rFonts w:hint="eastAsia" w:hAnsi="宋体"/>
          <w:sz w:val="24"/>
        </w:rPr>
        <w:t>本基金可设置募集规模上限，具体募集规模上限及相关安排详见届时公告。基金合同生效后将不再受此募集规模的限制。</w:t>
      </w:r>
    </w:p>
    <w:p>
      <w:pPr>
        <w:autoSpaceDE w:val="0"/>
        <w:autoSpaceDN w:val="0"/>
        <w:adjustRightInd w:val="0"/>
        <w:snapToGrid w:val="0"/>
        <w:spacing w:line="360" w:lineRule="auto"/>
        <w:ind w:firstLine="480" w:firstLineChars="200"/>
        <w:rPr>
          <w:sz w:val="24"/>
        </w:rPr>
      </w:pPr>
      <w:r>
        <w:rPr>
          <w:rFonts w:hint="eastAsia" w:hAnsi="宋体"/>
          <w:sz w:val="24"/>
        </w:rPr>
        <w:t>7、</w:t>
      </w:r>
      <w:r>
        <w:rPr>
          <w:rFonts w:hAnsi="宋体"/>
          <w:sz w:val="24"/>
        </w:rPr>
        <w:t>本基金募集对象为</w:t>
      </w:r>
      <w:r>
        <w:rPr>
          <w:rFonts w:hAnsi="宋体"/>
          <w:bCs/>
          <w:sz w:val="24"/>
        </w:rPr>
        <w:t>符合法律法规规定的可投资于证券投资基金的</w:t>
      </w:r>
      <w:r>
        <w:rPr>
          <w:rFonts w:hAnsi="宋体"/>
          <w:sz w:val="24"/>
        </w:rPr>
        <w:t>个人投资者、机构投资者</w:t>
      </w:r>
      <w:r>
        <w:rPr>
          <w:rFonts w:hint="eastAsia" w:hAnsi="宋体"/>
          <w:sz w:val="24"/>
        </w:rPr>
        <w:t>、</w:t>
      </w:r>
      <w:r>
        <w:rPr>
          <w:rFonts w:hAnsi="宋体"/>
          <w:sz w:val="24"/>
        </w:rPr>
        <w:t>合格境外</w:t>
      </w:r>
      <w:r>
        <w:rPr>
          <w:rFonts w:hint="eastAsia"/>
          <w:color w:val="000000"/>
          <w:kern w:val="0"/>
          <w:sz w:val="24"/>
        </w:rPr>
        <w:t>投资者</w:t>
      </w:r>
      <w:r>
        <w:rPr>
          <w:rFonts w:hAnsi="宋体"/>
          <w:sz w:val="24"/>
        </w:rPr>
        <w:t>以及法律法规或中国证监会允许购买证券投资基金的其他投资人</w:t>
      </w:r>
      <w:r>
        <w:rPr>
          <w:rFonts w:hint="eastAsia"/>
          <w:color w:val="000000"/>
          <w:kern w:val="0"/>
          <w:sz w:val="24"/>
        </w:rPr>
        <w:t>（以下合称“投资人”或“投资者”）</w:t>
      </w:r>
      <w:r>
        <w:rPr>
          <w:rFonts w:hAnsi="宋体"/>
          <w:sz w:val="24"/>
        </w:rPr>
        <w:t>。</w:t>
      </w:r>
    </w:p>
    <w:p>
      <w:pPr>
        <w:adjustRightInd w:val="0"/>
        <w:snapToGrid w:val="0"/>
        <w:spacing w:line="360" w:lineRule="auto"/>
        <w:ind w:firstLine="480" w:firstLineChars="200"/>
        <w:rPr>
          <w:bCs/>
          <w:sz w:val="24"/>
        </w:rPr>
      </w:pPr>
      <w:r>
        <w:rPr>
          <w:sz w:val="24"/>
        </w:rPr>
        <w:t>8</w:t>
      </w:r>
      <w:r>
        <w:rPr>
          <w:rFonts w:hAnsi="宋体"/>
          <w:sz w:val="24"/>
        </w:rPr>
        <w:t>、</w:t>
      </w:r>
      <w:r>
        <w:rPr>
          <w:rFonts w:hint="eastAsia"/>
          <w:bCs/>
          <w:sz w:val="24"/>
        </w:rPr>
        <w:t>投资人认购本基金时需具有上海证券账户，上海证券账户是指上海证券交易所</w:t>
      </w:r>
      <w:r>
        <w:rPr>
          <w:bCs/>
          <w:sz w:val="24"/>
        </w:rPr>
        <w:t>A</w:t>
      </w:r>
      <w:r>
        <w:rPr>
          <w:rFonts w:hint="eastAsia"/>
          <w:bCs/>
          <w:sz w:val="24"/>
        </w:rPr>
        <w:t>股账户（以下简称“上海</w:t>
      </w:r>
      <w:r>
        <w:rPr>
          <w:bCs/>
          <w:sz w:val="24"/>
        </w:rPr>
        <w:t>A</w:t>
      </w:r>
      <w:r>
        <w:rPr>
          <w:rFonts w:hint="eastAsia"/>
          <w:bCs/>
          <w:sz w:val="24"/>
        </w:rPr>
        <w:t>股账户”）或上海证券交易所证券投资基金账户（以下简称“证券投资基金账户”）。但需注意，使用证券投资基金账户只能进行基金的现金认购和二级市场交易，如投资者参与基金的申购、赎回，则应开立上海</w:t>
      </w:r>
      <w:r>
        <w:rPr>
          <w:bCs/>
          <w:sz w:val="24"/>
        </w:rPr>
        <w:t>A</w:t>
      </w:r>
      <w:r>
        <w:rPr>
          <w:rFonts w:hint="eastAsia"/>
          <w:bCs/>
          <w:sz w:val="24"/>
        </w:rPr>
        <w:t>股账户。</w:t>
      </w:r>
    </w:p>
    <w:p>
      <w:pPr>
        <w:adjustRightInd w:val="0"/>
        <w:snapToGrid w:val="0"/>
        <w:spacing w:line="360" w:lineRule="auto"/>
        <w:ind w:firstLine="480" w:firstLineChars="200"/>
        <w:rPr>
          <w:rFonts w:hAnsi="宋体"/>
          <w:kern w:val="0"/>
          <w:sz w:val="24"/>
        </w:rPr>
      </w:pPr>
      <w:r>
        <w:rPr>
          <w:rFonts w:hAnsi="宋体"/>
          <w:kern w:val="0"/>
          <w:sz w:val="24"/>
        </w:rPr>
        <w:t>9</w:t>
      </w:r>
      <w:r>
        <w:rPr>
          <w:rFonts w:hint="eastAsia" w:hAnsi="宋体"/>
          <w:kern w:val="0"/>
          <w:sz w:val="24"/>
        </w:rPr>
        <w:t>、</w:t>
      </w:r>
      <w:r>
        <w:rPr>
          <w:rFonts w:hint="eastAsia"/>
          <w:bCs/>
          <w:sz w:val="24"/>
        </w:rPr>
        <w:t>网上现金认购以基金份额申请。单一账户每笔认购份额须为</w:t>
      </w:r>
      <w:r>
        <w:rPr>
          <w:bCs/>
          <w:sz w:val="24"/>
        </w:rPr>
        <w:t>1,000</w:t>
      </w:r>
      <w:r>
        <w:rPr>
          <w:rFonts w:hint="eastAsia"/>
          <w:bCs/>
          <w:sz w:val="24"/>
        </w:rPr>
        <w:t>份或其整数倍，最高不得超过</w:t>
      </w:r>
      <w:r>
        <w:rPr>
          <w:bCs/>
          <w:sz w:val="24"/>
        </w:rPr>
        <w:t>99,999,000</w:t>
      </w:r>
      <w:r>
        <w:rPr>
          <w:rFonts w:hint="eastAsia"/>
          <w:bCs/>
          <w:sz w:val="24"/>
        </w:rPr>
        <w:t>份。投资人在募集期内可多次认购，募集期间单个投资人的累计认购规模没有限制，但法律法规、业务规则或本基金发售规模控制方案另有规定的除外。投资人在认购本基金时，需按发售代理机构的规定，备足认购资金，办理认购手续。网上现金认购申请提交后，投资人可以在当日交易时间内撤销。</w:t>
      </w:r>
    </w:p>
    <w:p>
      <w:pPr>
        <w:adjustRightInd w:val="0"/>
        <w:snapToGrid w:val="0"/>
        <w:spacing w:line="360" w:lineRule="auto"/>
        <w:ind w:firstLine="480" w:firstLineChars="200"/>
        <w:rPr>
          <w:rFonts w:hAnsi="宋体"/>
          <w:kern w:val="0"/>
          <w:sz w:val="24"/>
        </w:rPr>
      </w:pPr>
      <w:r>
        <w:rPr>
          <w:bCs/>
          <w:sz w:val="24"/>
        </w:rPr>
        <w:t>10</w:t>
      </w:r>
      <w:r>
        <w:rPr>
          <w:rFonts w:hint="eastAsia"/>
          <w:bCs/>
          <w:sz w:val="24"/>
        </w:rPr>
        <w:t>、网下现金认购以基金份额申请。投资人通过发售代理机构办理网下现金认购的，单笔认购须为</w:t>
      </w:r>
      <w:r>
        <w:rPr>
          <w:bCs/>
          <w:sz w:val="24"/>
        </w:rPr>
        <w:t>1,000</w:t>
      </w:r>
      <w:r>
        <w:rPr>
          <w:rFonts w:hint="eastAsia"/>
          <w:bCs/>
          <w:sz w:val="24"/>
        </w:rPr>
        <w:t>份或其整数倍；投资人通过基金管理人办理网下现金认购的，单笔认购份额须在10</w:t>
      </w:r>
      <w:r>
        <w:rPr>
          <w:bCs/>
          <w:sz w:val="24"/>
        </w:rPr>
        <w:t>0</w:t>
      </w:r>
      <w:r>
        <w:rPr>
          <w:rFonts w:hint="eastAsia"/>
          <w:bCs/>
          <w:sz w:val="24"/>
        </w:rPr>
        <w:t>万份以上（含10</w:t>
      </w:r>
      <w:r>
        <w:rPr>
          <w:bCs/>
          <w:sz w:val="24"/>
        </w:rPr>
        <w:t>0</w:t>
      </w:r>
      <w:r>
        <w:rPr>
          <w:rFonts w:hint="eastAsia"/>
          <w:bCs/>
          <w:sz w:val="24"/>
        </w:rPr>
        <w:t>万份）。投资人在募集期内可多次认购，募集期间单个投资人的累计认购规模没有限制，但法律法规、业务规则或本基金发售规模控制方案另有规定的除外。</w:t>
      </w:r>
      <w:r>
        <w:rPr>
          <w:rFonts w:hint="eastAsia" w:hAnsi="宋体"/>
          <w:kern w:val="0"/>
          <w:sz w:val="24"/>
        </w:rPr>
        <w:t>投资人在认购本基金时，需按销售机构的规定，备足认购资金，办理认购手续。网下现金认购申请提交后如需撤销以销售机构的规定为准。</w:t>
      </w:r>
    </w:p>
    <w:p>
      <w:pPr>
        <w:adjustRightInd w:val="0"/>
        <w:snapToGrid w:val="0"/>
        <w:spacing w:line="360" w:lineRule="auto"/>
        <w:ind w:firstLine="480" w:firstLineChars="200"/>
        <w:rPr>
          <w:rFonts w:hAnsi="宋体"/>
          <w:kern w:val="0"/>
          <w:sz w:val="24"/>
        </w:rPr>
      </w:pPr>
      <w:r>
        <w:rPr>
          <w:rFonts w:hint="eastAsia" w:hAnsi="宋体"/>
          <w:kern w:val="0"/>
          <w:sz w:val="24"/>
        </w:rPr>
        <w:t>1</w:t>
      </w:r>
      <w:r>
        <w:rPr>
          <w:rFonts w:hAnsi="宋体"/>
          <w:kern w:val="0"/>
          <w:sz w:val="24"/>
        </w:rPr>
        <w:t>1</w:t>
      </w:r>
      <w:r>
        <w:rPr>
          <w:rFonts w:hint="eastAsia" w:hAnsi="宋体"/>
          <w:kern w:val="0"/>
          <w:sz w:val="24"/>
        </w:rPr>
        <w:t>、投资人在基金管理人直销机构办理网下现金认购时需缴纳认购费。发售代理机构办理网上现金认购、网下现金认购时可参照规定费率结构收取一定的认购佣金。</w:t>
      </w:r>
    </w:p>
    <w:p>
      <w:pPr>
        <w:adjustRightInd w:val="0"/>
        <w:snapToGrid w:val="0"/>
        <w:spacing w:line="360" w:lineRule="auto"/>
        <w:ind w:firstLine="480" w:firstLineChars="200"/>
        <w:rPr>
          <w:bCs/>
          <w:sz w:val="24"/>
        </w:rPr>
      </w:pPr>
      <w:r>
        <w:rPr>
          <w:sz w:val="24"/>
        </w:rPr>
        <w:t>12</w:t>
      </w:r>
      <w:r>
        <w:rPr>
          <w:rFonts w:hAnsi="宋体"/>
          <w:sz w:val="24"/>
        </w:rPr>
        <w:t>、</w:t>
      </w:r>
      <w:r>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pPr>
        <w:adjustRightInd w:val="0"/>
        <w:snapToGrid w:val="0"/>
        <w:spacing w:line="360" w:lineRule="auto"/>
        <w:ind w:firstLine="480" w:firstLineChars="200"/>
        <w:rPr>
          <w:sz w:val="24"/>
        </w:rPr>
      </w:pPr>
      <w:r>
        <w:rPr>
          <w:sz w:val="24"/>
        </w:rPr>
        <w:t>13</w:t>
      </w:r>
      <w:r>
        <w:rPr>
          <w:rFonts w:hAnsi="宋体"/>
          <w:sz w:val="24"/>
        </w:rPr>
        <w:t>、本公告仅对本基金基金份额发售的有关事项和规定予以说明。投资者欲了解本基金的详细情况，请详细阅读</w:t>
      </w:r>
      <w:r>
        <w:rPr>
          <w:rFonts w:hint="eastAsia" w:hAnsi="宋体"/>
          <w:sz w:val="24"/>
        </w:rPr>
        <w:t>202</w:t>
      </w:r>
      <w:r>
        <w:rPr>
          <w:rFonts w:hAnsi="宋体"/>
          <w:sz w:val="24"/>
        </w:rPr>
        <w:t>5</w:t>
      </w:r>
      <w:r>
        <w:rPr>
          <w:rFonts w:hint="eastAsia" w:hAnsi="宋体"/>
          <w:sz w:val="24"/>
        </w:rPr>
        <w:t>年</w:t>
      </w:r>
      <w:r>
        <w:rPr>
          <w:rFonts w:hAnsi="宋体"/>
          <w:sz w:val="24"/>
        </w:rPr>
        <w:t>11</w:t>
      </w:r>
      <w:r>
        <w:rPr>
          <w:rFonts w:hint="eastAsia" w:hAnsi="宋体"/>
          <w:sz w:val="24"/>
        </w:rPr>
        <w:t>月</w:t>
      </w:r>
      <w:r>
        <w:rPr>
          <w:rFonts w:hAnsi="宋体"/>
          <w:sz w:val="24"/>
        </w:rPr>
        <w:t>24</w:t>
      </w:r>
      <w:r>
        <w:rPr>
          <w:rFonts w:hint="eastAsia" w:hAnsi="宋体"/>
          <w:sz w:val="24"/>
        </w:rPr>
        <w:t>日在本公司网站（www.fund001.com）和中国证监会基金电子披露网站（http://eid.csrc.gov.cn/fund）披露</w:t>
      </w:r>
      <w:r>
        <w:rPr>
          <w:rFonts w:hAnsi="宋体"/>
          <w:sz w:val="24"/>
        </w:rPr>
        <w:t>的</w:t>
      </w:r>
      <w:r>
        <w:rPr>
          <w:rFonts w:hint="eastAsia" w:hAnsi="宋体"/>
          <w:sz w:val="24"/>
        </w:rPr>
        <w:t>交银施罗德中证智选沪深港科技50交易型开放式指数证券投资基金基金合同</w:t>
      </w:r>
      <w:r>
        <w:rPr>
          <w:rFonts w:hAnsi="宋体"/>
          <w:sz w:val="24"/>
        </w:rPr>
        <w:t>和招募说明书。</w:t>
      </w:r>
    </w:p>
    <w:p>
      <w:pPr>
        <w:adjustRightInd w:val="0"/>
        <w:snapToGrid w:val="0"/>
        <w:spacing w:line="360" w:lineRule="auto"/>
        <w:ind w:firstLine="480" w:firstLineChars="200"/>
        <w:rPr>
          <w:sz w:val="24"/>
        </w:rPr>
      </w:pPr>
      <w:r>
        <w:rPr>
          <w:sz w:val="24"/>
        </w:rPr>
        <w:t>14</w:t>
      </w:r>
      <w:r>
        <w:rPr>
          <w:rFonts w:hAnsi="宋体"/>
          <w:sz w:val="24"/>
        </w:rPr>
        <w:t>、本基金的基金合同、招募说明书及本公告将同时发布在本公司网站（</w:t>
      </w:r>
      <w:r>
        <w:rPr>
          <w:rStyle w:val="57"/>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pPr>
        <w:adjustRightInd w:val="0"/>
        <w:snapToGrid w:val="0"/>
        <w:spacing w:line="360" w:lineRule="auto"/>
        <w:ind w:firstLine="480" w:firstLineChars="200"/>
        <w:rPr>
          <w:sz w:val="24"/>
        </w:rPr>
      </w:pPr>
      <w:r>
        <w:rPr>
          <w:sz w:val="24"/>
        </w:rPr>
        <w:t>15</w:t>
      </w:r>
      <w:r>
        <w:rPr>
          <w:rFonts w:hAnsi="宋体"/>
          <w:sz w:val="24"/>
        </w:rPr>
        <w:t>、销售机构的销售网点以及开户认购等事项的详细情况请向各销售机构咨询。</w:t>
      </w:r>
    </w:p>
    <w:p>
      <w:pPr>
        <w:adjustRightInd w:val="0"/>
        <w:snapToGrid w:val="0"/>
        <w:spacing w:line="360" w:lineRule="auto"/>
        <w:ind w:firstLine="480" w:firstLineChars="200"/>
        <w:rPr>
          <w:sz w:val="24"/>
        </w:rPr>
      </w:pPr>
      <w:r>
        <w:rPr>
          <w:sz w:val="24"/>
        </w:rPr>
        <w:t>16</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pPr>
        <w:widowControl/>
        <w:adjustRightInd w:val="0"/>
        <w:snapToGrid w:val="0"/>
        <w:spacing w:line="360" w:lineRule="auto"/>
        <w:ind w:firstLine="480" w:firstLineChars="200"/>
        <w:rPr>
          <w:kern w:val="0"/>
          <w:sz w:val="24"/>
        </w:rPr>
      </w:pPr>
      <w:r>
        <w:rPr>
          <w:sz w:val="24"/>
        </w:rPr>
        <w:t>17</w:t>
      </w:r>
      <w:r>
        <w:rPr>
          <w:rFonts w:hAnsi="宋体"/>
          <w:sz w:val="24"/>
        </w:rPr>
        <w:t>、</w:t>
      </w:r>
      <w:r>
        <w:rPr>
          <w:rFonts w:hAnsi="宋体"/>
          <w:kern w:val="0"/>
          <w:sz w:val="24"/>
        </w:rPr>
        <w:t>由于各基金销售机构系统及业务安排等原因，</w:t>
      </w:r>
      <w:r>
        <w:rPr>
          <w:rFonts w:hint="eastAsia" w:hAnsi="宋体"/>
          <w:kern w:val="0"/>
          <w:sz w:val="24"/>
        </w:rPr>
        <w:t>工作</w:t>
      </w:r>
      <w:r>
        <w:rPr>
          <w:rFonts w:hAnsi="宋体"/>
          <w:kern w:val="0"/>
          <w:sz w:val="24"/>
        </w:rPr>
        <w:t>日的具体业务办理时间可能有所不同，投资人应参照各基金销售机构的具体规定。</w:t>
      </w:r>
    </w:p>
    <w:p>
      <w:pPr>
        <w:adjustRightInd w:val="0"/>
        <w:snapToGrid w:val="0"/>
        <w:spacing w:line="360" w:lineRule="auto"/>
        <w:ind w:firstLine="480" w:firstLineChars="200"/>
        <w:rPr>
          <w:rFonts w:hAnsi="宋体"/>
          <w:sz w:val="24"/>
        </w:rPr>
      </w:pPr>
      <w:r>
        <w:rPr>
          <w:sz w:val="24"/>
        </w:rPr>
        <w:t>18</w:t>
      </w:r>
      <w:r>
        <w:rPr>
          <w:rFonts w:hAnsi="宋体"/>
          <w:sz w:val="24"/>
        </w:rPr>
        <w:t>、本公司可综合各种情况对募集安排做适当调整。</w:t>
      </w:r>
    </w:p>
    <w:p>
      <w:pPr>
        <w:adjustRightInd w:val="0"/>
        <w:snapToGrid w:val="0"/>
        <w:spacing w:line="360" w:lineRule="auto"/>
        <w:ind w:firstLine="480" w:firstLineChars="200"/>
        <w:rPr>
          <w:sz w:val="24"/>
        </w:rPr>
      </w:pPr>
      <w:r>
        <w:rPr>
          <w:sz w:val="24"/>
        </w:rPr>
        <w:t>19</w:t>
      </w:r>
      <w:r>
        <w:rPr>
          <w:rFonts w:hAnsi="宋体"/>
          <w:sz w:val="24"/>
        </w:rPr>
        <w:t>、风险提示</w:t>
      </w:r>
    </w:p>
    <w:p>
      <w:pPr>
        <w:adjustRightInd w:val="0"/>
        <w:snapToGrid w:val="0"/>
        <w:spacing w:line="360" w:lineRule="auto"/>
        <w:ind w:firstLine="480" w:firstLineChars="20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pPr>
        <w:adjustRightInd w:val="0"/>
        <w:snapToGrid w:val="0"/>
        <w:spacing w:line="360" w:lineRule="auto"/>
        <w:ind w:firstLine="480" w:firstLineChars="200"/>
        <w:rPr>
          <w:rFonts w:hAnsi="宋体"/>
          <w:sz w:val="24"/>
        </w:rPr>
      </w:pPr>
      <w:r>
        <w:rPr>
          <w:rFonts w:hint="eastAsia" w:hAnsi="宋体"/>
          <w:sz w:val="24"/>
        </w:rPr>
        <w:t>基金在投资运作过程中可能面临各种风险，既包括市场风险，也包括基金自身的管理风险、技术风险和合规风险等。</w:t>
      </w:r>
    </w:p>
    <w:p>
      <w:pPr>
        <w:widowControl/>
        <w:adjustRightInd w:val="0"/>
        <w:snapToGrid w:val="0"/>
        <w:spacing w:line="360" w:lineRule="auto"/>
        <w:ind w:firstLine="480" w:firstLineChars="200"/>
        <w:rPr>
          <w:rFonts w:hAnsi="宋体"/>
          <w:kern w:val="0"/>
          <w:sz w:val="24"/>
        </w:rPr>
      </w:pPr>
      <w:r>
        <w:rPr>
          <w:rFonts w:hAnsi="宋体"/>
          <w:kern w:val="0"/>
          <w:sz w:val="24"/>
        </w:rPr>
        <w:t>基金分为股票</w:t>
      </w:r>
      <w:r>
        <w:rPr>
          <w:rFonts w:hint="eastAsia" w:hAnsi="宋体"/>
          <w:kern w:val="0"/>
          <w:sz w:val="24"/>
        </w:rPr>
        <w:t>型</w:t>
      </w:r>
      <w:r>
        <w:rPr>
          <w:rFonts w:hAnsi="宋体"/>
          <w:kern w:val="0"/>
          <w:sz w:val="24"/>
        </w:rPr>
        <w:t>基金、混合</w:t>
      </w:r>
      <w:r>
        <w:rPr>
          <w:rFonts w:hint="eastAsia" w:hAnsi="宋体"/>
          <w:kern w:val="0"/>
          <w:sz w:val="24"/>
        </w:rPr>
        <w:t>型</w:t>
      </w:r>
      <w:r>
        <w:rPr>
          <w:rFonts w:hAnsi="宋体"/>
          <w:kern w:val="0"/>
          <w:sz w:val="24"/>
        </w:rPr>
        <w:t>基金、债券</w:t>
      </w:r>
      <w:r>
        <w:rPr>
          <w:rFonts w:hint="eastAsia" w:hAnsi="宋体"/>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pPr>
        <w:autoSpaceDE w:val="0"/>
        <w:autoSpaceDN w:val="0"/>
        <w:adjustRightInd w:val="0"/>
        <w:snapToGrid w:val="0"/>
        <w:spacing w:line="360" w:lineRule="auto"/>
        <w:ind w:left="105" w:leftChars="50" w:firstLine="480" w:firstLineChars="200"/>
        <w:rPr>
          <w:kern w:val="0"/>
          <w:sz w:val="24"/>
        </w:rPr>
      </w:pPr>
      <w:r>
        <w:rPr>
          <w:rFonts w:hint="eastAsia"/>
          <w:kern w:val="0"/>
          <w:sz w:val="24"/>
        </w:rPr>
        <w:t>本基金的特有风险包括：标的指数回报与股票市场平均回报偏离的风险、标的指数波动的风险、标的指数成份股行业集中风险、标的指数可回溯历史数据时间较短的风险、基金投资组合回报与标的指数回报偏离及跟踪误差控制未达约定目标的风险、标的指数变更的风险、标的指数计算出错的风险、指数编制机构停止服务的风险、成份股停牌的风险、参考IOPV决策和IOPV计算错误的风险、基金交易价格与基金份额净值发生偏离的风险、投资人申购失败的风险、基金份额持有人赎回失败的风险、特殊复杂的清算交收及非沪市成份证券申赎处理规则带来的风险、基金份额赎回对价的变现风险、申购赎回清单差错风险、申购赎回清单标识设置风险、申购赎回的代理买卖风险、操作或技术风险、套利风险、网下组合证券认购相关的风险、第三方机构服务的风险、基金退市风险、投资创业板股票的特定风险、投资港股通标的股票的特定风险、投资股指期货的特定风险、投资资产支持证券的特定风险、投资流通受限证券的特定风险、投资存托凭证的特定风险、投资科创板股票的特定风险、参与融资业务的特定风险、参与转融通证券出借业务的特定风险等。</w:t>
      </w:r>
    </w:p>
    <w:p>
      <w:pPr>
        <w:autoSpaceDE w:val="0"/>
        <w:autoSpaceDN w:val="0"/>
        <w:adjustRightInd w:val="0"/>
        <w:snapToGrid w:val="0"/>
        <w:spacing w:line="360" w:lineRule="auto"/>
        <w:ind w:left="105" w:leftChars="50" w:firstLine="480" w:firstLineChars="200"/>
        <w:rPr>
          <w:kern w:val="0"/>
          <w:sz w:val="24"/>
        </w:rPr>
      </w:pPr>
      <w:r>
        <w:rPr>
          <w:rFonts w:hint="eastAsia"/>
          <w:kern w:val="0"/>
          <w:sz w:val="24"/>
        </w:rPr>
        <w:t>本基金是一只股票型基金，其预期风险和预期收益理论上高于混合型基金、债券型基金和货币市场基金。</w:t>
      </w:r>
    </w:p>
    <w:p>
      <w:pPr>
        <w:autoSpaceDE w:val="0"/>
        <w:autoSpaceDN w:val="0"/>
        <w:adjustRightInd w:val="0"/>
        <w:snapToGrid w:val="0"/>
        <w:spacing w:line="360" w:lineRule="auto"/>
        <w:ind w:left="105" w:leftChars="50" w:firstLine="480" w:firstLineChars="200"/>
        <w:rPr>
          <w:kern w:val="0"/>
          <w:sz w:val="24"/>
        </w:rPr>
      </w:pPr>
      <w:r>
        <w:rPr>
          <w:rFonts w:hint="eastAsia"/>
          <w:kern w:val="0"/>
          <w:sz w:val="24"/>
        </w:rPr>
        <w:t>本基金为指数型基金，主要采用完全复制法跟踪中证智选沪深港科技50指数，具有与标的指数相似的风险收益特征。</w:t>
      </w:r>
    </w:p>
    <w:p>
      <w:pPr>
        <w:autoSpaceDE w:val="0"/>
        <w:autoSpaceDN w:val="0"/>
        <w:adjustRightInd w:val="0"/>
        <w:snapToGrid w:val="0"/>
        <w:spacing w:line="360" w:lineRule="auto"/>
        <w:ind w:left="105" w:leftChars="50" w:firstLine="480" w:firstLineChars="200"/>
        <w:rPr>
          <w:rFonts w:ascii="宋体" w:hAnsi="宋体"/>
          <w:kern w:val="0"/>
          <w:sz w:val="24"/>
        </w:rPr>
      </w:pPr>
      <w:r>
        <w:rPr>
          <w:kern w:val="0"/>
          <w:sz w:val="24"/>
        </w:rPr>
        <w:t>本基金为指数基金，投资者投资于本基金面临跟踪误差控制未达约定目标、指数编制机构停止服务、成份</w:t>
      </w:r>
      <w:r>
        <w:rPr>
          <w:rFonts w:hint="eastAsia"/>
          <w:kern w:val="0"/>
          <w:sz w:val="24"/>
        </w:rPr>
        <w:t>股</w:t>
      </w:r>
      <w:r>
        <w:rPr>
          <w:kern w:val="0"/>
          <w:sz w:val="24"/>
        </w:rPr>
        <w:t>停牌等潜在风险。</w:t>
      </w:r>
    </w:p>
    <w:p>
      <w:pPr>
        <w:autoSpaceDE w:val="0"/>
        <w:autoSpaceDN w:val="0"/>
        <w:adjustRightInd w:val="0"/>
        <w:snapToGrid w:val="0"/>
        <w:spacing w:line="360" w:lineRule="auto"/>
        <w:ind w:left="105" w:leftChars="50" w:firstLine="480" w:firstLineChars="200"/>
        <w:rPr>
          <w:kern w:val="0"/>
          <w:sz w:val="24"/>
        </w:rPr>
      </w:pPr>
      <w:r>
        <w:rPr>
          <w:rFonts w:hint="eastAsia"/>
          <w:kern w:val="0"/>
          <w:sz w:val="24"/>
        </w:rPr>
        <w:t>本基金投资内地与香港股票市场交易互联互通机制允许买卖的规定范围内的香港联合交易所有限公司（以下简称“香港联合交易所”）上市的股票（以下简称“港股通标的股票”）的，会面临港股通机制下因投资环境、投资标的、市场制度以及交易规则等差异带来的特有风险，包括但不限于汇率风险（汇率波动可能对基金的投资收益造成损失）、港股市场股价波动较大的风险（港股市场实行T+0回转交易，且对个股不设涨跌幅限制，港股股价可能表现出比A股更为剧烈的股价波动）、港股通机制下交易日不连贯可能带来的风险（在内地开市香港休市的情形下，港股通不能正常交易，港股不能及时卖出，可能带来一定的流动性风险）等。具体风险请查阅本基金招募说明书“风险揭示”章节的具体内容。</w:t>
      </w:r>
    </w:p>
    <w:p>
      <w:pPr>
        <w:autoSpaceDE w:val="0"/>
        <w:autoSpaceDN w:val="0"/>
        <w:adjustRightInd w:val="0"/>
        <w:snapToGrid w:val="0"/>
        <w:spacing w:line="360" w:lineRule="auto"/>
        <w:ind w:left="105" w:leftChars="50" w:firstLine="480" w:firstLineChars="200"/>
        <w:rPr>
          <w:kern w:val="0"/>
          <w:sz w:val="24"/>
        </w:rPr>
      </w:pPr>
      <w:r>
        <w:rPr>
          <w:rFonts w:hint="eastAsia"/>
          <w:kern w:val="0"/>
          <w:sz w:val="24"/>
        </w:rPr>
        <w:t>本基金属于跨市场ETF（跨沪深港），跟踪的标的指数组合证券跨上海证券交易所、深圳证券交易所及香港联合交易所，在基金申赎清算交收及申赎处理规则等方面较为特殊复杂且与其他ETF产品有所差异。</w:t>
      </w:r>
    </w:p>
    <w:p>
      <w:pPr>
        <w:autoSpaceDE w:val="0"/>
        <w:autoSpaceDN w:val="0"/>
        <w:adjustRightInd w:val="0"/>
        <w:snapToGrid w:val="0"/>
        <w:spacing w:line="360" w:lineRule="auto"/>
        <w:ind w:left="105" w:leftChars="50" w:firstLine="480" w:firstLineChars="200"/>
        <w:rPr>
          <w:kern w:val="0"/>
          <w:sz w:val="24"/>
        </w:rPr>
      </w:pPr>
      <w:r>
        <w:rPr>
          <w:rFonts w:hint="eastAsia"/>
          <w:kern w:val="0"/>
          <w:sz w:val="24"/>
        </w:rPr>
        <w:t>投资者投资于本基金前请认真阅读证券交易所和登记结算机构关于ETF的相关业务规则及其不时的更新，确保具备相关专业知识、清楚了解相关规则流程后方可参与本基金的申购、赎回及交易。投资者一旦申购或赎回本基金，即表示对基金申购和赎回所涉及的登记方式以及申购赎回所涉及组合证券、现金替代、现金差额等相关的交收方式及业务规则已经认可。</w:t>
      </w:r>
    </w:p>
    <w:p>
      <w:pPr>
        <w:autoSpaceDE w:val="0"/>
        <w:autoSpaceDN w:val="0"/>
        <w:adjustRightInd w:val="0"/>
        <w:snapToGrid w:val="0"/>
        <w:spacing w:line="360" w:lineRule="auto"/>
        <w:ind w:left="105" w:leftChars="50" w:firstLine="480" w:firstLineChars="200"/>
        <w:rPr>
          <w:rFonts w:ascii="宋体" w:hAnsi="宋体"/>
          <w:kern w:val="0"/>
          <w:sz w:val="24"/>
        </w:rPr>
      </w:pPr>
      <w:r>
        <w:rPr>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以及不适当的估值使基金资产面临损失的风险等。</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widowControl/>
        <w:adjustRightInd w:val="0"/>
        <w:snapToGrid w:val="0"/>
        <w:spacing w:line="360" w:lineRule="auto"/>
        <w:ind w:firstLine="480" w:firstLineChars="200"/>
        <w:rPr>
          <w:rFonts w:hAnsi="宋体"/>
          <w:kern w:val="0"/>
          <w:sz w:val="24"/>
        </w:rPr>
      </w:pPr>
      <w:r>
        <w:rPr>
          <w:rFonts w:hint="eastAsia" w:hAnsi="宋体"/>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pPr>
        <w:widowControl/>
        <w:adjustRightInd w:val="0"/>
        <w:snapToGrid w:val="0"/>
        <w:spacing w:line="360" w:lineRule="auto"/>
        <w:ind w:firstLine="480" w:firstLineChars="200"/>
        <w:rPr>
          <w:rFonts w:hAnsi="宋体"/>
          <w:bCs/>
          <w:sz w:val="24"/>
        </w:rPr>
      </w:pPr>
      <w:r>
        <w:rPr>
          <w:rFonts w:hint="eastAsia" w:hAnsi="宋体"/>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pPr>
        <w:autoSpaceDE w:val="0"/>
        <w:autoSpaceDN w:val="0"/>
        <w:adjustRightInd w:val="0"/>
        <w:snapToGrid w:val="0"/>
        <w:spacing w:line="360" w:lineRule="auto"/>
        <w:ind w:left="105" w:leftChars="50" w:firstLine="480" w:firstLineChars="200"/>
        <w:rPr>
          <w:bCs/>
          <w:kern w:val="0"/>
          <w:sz w:val="24"/>
        </w:rPr>
      </w:pPr>
      <w:r>
        <w:rPr>
          <w:rFonts w:hint="eastAsia"/>
          <w:bCs/>
          <w:kern w:val="0"/>
          <w:sz w:val="24"/>
        </w:rPr>
        <w:t>本基金可参与融资业务，面临的风险包括但不限于市场风险、流动性风险、信用风险等。</w:t>
      </w:r>
    </w:p>
    <w:p>
      <w:pPr>
        <w:autoSpaceDE w:val="0"/>
        <w:autoSpaceDN w:val="0"/>
        <w:adjustRightInd w:val="0"/>
        <w:snapToGrid w:val="0"/>
        <w:spacing w:line="360" w:lineRule="auto"/>
        <w:ind w:left="105" w:leftChars="50" w:firstLine="480" w:firstLineChars="200"/>
        <w:rPr>
          <w:bCs/>
          <w:kern w:val="0"/>
          <w:sz w:val="24"/>
        </w:rPr>
      </w:pPr>
      <w:r>
        <w:rPr>
          <w:rFonts w:hint="eastAsia"/>
          <w:bCs/>
          <w:kern w:val="0"/>
          <w:sz w:val="24"/>
        </w:rPr>
        <w:t>本基金可参与转融通证券出借业务，面临的风险包括但不限于流动性风险、信用风险、市场风险、其他风险等。</w:t>
      </w:r>
    </w:p>
    <w:p>
      <w:pPr>
        <w:autoSpaceDE w:val="0"/>
        <w:autoSpaceDN w:val="0"/>
        <w:adjustRightInd w:val="0"/>
        <w:snapToGrid w:val="0"/>
        <w:spacing w:line="360" w:lineRule="auto"/>
        <w:ind w:left="105" w:leftChars="50" w:firstLine="480" w:firstLineChars="200"/>
        <w:rPr>
          <w:bCs/>
          <w:kern w:val="0"/>
          <w:sz w:val="24"/>
        </w:rPr>
      </w:pPr>
      <w:r>
        <w:rPr>
          <w:rFonts w:hint="eastAsia"/>
          <w:bCs/>
          <w:kern w:val="0"/>
          <w:sz w:val="24"/>
        </w:rPr>
        <w:t>投资人应当认真阅读《基金合同》、《招募说明书》、</w:t>
      </w:r>
      <w:r>
        <w:rPr>
          <w:bCs/>
          <w:kern w:val="0"/>
          <w:sz w:val="24"/>
        </w:rPr>
        <w:t>《</w:t>
      </w:r>
      <w:r>
        <w:rPr>
          <w:rFonts w:hint="eastAsia"/>
          <w:bCs/>
          <w:kern w:val="0"/>
          <w:sz w:val="24"/>
        </w:rPr>
        <w:t>基金</w:t>
      </w:r>
      <w:r>
        <w:rPr>
          <w:bCs/>
          <w:kern w:val="0"/>
          <w:sz w:val="24"/>
        </w:rPr>
        <w:t>产品资料概要》</w:t>
      </w:r>
      <w:r>
        <w:rPr>
          <w:rFonts w:hint="eastAsia"/>
          <w:bCs/>
          <w:kern w:val="0"/>
          <w:sz w:val="24"/>
        </w:rPr>
        <w:t>等基金法律文件，了解基金的风险收益特征，并根据自身的投资目的、投资期限、投资经验、资产状况等判断基金是否和投资人的风险承受能力相适应。</w:t>
      </w:r>
    </w:p>
    <w:p>
      <w:pPr>
        <w:autoSpaceDE w:val="0"/>
        <w:autoSpaceDN w:val="0"/>
        <w:adjustRightInd w:val="0"/>
        <w:snapToGrid w:val="0"/>
        <w:spacing w:line="360" w:lineRule="auto"/>
        <w:ind w:left="105" w:leftChars="50" w:firstLine="480" w:firstLineChars="200"/>
        <w:rPr>
          <w:bCs/>
          <w:kern w:val="0"/>
          <w:sz w:val="24"/>
        </w:rPr>
      </w:pPr>
      <w:r>
        <w:rPr>
          <w:rFonts w:hint="eastAsia"/>
          <w:bCs/>
          <w:kern w:val="0"/>
          <w:sz w:val="24"/>
        </w:rPr>
        <w:t>因拆分、分红等行为导致基金份额净值变化，不会改变基金的风险收益特征，不会降低基金投资风险或提高基金投资收益。以</w:t>
      </w:r>
      <w:r>
        <w:rPr>
          <w:bCs/>
          <w:kern w:val="0"/>
          <w:sz w:val="24"/>
        </w:rPr>
        <w:t>1元初始面值开展基金募集或因拆分、分红等行为导致基金份额净值调整至1元初始面值或1元附近，在市场波动等因素的影响下，基金投资仍有可能出现亏损或基金净值仍有可能低于初始面值。</w:t>
      </w:r>
    </w:p>
    <w:p>
      <w:pPr>
        <w:widowControl/>
        <w:autoSpaceDE w:val="0"/>
        <w:autoSpaceDN w:val="0"/>
        <w:adjustRightInd w:val="0"/>
        <w:snapToGrid w:val="0"/>
        <w:spacing w:line="360" w:lineRule="auto"/>
        <w:ind w:left="105" w:leftChars="50" w:firstLine="480" w:firstLineChars="200"/>
        <w:rPr>
          <w:bCs/>
          <w:kern w:val="0"/>
          <w:sz w:val="24"/>
        </w:rPr>
      </w:pPr>
      <w:r>
        <w:rPr>
          <w:rFonts w:hint="eastAsia"/>
          <w:bCs/>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pPr>
        <w:widowControl/>
        <w:autoSpaceDE w:val="0"/>
        <w:autoSpaceDN w:val="0"/>
        <w:adjustRightInd w:val="0"/>
        <w:snapToGrid w:val="0"/>
        <w:spacing w:line="360" w:lineRule="auto"/>
        <w:ind w:left="105" w:leftChars="50" w:firstLine="480" w:firstLineChars="200"/>
        <w:rPr>
          <w:bCs/>
          <w:kern w:val="0"/>
          <w:sz w:val="24"/>
        </w:rPr>
      </w:pPr>
      <w:r>
        <w:rPr>
          <w:bCs/>
          <w:kern w:val="0"/>
          <w:sz w:val="24"/>
        </w:rPr>
        <w:t>投资人应当通过基金管理人或具有基金</w:t>
      </w:r>
      <w:r>
        <w:rPr>
          <w:rFonts w:hint="eastAsia"/>
          <w:bCs/>
          <w:kern w:val="0"/>
          <w:sz w:val="24"/>
        </w:rPr>
        <w:t>销售</w:t>
      </w:r>
      <w:r>
        <w:rPr>
          <w:bCs/>
          <w:kern w:val="0"/>
          <w:sz w:val="24"/>
        </w:rPr>
        <w:t>业务资格的其他机构购买和赎回基金。</w:t>
      </w:r>
    </w:p>
    <w:p>
      <w:pPr>
        <w:keepNext/>
        <w:keepLines/>
        <w:adjustRightInd w:val="0"/>
        <w:snapToGrid w:val="0"/>
        <w:spacing w:before="240" w:after="120" w:line="360" w:lineRule="auto"/>
        <w:jc w:val="center"/>
        <w:outlineLvl w:val="0"/>
        <w:rPr>
          <w:b/>
          <w:sz w:val="24"/>
        </w:rPr>
      </w:pPr>
      <w:r>
        <w:rPr>
          <w:rFonts w:hint="eastAsia"/>
          <w:b/>
          <w:sz w:val="24"/>
        </w:rPr>
        <w:t>一、本次募集基本情况</w:t>
      </w:r>
    </w:p>
    <w:p>
      <w:pPr>
        <w:adjustRightInd w:val="0"/>
        <w:snapToGrid w:val="0"/>
        <w:spacing w:line="360" w:lineRule="auto"/>
        <w:ind w:firstLine="480" w:firstLineChars="200"/>
        <w:rPr>
          <w:rFonts w:hAnsi="宋体"/>
          <w:sz w:val="24"/>
        </w:rPr>
      </w:pPr>
      <w:r>
        <w:rPr>
          <w:rFonts w:hAnsi="宋体"/>
          <w:sz w:val="24"/>
        </w:rPr>
        <w:t>1、基金名称</w:t>
      </w:r>
    </w:p>
    <w:p>
      <w:pPr>
        <w:adjustRightInd w:val="0"/>
        <w:snapToGrid w:val="0"/>
        <w:spacing w:line="360" w:lineRule="auto"/>
        <w:ind w:firstLine="480" w:firstLineChars="200"/>
        <w:rPr>
          <w:rFonts w:hAnsi="宋体"/>
          <w:sz w:val="24"/>
        </w:rPr>
      </w:pPr>
      <w:r>
        <w:rPr>
          <w:rFonts w:hint="eastAsia" w:hAnsi="宋体"/>
          <w:sz w:val="24"/>
        </w:rPr>
        <w:t>交银施罗德中证智选沪深港科技50交易型开放式指数证券投资基金</w:t>
      </w:r>
    </w:p>
    <w:p>
      <w:pPr>
        <w:adjustRightInd w:val="0"/>
        <w:snapToGrid w:val="0"/>
        <w:spacing w:line="360" w:lineRule="auto"/>
        <w:ind w:firstLine="480" w:firstLineChars="200"/>
        <w:rPr>
          <w:rFonts w:hAnsi="宋体"/>
          <w:sz w:val="24"/>
        </w:rPr>
      </w:pPr>
      <w:r>
        <w:rPr>
          <w:rFonts w:hAnsi="宋体"/>
          <w:sz w:val="24"/>
        </w:rPr>
        <w:t>2、基金类型</w:t>
      </w:r>
    </w:p>
    <w:p>
      <w:pPr>
        <w:adjustRightInd w:val="0"/>
        <w:snapToGrid w:val="0"/>
        <w:spacing w:line="360" w:lineRule="auto"/>
        <w:ind w:firstLine="480" w:firstLineChars="200"/>
        <w:rPr>
          <w:rFonts w:hAnsi="宋体"/>
          <w:sz w:val="24"/>
        </w:rPr>
      </w:pPr>
      <w:r>
        <w:rPr>
          <w:rFonts w:hint="eastAsia" w:hAnsi="宋体"/>
          <w:sz w:val="24"/>
        </w:rPr>
        <w:t>股票型证券投资基金</w:t>
      </w:r>
    </w:p>
    <w:p>
      <w:pPr>
        <w:adjustRightInd w:val="0"/>
        <w:snapToGrid w:val="0"/>
        <w:spacing w:line="360" w:lineRule="auto"/>
        <w:ind w:firstLine="480" w:firstLineChars="200"/>
        <w:rPr>
          <w:rFonts w:hAnsi="宋体"/>
          <w:sz w:val="24"/>
        </w:rPr>
      </w:pPr>
      <w:r>
        <w:rPr>
          <w:rFonts w:hAnsi="宋体"/>
          <w:sz w:val="24"/>
        </w:rPr>
        <w:t>3、运作方式</w:t>
      </w:r>
    </w:p>
    <w:p>
      <w:pPr>
        <w:adjustRightInd w:val="0"/>
        <w:snapToGrid w:val="0"/>
        <w:spacing w:line="360" w:lineRule="auto"/>
        <w:ind w:firstLine="480" w:firstLineChars="200"/>
        <w:rPr>
          <w:rFonts w:hAnsi="宋体"/>
          <w:sz w:val="24"/>
        </w:rPr>
      </w:pPr>
      <w:r>
        <w:rPr>
          <w:rFonts w:hint="eastAsia" w:hAnsi="宋体"/>
          <w:sz w:val="24"/>
        </w:rPr>
        <w:t>交易型开放式</w:t>
      </w:r>
    </w:p>
    <w:p>
      <w:pPr>
        <w:adjustRightInd w:val="0"/>
        <w:snapToGrid w:val="0"/>
        <w:spacing w:line="360" w:lineRule="auto"/>
        <w:ind w:firstLine="480" w:firstLineChars="200"/>
        <w:rPr>
          <w:rFonts w:hAnsi="宋体"/>
          <w:sz w:val="24"/>
        </w:rPr>
      </w:pPr>
      <w:r>
        <w:rPr>
          <w:rFonts w:hAnsi="宋体"/>
          <w:sz w:val="24"/>
        </w:rPr>
        <w:t>4、基金存续期限</w:t>
      </w:r>
    </w:p>
    <w:p>
      <w:pPr>
        <w:adjustRightInd w:val="0"/>
        <w:snapToGrid w:val="0"/>
        <w:spacing w:line="360" w:lineRule="auto"/>
        <w:ind w:firstLine="480" w:firstLineChars="200"/>
        <w:rPr>
          <w:rFonts w:hAnsi="宋体"/>
          <w:sz w:val="24"/>
        </w:rPr>
      </w:pPr>
      <w:r>
        <w:rPr>
          <w:rFonts w:hAnsi="宋体"/>
          <w:sz w:val="24"/>
        </w:rPr>
        <w:t>不定期</w:t>
      </w:r>
    </w:p>
    <w:p>
      <w:pPr>
        <w:adjustRightInd w:val="0"/>
        <w:snapToGrid w:val="0"/>
        <w:spacing w:line="360" w:lineRule="auto"/>
        <w:ind w:firstLine="480" w:firstLineChars="200"/>
        <w:rPr>
          <w:rFonts w:hAnsi="宋体"/>
          <w:sz w:val="24"/>
        </w:rPr>
      </w:pPr>
      <w:r>
        <w:rPr>
          <w:rFonts w:hAnsi="宋体"/>
          <w:sz w:val="24"/>
        </w:rPr>
        <w:t>5、基金份额发售面值</w:t>
      </w:r>
    </w:p>
    <w:p>
      <w:pPr>
        <w:adjustRightInd w:val="0"/>
        <w:snapToGrid w:val="0"/>
        <w:spacing w:line="360" w:lineRule="auto"/>
        <w:ind w:firstLine="480" w:firstLineChars="200"/>
        <w:rPr>
          <w:rFonts w:hAnsi="宋体"/>
          <w:sz w:val="24"/>
        </w:rPr>
      </w:pPr>
      <w:r>
        <w:rPr>
          <w:rFonts w:hAnsi="宋体"/>
          <w:sz w:val="24"/>
        </w:rPr>
        <w:t>本基金基金份额发售面值为人民币1.00元。</w:t>
      </w:r>
    </w:p>
    <w:p>
      <w:pPr>
        <w:adjustRightInd w:val="0"/>
        <w:snapToGrid w:val="0"/>
        <w:spacing w:line="360" w:lineRule="auto"/>
        <w:ind w:firstLine="480" w:firstLineChars="200"/>
        <w:rPr>
          <w:rFonts w:hAnsi="宋体"/>
          <w:sz w:val="24"/>
        </w:rPr>
      </w:pPr>
      <w:r>
        <w:rPr>
          <w:rFonts w:hint="eastAsia" w:hAnsi="宋体"/>
          <w:sz w:val="24"/>
        </w:rPr>
        <w:t>6、</w:t>
      </w:r>
      <w:r>
        <w:rPr>
          <w:rFonts w:hAnsi="宋体"/>
          <w:sz w:val="24"/>
        </w:rPr>
        <w:t>基金代码及基金简称</w:t>
      </w:r>
    </w:p>
    <w:p>
      <w:pPr>
        <w:adjustRightInd w:val="0"/>
        <w:snapToGrid w:val="0"/>
        <w:spacing w:line="360" w:lineRule="auto"/>
        <w:ind w:firstLine="480" w:firstLineChars="200"/>
        <w:rPr>
          <w:rFonts w:hAnsi="宋体"/>
          <w:sz w:val="24"/>
        </w:rPr>
      </w:pPr>
      <w:r>
        <w:rPr>
          <w:rFonts w:hint="eastAsia" w:hAnsi="宋体"/>
          <w:sz w:val="24"/>
        </w:rPr>
        <w:t>基金简称：交银中证智选沪深港科技50ETF</w:t>
      </w:r>
    </w:p>
    <w:p>
      <w:pPr>
        <w:adjustRightInd w:val="0"/>
        <w:snapToGrid w:val="0"/>
        <w:spacing w:line="360" w:lineRule="auto"/>
        <w:ind w:firstLine="480" w:firstLineChars="200"/>
        <w:rPr>
          <w:rFonts w:hAnsi="宋体"/>
          <w:sz w:val="24"/>
        </w:rPr>
      </w:pPr>
      <w:r>
        <w:rPr>
          <w:rFonts w:hint="eastAsia" w:hAnsi="宋体"/>
          <w:sz w:val="24"/>
        </w:rPr>
        <w:t>场内简称：交银科技</w:t>
      </w:r>
    </w:p>
    <w:p>
      <w:pPr>
        <w:adjustRightInd w:val="0"/>
        <w:snapToGrid w:val="0"/>
        <w:spacing w:line="360" w:lineRule="auto"/>
        <w:ind w:firstLine="480" w:firstLineChars="200"/>
        <w:rPr>
          <w:rFonts w:hAnsi="宋体"/>
          <w:sz w:val="24"/>
        </w:rPr>
      </w:pPr>
      <w:r>
        <w:rPr>
          <w:rFonts w:hint="eastAsia" w:hAnsi="宋体"/>
          <w:sz w:val="24"/>
        </w:rPr>
        <w:t>扩位简称：沪深港科技50ETF交银</w:t>
      </w:r>
    </w:p>
    <w:p>
      <w:pPr>
        <w:adjustRightInd w:val="0"/>
        <w:snapToGrid w:val="0"/>
        <w:spacing w:line="360" w:lineRule="auto"/>
        <w:ind w:firstLine="480" w:firstLineChars="200"/>
        <w:rPr>
          <w:rFonts w:hAnsi="宋体"/>
          <w:sz w:val="24"/>
        </w:rPr>
      </w:pPr>
      <w:r>
        <w:rPr>
          <w:rFonts w:hint="eastAsia" w:hAnsi="宋体"/>
          <w:sz w:val="24"/>
        </w:rPr>
        <w:t>基金代码：</w:t>
      </w:r>
      <w:r>
        <w:rPr>
          <w:rFonts w:hAnsi="宋体"/>
          <w:sz w:val="24"/>
        </w:rPr>
        <w:t>517950</w:t>
      </w:r>
    </w:p>
    <w:p>
      <w:pPr>
        <w:adjustRightInd w:val="0"/>
        <w:snapToGrid w:val="0"/>
        <w:spacing w:line="360" w:lineRule="auto"/>
        <w:ind w:firstLine="480" w:firstLineChars="200"/>
        <w:rPr>
          <w:rFonts w:hAnsi="宋体"/>
          <w:sz w:val="24"/>
        </w:rPr>
      </w:pPr>
      <w:r>
        <w:rPr>
          <w:rFonts w:hint="eastAsia" w:hAnsi="宋体"/>
          <w:sz w:val="24"/>
        </w:rPr>
        <w:t>认购代码：</w:t>
      </w:r>
      <w:r>
        <w:rPr>
          <w:rFonts w:hAnsi="宋体"/>
          <w:sz w:val="24"/>
        </w:rPr>
        <w:t>51795</w:t>
      </w:r>
      <w:r>
        <w:rPr>
          <w:rFonts w:hint="eastAsia" w:hAnsi="宋体"/>
          <w:sz w:val="24"/>
        </w:rPr>
        <w:t>3</w:t>
      </w:r>
    </w:p>
    <w:p>
      <w:pPr>
        <w:adjustRightInd w:val="0"/>
        <w:snapToGrid w:val="0"/>
        <w:spacing w:line="360" w:lineRule="auto"/>
        <w:ind w:firstLine="480" w:firstLineChars="200"/>
        <w:rPr>
          <w:rFonts w:hAnsi="宋体"/>
          <w:sz w:val="24"/>
        </w:rPr>
      </w:pPr>
      <w:r>
        <w:rPr>
          <w:rFonts w:hAnsi="宋体"/>
          <w:sz w:val="24"/>
        </w:rPr>
        <w:t>7、发售对象</w:t>
      </w:r>
    </w:p>
    <w:p>
      <w:pPr>
        <w:adjustRightInd w:val="0"/>
        <w:snapToGrid w:val="0"/>
        <w:spacing w:line="360" w:lineRule="auto"/>
        <w:ind w:firstLine="480" w:firstLineChars="200"/>
        <w:rPr>
          <w:rFonts w:hAnsi="宋体"/>
          <w:sz w:val="24"/>
        </w:rPr>
      </w:pPr>
      <w:r>
        <w:rPr>
          <w:rFonts w:hint="eastAsia" w:hAnsi="宋体"/>
          <w:sz w:val="24"/>
        </w:rPr>
        <w:t>符合法律法规规定的可投资于证券投资基金的个人投资者、机构投资者、合格境外投资者以及法律法规或中国证监会允许购买证券投资基金的其他投资人。</w:t>
      </w:r>
    </w:p>
    <w:p>
      <w:pPr>
        <w:adjustRightInd w:val="0"/>
        <w:snapToGrid w:val="0"/>
        <w:spacing w:line="360" w:lineRule="auto"/>
        <w:ind w:firstLine="480" w:firstLineChars="200"/>
        <w:rPr>
          <w:rFonts w:hAnsi="宋体"/>
          <w:sz w:val="24"/>
        </w:rPr>
      </w:pPr>
      <w:r>
        <w:rPr>
          <w:rFonts w:hAnsi="宋体"/>
          <w:sz w:val="24"/>
        </w:rPr>
        <w:t>8、销售机构</w:t>
      </w:r>
    </w:p>
    <w:p>
      <w:pPr>
        <w:adjustRightInd w:val="0"/>
        <w:snapToGrid w:val="0"/>
        <w:spacing w:line="360" w:lineRule="auto"/>
        <w:ind w:firstLine="480" w:firstLineChars="200"/>
        <w:rPr>
          <w:rFonts w:hAnsi="宋体"/>
          <w:sz w:val="24"/>
        </w:rPr>
      </w:pPr>
      <w:r>
        <w:rPr>
          <w:rFonts w:hAnsi="宋体"/>
          <w:sz w:val="24"/>
        </w:rPr>
        <w:t>（1）</w:t>
      </w:r>
      <w:r>
        <w:rPr>
          <w:rFonts w:hint="eastAsia" w:hAnsi="宋体"/>
          <w:sz w:val="24"/>
        </w:rPr>
        <w:t>发售主协调人：</w:t>
      </w:r>
    </w:p>
    <w:p>
      <w:pPr>
        <w:adjustRightInd w:val="0"/>
        <w:snapToGrid w:val="0"/>
        <w:spacing w:line="360" w:lineRule="auto"/>
        <w:ind w:firstLine="480" w:firstLineChars="200"/>
        <w:rPr>
          <w:rFonts w:hAnsi="宋体"/>
          <w:sz w:val="24"/>
        </w:rPr>
      </w:pPr>
      <w:r>
        <w:rPr>
          <w:rFonts w:hint="eastAsia" w:hAnsi="宋体"/>
          <w:sz w:val="24"/>
        </w:rPr>
        <w:t>国泰海通证券股份有限公司。</w:t>
      </w:r>
    </w:p>
    <w:p>
      <w:pPr>
        <w:adjustRightInd w:val="0"/>
        <w:snapToGrid w:val="0"/>
        <w:spacing w:line="360" w:lineRule="auto"/>
        <w:ind w:firstLine="480" w:firstLineChars="200"/>
        <w:rPr>
          <w:rFonts w:hAnsi="宋体"/>
          <w:sz w:val="24"/>
        </w:rPr>
      </w:pPr>
      <w:r>
        <w:rPr>
          <w:rFonts w:hint="eastAsia" w:hAnsi="宋体"/>
          <w:sz w:val="24"/>
        </w:rPr>
        <w:t>（2）网上现金发售代理机构</w:t>
      </w:r>
    </w:p>
    <w:p>
      <w:pPr>
        <w:adjustRightInd w:val="0"/>
        <w:snapToGrid w:val="0"/>
        <w:spacing w:line="360" w:lineRule="auto"/>
        <w:ind w:firstLine="480" w:firstLineChars="200"/>
        <w:rPr>
          <w:rFonts w:hAnsi="宋体"/>
          <w:sz w:val="24"/>
        </w:rPr>
      </w:pPr>
      <w:r>
        <w:rPr>
          <w:rFonts w:hint="eastAsia" w:hAnsi="宋体"/>
          <w:sz w:val="24"/>
        </w:rPr>
        <w:t>网上现金发售代理机构为具有基金销售业务资格的上海证券交易所会员单位，具体名单可在上海证券交易所网站查询。</w:t>
      </w:r>
    </w:p>
    <w:p>
      <w:pPr>
        <w:adjustRightInd w:val="0"/>
        <w:snapToGrid w:val="0"/>
        <w:spacing w:line="360" w:lineRule="auto"/>
        <w:ind w:firstLine="480" w:firstLineChars="200"/>
        <w:rPr>
          <w:rFonts w:hAnsi="宋体"/>
          <w:sz w:val="24"/>
        </w:rPr>
      </w:pPr>
      <w:r>
        <w:rPr>
          <w:rFonts w:hint="eastAsia" w:hAnsi="宋体"/>
          <w:sz w:val="24"/>
        </w:rPr>
        <w:t>（3）网下现金发售的</w:t>
      </w:r>
      <w:r>
        <w:rPr>
          <w:rFonts w:hAnsi="宋体"/>
          <w:sz w:val="24"/>
        </w:rPr>
        <w:t>直销机构：</w:t>
      </w:r>
    </w:p>
    <w:p>
      <w:pPr>
        <w:adjustRightInd w:val="0"/>
        <w:snapToGrid w:val="0"/>
        <w:spacing w:line="360" w:lineRule="auto"/>
        <w:ind w:firstLine="480" w:firstLineChars="200"/>
        <w:rPr>
          <w:rFonts w:hAnsi="宋体"/>
          <w:sz w:val="24"/>
        </w:rPr>
      </w:pPr>
      <w:r>
        <w:rPr>
          <w:rFonts w:hAnsi="宋体"/>
          <w:sz w:val="24"/>
        </w:rPr>
        <w:t>交银施罗德基金管理有限公司</w:t>
      </w:r>
      <w:r>
        <w:rPr>
          <w:rFonts w:hint="eastAsia" w:hAnsi="宋体"/>
          <w:sz w:val="24"/>
        </w:rPr>
        <w:t>的直销柜台。</w:t>
      </w:r>
    </w:p>
    <w:p>
      <w:pPr>
        <w:adjustRightInd w:val="0"/>
        <w:snapToGrid w:val="0"/>
        <w:spacing w:line="360" w:lineRule="auto"/>
        <w:ind w:firstLine="480" w:firstLineChars="200"/>
        <w:rPr>
          <w:rFonts w:hAnsi="宋体"/>
          <w:sz w:val="24"/>
        </w:rPr>
      </w:pPr>
      <w:r>
        <w:rPr>
          <w:rFonts w:hAnsi="宋体"/>
          <w:sz w:val="24"/>
        </w:rPr>
        <w:t>（4）</w:t>
      </w:r>
      <w:r>
        <w:rPr>
          <w:rFonts w:hint="eastAsia" w:hAnsi="宋体"/>
          <w:sz w:val="24"/>
        </w:rPr>
        <w:t>网下现金发售的发售代理机构：</w:t>
      </w:r>
    </w:p>
    <w:p>
      <w:pPr>
        <w:adjustRightInd w:val="0"/>
        <w:snapToGrid w:val="0"/>
        <w:spacing w:line="360" w:lineRule="auto"/>
        <w:ind w:firstLine="480" w:firstLineChars="200"/>
        <w:rPr>
          <w:rFonts w:hAnsi="宋体"/>
          <w:sz w:val="24"/>
        </w:rPr>
      </w:pPr>
      <w:r>
        <w:rPr>
          <w:rFonts w:hint="eastAsia" w:hAnsi="宋体"/>
          <w:sz w:val="24"/>
        </w:rPr>
        <w:t>本基金网下现金认购的发售代理机构名单详见本公告“九、本次募集当事人或中介机构”项下“（三）销售机构”中“</w:t>
      </w:r>
      <w:r>
        <w:rPr>
          <w:rFonts w:hAnsi="宋体"/>
          <w:sz w:val="24"/>
        </w:rPr>
        <w:t>3</w:t>
      </w:r>
      <w:r>
        <w:rPr>
          <w:rFonts w:hint="eastAsia" w:hAnsi="宋体"/>
          <w:sz w:val="24"/>
        </w:rPr>
        <w:t>、网下现金发售代理机构”章节。</w:t>
      </w:r>
    </w:p>
    <w:p>
      <w:pPr>
        <w:adjustRightInd w:val="0"/>
        <w:snapToGrid w:val="0"/>
        <w:spacing w:line="360" w:lineRule="auto"/>
        <w:ind w:firstLine="480" w:firstLineChars="200"/>
        <w:rPr>
          <w:rFonts w:hAnsi="宋体"/>
          <w:sz w:val="24"/>
        </w:rPr>
      </w:pPr>
      <w:r>
        <w:rPr>
          <w:rFonts w:hAnsi="宋体"/>
          <w:sz w:val="24"/>
        </w:rPr>
        <w:t>基金管理人可根据有关法律法规的要求，选择其他符合要求的机构销售本基金。</w:t>
      </w:r>
    </w:p>
    <w:p>
      <w:pPr>
        <w:adjustRightInd w:val="0"/>
        <w:snapToGrid w:val="0"/>
        <w:spacing w:line="360" w:lineRule="auto"/>
        <w:ind w:firstLine="480" w:firstLineChars="200"/>
        <w:rPr>
          <w:rFonts w:hAnsi="宋体"/>
          <w:sz w:val="24"/>
        </w:rPr>
      </w:pPr>
      <w:r>
        <w:rPr>
          <w:rFonts w:hAnsi="宋体"/>
          <w:sz w:val="24"/>
        </w:rPr>
        <w:t>9、募集时间安排与基金合同生效</w:t>
      </w:r>
    </w:p>
    <w:p>
      <w:pPr>
        <w:adjustRightInd w:val="0"/>
        <w:snapToGrid w:val="0"/>
        <w:spacing w:line="360" w:lineRule="auto"/>
        <w:ind w:firstLine="480" w:firstLineChars="200"/>
        <w:rPr>
          <w:rFonts w:hAnsi="宋体"/>
          <w:sz w:val="24"/>
        </w:rPr>
      </w:pPr>
      <w:r>
        <w:rPr>
          <w:rFonts w:hAnsi="宋体"/>
          <w:sz w:val="24"/>
        </w:rPr>
        <w:t>根据有关法律法规的规定，基金的募集期为自基金份额发售之日起不超过3个月。本基金募集期自</w:t>
      </w:r>
      <w:r>
        <w:rPr>
          <w:rFonts w:hint="eastAsia" w:hAnsi="宋体"/>
          <w:sz w:val="24"/>
        </w:rPr>
        <w:t>202</w:t>
      </w:r>
      <w:r>
        <w:rPr>
          <w:rFonts w:hAnsi="宋体"/>
          <w:sz w:val="24"/>
        </w:rPr>
        <w:t>5</w:t>
      </w:r>
      <w:r>
        <w:rPr>
          <w:rFonts w:hint="eastAsia" w:hAnsi="宋体"/>
          <w:sz w:val="24"/>
        </w:rPr>
        <w:t>年</w:t>
      </w:r>
      <w:r>
        <w:rPr>
          <w:rFonts w:hAnsi="宋体"/>
          <w:sz w:val="24"/>
        </w:rPr>
        <w:t>12</w:t>
      </w:r>
      <w:r>
        <w:rPr>
          <w:rFonts w:hint="eastAsia" w:hAnsi="宋体"/>
          <w:sz w:val="24"/>
        </w:rPr>
        <w:t>月</w:t>
      </w:r>
      <w:r>
        <w:rPr>
          <w:rFonts w:hAnsi="宋体"/>
          <w:sz w:val="24"/>
        </w:rPr>
        <w:t>1</w:t>
      </w:r>
      <w:r>
        <w:rPr>
          <w:rFonts w:hint="eastAsia" w:hAnsi="宋体"/>
          <w:sz w:val="24"/>
        </w:rPr>
        <w:t>日起至202</w:t>
      </w:r>
      <w:r>
        <w:rPr>
          <w:rFonts w:hAnsi="宋体"/>
          <w:sz w:val="24"/>
        </w:rPr>
        <w:t>5</w:t>
      </w:r>
      <w:r>
        <w:rPr>
          <w:rFonts w:hint="eastAsia" w:hAnsi="宋体"/>
          <w:sz w:val="24"/>
        </w:rPr>
        <w:t>年</w:t>
      </w:r>
      <w:r>
        <w:rPr>
          <w:rFonts w:hAnsi="宋体"/>
          <w:sz w:val="24"/>
        </w:rPr>
        <w:t>12</w:t>
      </w:r>
      <w:r>
        <w:rPr>
          <w:rFonts w:hint="eastAsia" w:hAnsi="宋体"/>
          <w:sz w:val="24"/>
        </w:rPr>
        <w:t>月</w:t>
      </w:r>
      <w:r>
        <w:rPr>
          <w:rFonts w:hAnsi="宋体"/>
          <w:sz w:val="24"/>
        </w:rPr>
        <w:t>5</w:t>
      </w:r>
      <w:r>
        <w:rPr>
          <w:rFonts w:hint="eastAsia" w:hAnsi="宋体"/>
          <w:sz w:val="24"/>
        </w:rPr>
        <w:t>日</w:t>
      </w:r>
      <w:r>
        <w:rPr>
          <w:rFonts w:hAnsi="宋体"/>
          <w:sz w:val="24"/>
        </w:rPr>
        <w:t>止，期间面向个人投资者、机构投资者、合格境外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pPr>
        <w:adjustRightInd w:val="0"/>
        <w:snapToGrid w:val="0"/>
        <w:spacing w:line="360" w:lineRule="auto"/>
        <w:ind w:firstLine="480" w:firstLineChars="200"/>
        <w:rPr>
          <w:sz w:val="24"/>
        </w:rPr>
      </w:pPr>
      <w:r>
        <w:rPr>
          <w:rFonts w:hAnsi="宋体"/>
          <w:sz w:val="24"/>
        </w:rPr>
        <w:t>本基金在募集期间达到基金合同的备案条件，基金管理人应当在基金募集结束</w:t>
      </w:r>
      <w:r>
        <w:rPr>
          <w:rFonts w:hint="eastAsia" w:hAnsi="宋体"/>
          <w:sz w:val="24"/>
        </w:rPr>
        <w:t>之日起</w:t>
      </w:r>
      <w:r>
        <w:rPr>
          <w:sz w:val="24"/>
        </w:rPr>
        <w:t>10</w:t>
      </w:r>
      <w:r>
        <w:rPr>
          <w:rFonts w:hAnsi="宋体"/>
          <w:sz w:val="24"/>
        </w:rPr>
        <w:t>日内聘请法定验资机构验资，并在收到验资报告</w:t>
      </w:r>
      <w:r>
        <w:rPr>
          <w:rFonts w:hint="eastAsia" w:hAnsi="宋体"/>
          <w:sz w:val="24"/>
        </w:rPr>
        <w:t>之日起</w:t>
      </w:r>
      <w:r>
        <w:rPr>
          <w:sz w:val="24"/>
        </w:rPr>
        <w:t>10</w:t>
      </w:r>
      <w:r>
        <w:rPr>
          <w:rFonts w:hAnsi="宋体"/>
          <w:sz w:val="24"/>
        </w:rPr>
        <w:t>日内</w:t>
      </w:r>
      <w:r>
        <w:rPr>
          <w:rFonts w:hint="eastAsia" w:hAnsi="宋体"/>
          <w:sz w:val="24"/>
        </w:rPr>
        <w:t>，向中国证监会提交验资报告，办理基金备案手续。</w:t>
      </w:r>
      <w:r>
        <w:rPr>
          <w:rFonts w:hAnsi="宋体"/>
          <w:sz w:val="24"/>
        </w:rPr>
        <w:t>自中国证监会书面确认之日起，基金备案手续办理完毕，基金合同生效。</w:t>
      </w:r>
    </w:p>
    <w:p>
      <w:pPr>
        <w:adjustRightInd w:val="0"/>
        <w:snapToGrid w:val="0"/>
        <w:spacing w:line="360" w:lineRule="auto"/>
        <w:ind w:firstLine="480" w:firstLineChars="20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pPr>
        <w:adjustRightInd w:val="0"/>
        <w:snapToGrid w:val="0"/>
        <w:spacing w:line="360" w:lineRule="auto"/>
        <w:ind w:firstLine="480" w:firstLineChars="200"/>
        <w:rPr>
          <w:rFonts w:hAnsi="宋体"/>
          <w:sz w:val="24"/>
        </w:rPr>
      </w:pPr>
      <w:r>
        <w:rPr>
          <w:rFonts w:hAnsi="宋体"/>
          <w:sz w:val="24"/>
        </w:rPr>
        <w:t>10、认购期利息的处理方式</w:t>
      </w:r>
    </w:p>
    <w:p>
      <w:pPr>
        <w:adjustRightInd w:val="0"/>
        <w:snapToGrid w:val="0"/>
        <w:spacing w:line="360" w:lineRule="auto"/>
        <w:ind w:firstLine="480" w:firstLineChars="200"/>
        <w:rPr>
          <w:rFonts w:hAnsi="宋体"/>
          <w:sz w:val="24"/>
        </w:rPr>
      </w:pPr>
      <w:r>
        <w:rPr>
          <w:rFonts w:hint="eastAsia" w:hAnsi="宋体"/>
          <w:sz w:val="24"/>
        </w:rPr>
        <w:t>基金募集期间募集的资金存入专门账户，在基金募集行为结束前，任何人不得动用。</w:t>
      </w:r>
      <w:bookmarkStart w:id="0" w:name="_Hlt91264042"/>
      <w:bookmarkEnd w:id="0"/>
      <w:bookmarkStart w:id="1" w:name="_Hlt90455312"/>
      <w:bookmarkEnd w:id="1"/>
      <w:bookmarkStart w:id="2" w:name="_Hlt91264078"/>
      <w:bookmarkEnd w:id="2"/>
      <w:bookmarkStart w:id="3" w:name="_Hlt91148053"/>
      <w:bookmarkEnd w:id="3"/>
      <w:bookmarkStart w:id="4" w:name="_Hlt90801570"/>
      <w:bookmarkEnd w:id="4"/>
    </w:p>
    <w:p>
      <w:pPr>
        <w:adjustRightInd w:val="0"/>
        <w:snapToGrid w:val="0"/>
        <w:spacing w:line="360" w:lineRule="auto"/>
        <w:ind w:firstLine="480" w:firstLineChars="200"/>
        <w:rPr>
          <w:rFonts w:hAnsi="宋体"/>
          <w:bCs/>
          <w:sz w:val="24"/>
        </w:rPr>
      </w:pPr>
      <w:r>
        <w:rPr>
          <w:rFonts w:hint="eastAsia" w:hAnsi="宋体"/>
          <w:bCs/>
          <w:sz w:val="24"/>
        </w:rPr>
        <w:t>通过基金管理人进行网下现金认购的有效认购资金在募集期间产生的利息，将折算为基金份额归投资人所有，其中利息转份额以基金管理人的记录为准。利息折算的份额保留至整数位，小数部分舍去，舍去部分计入基金财产。</w:t>
      </w:r>
    </w:p>
    <w:p>
      <w:pPr>
        <w:adjustRightInd w:val="0"/>
        <w:snapToGrid w:val="0"/>
        <w:spacing w:line="360" w:lineRule="auto"/>
        <w:ind w:firstLine="480" w:firstLineChars="200"/>
        <w:rPr>
          <w:rFonts w:hAnsi="宋体"/>
          <w:sz w:val="24"/>
        </w:rPr>
      </w:pPr>
      <w:r>
        <w:rPr>
          <w:rFonts w:hint="eastAsia" w:hAnsi="宋体"/>
          <w:bCs/>
          <w:sz w:val="24"/>
        </w:rPr>
        <w:t>网上现金认购和通过发售代理机构进行网下现金认购的有效认购资金在登记机构清算交收后至划入基金托管专户前产生的利息，计入基金财产，不折算为投资人基金份额。</w:t>
      </w:r>
    </w:p>
    <w:p>
      <w:pPr>
        <w:adjustRightInd w:val="0"/>
        <w:snapToGrid w:val="0"/>
        <w:spacing w:line="360" w:lineRule="auto"/>
        <w:ind w:firstLine="480" w:firstLineChars="200"/>
        <w:rPr>
          <w:rFonts w:hAnsi="宋体"/>
          <w:sz w:val="24"/>
        </w:rPr>
      </w:pPr>
      <w:r>
        <w:rPr>
          <w:rFonts w:hAnsi="宋体"/>
          <w:sz w:val="24"/>
        </w:rPr>
        <w:t>11、</w:t>
      </w:r>
      <w:r>
        <w:rPr>
          <w:rFonts w:hint="eastAsia" w:hAnsi="宋体"/>
          <w:sz w:val="24"/>
        </w:rPr>
        <w:t>基金份额发售面值、认购价格</w:t>
      </w:r>
    </w:p>
    <w:p>
      <w:pPr>
        <w:adjustRightInd w:val="0"/>
        <w:snapToGrid w:val="0"/>
        <w:spacing w:line="360" w:lineRule="auto"/>
        <w:ind w:firstLine="480" w:firstLineChars="200"/>
        <w:rPr>
          <w:rFonts w:hAnsi="宋体"/>
          <w:sz w:val="24"/>
        </w:rPr>
      </w:pPr>
      <w:r>
        <w:rPr>
          <w:rFonts w:hint="eastAsia" w:hAnsi="宋体"/>
          <w:sz w:val="24"/>
        </w:rPr>
        <w:t>本基金基金份额发售面值为人民币1.00元，认购价格为人民币1.00元。</w:t>
      </w:r>
    </w:p>
    <w:p>
      <w:pPr>
        <w:adjustRightInd w:val="0"/>
        <w:snapToGrid w:val="0"/>
        <w:spacing w:line="360" w:lineRule="auto"/>
        <w:ind w:firstLine="480" w:firstLineChars="200"/>
        <w:rPr>
          <w:rFonts w:hAnsi="宋体"/>
          <w:sz w:val="24"/>
        </w:rPr>
      </w:pPr>
      <w:r>
        <w:rPr>
          <w:rFonts w:hint="eastAsia" w:hAnsi="宋体"/>
          <w:sz w:val="24"/>
        </w:rPr>
        <w:t>12、认购费用：</w:t>
      </w:r>
    </w:p>
    <w:p>
      <w:pPr>
        <w:adjustRightInd w:val="0"/>
        <w:snapToGrid w:val="0"/>
        <w:spacing w:line="360" w:lineRule="auto"/>
        <w:ind w:firstLine="480" w:firstLineChars="200"/>
        <w:rPr>
          <w:bCs/>
          <w:sz w:val="24"/>
        </w:rPr>
      </w:pPr>
      <w:r>
        <w:rPr>
          <w:rFonts w:hint="eastAsia"/>
          <w:bCs/>
          <w:sz w:val="24"/>
        </w:rPr>
        <w:t>认购费用由投资人承担，不列入基金财产。具体的认购费率如下：</w:t>
      </w:r>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718"/>
        <w:gridCol w:w="3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 w:hRule="atLeast"/>
          <w:jc w:val="center"/>
        </w:trPr>
        <w:tc>
          <w:tcPr>
            <w:tcW w:w="37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2" w:hanging="2" w:hangingChars="1"/>
              <w:jc w:val="center"/>
              <w:rPr>
                <w:sz w:val="24"/>
                <w:szCs w:val="24"/>
              </w:rPr>
            </w:pPr>
            <w:r>
              <w:rPr>
                <w:rFonts w:hint="eastAsia"/>
                <w:sz w:val="24"/>
                <w:szCs w:val="24"/>
              </w:rPr>
              <w:t>认购份额（S）</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left="2" w:hanging="2" w:hangingChars="1"/>
              <w:jc w:val="center"/>
              <w:rPr>
                <w:sz w:val="24"/>
                <w:szCs w:val="24"/>
              </w:rPr>
            </w:pPr>
            <w:r>
              <w:rPr>
                <w:rFonts w:hint="eastAsia"/>
                <w:sz w:val="24"/>
                <w:szCs w:val="24"/>
              </w:rPr>
              <w:t>认购费率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 w:hRule="atLeast"/>
          <w:jc w:val="center"/>
        </w:trPr>
        <w:tc>
          <w:tcPr>
            <w:tcW w:w="37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2" w:hanging="2" w:hangingChars="1"/>
              <w:jc w:val="center"/>
              <w:rPr>
                <w:sz w:val="24"/>
                <w:szCs w:val="24"/>
              </w:rPr>
            </w:pPr>
            <w:r>
              <w:rPr>
                <w:rFonts w:hint="eastAsia"/>
                <w:sz w:val="24"/>
                <w:szCs w:val="24"/>
              </w:rPr>
              <w:t>S&lt;50万份</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left="2" w:hanging="2" w:hangingChars="1"/>
              <w:jc w:val="center"/>
              <w:rPr>
                <w:sz w:val="24"/>
                <w:szCs w:val="24"/>
              </w:rPr>
            </w:pPr>
            <w:r>
              <w:rPr>
                <w:rFonts w:hint="eastAsia"/>
                <w:sz w:val="24"/>
                <w:szCs w:val="24"/>
              </w:rP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 w:hRule="atLeast"/>
          <w:jc w:val="center"/>
        </w:trPr>
        <w:tc>
          <w:tcPr>
            <w:tcW w:w="37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2" w:hanging="2" w:hangingChars="1"/>
              <w:jc w:val="center"/>
              <w:rPr>
                <w:sz w:val="24"/>
                <w:szCs w:val="24"/>
              </w:rPr>
            </w:pPr>
            <w:r>
              <w:rPr>
                <w:rFonts w:hint="eastAsia"/>
                <w:sz w:val="24"/>
                <w:szCs w:val="24"/>
              </w:rPr>
              <w:t>50万份≤S&lt;100万份</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left="2" w:hanging="2" w:hangingChars="1"/>
              <w:jc w:val="center"/>
              <w:rPr>
                <w:sz w:val="24"/>
                <w:szCs w:val="24"/>
              </w:rPr>
            </w:pPr>
            <w:r>
              <w:rPr>
                <w:rFonts w:hint="eastAsia"/>
                <w:sz w:val="24"/>
                <w:szCs w:val="24"/>
              </w:rP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 w:hRule="atLeast"/>
          <w:jc w:val="center"/>
        </w:trPr>
        <w:tc>
          <w:tcPr>
            <w:tcW w:w="371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2" w:hanging="2" w:hangingChars="1"/>
              <w:jc w:val="center"/>
              <w:rPr>
                <w:sz w:val="24"/>
                <w:szCs w:val="24"/>
              </w:rPr>
            </w:pPr>
            <w:r>
              <w:rPr>
                <w:rFonts w:hint="eastAsia"/>
                <w:sz w:val="24"/>
                <w:szCs w:val="24"/>
              </w:rPr>
              <w:t>S≥100万份</w:t>
            </w:r>
          </w:p>
        </w:tc>
        <w:tc>
          <w:tcPr>
            <w:tcW w:w="37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left="2" w:hanging="2" w:hangingChars="1"/>
              <w:jc w:val="center"/>
              <w:rPr>
                <w:sz w:val="24"/>
                <w:szCs w:val="24"/>
              </w:rPr>
            </w:pPr>
            <w:r>
              <w:rPr>
                <w:rFonts w:hint="eastAsia"/>
                <w:sz w:val="24"/>
                <w:szCs w:val="24"/>
              </w:rPr>
              <w:t>按笔收取，1</w:t>
            </w:r>
            <w:r>
              <w:rPr>
                <w:sz w:val="24"/>
                <w:szCs w:val="24"/>
              </w:rPr>
              <w:t>,0</w:t>
            </w:r>
            <w:r>
              <w:rPr>
                <w:rFonts w:hint="eastAsia"/>
                <w:sz w:val="24"/>
                <w:szCs w:val="24"/>
              </w:rPr>
              <w:t>00元/笔</w:t>
            </w:r>
          </w:p>
        </w:tc>
      </w:tr>
    </w:tbl>
    <w:p>
      <w:pPr>
        <w:adjustRightInd w:val="0"/>
        <w:snapToGrid w:val="0"/>
        <w:spacing w:line="360" w:lineRule="auto"/>
        <w:ind w:firstLine="482" w:firstLineChars="200"/>
        <w:rPr>
          <w:b/>
          <w:bCs w:val="0"/>
          <w:sz w:val="24"/>
        </w:rPr>
      </w:pPr>
      <w:bookmarkStart w:id="9" w:name="_GoBack"/>
      <w:bookmarkStart w:id="5" w:name="_Hlk213504440"/>
      <w:r>
        <w:rPr>
          <w:rFonts w:hint="eastAsia"/>
          <w:b/>
          <w:bCs w:val="0"/>
          <w:sz w:val="24"/>
        </w:rPr>
        <w:t>自本基金发售首日起，本基金认购费用按照上表所示费率执行。</w:t>
      </w:r>
    </w:p>
    <w:bookmarkEnd w:id="9"/>
    <w:p>
      <w:pPr>
        <w:adjustRightInd w:val="0"/>
        <w:snapToGrid w:val="0"/>
        <w:spacing w:line="360" w:lineRule="auto"/>
        <w:ind w:firstLine="480" w:firstLineChars="200"/>
        <w:rPr>
          <w:bCs/>
          <w:sz w:val="24"/>
        </w:rPr>
      </w:pPr>
      <w:r>
        <w:rPr>
          <w:rFonts w:hint="eastAsia"/>
          <w:bCs/>
          <w:sz w:val="24"/>
        </w:rPr>
        <w:t>基金管理人办理网下现金认购时按照上表所示费率收取认购费用。发售代理机构办理网上现金认购、网下现金认购时可参照上述费率结构，按照不超过0.80%的标准收取一定的佣金。</w:t>
      </w:r>
    </w:p>
    <w:bookmarkEnd w:id="5"/>
    <w:p>
      <w:pPr>
        <w:adjustRightInd w:val="0"/>
        <w:snapToGrid w:val="0"/>
        <w:spacing w:line="360" w:lineRule="auto"/>
        <w:ind w:firstLine="480" w:firstLineChars="200"/>
        <w:rPr>
          <w:bCs/>
          <w:sz w:val="24"/>
        </w:rPr>
      </w:pPr>
      <w:r>
        <w:rPr>
          <w:rFonts w:hint="eastAsia"/>
          <w:bCs/>
          <w:sz w:val="24"/>
        </w:rPr>
        <w:t>投资者多次提交现金认购申请的，须按每笔认购所对应的费率档次分别计费。</w:t>
      </w:r>
    </w:p>
    <w:p>
      <w:pPr>
        <w:adjustRightInd w:val="0"/>
        <w:snapToGrid w:val="0"/>
        <w:spacing w:line="360" w:lineRule="auto"/>
        <w:rPr>
          <w:sz w:val="24"/>
          <w:szCs w:val="24"/>
        </w:rPr>
      </w:pPr>
      <w:r>
        <w:rPr>
          <w:sz w:val="24"/>
          <w:szCs w:val="24"/>
        </w:rPr>
        <w:tab/>
      </w:r>
      <w:r>
        <w:rPr>
          <w:sz w:val="24"/>
          <w:szCs w:val="24"/>
        </w:rPr>
        <w:t>13</w:t>
      </w:r>
      <w:r>
        <w:rPr>
          <w:rFonts w:hint="eastAsia"/>
          <w:sz w:val="24"/>
          <w:szCs w:val="24"/>
        </w:rPr>
        <w:t>、网上现金认购</w:t>
      </w:r>
    </w:p>
    <w:p>
      <w:pPr>
        <w:adjustRightInd w:val="0"/>
        <w:snapToGrid w:val="0"/>
        <w:spacing w:line="360" w:lineRule="auto"/>
        <w:ind w:firstLine="480" w:firstLineChars="200"/>
        <w:rPr>
          <w:bCs/>
          <w:sz w:val="24"/>
        </w:rPr>
      </w:pPr>
      <w:r>
        <w:rPr>
          <w:rFonts w:hint="eastAsia"/>
          <w:bCs/>
          <w:sz w:val="24"/>
        </w:rPr>
        <w:t>（1）认购限额：网上现金认购以基金份额申请。单一账户每笔认购份额须为</w:t>
      </w:r>
      <w:r>
        <w:rPr>
          <w:bCs/>
          <w:sz w:val="24"/>
        </w:rPr>
        <w:t>1,000</w:t>
      </w:r>
      <w:r>
        <w:rPr>
          <w:rFonts w:hint="eastAsia"/>
          <w:bCs/>
          <w:sz w:val="24"/>
        </w:rPr>
        <w:t>份或其整数倍，最高不得超过</w:t>
      </w:r>
      <w:r>
        <w:rPr>
          <w:bCs/>
          <w:sz w:val="24"/>
        </w:rPr>
        <w:t>99,999,000</w:t>
      </w:r>
      <w:r>
        <w:rPr>
          <w:rFonts w:hint="eastAsia"/>
          <w:bCs/>
          <w:sz w:val="24"/>
        </w:rPr>
        <w:t>份。投资人在募集期内可多次认购，募集期间单个投资人的累计认购规模没有限制，但法律法规、业务规则或本基金发售规模控制方案另有规定的除外。</w:t>
      </w:r>
    </w:p>
    <w:p>
      <w:pPr>
        <w:adjustRightInd w:val="0"/>
        <w:snapToGrid w:val="0"/>
        <w:spacing w:line="360" w:lineRule="auto"/>
        <w:ind w:firstLine="480" w:firstLineChars="200"/>
        <w:rPr>
          <w:bCs/>
          <w:sz w:val="24"/>
        </w:rPr>
      </w:pPr>
      <w:r>
        <w:rPr>
          <w:rFonts w:hint="eastAsia"/>
          <w:bCs/>
          <w:sz w:val="24"/>
        </w:rPr>
        <w:t>（2）认购申请：投资人在认购本基金时，需按发售代理机构的规定，备足认购资金，办理认购手续。网上现金认购申请提交后，投资人可以在当日交易时间内撤销。</w:t>
      </w:r>
    </w:p>
    <w:p>
      <w:pPr>
        <w:adjustRightInd w:val="0"/>
        <w:snapToGrid w:val="0"/>
        <w:spacing w:line="360" w:lineRule="auto"/>
        <w:ind w:firstLine="480" w:firstLineChars="200"/>
        <w:rPr>
          <w:bCs/>
          <w:sz w:val="24"/>
        </w:rPr>
      </w:pPr>
      <w:r>
        <w:rPr>
          <w:rFonts w:hint="eastAsia"/>
          <w:bCs/>
          <w:sz w:val="24"/>
        </w:rPr>
        <w:t>（3）认购金额的计算</w:t>
      </w:r>
    </w:p>
    <w:p>
      <w:pPr>
        <w:adjustRightInd w:val="0"/>
        <w:snapToGrid w:val="0"/>
        <w:spacing w:line="360" w:lineRule="auto"/>
        <w:ind w:firstLine="480" w:firstLineChars="200"/>
        <w:rPr>
          <w:bCs/>
          <w:sz w:val="24"/>
        </w:rPr>
      </w:pPr>
      <w:r>
        <w:rPr>
          <w:rFonts w:hint="eastAsia"/>
          <w:bCs/>
          <w:sz w:val="24"/>
        </w:rPr>
        <w:t>通过发售代理机构进行网上现金认购的投资人，认购以基金份额申请，认购佣金和认购金额的计算如下：</w:t>
      </w:r>
    </w:p>
    <w:p>
      <w:pPr>
        <w:adjustRightInd w:val="0"/>
        <w:snapToGrid w:val="0"/>
        <w:spacing w:line="360" w:lineRule="auto"/>
        <w:ind w:firstLine="480" w:firstLineChars="200"/>
        <w:rPr>
          <w:bCs/>
          <w:sz w:val="24"/>
        </w:rPr>
      </w:pPr>
      <w:r>
        <w:rPr>
          <w:rFonts w:hint="eastAsia"/>
          <w:bCs/>
          <w:sz w:val="24"/>
        </w:rPr>
        <w:t>认购佣金＝认购价格×认购份额×佣金比率</w:t>
      </w:r>
    </w:p>
    <w:p>
      <w:pPr>
        <w:adjustRightInd w:val="0"/>
        <w:snapToGrid w:val="0"/>
        <w:spacing w:line="360" w:lineRule="auto"/>
        <w:ind w:firstLine="480" w:firstLineChars="200"/>
        <w:rPr>
          <w:bCs/>
          <w:sz w:val="24"/>
        </w:rPr>
      </w:pPr>
      <w:r>
        <w:rPr>
          <w:rFonts w:hint="eastAsia"/>
          <w:bCs/>
          <w:sz w:val="24"/>
        </w:rPr>
        <w:t>（或若适用固定费用的，认购佣金</w:t>
      </w:r>
      <w:r>
        <w:rPr>
          <w:bCs/>
          <w:sz w:val="24"/>
        </w:rPr>
        <w:t>=</w:t>
      </w:r>
      <w:r>
        <w:rPr>
          <w:rFonts w:hint="eastAsia"/>
          <w:bCs/>
          <w:sz w:val="24"/>
        </w:rPr>
        <w:t>固定费用）</w:t>
      </w:r>
    </w:p>
    <w:p>
      <w:pPr>
        <w:adjustRightInd w:val="0"/>
        <w:snapToGrid w:val="0"/>
        <w:spacing w:line="360" w:lineRule="auto"/>
        <w:ind w:firstLine="480" w:firstLineChars="200"/>
        <w:rPr>
          <w:bCs/>
          <w:sz w:val="24"/>
        </w:rPr>
      </w:pPr>
      <w:r>
        <w:rPr>
          <w:rFonts w:hint="eastAsia"/>
          <w:bCs/>
          <w:sz w:val="24"/>
        </w:rPr>
        <w:t>认购金额＝认购价格×认购份额×（</w:t>
      </w:r>
      <w:r>
        <w:rPr>
          <w:bCs/>
          <w:sz w:val="24"/>
        </w:rPr>
        <w:t>1</w:t>
      </w:r>
      <w:r>
        <w:rPr>
          <w:rFonts w:hint="eastAsia"/>
          <w:bCs/>
          <w:sz w:val="24"/>
        </w:rPr>
        <w:t>＋佣金比率）</w:t>
      </w:r>
    </w:p>
    <w:p>
      <w:pPr>
        <w:adjustRightInd w:val="0"/>
        <w:snapToGrid w:val="0"/>
        <w:spacing w:line="360" w:lineRule="auto"/>
        <w:ind w:firstLine="480" w:firstLineChars="200"/>
        <w:rPr>
          <w:bCs/>
          <w:sz w:val="24"/>
        </w:rPr>
      </w:pPr>
      <w:r>
        <w:rPr>
          <w:rFonts w:hint="eastAsia"/>
          <w:bCs/>
          <w:sz w:val="24"/>
        </w:rPr>
        <w:t>（或若适用固定费用的，认购金额＝认购价格×认购份额</w:t>
      </w:r>
      <w:r>
        <w:rPr>
          <w:bCs/>
          <w:sz w:val="24"/>
        </w:rPr>
        <w:t>+</w:t>
      </w:r>
      <w:r>
        <w:rPr>
          <w:rFonts w:hint="eastAsia"/>
          <w:bCs/>
          <w:sz w:val="24"/>
        </w:rPr>
        <w:t>固定费用）</w:t>
      </w:r>
    </w:p>
    <w:p>
      <w:pPr>
        <w:adjustRightInd w:val="0"/>
        <w:snapToGrid w:val="0"/>
        <w:spacing w:line="360" w:lineRule="auto"/>
        <w:ind w:firstLine="480" w:firstLineChars="200"/>
        <w:rPr>
          <w:bCs/>
          <w:sz w:val="24"/>
        </w:rPr>
      </w:pPr>
      <w:r>
        <w:rPr>
          <w:rFonts w:hint="eastAsia"/>
          <w:bCs/>
          <w:sz w:val="24"/>
        </w:rPr>
        <w:t>认购佣金由发售代理机构向投资人收取，投资人需以现金方式支付认购佣金。</w:t>
      </w:r>
    </w:p>
    <w:p>
      <w:pPr>
        <w:adjustRightInd w:val="0"/>
        <w:snapToGrid w:val="0"/>
        <w:spacing w:line="360" w:lineRule="auto"/>
        <w:ind w:firstLine="480" w:firstLineChars="200"/>
        <w:rPr>
          <w:bCs/>
          <w:sz w:val="24"/>
        </w:rPr>
      </w:pPr>
      <w:r>
        <w:rPr>
          <w:rFonts w:hint="eastAsia"/>
          <w:bCs/>
          <w:sz w:val="24"/>
        </w:rPr>
        <w:t>例：某投资人到某发售代理机构认购</w:t>
      </w:r>
      <w:r>
        <w:rPr>
          <w:bCs/>
          <w:sz w:val="24"/>
        </w:rPr>
        <w:t>10,000</w:t>
      </w:r>
      <w:r>
        <w:rPr>
          <w:rFonts w:hint="eastAsia"/>
          <w:bCs/>
          <w:sz w:val="24"/>
        </w:rPr>
        <w:t>份本基金，假设该发售代理机构确认的佣金比率为</w:t>
      </w:r>
      <w:r>
        <w:rPr>
          <w:bCs/>
          <w:sz w:val="24"/>
        </w:rPr>
        <w:t>0.80%</w:t>
      </w:r>
      <w:r>
        <w:rPr>
          <w:rFonts w:hint="eastAsia"/>
          <w:bCs/>
          <w:sz w:val="24"/>
        </w:rPr>
        <w:t>，则投资人需支付的认购佣金和需准备的认购金额计算如下：</w:t>
      </w:r>
    </w:p>
    <w:p>
      <w:pPr>
        <w:adjustRightInd w:val="0"/>
        <w:snapToGrid w:val="0"/>
        <w:spacing w:line="360" w:lineRule="auto"/>
        <w:ind w:firstLine="480" w:firstLineChars="200"/>
        <w:rPr>
          <w:bCs/>
          <w:sz w:val="24"/>
        </w:rPr>
      </w:pPr>
      <w:r>
        <w:rPr>
          <w:rFonts w:hint="eastAsia"/>
          <w:bCs/>
          <w:sz w:val="24"/>
        </w:rPr>
        <w:t>认购佣金＝</w:t>
      </w:r>
      <w:r>
        <w:rPr>
          <w:bCs/>
          <w:sz w:val="24"/>
        </w:rPr>
        <w:t>1.00</w:t>
      </w:r>
      <w:r>
        <w:rPr>
          <w:rFonts w:hint="eastAsia"/>
          <w:bCs/>
          <w:sz w:val="24"/>
        </w:rPr>
        <w:t>×</w:t>
      </w:r>
      <w:r>
        <w:rPr>
          <w:bCs/>
          <w:sz w:val="24"/>
        </w:rPr>
        <w:t>10,000</w:t>
      </w:r>
      <w:r>
        <w:rPr>
          <w:rFonts w:hint="eastAsia"/>
          <w:bCs/>
          <w:sz w:val="24"/>
        </w:rPr>
        <w:t>×</w:t>
      </w:r>
      <w:r>
        <w:rPr>
          <w:bCs/>
          <w:sz w:val="24"/>
        </w:rPr>
        <w:t>0.80%</w:t>
      </w:r>
      <w:r>
        <w:rPr>
          <w:rFonts w:hint="eastAsia"/>
          <w:bCs/>
          <w:sz w:val="24"/>
        </w:rPr>
        <w:t>＝</w:t>
      </w:r>
      <w:r>
        <w:rPr>
          <w:bCs/>
          <w:sz w:val="24"/>
        </w:rPr>
        <w:t>80.00</w:t>
      </w:r>
      <w:r>
        <w:rPr>
          <w:rFonts w:hint="eastAsia"/>
          <w:bCs/>
          <w:sz w:val="24"/>
        </w:rPr>
        <w:t>元</w:t>
      </w:r>
    </w:p>
    <w:p>
      <w:pPr>
        <w:adjustRightInd w:val="0"/>
        <w:snapToGrid w:val="0"/>
        <w:spacing w:line="360" w:lineRule="auto"/>
        <w:ind w:firstLine="480" w:firstLineChars="200"/>
        <w:rPr>
          <w:bCs/>
          <w:sz w:val="24"/>
        </w:rPr>
      </w:pPr>
      <w:r>
        <w:rPr>
          <w:rFonts w:hint="eastAsia"/>
          <w:bCs/>
          <w:sz w:val="24"/>
        </w:rPr>
        <w:t>认购金额＝</w:t>
      </w:r>
      <w:r>
        <w:rPr>
          <w:bCs/>
          <w:sz w:val="24"/>
        </w:rPr>
        <w:t>1.00</w:t>
      </w:r>
      <w:r>
        <w:rPr>
          <w:rFonts w:hint="eastAsia"/>
          <w:bCs/>
          <w:sz w:val="24"/>
        </w:rPr>
        <w:t>×</w:t>
      </w:r>
      <w:r>
        <w:rPr>
          <w:bCs/>
          <w:sz w:val="24"/>
        </w:rPr>
        <w:t>10,000</w:t>
      </w:r>
      <w:r>
        <w:rPr>
          <w:rFonts w:hint="eastAsia"/>
          <w:bCs/>
          <w:sz w:val="24"/>
        </w:rPr>
        <w:t>×（</w:t>
      </w:r>
      <w:r>
        <w:rPr>
          <w:bCs/>
          <w:sz w:val="24"/>
        </w:rPr>
        <w:t>1</w:t>
      </w:r>
      <w:r>
        <w:rPr>
          <w:rFonts w:hint="eastAsia"/>
          <w:bCs/>
          <w:sz w:val="24"/>
        </w:rPr>
        <w:t>＋</w:t>
      </w:r>
      <w:r>
        <w:rPr>
          <w:bCs/>
          <w:sz w:val="24"/>
        </w:rPr>
        <w:t>0.80%</w:t>
      </w:r>
      <w:r>
        <w:rPr>
          <w:rFonts w:hint="eastAsia"/>
          <w:bCs/>
          <w:sz w:val="24"/>
        </w:rPr>
        <w:t>）＝</w:t>
      </w:r>
      <w:r>
        <w:rPr>
          <w:bCs/>
          <w:sz w:val="24"/>
        </w:rPr>
        <w:t>10,080.00</w:t>
      </w:r>
      <w:r>
        <w:rPr>
          <w:rFonts w:hint="eastAsia"/>
          <w:bCs/>
          <w:sz w:val="24"/>
        </w:rPr>
        <w:t>元</w:t>
      </w:r>
    </w:p>
    <w:p>
      <w:pPr>
        <w:adjustRightInd w:val="0"/>
        <w:snapToGrid w:val="0"/>
        <w:spacing w:line="360" w:lineRule="auto"/>
        <w:ind w:firstLine="480" w:firstLineChars="200"/>
        <w:rPr>
          <w:bCs/>
          <w:sz w:val="24"/>
        </w:rPr>
      </w:pPr>
      <w:r>
        <w:rPr>
          <w:rFonts w:hint="eastAsia"/>
          <w:bCs/>
          <w:sz w:val="24"/>
        </w:rPr>
        <w:t>即投资人需准备</w:t>
      </w:r>
      <w:r>
        <w:rPr>
          <w:bCs/>
          <w:sz w:val="24"/>
        </w:rPr>
        <w:t>10,080.00</w:t>
      </w:r>
      <w:r>
        <w:rPr>
          <w:rFonts w:hint="eastAsia"/>
          <w:bCs/>
          <w:sz w:val="24"/>
        </w:rPr>
        <w:t>元资金，方可认购到</w:t>
      </w:r>
      <w:r>
        <w:rPr>
          <w:bCs/>
          <w:sz w:val="24"/>
        </w:rPr>
        <w:t>10,000</w:t>
      </w:r>
      <w:r>
        <w:rPr>
          <w:rFonts w:hint="eastAsia"/>
          <w:bCs/>
          <w:sz w:val="24"/>
        </w:rPr>
        <w:t>份本基金基金份额。</w:t>
      </w:r>
    </w:p>
    <w:p>
      <w:pPr>
        <w:adjustRightInd w:val="0"/>
        <w:snapToGrid w:val="0"/>
        <w:spacing w:line="360" w:lineRule="auto"/>
        <w:ind w:firstLine="480" w:firstLineChars="200"/>
        <w:rPr>
          <w:bCs/>
          <w:sz w:val="24"/>
        </w:rPr>
      </w:pPr>
      <w:r>
        <w:rPr>
          <w:rFonts w:hint="eastAsia"/>
          <w:bCs/>
          <w:sz w:val="24"/>
        </w:rPr>
        <w:t>（</w:t>
      </w:r>
      <w:r>
        <w:rPr>
          <w:bCs/>
          <w:sz w:val="24"/>
        </w:rPr>
        <w:t>4</w:t>
      </w:r>
      <w:r>
        <w:rPr>
          <w:rFonts w:hint="eastAsia"/>
          <w:bCs/>
          <w:sz w:val="24"/>
        </w:rPr>
        <w:t>）认购确认：在基金合同生效后，投资人应通过其办理认购的销售机构或以其提供的其他方式查询认购确认情况。</w:t>
      </w:r>
    </w:p>
    <w:p>
      <w:pPr>
        <w:adjustRightInd w:val="0"/>
        <w:snapToGrid w:val="0"/>
        <w:spacing w:line="360" w:lineRule="auto"/>
        <w:ind w:firstLine="420"/>
        <w:rPr>
          <w:sz w:val="24"/>
          <w:szCs w:val="24"/>
        </w:rPr>
      </w:pPr>
      <w:r>
        <w:rPr>
          <w:sz w:val="24"/>
          <w:szCs w:val="24"/>
        </w:rPr>
        <w:t>14</w:t>
      </w:r>
      <w:r>
        <w:rPr>
          <w:rFonts w:hint="eastAsia"/>
          <w:sz w:val="24"/>
          <w:szCs w:val="24"/>
        </w:rPr>
        <w:t>、网下现金认购</w:t>
      </w:r>
    </w:p>
    <w:p>
      <w:pPr>
        <w:adjustRightInd w:val="0"/>
        <w:snapToGrid w:val="0"/>
        <w:spacing w:line="360" w:lineRule="auto"/>
        <w:ind w:firstLine="480" w:firstLineChars="200"/>
        <w:rPr>
          <w:bCs/>
          <w:sz w:val="24"/>
        </w:rPr>
      </w:pPr>
      <w:r>
        <w:rPr>
          <w:rFonts w:hint="eastAsia"/>
          <w:bCs/>
          <w:sz w:val="24"/>
        </w:rPr>
        <w:t>（1）认购限额：网下现金认购以基金份额申请。投资人通过发售代理机构办理网下现金认购的，单笔认购须为1,000份或其整数倍；投资人通过基金管理人办理网下现金认购的，单笔认购份额须在100万份以上（含100万份）。投资人在募集期内可多次认购，募集期间单个投资人的累计认购规模没有限制，但法律法规、业务规则或本基金发售规模控制方案另有规定的除外。</w:t>
      </w:r>
    </w:p>
    <w:p>
      <w:pPr>
        <w:adjustRightInd w:val="0"/>
        <w:snapToGrid w:val="0"/>
        <w:spacing w:line="360" w:lineRule="auto"/>
        <w:ind w:firstLine="480" w:firstLineChars="200"/>
        <w:rPr>
          <w:bCs/>
          <w:sz w:val="24"/>
        </w:rPr>
      </w:pPr>
      <w:r>
        <w:rPr>
          <w:rFonts w:hint="eastAsia"/>
          <w:bCs/>
          <w:sz w:val="24"/>
        </w:rPr>
        <w:t>（2）认购申请：投资人在认购本基金时，需按销售机构的规定，备足认购资金，办理认购手续。网下现金认购申请提交后如需撤销以销售机构的规定为准。</w:t>
      </w:r>
    </w:p>
    <w:p>
      <w:pPr>
        <w:adjustRightInd w:val="0"/>
        <w:snapToGrid w:val="0"/>
        <w:spacing w:line="360" w:lineRule="auto"/>
        <w:ind w:firstLine="480" w:firstLineChars="200"/>
        <w:rPr>
          <w:bCs/>
          <w:sz w:val="24"/>
        </w:rPr>
      </w:pPr>
      <w:r>
        <w:rPr>
          <w:rFonts w:hint="eastAsia"/>
          <w:bCs/>
          <w:sz w:val="24"/>
        </w:rPr>
        <w:t>（3）认购金额的计算</w:t>
      </w:r>
    </w:p>
    <w:p>
      <w:pPr>
        <w:adjustRightInd w:val="0"/>
        <w:snapToGrid w:val="0"/>
        <w:spacing w:line="360" w:lineRule="auto"/>
        <w:ind w:firstLine="480" w:firstLineChars="200"/>
        <w:rPr>
          <w:bCs/>
          <w:sz w:val="24"/>
        </w:rPr>
      </w:pPr>
      <w:r>
        <w:rPr>
          <w:bCs/>
          <w:sz w:val="24"/>
        </w:rPr>
        <w:t>1</w:t>
      </w:r>
      <w:r>
        <w:rPr>
          <w:rFonts w:hint="eastAsia"/>
          <w:bCs/>
          <w:sz w:val="24"/>
        </w:rPr>
        <w:t>）通过基金管理人进行网下现金认购的投资人，认购以基金份额申请，认购费用和认购金额的计算如下：</w:t>
      </w:r>
    </w:p>
    <w:p>
      <w:pPr>
        <w:adjustRightInd w:val="0"/>
        <w:snapToGrid w:val="0"/>
        <w:spacing w:line="360" w:lineRule="auto"/>
        <w:ind w:firstLine="480" w:firstLineChars="200"/>
        <w:rPr>
          <w:bCs/>
          <w:sz w:val="24"/>
        </w:rPr>
      </w:pPr>
      <w:r>
        <w:rPr>
          <w:rFonts w:hint="eastAsia"/>
          <w:bCs/>
          <w:sz w:val="24"/>
        </w:rPr>
        <w:t>①若适用比例费率，计算公式如下：</w:t>
      </w:r>
    </w:p>
    <w:p>
      <w:pPr>
        <w:adjustRightInd w:val="0"/>
        <w:snapToGrid w:val="0"/>
        <w:spacing w:line="360" w:lineRule="auto"/>
        <w:ind w:firstLine="480" w:firstLineChars="200"/>
        <w:rPr>
          <w:bCs/>
          <w:sz w:val="24"/>
        </w:rPr>
      </w:pPr>
      <w:r>
        <w:rPr>
          <w:rFonts w:hint="eastAsia"/>
          <w:bCs/>
          <w:sz w:val="24"/>
        </w:rPr>
        <w:t>认购费用＝认购价格×认购份额×认购费率</w:t>
      </w:r>
    </w:p>
    <w:p>
      <w:pPr>
        <w:adjustRightInd w:val="0"/>
        <w:snapToGrid w:val="0"/>
        <w:spacing w:line="360" w:lineRule="auto"/>
        <w:ind w:firstLine="480" w:firstLineChars="200"/>
        <w:rPr>
          <w:bCs/>
          <w:sz w:val="24"/>
        </w:rPr>
      </w:pPr>
      <w:r>
        <w:rPr>
          <w:rFonts w:hint="eastAsia"/>
          <w:bCs/>
          <w:sz w:val="24"/>
        </w:rPr>
        <w:t>认购金额＝认购价格×认购份额×（</w:t>
      </w:r>
      <w:r>
        <w:rPr>
          <w:bCs/>
          <w:sz w:val="24"/>
        </w:rPr>
        <w:t>1</w:t>
      </w:r>
      <w:r>
        <w:rPr>
          <w:rFonts w:hint="eastAsia"/>
          <w:bCs/>
          <w:sz w:val="24"/>
        </w:rPr>
        <w:t>＋认购费率）</w:t>
      </w:r>
    </w:p>
    <w:p>
      <w:pPr>
        <w:adjustRightInd w:val="0"/>
        <w:snapToGrid w:val="0"/>
        <w:spacing w:line="360" w:lineRule="auto"/>
        <w:ind w:firstLine="480" w:firstLineChars="200"/>
        <w:rPr>
          <w:bCs/>
          <w:sz w:val="24"/>
        </w:rPr>
      </w:pPr>
      <w:r>
        <w:rPr>
          <w:rFonts w:hint="eastAsia"/>
          <w:bCs/>
          <w:sz w:val="24"/>
        </w:rPr>
        <w:t>总认购份额＝认购份额＋认购金额产生的利息</w:t>
      </w:r>
      <w:r>
        <w:rPr>
          <w:bCs/>
          <w:sz w:val="24"/>
        </w:rPr>
        <w:t>/</w:t>
      </w:r>
      <w:r>
        <w:rPr>
          <w:rFonts w:hint="eastAsia"/>
          <w:bCs/>
          <w:sz w:val="24"/>
        </w:rPr>
        <w:t>认购价格</w:t>
      </w:r>
    </w:p>
    <w:p>
      <w:pPr>
        <w:adjustRightInd w:val="0"/>
        <w:snapToGrid w:val="0"/>
        <w:spacing w:line="360" w:lineRule="auto"/>
        <w:ind w:firstLine="480" w:firstLineChars="200"/>
        <w:rPr>
          <w:bCs/>
          <w:sz w:val="24"/>
        </w:rPr>
      </w:pPr>
      <w:r>
        <w:rPr>
          <w:rFonts w:hint="eastAsia"/>
          <w:bCs/>
          <w:sz w:val="24"/>
        </w:rPr>
        <w:t>②若适用固定费用，计算公式如下：</w:t>
      </w:r>
    </w:p>
    <w:p>
      <w:pPr>
        <w:adjustRightInd w:val="0"/>
        <w:snapToGrid w:val="0"/>
        <w:spacing w:line="360" w:lineRule="auto"/>
        <w:ind w:firstLine="480" w:firstLineChars="200"/>
        <w:rPr>
          <w:bCs/>
          <w:sz w:val="24"/>
        </w:rPr>
      </w:pPr>
      <w:r>
        <w:rPr>
          <w:rFonts w:hint="eastAsia"/>
          <w:bCs/>
          <w:sz w:val="24"/>
        </w:rPr>
        <w:t>认购费用＝固定费用</w:t>
      </w:r>
    </w:p>
    <w:p>
      <w:pPr>
        <w:adjustRightInd w:val="0"/>
        <w:snapToGrid w:val="0"/>
        <w:spacing w:line="360" w:lineRule="auto"/>
        <w:ind w:firstLine="480" w:firstLineChars="200"/>
        <w:rPr>
          <w:bCs/>
          <w:sz w:val="24"/>
        </w:rPr>
      </w:pPr>
      <w:r>
        <w:rPr>
          <w:rFonts w:hint="eastAsia"/>
          <w:bCs/>
          <w:sz w:val="24"/>
        </w:rPr>
        <w:t>认购金额＝认购价格×认购份额＋固定费用</w:t>
      </w:r>
    </w:p>
    <w:p>
      <w:pPr>
        <w:adjustRightInd w:val="0"/>
        <w:snapToGrid w:val="0"/>
        <w:spacing w:line="360" w:lineRule="auto"/>
        <w:ind w:firstLine="480" w:firstLineChars="200"/>
        <w:rPr>
          <w:bCs/>
          <w:sz w:val="24"/>
        </w:rPr>
      </w:pPr>
      <w:r>
        <w:rPr>
          <w:rFonts w:hint="eastAsia"/>
          <w:bCs/>
          <w:sz w:val="24"/>
        </w:rPr>
        <w:t>总认购份额＝认购份额＋认购金额产生的利息</w:t>
      </w:r>
      <w:r>
        <w:rPr>
          <w:bCs/>
          <w:sz w:val="24"/>
        </w:rPr>
        <w:t>/</w:t>
      </w:r>
      <w:r>
        <w:rPr>
          <w:rFonts w:hint="eastAsia"/>
          <w:bCs/>
          <w:sz w:val="24"/>
        </w:rPr>
        <w:t>认购价格</w:t>
      </w:r>
    </w:p>
    <w:p>
      <w:pPr>
        <w:adjustRightInd w:val="0"/>
        <w:snapToGrid w:val="0"/>
        <w:spacing w:line="360" w:lineRule="auto"/>
        <w:ind w:firstLine="480" w:firstLineChars="200"/>
        <w:rPr>
          <w:bCs/>
          <w:sz w:val="24"/>
        </w:rPr>
      </w:pPr>
      <w:r>
        <w:rPr>
          <w:rFonts w:hint="eastAsia"/>
          <w:bCs/>
          <w:sz w:val="24"/>
        </w:rPr>
        <w:t>认购费用由基金管理人向投资人收取，投资人需以现金方式支付认购费用。</w:t>
      </w:r>
    </w:p>
    <w:p>
      <w:pPr>
        <w:adjustRightInd w:val="0"/>
        <w:snapToGrid w:val="0"/>
        <w:spacing w:line="360" w:lineRule="auto"/>
        <w:ind w:firstLine="480" w:firstLineChars="200"/>
        <w:rPr>
          <w:bCs/>
          <w:sz w:val="24"/>
        </w:rPr>
      </w:pPr>
      <w:r>
        <w:rPr>
          <w:rFonts w:hint="eastAsia"/>
          <w:bCs/>
          <w:sz w:val="24"/>
        </w:rPr>
        <w:t>通过基金管理人进行网下现金认购的有效认购资金在募集期间产生的利息，将折算为基金份额归投资人所有，其中利息转份额以基金管理人的记录为准。利息折算的份额保留至整数位，小数部分舍去，舍去部分计入基金财产。</w:t>
      </w:r>
    </w:p>
    <w:p>
      <w:pPr>
        <w:adjustRightInd w:val="0"/>
        <w:snapToGrid w:val="0"/>
        <w:spacing w:line="360" w:lineRule="auto"/>
        <w:ind w:firstLine="480" w:firstLineChars="200"/>
        <w:rPr>
          <w:bCs/>
          <w:sz w:val="24"/>
        </w:rPr>
      </w:pPr>
      <w:r>
        <w:rPr>
          <w:rFonts w:hint="eastAsia"/>
          <w:bCs/>
          <w:sz w:val="24"/>
        </w:rPr>
        <w:t>例：某投资人到基金管理人直销柜台认购1,000,000份基金份额，认购费用为1,000元。假定认购金额产生的利息为10.82元，则需准备的资金金额计算如下：</w:t>
      </w:r>
    </w:p>
    <w:p>
      <w:pPr>
        <w:adjustRightInd w:val="0"/>
        <w:snapToGrid w:val="0"/>
        <w:spacing w:line="360" w:lineRule="auto"/>
        <w:ind w:firstLine="480" w:firstLineChars="200"/>
        <w:rPr>
          <w:bCs/>
          <w:sz w:val="24"/>
        </w:rPr>
      </w:pPr>
      <w:r>
        <w:rPr>
          <w:rFonts w:hint="eastAsia"/>
          <w:bCs/>
          <w:sz w:val="24"/>
        </w:rPr>
        <w:t>认购费用＝1</w:t>
      </w:r>
      <w:r>
        <w:rPr>
          <w:bCs/>
          <w:sz w:val="24"/>
        </w:rPr>
        <w:t>,0</w:t>
      </w:r>
      <w:r>
        <w:rPr>
          <w:rFonts w:hint="eastAsia"/>
          <w:bCs/>
          <w:sz w:val="24"/>
        </w:rPr>
        <w:t>00.00元</w:t>
      </w:r>
    </w:p>
    <w:p>
      <w:pPr>
        <w:adjustRightInd w:val="0"/>
        <w:snapToGrid w:val="0"/>
        <w:spacing w:line="360" w:lineRule="auto"/>
        <w:ind w:firstLine="480" w:firstLineChars="200"/>
        <w:rPr>
          <w:bCs/>
          <w:sz w:val="24"/>
        </w:rPr>
      </w:pPr>
      <w:r>
        <w:rPr>
          <w:rFonts w:hint="eastAsia"/>
          <w:bCs/>
          <w:sz w:val="24"/>
        </w:rPr>
        <w:t>认购金额＝1.00×1,000,000+1</w:t>
      </w:r>
      <w:r>
        <w:rPr>
          <w:bCs/>
          <w:sz w:val="24"/>
        </w:rPr>
        <w:t>,0</w:t>
      </w:r>
      <w:r>
        <w:rPr>
          <w:rFonts w:hint="eastAsia"/>
          <w:bCs/>
          <w:sz w:val="24"/>
        </w:rPr>
        <w:t>00.00＝1,00</w:t>
      </w:r>
      <w:r>
        <w:rPr>
          <w:bCs/>
          <w:sz w:val="24"/>
        </w:rPr>
        <w:t>1,0</w:t>
      </w:r>
      <w:r>
        <w:rPr>
          <w:rFonts w:hint="eastAsia"/>
          <w:bCs/>
          <w:sz w:val="24"/>
        </w:rPr>
        <w:t>00.00元</w:t>
      </w:r>
    </w:p>
    <w:p>
      <w:pPr>
        <w:adjustRightInd w:val="0"/>
        <w:snapToGrid w:val="0"/>
        <w:spacing w:line="360" w:lineRule="auto"/>
        <w:ind w:firstLine="480" w:firstLineChars="200"/>
        <w:rPr>
          <w:bCs/>
          <w:sz w:val="24"/>
        </w:rPr>
      </w:pPr>
      <w:r>
        <w:rPr>
          <w:rFonts w:hint="eastAsia"/>
          <w:bCs/>
          <w:sz w:val="24"/>
        </w:rPr>
        <w:t>总认购份额＝1,000,000＋10.82/1.00＝1,000,010份</w:t>
      </w:r>
    </w:p>
    <w:p>
      <w:pPr>
        <w:adjustRightInd w:val="0"/>
        <w:snapToGrid w:val="0"/>
        <w:spacing w:line="360" w:lineRule="auto"/>
        <w:ind w:firstLine="480" w:firstLineChars="200"/>
        <w:rPr>
          <w:bCs/>
          <w:sz w:val="24"/>
        </w:rPr>
      </w:pPr>
      <w:r>
        <w:rPr>
          <w:rFonts w:hint="eastAsia"/>
          <w:bCs/>
          <w:sz w:val="24"/>
        </w:rPr>
        <w:t>即投资人若通过基金管理人直销柜台认购本基金1,000,000份，需准备1,00</w:t>
      </w:r>
      <w:r>
        <w:rPr>
          <w:bCs/>
          <w:sz w:val="24"/>
        </w:rPr>
        <w:t>1,0</w:t>
      </w:r>
      <w:r>
        <w:rPr>
          <w:rFonts w:hint="eastAsia"/>
          <w:bCs/>
          <w:sz w:val="24"/>
        </w:rPr>
        <w:t>00.00元资金，假定该笔认购金额产生利息10.82元，则投资人可得到1,000,010份本基金基金份额。</w:t>
      </w:r>
    </w:p>
    <w:p>
      <w:pPr>
        <w:adjustRightInd w:val="0"/>
        <w:snapToGrid w:val="0"/>
        <w:spacing w:line="360" w:lineRule="auto"/>
        <w:ind w:firstLine="480" w:firstLineChars="200"/>
        <w:rPr>
          <w:bCs/>
          <w:sz w:val="24"/>
        </w:rPr>
      </w:pPr>
      <w:r>
        <w:rPr>
          <w:bCs/>
          <w:sz w:val="24"/>
        </w:rPr>
        <w:t>2</w:t>
      </w:r>
      <w:r>
        <w:rPr>
          <w:rFonts w:hint="eastAsia"/>
          <w:bCs/>
          <w:sz w:val="24"/>
        </w:rPr>
        <w:t>）通过发售代理机构进行网下现金认购的投资人，认购以基金份额申请，认购佣金和认购金额的计算同通过发售代理机构进行网上现金认购的计算。</w:t>
      </w:r>
    </w:p>
    <w:p>
      <w:pPr>
        <w:adjustRightInd w:val="0"/>
        <w:snapToGrid w:val="0"/>
        <w:spacing w:line="360" w:lineRule="auto"/>
        <w:ind w:firstLine="480" w:firstLineChars="200"/>
        <w:rPr>
          <w:bCs/>
          <w:sz w:val="24"/>
        </w:rPr>
      </w:pPr>
      <w:r>
        <w:rPr>
          <w:rFonts w:hint="eastAsia"/>
          <w:bCs/>
          <w:sz w:val="24"/>
        </w:rPr>
        <w:t>（</w:t>
      </w:r>
      <w:r>
        <w:rPr>
          <w:bCs/>
          <w:sz w:val="24"/>
        </w:rPr>
        <w:t>4</w:t>
      </w:r>
      <w:r>
        <w:rPr>
          <w:rFonts w:hint="eastAsia"/>
          <w:bCs/>
          <w:sz w:val="24"/>
        </w:rPr>
        <w:t>）认购确认：在基金合同生效后，投资人应通过其办理认购的销售机构或以其提供的其他方式查询认购确认情况。</w:t>
      </w:r>
    </w:p>
    <w:p>
      <w:pPr>
        <w:adjustRightInd w:val="0"/>
        <w:snapToGrid w:val="0"/>
        <w:spacing w:line="360" w:lineRule="auto"/>
        <w:ind w:firstLine="480" w:firstLineChars="200"/>
        <w:rPr>
          <w:bCs/>
          <w:sz w:val="24"/>
        </w:rPr>
      </w:pPr>
    </w:p>
    <w:p>
      <w:pPr>
        <w:keepNext/>
        <w:keepLines/>
        <w:adjustRightInd w:val="0"/>
        <w:snapToGrid w:val="0"/>
        <w:spacing w:before="240" w:after="156" w:afterLines="50" w:line="360" w:lineRule="auto"/>
        <w:jc w:val="center"/>
        <w:outlineLvl w:val="0"/>
        <w:rPr>
          <w:b/>
          <w:sz w:val="24"/>
        </w:rPr>
      </w:pPr>
      <w:r>
        <w:rPr>
          <w:rFonts w:hint="eastAsia" w:ascii="宋体" w:hAnsi="宋体"/>
          <w:b/>
          <w:sz w:val="24"/>
        </w:rPr>
        <w:t>二</w:t>
      </w:r>
      <w:r>
        <w:rPr>
          <w:rFonts w:hint="eastAsia"/>
          <w:b/>
          <w:sz w:val="24"/>
        </w:rPr>
        <w:t>、募集方式及相关规定</w:t>
      </w:r>
    </w:p>
    <w:p>
      <w:pPr>
        <w:adjustRightInd w:val="0"/>
        <w:snapToGrid w:val="0"/>
        <w:spacing w:line="360" w:lineRule="auto"/>
        <w:ind w:firstLine="480" w:firstLineChars="200"/>
        <w:rPr>
          <w:kern w:val="0"/>
          <w:sz w:val="24"/>
        </w:rPr>
      </w:pPr>
      <w:r>
        <w:rPr>
          <w:kern w:val="0"/>
          <w:sz w:val="24"/>
        </w:rPr>
        <w:t>1</w:t>
      </w:r>
      <w:r>
        <w:rPr>
          <w:rFonts w:hint="eastAsia"/>
          <w:kern w:val="0"/>
          <w:sz w:val="24"/>
        </w:rPr>
        <w:t>、本次基金的募集，在募集期内面向个人和机构客户同期发售。</w:t>
      </w:r>
    </w:p>
    <w:p>
      <w:pPr>
        <w:adjustRightInd w:val="0"/>
        <w:snapToGrid w:val="0"/>
        <w:spacing w:line="360" w:lineRule="auto"/>
        <w:ind w:firstLine="480" w:firstLineChars="200"/>
        <w:rPr>
          <w:kern w:val="0"/>
          <w:sz w:val="24"/>
        </w:rPr>
      </w:pPr>
      <w:r>
        <w:rPr>
          <w:rFonts w:hint="eastAsia"/>
          <w:kern w:val="0"/>
          <w:sz w:val="24"/>
        </w:rPr>
        <w:t>2、投资者可选择网上现金认购、网下现金认购2种方式认购本基金。</w:t>
      </w:r>
    </w:p>
    <w:p>
      <w:pPr>
        <w:adjustRightInd w:val="0"/>
        <w:snapToGrid w:val="0"/>
        <w:spacing w:line="360" w:lineRule="auto"/>
        <w:ind w:firstLine="480" w:firstLineChars="200"/>
        <w:rPr>
          <w:bCs/>
          <w:sz w:val="24"/>
        </w:rPr>
      </w:pPr>
      <w:r>
        <w:rPr>
          <w:rFonts w:hint="eastAsia"/>
          <w:kern w:val="0"/>
          <w:sz w:val="24"/>
        </w:rPr>
        <w:t>3、</w:t>
      </w:r>
      <w:r>
        <w:rPr>
          <w:rFonts w:hint="eastAsia"/>
          <w:bCs/>
          <w:sz w:val="24"/>
        </w:rPr>
        <w:t>网上现金认购以基金份额申请。单一账户每笔认购份额须为</w:t>
      </w:r>
      <w:r>
        <w:rPr>
          <w:bCs/>
          <w:sz w:val="24"/>
        </w:rPr>
        <w:t>1,000</w:t>
      </w:r>
      <w:r>
        <w:rPr>
          <w:rFonts w:hint="eastAsia"/>
          <w:bCs/>
          <w:sz w:val="24"/>
        </w:rPr>
        <w:t>份或其整数倍，最高不得超过</w:t>
      </w:r>
      <w:r>
        <w:rPr>
          <w:bCs/>
          <w:sz w:val="24"/>
        </w:rPr>
        <w:t>99,999,000</w:t>
      </w:r>
      <w:r>
        <w:rPr>
          <w:rFonts w:hint="eastAsia"/>
          <w:bCs/>
          <w:sz w:val="24"/>
        </w:rPr>
        <w:t>份。</w:t>
      </w:r>
    </w:p>
    <w:p>
      <w:pPr>
        <w:adjustRightInd w:val="0"/>
        <w:snapToGrid w:val="0"/>
        <w:spacing w:line="360" w:lineRule="auto"/>
        <w:ind w:firstLine="480" w:firstLineChars="200"/>
        <w:rPr>
          <w:bCs/>
          <w:sz w:val="24"/>
        </w:rPr>
      </w:pPr>
      <w:r>
        <w:rPr>
          <w:rFonts w:hint="eastAsia"/>
          <w:bCs/>
          <w:sz w:val="24"/>
        </w:rPr>
        <w:t>4、网下现金认购以基金份额申请。投资人通过发售代理机构办理网下现金认购的，单笔认购须为1,000份或其整数倍；投资人通过基金管理人办理网下现金认购的，单笔认购份额须在100万份以上（含100万份）。</w:t>
      </w:r>
    </w:p>
    <w:p>
      <w:pPr>
        <w:adjustRightInd w:val="0"/>
        <w:snapToGrid w:val="0"/>
        <w:spacing w:line="360" w:lineRule="auto"/>
        <w:ind w:firstLine="480" w:firstLineChars="200"/>
        <w:rPr>
          <w:bCs/>
          <w:sz w:val="24"/>
        </w:rPr>
      </w:pPr>
      <w:r>
        <w:rPr>
          <w:rFonts w:hint="eastAsia"/>
          <w:bCs/>
          <w:sz w:val="24"/>
        </w:rPr>
        <w:t>5、投资人在募集期内可多次认购，募集期间单个投资人的累计认购规模没有限制，但法律法规、业务规则或本基金发售规模控制方案另有规定的除外。</w:t>
      </w:r>
    </w:p>
    <w:p>
      <w:pPr>
        <w:adjustRightInd w:val="0"/>
        <w:snapToGrid w:val="0"/>
        <w:spacing w:line="360" w:lineRule="auto"/>
        <w:rPr>
          <w:rFonts w:hAnsi="宋体"/>
          <w:kern w:val="0"/>
          <w:sz w:val="24"/>
        </w:rPr>
      </w:pPr>
    </w:p>
    <w:p>
      <w:pPr>
        <w:keepNext/>
        <w:keepLines/>
        <w:adjustRightInd w:val="0"/>
        <w:snapToGrid w:val="0"/>
        <w:spacing w:before="240" w:after="156" w:afterLines="50" w:line="360" w:lineRule="auto"/>
        <w:jc w:val="center"/>
        <w:outlineLvl w:val="0"/>
        <w:rPr>
          <w:b/>
          <w:sz w:val="24"/>
        </w:rPr>
      </w:pPr>
      <w:r>
        <w:rPr>
          <w:rFonts w:hint="eastAsia"/>
          <w:b/>
          <w:sz w:val="24"/>
        </w:rPr>
        <w:t>三、投资者的开户</w:t>
      </w:r>
    </w:p>
    <w:p>
      <w:pPr>
        <w:adjustRightInd w:val="0"/>
        <w:snapToGrid w:val="0"/>
        <w:spacing w:line="360" w:lineRule="auto"/>
        <w:ind w:firstLine="480" w:firstLineChars="200"/>
        <w:rPr>
          <w:bCs/>
          <w:sz w:val="24"/>
        </w:rPr>
      </w:pPr>
      <w:r>
        <w:rPr>
          <w:bCs/>
          <w:sz w:val="24"/>
        </w:rPr>
        <w:t>1</w:t>
      </w:r>
      <w:r>
        <w:rPr>
          <w:rFonts w:hint="eastAsia"/>
          <w:bCs/>
          <w:sz w:val="24"/>
        </w:rPr>
        <w:t>、投资人认购本基金时需具有上海证券账户，上海证券账户是指上海</w:t>
      </w:r>
      <w:r>
        <w:rPr>
          <w:bCs/>
          <w:sz w:val="24"/>
        </w:rPr>
        <w:t>A</w:t>
      </w:r>
      <w:r>
        <w:rPr>
          <w:rFonts w:hint="eastAsia"/>
          <w:bCs/>
          <w:sz w:val="24"/>
        </w:rPr>
        <w:t>股账户或证券投资基金账户。</w:t>
      </w:r>
    </w:p>
    <w:p>
      <w:pPr>
        <w:adjustRightInd w:val="0"/>
        <w:snapToGrid w:val="0"/>
        <w:spacing w:line="360" w:lineRule="auto"/>
        <w:ind w:firstLine="480" w:firstLineChars="200"/>
        <w:rPr>
          <w:bCs/>
          <w:sz w:val="24"/>
        </w:rPr>
      </w:pPr>
      <w:r>
        <w:rPr>
          <w:rFonts w:hint="eastAsia"/>
          <w:bCs/>
          <w:sz w:val="24"/>
        </w:rPr>
        <w:t>（</w:t>
      </w:r>
      <w:r>
        <w:rPr>
          <w:bCs/>
          <w:sz w:val="24"/>
        </w:rPr>
        <w:t>1</w:t>
      </w:r>
      <w:r>
        <w:rPr>
          <w:rFonts w:hint="eastAsia"/>
          <w:bCs/>
          <w:sz w:val="24"/>
        </w:rPr>
        <w:t>）已有上海</w:t>
      </w:r>
      <w:r>
        <w:rPr>
          <w:bCs/>
          <w:sz w:val="24"/>
        </w:rPr>
        <w:t>A</w:t>
      </w:r>
      <w:r>
        <w:rPr>
          <w:rFonts w:hint="eastAsia"/>
          <w:bCs/>
          <w:sz w:val="24"/>
        </w:rPr>
        <w:t>股账户或证券投资基金账户的投资人不必再办理开户手续。</w:t>
      </w:r>
    </w:p>
    <w:p>
      <w:pPr>
        <w:adjustRightInd w:val="0"/>
        <w:snapToGrid w:val="0"/>
        <w:spacing w:line="360" w:lineRule="auto"/>
        <w:ind w:firstLine="480" w:firstLineChars="200"/>
        <w:rPr>
          <w:bCs/>
          <w:sz w:val="24"/>
        </w:rPr>
      </w:pPr>
      <w:r>
        <w:rPr>
          <w:rFonts w:hint="eastAsia"/>
          <w:bCs/>
          <w:sz w:val="24"/>
        </w:rPr>
        <w:t>（</w:t>
      </w:r>
      <w:r>
        <w:rPr>
          <w:bCs/>
          <w:sz w:val="24"/>
        </w:rPr>
        <w:t>2</w:t>
      </w:r>
      <w:r>
        <w:rPr>
          <w:rFonts w:hint="eastAsia"/>
          <w:bCs/>
          <w:sz w:val="24"/>
        </w:rPr>
        <w:t>）尚无上海</w:t>
      </w:r>
      <w:r>
        <w:rPr>
          <w:bCs/>
          <w:sz w:val="24"/>
        </w:rPr>
        <w:t>A</w:t>
      </w:r>
      <w:r>
        <w:rPr>
          <w:rFonts w:hint="eastAsia"/>
          <w:bCs/>
          <w:sz w:val="24"/>
        </w:rPr>
        <w:t>股账户或证券投资基金账户的投资人，需在认购前持身份证明文件到中国证券登记结算有限责任公司上海分公司的开户代理机构办理上海</w:t>
      </w:r>
      <w:r>
        <w:rPr>
          <w:bCs/>
          <w:sz w:val="24"/>
        </w:rPr>
        <w:t>A</w:t>
      </w:r>
      <w:r>
        <w:rPr>
          <w:rFonts w:hint="eastAsia"/>
          <w:bCs/>
          <w:sz w:val="24"/>
        </w:rPr>
        <w:t>股账户或证券投资基金账户的开户手续。有关开设上海</w:t>
      </w:r>
      <w:r>
        <w:rPr>
          <w:bCs/>
          <w:sz w:val="24"/>
        </w:rPr>
        <w:t>A</w:t>
      </w:r>
      <w:r>
        <w:rPr>
          <w:rFonts w:hint="eastAsia"/>
          <w:bCs/>
          <w:sz w:val="24"/>
        </w:rPr>
        <w:t>股账户和证券投资基金账户的具体程序和办法，请到各开户网点详细咨询有关规定。</w:t>
      </w:r>
    </w:p>
    <w:p>
      <w:pPr>
        <w:adjustRightInd w:val="0"/>
        <w:snapToGrid w:val="0"/>
        <w:spacing w:line="360" w:lineRule="auto"/>
        <w:ind w:firstLine="480" w:firstLineChars="200"/>
        <w:rPr>
          <w:bCs/>
          <w:sz w:val="24"/>
        </w:rPr>
      </w:pPr>
      <w:r>
        <w:rPr>
          <w:bCs/>
          <w:sz w:val="24"/>
        </w:rPr>
        <w:t>2</w:t>
      </w:r>
      <w:r>
        <w:rPr>
          <w:rFonts w:hint="eastAsia"/>
          <w:bCs/>
          <w:sz w:val="24"/>
        </w:rPr>
        <w:t>、账户使用注意事项</w:t>
      </w:r>
    </w:p>
    <w:p>
      <w:pPr>
        <w:adjustRightInd w:val="0"/>
        <w:snapToGrid w:val="0"/>
        <w:spacing w:line="360" w:lineRule="auto"/>
        <w:ind w:firstLine="480" w:firstLineChars="200"/>
        <w:rPr>
          <w:bCs/>
          <w:sz w:val="24"/>
        </w:rPr>
      </w:pPr>
      <w:r>
        <w:rPr>
          <w:rFonts w:hint="eastAsia"/>
          <w:bCs/>
          <w:sz w:val="24"/>
        </w:rPr>
        <w:t>（</w:t>
      </w:r>
      <w:r>
        <w:rPr>
          <w:bCs/>
          <w:sz w:val="24"/>
        </w:rPr>
        <w:t>1</w:t>
      </w:r>
      <w:r>
        <w:rPr>
          <w:rFonts w:hint="eastAsia"/>
          <w:bCs/>
          <w:sz w:val="24"/>
        </w:rPr>
        <w:t>）证券投资基金账户只能进行本基金基金份额的现金认购和二级市场交易。</w:t>
      </w:r>
    </w:p>
    <w:p>
      <w:pPr>
        <w:adjustRightInd w:val="0"/>
        <w:snapToGrid w:val="0"/>
        <w:spacing w:line="360" w:lineRule="auto"/>
        <w:ind w:firstLine="480" w:firstLineChars="200"/>
        <w:rPr>
          <w:bCs/>
          <w:sz w:val="24"/>
        </w:rPr>
      </w:pPr>
      <w:r>
        <w:rPr>
          <w:rFonts w:hint="eastAsia"/>
          <w:bCs/>
          <w:sz w:val="24"/>
        </w:rPr>
        <w:t>（</w:t>
      </w:r>
      <w:r>
        <w:rPr>
          <w:bCs/>
          <w:sz w:val="24"/>
        </w:rPr>
        <w:t>2</w:t>
      </w:r>
      <w:r>
        <w:rPr>
          <w:rFonts w:hint="eastAsia"/>
          <w:bCs/>
          <w:sz w:val="24"/>
        </w:rPr>
        <w:t>）开户当日无法办理指定交易，建议投资人在进行认购前至少</w:t>
      </w:r>
      <w:r>
        <w:rPr>
          <w:bCs/>
          <w:sz w:val="24"/>
        </w:rPr>
        <w:t>2</w:t>
      </w:r>
      <w:r>
        <w:rPr>
          <w:rFonts w:hint="eastAsia"/>
          <w:bCs/>
          <w:sz w:val="24"/>
        </w:rPr>
        <w:t>个工作日办理开户手续。</w:t>
      </w:r>
    </w:p>
    <w:p>
      <w:pPr>
        <w:adjustRightInd w:val="0"/>
        <w:snapToGrid w:val="0"/>
        <w:spacing w:line="360" w:lineRule="auto"/>
        <w:ind w:firstLine="480" w:firstLineChars="200"/>
        <w:rPr>
          <w:bCs/>
          <w:sz w:val="24"/>
        </w:rPr>
      </w:pPr>
      <w:r>
        <w:rPr>
          <w:rFonts w:hint="eastAsia"/>
          <w:bCs/>
          <w:sz w:val="24"/>
        </w:rPr>
        <w:t>（</w:t>
      </w:r>
      <w:r>
        <w:rPr>
          <w:bCs/>
          <w:sz w:val="24"/>
        </w:rPr>
        <w:t>3</w:t>
      </w:r>
      <w:r>
        <w:rPr>
          <w:rFonts w:hint="eastAsia"/>
          <w:bCs/>
          <w:sz w:val="24"/>
        </w:rPr>
        <w:t>）如投资人已开立证券账户，则投资人未办理指定交易或指定交易不在办理本基金发售业务的证券公司，需要指定交易或转指定交易在可办理本基金发售业务的证券公司；当日办理指定交易或转指定交易的投资人当日无法进行认购，建议投资人在进行认购前至少</w:t>
      </w:r>
      <w:r>
        <w:rPr>
          <w:bCs/>
          <w:sz w:val="24"/>
        </w:rPr>
        <w:t>1</w:t>
      </w:r>
      <w:r>
        <w:rPr>
          <w:rFonts w:hint="eastAsia"/>
          <w:bCs/>
          <w:sz w:val="24"/>
        </w:rPr>
        <w:t>个工作日办理指定交易或转指定交易手续。</w:t>
      </w:r>
      <w:bookmarkStart w:id="6" w:name="_Hlk199425139"/>
      <w:r>
        <w:rPr>
          <w:rFonts w:hint="eastAsia"/>
          <w:bCs/>
          <w:sz w:val="24"/>
        </w:rPr>
        <w:t>使用专用席位的机构投资者无需办理指定交易。</w:t>
      </w:r>
      <w:bookmarkEnd w:id="6"/>
    </w:p>
    <w:p>
      <w:pPr>
        <w:widowControl/>
        <w:jc w:val="left"/>
        <w:rPr>
          <w:b/>
          <w:sz w:val="24"/>
        </w:rPr>
      </w:pPr>
    </w:p>
    <w:p>
      <w:pPr>
        <w:keepNext/>
        <w:keepLines/>
        <w:adjustRightInd w:val="0"/>
        <w:snapToGrid w:val="0"/>
        <w:spacing w:before="240" w:after="156" w:afterLines="50" w:line="360" w:lineRule="auto"/>
        <w:jc w:val="center"/>
        <w:outlineLvl w:val="0"/>
        <w:rPr>
          <w:b/>
          <w:sz w:val="24"/>
        </w:rPr>
      </w:pPr>
      <w:r>
        <w:rPr>
          <w:rFonts w:hint="eastAsia"/>
          <w:b/>
          <w:sz w:val="24"/>
        </w:rPr>
        <w:t>四、本基金的认购程序</w:t>
      </w:r>
    </w:p>
    <w:p>
      <w:pPr>
        <w:adjustRightInd w:val="0"/>
        <w:snapToGrid w:val="0"/>
        <w:spacing w:line="360" w:lineRule="auto"/>
        <w:ind w:firstLine="482" w:firstLineChars="200"/>
        <w:rPr>
          <w:rFonts w:hAnsi="宋体"/>
          <w:b/>
          <w:sz w:val="24"/>
        </w:rPr>
      </w:pPr>
      <w:r>
        <w:rPr>
          <w:rFonts w:hint="eastAsia" w:hAnsi="宋体"/>
          <w:b/>
          <w:sz w:val="24"/>
        </w:rPr>
        <w:t>（一）网上现金认购的程序</w:t>
      </w:r>
    </w:p>
    <w:p>
      <w:pPr>
        <w:adjustRightInd w:val="0"/>
        <w:snapToGrid w:val="0"/>
        <w:spacing w:line="360" w:lineRule="auto"/>
        <w:ind w:firstLine="480" w:firstLineChars="200"/>
        <w:rPr>
          <w:rFonts w:hAnsi="宋体"/>
          <w:sz w:val="24"/>
        </w:rPr>
      </w:pPr>
      <w:r>
        <w:rPr>
          <w:rFonts w:hint="eastAsia" w:hAnsi="宋体"/>
          <w:sz w:val="24"/>
        </w:rPr>
        <w:t>1、业务办理时间</w:t>
      </w:r>
    </w:p>
    <w:p>
      <w:pPr>
        <w:adjustRightInd w:val="0"/>
        <w:snapToGrid w:val="0"/>
        <w:spacing w:line="360" w:lineRule="auto"/>
        <w:ind w:firstLine="480" w:firstLineChars="200"/>
        <w:rPr>
          <w:rFonts w:hAnsi="宋体"/>
          <w:sz w:val="24"/>
        </w:rPr>
      </w:pPr>
      <w:r>
        <w:rPr>
          <w:rFonts w:hAnsi="宋体"/>
          <w:sz w:val="24"/>
        </w:rPr>
        <w:t>2025</w:t>
      </w:r>
      <w:r>
        <w:rPr>
          <w:rFonts w:hint="eastAsia" w:hAnsi="宋体"/>
          <w:sz w:val="24"/>
        </w:rPr>
        <w:t>年</w:t>
      </w:r>
      <w:r>
        <w:rPr>
          <w:rFonts w:hAnsi="宋体"/>
          <w:sz w:val="24"/>
        </w:rPr>
        <w:t>12</w:t>
      </w:r>
      <w:r>
        <w:rPr>
          <w:rFonts w:hint="eastAsia" w:hAnsi="宋体"/>
          <w:sz w:val="24"/>
        </w:rPr>
        <w:t>月</w:t>
      </w:r>
      <w:r>
        <w:rPr>
          <w:rFonts w:hAnsi="宋体"/>
          <w:sz w:val="24"/>
        </w:rPr>
        <w:t>1</w:t>
      </w:r>
      <w:r>
        <w:rPr>
          <w:rFonts w:hint="eastAsia" w:hAnsi="宋体"/>
          <w:sz w:val="24"/>
        </w:rPr>
        <w:t>日至202</w:t>
      </w:r>
      <w:r>
        <w:rPr>
          <w:rFonts w:hAnsi="宋体"/>
          <w:sz w:val="24"/>
        </w:rPr>
        <w:t>5</w:t>
      </w:r>
      <w:r>
        <w:rPr>
          <w:rFonts w:hint="eastAsia" w:hAnsi="宋体"/>
          <w:sz w:val="24"/>
        </w:rPr>
        <w:t>年</w:t>
      </w:r>
      <w:r>
        <w:rPr>
          <w:rFonts w:hAnsi="宋体"/>
          <w:sz w:val="24"/>
        </w:rPr>
        <w:t>12</w:t>
      </w:r>
      <w:r>
        <w:rPr>
          <w:rFonts w:hint="eastAsia" w:hAnsi="宋体"/>
          <w:sz w:val="24"/>
        </w:rPr>
        <w:t>月</w:t>
      </w:r>
      <w:r>
        <w:rPr>
          <w:rFonts w:hAnsi="宋体"/>
          <w:sz w:val="24"/>
        </w:rPr>
        <w:t>5</w:t>
      </w:r>
      <w:r>
        <w:rPr>
          <w:rFonts w:hint="eastAsia" w:hAnsi="宋体"/>
          <w:sz w:val="24"/>
        </w:rPr>
        <w:t>日的上午</w:t>
      </w:r>
      <w:r>
        <w:rPr>
          <w:rFonts w:hAnsi="宋体"/>
          <w:sz w:val="24"/>
        </w:rPr>
        <w:t xml:space="preserve">9:30-11:30 </w:t>
      </w:r>
      <w:r>
        <w:rPr>
          <w:rFonts w:hint="eastAsia" w:hAnsi="宋体"/>
          <w:sz w:val="24"/>
        </w:rPr>
        <w:t>和下午</w:t>
      </w:r>
      <w:r>
        <w:rPr>
          <w:rFonts w:hAnsi="宋体"/>
          <w:sz w:val="24"/>
        </w:rPr>
        <w:t>1:00-3:00</w:t>
      </w:r>
      <w:r>
        <w:rPr>
          <w:rFonts w:hint="eastAsia" w:hAnsi="宋体"/>
          <w:sz w:val="24"/>
        </w:rPr>
        <w:t>（周六、周日及法定节假日不受理）。</w:t>
      </w:r>
    </w:p>
    <w:p>
      <w:pPr>
        <w:adjustRightInd w:val="0"/>
        <w:snapToGrid w:val="0"/>
        <w:spacing w:line="360" w:lineRule="auto"/>
        <w:ind w:firstLine="480" w:firstLineChars="200"/>
        <w:rPr>
          <w:rFonts w:hAnsi="宋体"/>
          <w:sz w:val="24"/>
        </w:rPr>
      </w:pPr>
      <w:r>
        <w:rPr>
          <w:rFonts w:hint="eastAsia" w:hAnsi="宋体"/>
          <w:sz w:val="24"/>
        </w:rPr>
        <w:t>2、认购手续：</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）开立上海</w:t>
      </w:r>
      <w:r>
        <w:rPr>
          <w:rFonts w:hAnsi="宋体"/>
          <w:sz w:val="24"/>
        </w:rPr>
        <w:t>A</w:t>
      </w:r>
      <w:r>
        <w:rPr>
          <w:rFonts w:hint="eastAsia" w:hAnsi="宋体"/>
          <w:sz w:val="24"/>
        </w:rPr>
        <w:t>股账户或证券投资基金账户。</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）在认购前向资金账户中存入足够的认购资金。</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）投资者可通过填写认购委托单、电话委托、磁卡委托、网上委托等方式申报认购委托，可多次申报，申报一经确认，认购资金即被冻结。</w:t>
      </w:r>
    </w:p>
    <w:p>
      <w:pPr>
        <w:adjustRightInd w:val="0"/>
        <w:snapToGrid w:val="0"/>
        <w:spacing w:line="360" w:lineRule="auto"/>
        <w:ind w:firstLine="480" w:firstLineChars="200"/>
        <w:rPr>
          <w:rFonts w:hAnsi="宋体"/>
          <w:sz w:val="24"/>
        </w:rPr>
      </w:pPr>
      <w:r>
        <w:rPr>
          <w:rFonts w:hint="eastAsia" w:hAnsi="宋体"/>
          <w:sz w:val="24"/>
        </w:rPr>
        <w:t>具体时间和认购手续以上海证券交易所和发售代理机构的相关规定为准。</w:t>
      </w:r>
    </w:p>
    <w:p>
      <w:pPr>
        <w:adjustRightInd w:val="0"/>
        <w:snapToGrid w:val="0"/>
        <w:spacing w:line="360" w:lineRule="auto"/>
        <w:ind w:firstLine="482" w:firstLineChars="200"/>
        <w:rPr>
          <w:rFonts w:hAnsi="宋体"/>
          <w:b/>
          <w:sz w:val="24"/>
        </w:rPr>
      </w:pPr>
      <w:r>
        <w:rPr>
          <w:rFonts w:hint="eastAsia" w:hAnsi="宋体"/>
          <w:b/>
          <w:sz w:val="24"/>
        </w:rPr>
        <w:t>（二）网下现金认购的程序</w:t>
      </w:r>
    </w:p>
    <w:p>
      <w:pPr>
        <w:adjustRightInd w:val="0"/>
        <w:snapToGrid w:val="0"/>
        <w:spacing w:line="360" w:lineRule="auto"/>
        <w:ind w:firstLine="482" w:firstLineChars="200"/>
        <w:rPr>
          <w:rFonts w:hAnsi="宋体"/>
          <w:b/>
          <w:sz w:val="24"/>
        </w:rPr>
      </w:pPr>
      <w:r>
        <w:rPr>
          <w:rFonts w:hint="eastAsia" w:hAnsi="宋体"/>
          <w:b/>
          <w:sz w:val="24"/>
        </w:rPr>
        <w:t>1、直销机构</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）业务办理时间：基金募集期每日的</w:t>
      </w:r>
      <w:r>
        <w:rPr>
          <w:rFonts w:hAnsi="宋体"/>
          <w:sz w:val="24"/>
        </w:rPr>
        <w:t>9:00-16:00</w:t>
      </w:r>
      <w:r>
        <w:rPr>
          <w:rFonts w:hint="eastAsia" w:hAnsi="宋体"/>
          <w:sz w:val="24"/>
        </w:rPr>
        <w:t>（周六、周日及法定节假日不受理）。</w:t>
      </w:r>
    </w:p>
    <w:p>
      <w:pPr>
        <w:adjustRightInd w:val="0"/>
        <w:snapToGrid w:val="0"/>
        <w:spacing w:line="360" w:lineRule="auto"/>
        <w:ind w:firstLine="480" w:firstLineChars="200"/>
        <w:rPr>
          <w:rFonts w:hAnsi="宋体"/>
          <w:sz w:val="24"/>
        </w:rPr>
      </w:pPr>
      <w:r>
        <w:rPr>
          <w:rFonts w:hint="eastAsia" w:hAnsi="宋体"/>
          <w:sz w:val="24"/>
        </w:rPr>
        <w:t>（2）认购手续：投资者须先开立上海A股账户或证券投资基金账户，然后向本公司直销柜台提供下列资料办理基金的认购手续：</w:t>
      </w:r>
    </w:p>
    <w:p>
      <w:pPr>
        <w:adjustRightInd w:val="0"/>
        <w:snapToGrid w:val="0"/>
        <w:spacing w:line="360" w:lineRule="auto"/>
        <w:ind w:firstLine="480" w:firstLineChars="200"/>
        <w:rPr>
          <w:rFonts w:hAnsi="宋体"/>
          <w:sz w:val="24"/>
        </w:rPr>
      </w:pPr>
      <w:r>
        <w:rPr>
          <w:rFonts w:hint="eastAsia" w:hAnsi="宋体"/>
          <w:sz w:val="24"/>
        </w:rPr>
        <w:t>1）个人投资者办理基金认购申请时需提供下列资料：</w:t>
      </w:r>
    </w:p>
    <w:p>
      <w:pPr>
        <w:adjustRightInd w:val="0"/>
        <w:snapToGrid w:val="0"/>
        <w:spacing w:line="360" w:lineRule="auto"/>
        <w:ind w:firstLine="480" w:firstLineChars="200"/>
        <w:rPr>
          <w:rFonts w:hAnsi="宋体"/>
          <w:sz w:val="24"/>
        </w:rPr>
      </w:pPr>
      <w:r>
        <w:rPr>
          <w:rFonts w:hint="eastAsia" w:hAnsi="宋体"/>
          <w:sz w:val="24"/>
        </w:rPr>
        <w:t>①投资者本人签字的有效身份证件复印件。</w:t>
      </w:r>
    </w:p>
    <w:p>
      <w:pPr>
        <w:adjustRightInd w:val="0"/>
        <w:snapToGrid w:val="0"/>
        <w:spacing w:line="360" w:lineRule="auto"/>
        <w:ind w:firstLine="480" w:firstLineChars="200"/>
        <w:rPr>
          <w:rFonts w:hAnsi="宋体"/>
          <w:sz w:val="24"/>
        </w:rPr>
      </w:pPr>
      <w:r>
        <w:rPr>
          <w:rFonts w:hint="eastAsia" w:hAnsi="宋体"/>
          <w:sz w:val="24"/>
        </w:rPr>
        <w:t>②投资者本人签字的上海证券交易所 A 股账户卡复印件或基金账户卡复印件。</w:t>
      </w:r>
    </w:p>
    <w:p>
      <w:pPr>
        <w:adjustRightInd w:val="0"/>
        <w:snapToGrid w:val="0"/>
        <w:spacing w:line="360" w:lineRule="auto"/>
        <w:ind w:firstLine="480" w:firstLineChars="200"/>
        <w:rPr>
          <w:rFonts w:hAnsi="宋体"/>
          <w:sz w:val="24"/>
        </w:rPr>
      </w:pPr>
      <w:r>
        <w:rPr>
          <w:rFonts w:hint="eastAsia" w:hAnsi="宋体"/>
          <w:sz w:val="24"/>
        </w:rPr>
        <w:t>③盖银行受理章的汇款凭证复印件。</w:t>
      </w:r>
    </w:p>
    <w:p>
      <w:pPr>
        <w:adjustRightInd w:val="0"/>
        <w:snapToGrid w:val="0"/>
        <w:spacing w:line="360" w:lineRule="auto"/>
        <w:ind w:firstLine="480" w:firstLineChars="200"/>
        <w:rPr>
          <w:rFonts w:hAnsi="宋体"/>
          <w:sz w:val="24"/>
        </w:rPr>
      </w:pPr>
      <w:r>
        <w:rPr>
          <w:rFonts w:hint="eastAsia" w:hAnsi="宋体"/>
          <w:sz w:val="24"/>
        </w:rPr>
        <w:t>④填妥的《交银施罗德基金（ETF）直销网下认购交易业务申请表》。（此申请表电子版与纸质盖章版均需提供）。</w:t>
      </w:r>
    </w:p>
    <w:p>
      <w:pPr>
        <w:adjustRightInd w:val="0"/>
        <w:snapToGrid w:val="0"/>
        <w:spacing w:line="360" w:lineRule="auto"/>
        <w:ind w:firstLine="480" w:firstLineChars="200"/>
        <w:rPr>
          <w:rFonts w:hAnsi="宋体"/>
          <w:sz w:val="24"/>
        </w:rPr>
      </w:pPr>
      <w:r>
        <w:rPr>
          <w:rFonts w:hint="eastAsia" w:hAnsi="宋体"/>
          <w:sz w:val="24"/>
        </w:rPr>
        <w:t>⑤个人投资者风险承受能力测评问卷（未填写问卷者提交）。</w:t>
      </w:r>
    </w:p>
    <w:p>
      <w:pPr>
        <w:adjustRightInd w:val="0"/>
        <w:snapToGrid w:val="0"/>
        <w:spacing w:line="360" w:lineRule="auto"/>
        <w:ind w:firstLine="480" w:firstLineChars="200"/>
        <w:rPr>
          <w:rFonts w:hAnsi="宋体"/>
          <w:sz w:val="24"/>
        </w:rPr>
      </w:pPr>
      <w:r>
        <w:rPr>
          <w:rFonts w:hint="eastAsia" w:hAnsi="宋体"/>
          <w:sz w:val="24"/>
        </w:rPr>
        <w:t>⑥本公司直销机构要求提供的其他有关材料。</w:t>
      </w:r>
    </w:p>
    <w:p>
      <w:pPr>
        <w:adjustRightInd w:val="0"/>
        <w:snapToGrid w:val="0"/>
        <w:spacing w:line="360" w:lineRule="auto"/>
        <w:ind w:firstLine="480" w:firstLineChars="200"/>
        <w:rPr>
          <w:rFonts w:hAnsi="宋体"/>
          <w:sz w:val="24"/>
        </w:rPr>
      </w:pPr>
      <w:r>
        <w:rPr>
          <w:rFonts w:hint="eastAsia" w:hAnsi="宋体"/>
          <w:sz w:val="24"/>
        </w:rPr>
        <w:t>2）机构投资者办理基金认购申请时需提供下列资料：</w:t>
      </w:r>
    </w:p>
    <w:p>
      <w:pPr>
        <w:adjustRightInd w:val="0"/>
        <w:snapToGrid w:val="0"/>
        <w:spacing w:line="360" w:lineRule="auto"/>
        <w:ind w:firstLine="480" w:firstLineChars="200"/>
        <w:rPr>
          <w:rFonts w:hAnsi="宋体"/>
          <w:sz w:val="24"/>
        </w:rPr>
      </w:pPr>
      <w:r>
        <w:rPr>
          <w:rFonts w:hint="eastAsia" w:hAnsi="宋体"/>
          <w:sz w:val="24"/>
        </w:rPr>
        <w:t>①填妥的《交银施罗德基金（ETF）直销网下认购交易业务申请表》。（此申请表电子版与纸质盖章版均需提供）</w:t>
      </w:r>
    </w:p>
    <w:p>
      <w:pPr>
        <w:adjustRightInd w:val="0"/>
        <w:snapToGrid w:val="0"/>
        <w:spacing w:line="360" w:lineRule="auto"/>
        <w:ind w:firstLine="480" w:firstLineChars="200"/>
        <w:rPr>
          <w:rFonts w:hAnsi="宋体"/>
          <w:sz w:val="24"/>
        </w:rPr>
      </w:pPr>
      <w:r>
        <w:rPr>
          <w:rFonts w:hint="eastAsia" w:hAnsi="宋体"/>
          <w:sz w:val="24"/>
        </w:rPr>
        <w:t>②上海证券交易所 A 股账户卡复印件或基金账户卡复印件。</w:t>
      </w:r>
    </w:p>
    <w:p>
      <w:pPr>
        <w:adjustRightInd w:val="0"/>
        <w:snapToGrid w:val="0"/>
        <w:spacing w:line="360" w:lineRule="auto"/>
        <w:ind w:firstLine="480" w:firstLineChars="200"/>
        <w:rPr>
          <w:rFonts w:hAnsi="宋体"/>
          <w:sz w:val="24"/>
        </w:rPr>
      </w:pPr>
      <w:r>
        <w:rPr>
          <w:rFonts w:hint="eastAsia" w:hAnsi="宋体"/>
          <w:sz w:val="24"/>
        </w:rPr>
        <w:t>③基金业务授权委托书。</w:t>
      </w:r>
    </w:p>
    <w:p>
      <w:pPr>
        <w:adjustRightInd w:val="0"/>
        <w:snapToGrid w:val="0"/>
        <w:spacing w:line="360" w:lineRule="auto"/>
        <w:ind w:firstLine="480" w:firstLineChars="200"/>
        <w:rPr>
          <w:rFonts w:hAnsi="宋体"/>
          <w:sz w:val="24"/>
        </w:rPr>
      </w:pPr>
      <w:r>
        <w:rPr>
          <w:rFonts w:hint="eastAsia" w:hAnsi="宋体"/>
          <w:sz w:val="24"/>
        </w:rPr>
        <w:t>④业务经办人有效身份证复印件。</w:t>
      </w:r>
    </w:p>
    <w:p>
      <w:pPr>
        <w:adjustRightInd w:val="0"/>
        <w:snapToGrid w:val="0"/>
        <w:spacing w:line="360" w:lineRule="auto"/>
        <w:ind w:firstLine="480" w:firstLineChars="200"/>
        <w:rPr>
          <w:rFonts w:hAnsi="宋体"/>
          <w:sz w:val="24"/>
        </w:rPr>
      </w:pPr>
      <w:r>
        <w:rPr>
          <w:rFonts w:hint="eastAsia" w:hAnsi="宋体"/>
          <w:sz w:val="24"/>
        </w:rPr>
        <w:t>⑤加盖银行受理印章的汇款凭证复印件。</w:t>
      </w:r>
    </w:p>
    <w:p>
      <w:pPr>
        <w:adjustRightInd w:val="0"/>
        <w:snapToGrid w:val="0"/>
        <w:spacing w:line="360" w:lineRule="auto"/>
        <w:ind w:firstLine="480" w:firstLineChars="200"/>
        <w:rPr>
          <w:rFonts w:hAnsi="宋体"/>
          <w:sz w:val="24"/>
        </w:rPr>
      </w:pPr>
      <w:r>
        <w:rPr>
          <w:rFonts w:hint="eastAsia" w:hAnsi="宋体"/>
          <w:sz w:val="24"/>
        </w:rPr>
        <w:t>⑥提供加盖单位公章的营业执照复印件（未换发三证合一营业执照的需同时提供加盖单位公章的组织机构代码证和税务登记证复印件）。</w:t>
      </w:r>
    </w:p>
    <w:p>
      <w:pPr>
        <w:adjustRightInd w:val="0"/>
        <w:snapToGrid w:val="0"/>
        <w:spacing w:line="360" w:lineRule="auto"/>
        <w:ind w:firstLine="480" w:firstLineChars="200"/>
        <w:rPr>
          <w:rFonts w:hAnsi="宋体"/>
          <w:sz w:val="24"/>
        </w:rPr>
      </w:pPr>
      <w:r>
        <w:rPr>
          <w:rFonts w:hint="eastAsia" w:hAnsi="宋体"/>
          <w:sz w:val="24"/>
        </w:rPr>
        <w:t>⑦机构投资者风险承受能力测评问卷（未填写问卷者提交）。</w:t>
      </w:r>
    </w:p>
    <w:p>
      <w:pPr>
        <w:adjustRightInd w:val="0"/>
        <w:snapToGrid w:val="0"/>
        <w:spacing w:line="360" w:lineRule="auto"/>
        <w:ind w:firstLine="480" w:firstLineChars="200"/>
        <w:rPr>
          <w:rFonts w:hAnsi="宋体"/>
          <w:sz w:val="24"/>
        </w:rPr>
      </w:pPr>
      <w:r>
        <w:rPr>
          <w:rFonts w:hint="eastAsia" w:hAnsi="宋体"/>
          <w:sz w:val="24"/>
        </w:rPr>
        <w:t>⑧本公司直销机构要求提供的其他有关材料。</w:t>
      </w:r>
    </w:p>
    <w:p>
      <w:pPr>
        <w:adjustRightInd w:val="0"/>
        <w:snapToGrid w:val="0"/>
        <w:spacing w:line="360" w:lineRule="auto"/>
        <w:ind w:firstLine="480" w:firstLineChars="200"/>
        <w:rPr>
          <w:rFonts w:hAnsi="宋体"/>
          <w:sz w:val="24"/>
        </w:rPr>
      </w:pPr>
      <w:r>
        <w:rPr>
          <w:rFonts w:hAnsi="宋体"/>
          <w:sz w:val="24"/>
        </w:rPr>
        <w:t>3</w:t>
      </w:r>
      <w:r>
        <w:rPr>
          <w:rFonts w:hint="eastAsia" w:hAnsi="宋体"/>
          <w:sz w:val="24"/>
        </w:rPr>
        <w:t>）认购资金的划拨程序：</w:t>
      </w:r>
    </w:p>
    <w:p>
      <w:pPr>
        <w:adjustRightInd w:val="0"/>
        <w:snapToGrid w:val="0"/>
        <w:spacing w:line="360" w:lineRule="auto"/>
        <w:ind w:firstLine="480" w:firstLineChars="200"/>
        <w:rPr>
          <w:rFonts w:hAnsi="宋体"/>
          <w:sz w:val="24"/>
        </w:rPr>
      </w:pPr>
      <w:r>
        <w:rPr>
          <w:rFonts w:hint="eastAsia" w:hAnsi="宋体"/>
          <w:sz w:val="24"/>
        </w:rPr>
        <w:t>投资者办理认购前应将足额资金通过银行汇入下列任一银行账户：</w:t>
      </w:r>
    </w:p>
    <w:tbl>
      <w:tblPr>
        <w:tblStyle w:val="51"/>
        <w:tblW w:w="8250" w:type="dxa"/>
        <w:tblInd w:w="98" w:type="dxa"/>
        <w:tblLayout w:type="autofit"/>
        <w:tblCellMar>
          <w:top w:w="0" w:type="dxa"/>
          <w:left w:w="108" w:type="dxa"/>
          <w:bottom w:w="0" w:type="dxa"/>
          <w:right w:w="108" w:type="dxa"/>
        </w:tblCellMar>
      </w:tblPr>
      <w:tblGrid>
        <w:gridCol w:w="732"/>
        <w:gridCol w:w="2750"/>
        <w:gridCol w:w="4768"/>
      </w:tblGrid>
      <w:tr>
        <w:tblPrEx>
          <w:tblCellMar>
            <w:top w:w="0" w:type="dxa"/>
            <w:left w:w="108" w:type="dxa"/>
            <w:bottom w:w="0" w:type="dxa"/>
            <w:right w:w="108" w:type="dxa"/>
          </w:tblCellMar>
        </w:tblPrEx>
        <w:trPr>
          <w:trHeight w:val="280" w:hRule="atLeast"/>
        </w:trPr>
        <w:tc>
          <w:tcPr>
            <w:tcW w:w="8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交银施罗德基金直销汇款账户信息</w:t>
            </w:r>
          </w:p>
        </w:tc>
      </w:tr>
      <w:tr>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账户信息</w:t>
            </w:r>
          </w:p>
        </w:tc>
      </w:tr>
      <w:tr>
        <w:tblPrEx>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ascii="宋体" w:hAnsi="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账户名称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交银施罗德基金管理有限公司直销专户</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ascii="宋体" w:hAnsi="宋体" w:cs="宋体"/>
                <w:color w:val="000000"/>
                <w:kern w:val="0"/>
                <w:sz w:val="24"/>
                <w:szCs w:val="24"/>
                <w:lang w:bidi="ar"/>
              </w:rPr>
              <w:t>310066577018150012847</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开户银行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交通银行上海市分行交银大厦支行</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人行大额支付系统行号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ascii="宋体" w:hAnsi="宋体" w:cs="宋体"/>
                <w:color w:val="000000"/>
                <w:kern w:val="0"/>
                <w:sz w:val="24"/>
                <w:szCs w:val="24"/>
                <w:lang w:bidi="ar"/>
              </w:rPr>
              <w:t>301290050852</w:t>
            </w:r>
          </w:p>
        </w:tc>
      </w:tr>
      <w:tr>
        <w:tblPrEx>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ascii="宋体" w:hAnsi="宋体" w:cs="宋体"/>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账户名称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交银施罗德基金管理有限公司直销专户</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ascii="宋体" w:hAnsi="宋体" w:cs="宋体"/>
                <w:color w:val="000000"/>
                <w:kern w:val="0"/>
                <w:sz w:val="24"/>
                <w:szCs w:val="24"/>
                <w:lang w:bidi="ar"/>
              </w:rPr>
              <w:t>1001202919025740042</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开户银行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中国工商银行上海市分行营业部</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人行大额支付系统行号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ascii="宋体" w:hAnsi="宋体" w:cs="宋体"/>
                <w:color w:val="000000"/>
                <w:kern w:val="0"/>
                <w:sz w:val="24"/>
                <w:szCs w:val="24"/>
                <w:lang w:bidi="ar"/>
              </w:rPr>
              <w:t>102290020294</w:t>
            </w:r>
          </w:p>
        </w:tc>
      </w:tr>
      <w:tr>
        <w:tblPrEx>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ascii="宋体" w:hAnsi="宋体" w:cs="宋体"/>
                <w:color w:val="000000"/>
                <w:kern w:val="0"/>
                <w:sz w:val="24"/>
                <w:szCs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账户名称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交银施罗德基金管理有限公司直销专户</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ascii="宋体" w:hAnsi="宋体" w:cs="宋体"/>
                <w:color w:val="000000"/>
                <w:kern w:val="0"/>
                <w:sz w:val="24"/>
                <w:szCs w:val="24"/>
                <w:lang w:bidi="ar"/>
              </w:rPr>
              <w:t>31001520313050007558</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开户银行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中国建设银行股份有限公司上海浦东分行</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人行大额支付系统行号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ascii="宋体" w:hAnsi="宋体" w:cs="宋体"/>
                <w:color w:val="000000"/>
                <w:kern w:val="0"/>
                <w:sz w:val="24"/>
                <w:szCs w:val="24"/>
                <w:lang w:bidi="ar"/>
              </w:rPr>
              <w:t>105290061008</w:t>
            </w:r>
          </w:p>
        </w:tc>
      </w:tr>
      <w:tr>
        <w:tblPrEx>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ascii="宋体" w:hAnsi="宋体" w:cs="宋体"/>
                <w:color w:val="000000"/>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账户名称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交银施罗德基金管理有限公司直销专户</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ascii="宋体" w:hAnsi="宋体" w:cs="宋体"/>
                <w:color w:val="000000"/>
                <w:kern w:val="0"/>
                <w:sz w:val="24"/>
                <w:szCs w:val="24"/>
                <w:lang w:bidi="ar"/>
              </w:rPr>
              <w:t>03492300040004421</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开户银行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中国农业银行股份有限公司上海卢湾支行</w:t>
            </w:r>
          </w:p>
        </w:tc>
      </w:tr>
      <w:tr>
        <w:tblPrEx>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人行大额支付系统行号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ascii="宋体" w:hAnsi="宋体" w:cs="宋体"/>
                <w:color w:val="000000"/>
                <w:kern w:val="0"/>
                <w:sz w:val="24"/>
                <w:szCs w:val="24"/>
                <w:lang w:bidi="ar"/>
              </w:rPr>
              <w:t>103290028025</w:t>
            </w:r>
          </w:p>
        </w:tc>
      </w:tr>
    </w:tbl>
    <w:p>
      <w:pPr>
        <w:adjustRightInd w:val="0"/>
        <w:snapToGrid w:val="0"/>
        <w:spacing w:line="360" w:lineRule="auto"/>
        <w:ind w:firstLine="480" w:firstLineChars="200"/>
        <w:rPr>
          <w:rFonts w:hAnsi="宋体"/>
          <w:sz w:val="24"/>
        </w:rPr>
      </w:pPr>
    </w:p>
    <w:p>
      <w:pPr>
        <w:adjustRightInd w:val="0"/>
        <w:snapToGrid w:val="0"/>
        <w:spacing w:line="360" w:lineRule="auto"/>
        <w:ind w:firstLine="480" w:firstLineChars="200"/>
        <w:rPr>
          <w:rFonts w:hAnsi="宋体"/>
          <w:sz w:val="24"/>
        </w:rPr>
      </w:pPr>
      <w:r>
        <w:rPr>
          <w:rFonts w:hint="eastAsia" w:hAnsi="宋体"/>
          <w:sz w:val="24"/>
        </w:rPr>
        <w:t>4）汇款时，投资者须注意以下事项：</w:t>
      </w:r>
    </w:p>
    <w:p>
      <w:pPr>
        <w:adjustRightInd w:val="0"/>
        <w:snapToGrid w:val="0"/>
        <w:spacing w:line="360" w:lineRule="auto"/>
        <w:ind w:firstLine="480" w:firstLineChars="200"/>
        <w:rPr>
          <w:rFonts w:hAnsi="宋体"/>
          <w:sz w:val="24"/>
        </w:rPr>
      </w:pPr>
      <w:r>
        <w:rPr>
          <w:rFonts w:hint="eastAsia" w:hAnsi="宋体"/>
          <w:sz w:val="24"/>
        </w:rPr>
        <w:t>①投资者应在“汇款人”栏中填写其上海A股账户或证券投资基金账户登记的名称；</w:t>
      </w:r>
    </w:p>
    <w:p>
      <w:pPr>
        <w:adjustRightInd w:val="0"/>
        <w:snapToGrid w:val="0"/>
        <w:spacing w:line="360" w:lineRule="auto"/>
        <w:ind w:firstLine="480" w:firstLineChars="200"/>
        <w:rPr>
          <w:rFonts w:hAnsi="宋体"/>
          <w:sz w:val="24"/>
        </w:rPr>
      </w:pPr>
      <w:r>
        <w:rPr>
          <w:rFonts w:hint="eastAsia" w:hAnsi="宋体"/>
          <w:sz w:val="24"/>
        </w:rPr>
        <w:t>②汇款时应提示银行柜台人员准确完整地传递汇款信息，包括汇款人和用途栏内容；</w:t>
      </w:r>
    </w:p>
    <w:p>
      <w:pPr>
        <w:adjustRightInd w:val="0"/>
        <w:snapToGrid w:val="0"/>
        <w:spacing w:line="360" w:lineRule="auto"/>
        <w:ind w:firstLine="480" w:firstLineChars="200"/>
        <w:rPr>
          <w:rFonts w:hAnsi="宋体"/>
          <w:sz w:val="24"/>
        </w:rPr>
      </w:pPr>
      <w:r>
        <w:rPr>
          <w:rFonts w:hint="eastAsia" w:hAnsi="宋体"/>
          <w:sz w:val="24"/>
        </w:rPr>
        <w:t>③为确保投资者资金及时准确入账，建议投资者将加盖银行业务受理章的汇款单据传真或发送邮件至本公司直销柜台。</w:t>
      </w:r>
    </w:p>
    <w:p>
      <w:pPr>
        <w:adjustRightInd w:val="0"/>
        <w:snapToGrid w:val="0"/>
        <w:spacing w:line="360" w:lineRule="auto"/>
        <w:ind w:firstLine="480" w:firstLineChars="200"/>
        <w:rPr>
          <w:rFonts w:hAnsi="宋体"/>
          <w:sz w:val="24"/>
        </w:rPr>
      </w:pPr>
      <w:r>
        <w:rPr>
          <w:rFonts w:hint="eastAsia" w:hAnsi="宋体"/>
          <w:sz w:val="24"/>
        </w:rPr>
        <w:t>④投资者应在认购申请当日16：00之前将资金足额汇入本公司直销账户。</w:t>
      </w:r>
    </w:p>
    <w:p>
      <w:pPr>
        <w:adjustRightInd w:val="0"/>
        <w:snapToGrid w:val="0"/>
        <w:spacing w:line="360" w:lineRule="auto"/>
        <w:ind w:firstLine="482" w:firstLineChars="200"/>
        <w:rPr>
          <w:rFonts w:hAnsi="宋体"/>
          <w:b/>
          <w:sz w:val="24"/>
        </w:rPr>
      </w:pPr>
      <w:r>
        <w:rPr>
          <w:rFonts w:hint="eastAsia" w:hAnsi="宋体"/>
          <w:b/>
          <w:sz w:val="24"/>
        </w:rPr>
        <w:t>2、发售代理机构</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）业务办理时间：基金募集期的具体业务办理时间以各发售代理机构的规定为准。</w:t>
      </w:r>
    </w:p>
    <w:p>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）认购手续：</w:t>
      </w:r>
    </w:p>
    <w:p>
      <w:pPr>
        <w:adjustRightInd w:val="0"/>
        <w:snapToGrid w:val="0"/>
        <w:spacing w:line="360" w:lineRule="auto"/>
        <w:ind w:firstLine="480" w:firstLineChars="200"/>
        <w:rPr>
          <w:rFonts w:hAnsi="宋体"/>
          <w:sz w:val="24"/>
        </w:rPr>
      </w:pPr>
      <w:r>
        <w:rPr>
          <w:rFonts w:hint="eastAsia" w:hAnsi="宋体"/>
          <w:sz w:val="24"/>
        </w:rPr>
        <w:t>1）开立上海A股账户或证券投资基金账户，办理指定交易在发售代理机构。</w:t>
      </w:r>
    </w:p>
    <w:p>
      <w:pPr>
        <w:adjustRightInd w:val="0"/>
        <w:snapToGrid w:val="0"/>
        <w:spacing w:line="360" w:lineRule="auto"/>
        <w:ind w:firstLine="480" w:firstLineChars="200"/>
        <w:rPr>
          <w:rFonts w:hAnsi="宋体"/>
          <w:sz w:val="24"/>
        </w:rPr>
      </w:pPr>
      <w:r>
        <w:rPr>
          <w:rFonts w:hint="eastAsia" w:hAnsi="宋体"/>
          <w:sz w:val="24"/>
        </w:rPr>
        <w:t>2）在认购前向资金账户中存入足够的认购资金。</w:t>
      </w:r>
    </w:p>
    <w:p>
      <w:pPr>
        <w:adjustRightInd w:val="0"/>
        <w:snapToGrid w:val="0"/>
        <w:spacing w:line="360" w:lineRule="auto"/>
        <w:ind w:firstLine="480" w:firstLineChars="200"/>
        <w:rPr>
          <w:rFonts w:hAnsi="宋体"/>
          <w:sz w:val="24"/>
        </w:rPr>
      </w:pPr>
      <w:r>
        <w:rPr>
          <w:rFonts w:hint="eastAsia" w:hAnsi="宋体"/>
          <w:sz w:val="24"/>
        </w:rPr>
        <w:t>3）投资者可通过填写认购委托单，同时填写委托该发售代理机构代为办理网上现金认购的委托申请书。申报一经确认，认购资金即被冻结。</w:t>
      </w:r>
    </w:p>
    <w:p>
      <w:pPr>
        <w:adjustRightInd w:val="0"/>
        <w:snapToGrid w:val="0"/>
        <w:spacing w:line="360" w:lineRule="auto"/>
        <w:ind w:firstLine="480" w:firstLineChars="200"/>
        <w:rPr>
          <w:rFonts w:hAnsi="宋体"/>
          <w:sz w:val="24"/>
        </w:rPr>
      </w:pPr>
      <w:r>
        <w:rPr>
          <w:rFonts w:hint="eastAsia" w:hAnsi="宋体"/>
          <w:sz w:val="24"/>
        </w:rPr>
        <w:t>3、具体时间和认购手续以基金管理人或各发售代理机构的规定为准。</w:t>
      </w:r>
    </w:p>
    <w:p>
      <w:pPr>
        <w:adjustRightInd w:val="0"/>
        <w:snapToGrid w:val="0"/>
        <w:spacing w:line="360" w:lineRule="auto"/>
        <w:ind w:firstLine="482" w:firstLineChars="200"/>
        <w:rPr>
          <w:rFonts w:hAnsi="宋体"/>
          <w:b/>
          <w:sz w:val="24"/>
        </w:rPr>
      </w:pPr>
    </w:p>
    <w:p>
      <w:pPr>
        <w:keepNext/>
        <w:keepLines/>
        <w:adjustRightInd w:val="0"/>
        <w:snapToGrid w:val="0"/>
        <w:spacing w:before="240" w:after="156" w:afterLines="50" w:line="360" w:lineRule="auto"/>
        <w:jc w:val="center"/>
        <w:outlineLvl w:val="0"/>
        <w:rPr>
          <w:b/>
          <w:sz w:val="24"/>
        </w:rPr>
      </w:pPr>
      <w:r>
        <w:rPr>
          <w:rFonts w:hint="eastAsia"/>
          <w:b/>
          <w:sz w:val="24"/>
        </w:rPr>
        <w:t>五、清算与交割</w:t>
      </w:r>
    </w:p>
    <w:p>
      <w:pPr>
        <w:adjustRightInd w:val="0"/>
        <w:snapToGrid w:val="0"/>
        <w:spacing w:line="360" w:lineRule="auto"/>
        <w:ind w:firstLine="480" w:firstLineChars="200"/>
        <w:rPr>
          <w:sz w:val="24"/>
        </w:rPr>
      </w:pPr>
      <w:r>
        <w:rPr>
          <w:sz w:val="24"/>
        </w:rPr>
        <w:t>1</w:t>
      </w:r>
      <w:r>
        <w:rPr>
          <w:rFonts w:hint="eastAsia"/>
          <w:sz w:val="24"/>
        </w:rPr>
        <w:t>、通过发售代理机构提交的网上现金认购申请，由该发售代理机构冻结相应的认购资金，登记机构进行清算交收，并将有效认购数据发送发售协调人，发售协调人于网上现金认购结束后将实际到位的认购资金划往预先开设的基金募集专户。</w:t>
      </w:r>
    </w:p>
    <w:p>
      <w:pPr>
        <w:adjustRightInd w:val="0"/>
        <w:snapToGrid w:val="0"/>
        <w:spacing w:line="360" w:lineRule="auto"/>
        <w:ind w:firstLine="480" w:firstLineChars="200"/>
        <w:rPr>
          <w:sz w:val="24"/>
        </w:rPr>
      </w:pPr>
      <w:r>
        <w:rPr>
          <w:sz w:val="24"/>
        </w:rPr>
        <w:t>2</w:t>
      </w:r>
      <w:r>
        <w:rPr>
          <w:rFonts w:hint="eastAsia"/>
          <w:sz w:val="24"/>
        </w:rPr>
        <w:t>、通过基金管理人提交的网下现金认购申请，由基金管理人进行有效认购款项的清算交收，将认购资金划入基金管理人预先开设的基金募集专户。通过发售代理机构提交的网下现金认购申请，由该发售代理机构冻结相应的认购资金。各发售代理机构将每一个投资人账户提交的网下现金认购申请汇总后，通过上海证券交易所上网定价发行系统代该投资人提交网上现金认购申请。之后，登记机构进行清算交收，并将有效认购数据发送发售协调人，发售协调人将实际到位的认购资金划往基金管理人预先开设的基金募集专户。</w:t>
      </w:r>
    </w:p>
    <w:p>
      <w:pPr>
        <w:numPr>
          <w:ilvl w:val="255"/>
          <w:numId w:val="0"/>
        </w:numPr>
        <w:adjustRightInd w:val="0"/>
        <w:snapToGrid w:val="0"/>
        <w:spacing w:line="360" w:lineRule="auto"/>
        <w:ind w:firstLine="480" w:firstLineChars="200"/>
        <w:rPr>
          <w:sz w:val="24"/>
        </w:rPr>
      </w:pPr>
      <w:r>
        <w:rPr>
          <w:rFonts w:hint="eastAsia"/>
          <w:sz w:val="24"/>
        </w:rPr>
        <w:t>3、通过基金管理人进行网下现金认购的有效认购资金在募集期间产生的利息， 将折算为基金份额归投资人所有，其中利息转份额以基金管理人的记录为准；网上现金认购和通过发售代理机构进行网下现金认购的有效认购资金在登记机构清算交收后至划入基金托管专户前产生的利息，计入基金财产，不折算为投资人基金份额。</w:t>
      </w:r>
    </w:p>
    <w:p>
      <w:pPr>
        <w:numPr>
          <w:ilvl w:val="255"/>
          <w:numId w:val="0"/>
        </w:numPr>
        <w:adjustRightInd w:val="0"/>
        <w:snapToGrid w:val="0"/>
        <w:spacing w:line="360" w:lineRule="auto"/>
        <w:ind w:firstLine="480" w:firstLineChars="200"/>
        <w:rPr>
          <w:sz w:val="24"/>
        </w:rPr>
      </w:pPr>
      <w:r>
        <w:rPr>
          <w:rFonts w:hint="eastAsia"/>
          <w:sz w:val="24"/>
        </w:rPr>
        <w:t>4、基金募集期间募集的资金存入专门账户，在基金募集行为结束前，任何人不得动用。</w:t>
      </w: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p>
    <w:p>
      <w:pPr>
        <w:keepNext/>
        <w:keepLines/>
        <w:adjustRightInd w:val="0"/>
        <w:snapToGrid w:val="0"/>
        <w:spacing w:before="240" w:after="156" w:afterLines="50" w:line="360" w:lineRule="auto"/>
        <w:jc w:val="center"/>
        <w:outlineLvl w:val="0"/>
        <w:rPr>
          <w:rFonts w:ascii="宋体" w:hAnsi="宋体"/>
          <w:b/>
          <w:sz w:val="24"/>
        </w:rPr>
      </w:pPr>
      <w:r>
        <w:rPr>
          <w:rFonts w:hint="eastAsia"/>
          <w:b/>
          <w:sz w:val="24"/>
        </w:rPr>
        <w:t>六、基金的验资与生效</w:t>
      </w:r>
    </w:p>
    <w:p>
      <w:pPr>
        <w:pStyle w:val="4"/>
        <w:autoSpaceDE w:val="0"/>
        <w:autoSpaceDN w:val="0"/>
        <w:adjustRightInd w:val="0"/>
        <w:snapToGrid w:val="0"/>
        <w:ind w:firstLine="480"/>
      </w:pPr>
      <w:r>
        <w:rPr>
          <w:rFonts w:hint="eastAsia"/>
        </w:rPr>
        <w:t>本基金自基金份额发售之日起</w:t>
      </w:r>
      <w:r>
        <w:t>3</w:t>
      </w:r>
      <w:r>
        <w:rPr>
          <w:rFonts w:hint="eastAsia"/>
        </w:rPr>
        <w:t>个月内，在基金募集份额总额不少于</w:t>
      </w:r>
      <w:r>
        <w:t>2</w:t>
      </w:r>
      <w:r>
        <w:rPr>
          <w:rFonts w:hint="eastAsia"/>
        </w:rPr>
        <w:t>亿份，基金募集金额不少于</w:t>
      </w:r>
      <w:r>
        <w:t>2</w:t>
      </w:r>
      <w:r>
        <w:rPr>
          <w:rFonts w:hint="eastAsia"/>
        </w:rPr>
        <w:t>亿元人民币且基金认购人数不少于</w:t>
      </w:r>
      <w:r>
        <w:t>200</w:t>
      </w:r>
      <w:r>
        <w:rPr>
          <w:rFonts w:hint="eastAsia"/>
        </w:rPr>
        <w:t>人的条件下，基金募集期届满或基金管理人依据法律法规及招募说明书可以决定停止基金发售，并在</w:t>
      </w:r>
      <w:r>
        <w:t>10</w:t>
      </w:r>
      <w:r>
        <w:rPr>
          <w:rFonts w:hint="eastAsia"/>
        </w:rPr>
        <w:t>日内聘请法定验资机构验资，自收到验资报告之日起</w:t>
      </w:r>
      <w:r>
        <w:t>10</w:t>
      </w:r>
      <w:r>
        <w:rPr>
          <w:rFonts w:hint="eastAsia"/>
        </w:rPr>
        <w:t>日内，向中国证监会办理基金备案手续。</w:t>
      </w:r>
    </w:p>
    <w:p>
      <w:pPr>
        <w:adjustRightInd w:val="0"/>
        <w:snapToGrid w:val="0"/>
        <w:spacing w:line="360" w:lineRule="auto"/>
        <w:ind w:firstLine="480" w:firstLineChars="200"/>
        <w:rPr>
          <w:sz w:val="24"/>
        </w:rPr>
      </w:pPr>
      <w:r>
        <w:rPr>
          <w:rFonts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pPr>
        <w:adjustRightInd w:val="0"/>
        <w:snapToGrid w:val="0"/>
        <w:spacing w:line="360" w:lineRule="auto"/>
        <w:ind w:firstLine="480" w:firstLineChars="200"/>
        <w:rPr>
          <w:sz w:val="24"/>
        </w:rPr>
      </w:pPr>
      <w:r>
        <w:rPr>
          <w:rFonts w:hint="eastAsia"/>
          <w:sz w:val="24"/>
        </w:rPr>
        <w:t>如果募集期限届满，未满足基金备案条件，基金管理人应当承担下列责任：</w:t>
      </w:r>
    </w:p>
    <w:p>
      <w:pPr>
        <w:adjustRightInd w:val="0"/>
        <w:snapToGrid w:val="0"/>
        <w:spacing w:line="360" w:lineRule="auto"/>
        <w:ind w:firstLine="480" w:firstLineChars="200"/>
        <w:rPr>
          <w:sz w:val="24"/>
        </w:rPr>
      </w:pPr>
      <w:r>
        <w:rPr>
          <w:sz w:val="24"/>
        </w:rPr>
        <w:t>1</w:t>
      </w:r>
      <w:r>
        <w:rPr>
          <w:rFonts w:hint="eastAsia"/>
          <w:sz w:val="24"/>
        </w:rPr>
        <w:t>、以其固有财产承担因募集行为而产生的债务和费用；</w:t>
      </w:r>
    </w:p>
    <w:p>
      <w:pPr>
        <w:adjustRightInd w:val="0"/>
        <w:snapToGrid w:val="0"/>
        <w:spacing w:line="360" w:lineRule="auto"/>
        <w:ind w:firstLine="480" w:firstLineChars="200"/>
        <w:rPr>
          <w:sz w:val="24"/>
        </w:rPr>
      </w:pPr>
      <w:r>
        <w:rPr>
          <w:sz w:val="24"/>
        </w:rPr>
        <w:t>2</w:t>
      </w:r>
      <w:r>
        <w:rPr>
          <w:rFonts w:hint="eastAsia"/>
          <w:sz w:val="24"/>
        </w:rPr>
        <w:t>、在基金募集期限届满后</w:t>
      </w:r>
      <w:r>
        <w:rPr>
          <w:sz w:val="24"/>
        </w:rPr>
        <w:t>30</w:t>
      </w:r>
      <w:r>
        <w:rPr>
          <w:rFonts w:hint="eastAsia"/>
          <w:sz w:val="24"/>
        </w:rPr>
        <w:t>日内返还投资者已缴纳的款项，并加计银行同期活期存款利息；</w:t>
      </w:r>
    </w:p>
    <w:p>
      <w:pPr>
        <w:adjustRightInd w:val="0"/>
        <w:snapToGrid w:val="0"/>
        <w:spacing w:line="360" w:lineRule="auto"/>
        <w:ind w:firstLine="480" w:firstLineChars="200"/>
        <w:rPr>
          <w:sz w:val="24"/>
        </w:rPr>
      </w:pPr>
      <w:r>
        <w:rPr>
          <w:sz w:val="24"/>
        </w:rPr>
        <w:t>3</w:t>
      </w:r>
      <w:r>
        <w:rPr>
          <w:rFonts w:hint="eastAsia"/>
          <w:sz w:val="24"/>
        </w:rPr>
        <w:t>、如基金募集失败，基金管理人、基金托管人及销售机构不得请求报酬。基金管理人、基金托管人和</w:t>
      </w:r>
      <w:r>
        <w:rPr>
          <w:rFonts w:hint="eastAsia"/>
          <w:bCs/>
          <w:sz w:val="24"/>
        </w:rPr>
        <w:t>销售</w:t>
      </w:r>
      <w:r>
        <w:rPr>
          <w:bCs/>
          <w:sz w:val="24"/>
        </w:rPr>
        <w:t>机构</w:t>
      </w:r>
      <w:r>
        <w:rPr>
          <w:rFonts w:hint="eastAsia"/>
          <w:sz w:val="24"/>
        </w:rPr>
        <w:t>为基金募集支付之一切费用应由各方各自承担。</w:t>
      </w:r>
    </w:p>
    <w:p>
      <w:pPr>
        <w:keepNext/>
        <w:keepLines/>
        <w:adjustRightInd w:val="0"/>
        <w:snapToGrid w:val="0"/>
        <w:spacing w:before="312" w:beforeLines="100" w:after="156" w:afterLines="50" w:line="360" w:lineRule="auto"/>
        <w:jc w:val="center"/>
        <w:outlineLvl w:val="0"/>
        <w:rPr>
          <w:b/>
          <w:sz w:val="24"/>
        </w:rPr>
      </w:pPr>
      <w:r>
        <w:rPr>
          <w:rFonts w:hint="eastAsia"/>
          <w:b/>
          <w:sz w:val="24"/>
        </w:rPr>
        <w:t>七、基金合同生效前的费用处理</w:t>
      </w:r>
    </w:p>
    <w:p>
      <w:pPr>
        <w:adjustRightInd w:val="0"/>
        <w:snapToGrid w:val="0"/>
        <w:spacing w:line="360" w:lineRule="auto"/>
        <w:ind w:firstLine="480" w:firstLineChars="200"/>
        <w:rPr>
          <w:rFonts w:ascii="宋体" w:hAnsi="宋体"/>
          <w:sz w:val="24"/>
        </w:rPr>
      </w:pPr>
      <w:r>
        <w:rPr>
          <w:rFonts w:hint="eastAsia" w:hAnsi="宋体"/>
          <w:sz w:val="24"/>
        </w:rPr>
        <w:t>基金合同生效前发生的与基金募集活动有关的费用，包括信息披露费、律师费、会计师费以及其他费用，不得从基金财产中列支。</w:t>
      </w:r>
    </w:p>
    <w:p>
      <w:pPr>
        <w:keepNext/>
        <w:keepLines/>
        <w:adjustRightInd w:val="0"/>
        <w:snapToGrid w:val="0"/>
        <w:spacing w:before="312" w:beforeLines="100" w:after="156" w:afterLines="50" w:line="360" w:lineRule="auto"/>
        <w:jc w:val="center"/>
        <w:outlineLvl w:val="0"/>
        <w:rPr>
          <w:b/>
          <w:sz w:val="24"/>
        </w:rPr>
      </w:pPr>
      <w:r>
        <w:rPr>
          <w:rFonts w:hint="eastAsia"/>
          <w:b/>
          <w:sz w:val="24"/>
        </w:rPr>
        <w:t>八、本次募集当事人或中介机构</w:t>
      </w:r>
    </w:p>
    <w:p>
      <w:pPr>
        <w:adjustRightInd w:val="0"/>
        <w:snapToGrid w:val="0"/>
        <w:spacing w:line="360" w:lineRule="auto"/>
        <w:ind w:firstLine="482" w:firstLineChars="200"/>
        <w:rPr>
          <w:rFonts w:hAnsi="宋体"/>
          <w:b/>
          <w:sz w:val="24"/>
        </w:rPr>
      </w:pPr>
      <w:r>
        <w:rPr>
          <w:rFonts w:hint="eastAsia" w:hAnsi="宋体"/>
          <w:b/>
          <w:sz w:val="24"/>
        </w:rPr>
        <w:t>（一）基金管理人</w:t>
      </w:r>
    </w:p>
    <w:p>
      <w:pPr>
        <w:adjustRightInd w:val="0"/>
        <w:snapToGrid w:val="0"/>
        <w:spacing w:line="360" w:lineRule="auto"/>
        <w:ind w:firstLine="480" w:firstLineChars="200"/>
        <w:rPr>
          <w:sz w:val="24"/>
        </w:rPr>
      </w:pPr>
      <w:r>
        <w:rPr>
          <w:rFonts w:hint="eastAsia"/>
          <w:sz w:val="24"/>
        </w:rPr>
        <w:t>名称：交银施罗德基金管理有限公司</w:t>
      </w:r>
    </w:p>
    <w:p>
      <w:pPr>
        <w:adjustRightInd w:val="0"/>
        <w:snapToGrid w:val="0"/>
        <w:spacing w:line="360" w:lineRule="auto"/>
        <w:ind w:firstLine="480" w:firstLineChars="200"/>
        <w:rPr>
          <w:sz w:val="24"/>
        </w:rPr>
      </w:pPr>
      <w:r>
        <w:rPr>
          <w:rFonts w:hint="eastAsia"/>
          <w:sz w:val="24"/>
        </w:rPr>
        <w:t>住所：中国（上海）自由贸易试验区银城中路</w:t>
      </w:r>
      <w:r>
        <w:rPr>
          <w:sz w:val="24"/>
        </w:rPr>
        <w:t>188</w:t>
      </w:r>
      <w:r>
        <w:rPr>
          <w:rFonts w:hint="eastAsia"/>
          <w:sz w:val="24"/>
        </w:rPr>
        <w:t>号交通银行大楼二层（裙）</w:t>
      </w:r>
    </w:p>
    <w:p>
      <w:pPr>
        <w:widowControl/>
        <w:adjustRightInd w:val="0"/>
        <w:snapToGrid w:val="0"/>
        <w:spacing w:line="360" w:lineRule="auto"/>
        <w:ind w:firstLine="480" w:firstLineChars="200"/>
        <w:jc w:val="left"/>
        <w:rPr>
          <w:kern w:val="0"/>
          <w:sz w:val="24"/>
        </w:rPr>
      </w:pPr>
      <w:r>
        <w:rPr>
          <w:rFonts w:hint="eastAsia"/>
          <w:sz w:val="24"/>
        </w:rPr>
        <w:t>办公地址：</w:t>
      </w:r>
      <w:r>
        <w:rPr>
          <w:rFonts w:hAnsi="宋体"/>
          <w:kern w:val="0"/>
          <w:sz w:val="24"/>
        </w:rPr>
        <w:t>上海</w:t>
      </w:r>
      <w:r>
        <w:rPr>
          <w:rFonts w:hint="eastAsia" w:hAnsi="宋体"/>
          <w:kern w:val="0"/>
          <w:sz w:val="24"/>
        </w:rPr>
        <w:t>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pPr>
        <w:adjustRightInd w:val="0"/>
        <w:snapToGrid w:val="0"/>
        <w:spacing w:line="360" w:lineRule="auto"/>
        <w:ind w:firstLine="480" w:firstLineChars="200"/>
        <w:rPr>
          <w:sz w:val="24"/>
        </w:rPr>
      </w:pPr>
      <w:r>
        <w:rPr>
          <w:rFonts w:hint="eastAsia"/>
          <w:sz w:val="24"/>
        </w:rPr>
        <w:t>邮政编码：</w:t>
      </w:r>
      <w:r>
        <w:rPr>
          <w:sz w:val="24"/>
        </w:rPr>
        <w:t>200120</w:t>
      </w:r>
    </w:p>
    <w:p>
      <w:pPr>
        <w:adjustRightInd w:val="0"/>
        <w:snapToGrid w:val="0"/>
        <w:spacing w:line="360" w:lineRule="auto"/>
        <w:ind w:firstLine="480" w:firstLineChars="200"/>
        <w:rPr>
          <w:sz w:val="24"/>
        </w:rPr>
      </w:pPr>
      <w:r>
        <w:rPr>
          <w:rFonts w:hint="eastAsia"/>
          <w:sz w:val="24"/>
        </w:rPr>
        <w:t>法定代表人：张宏良</w:t>
      </w:r>
    </w:p>
    <w:p>
      <w:pPr>
        <w:adjustRightInd w:val="0"/>
        <w:snapToGrid w:val="0"/>
        <w:spacing w:line="360" w:lineRule="auto"/>
        <w:ind w:firstLine="480" w:firstLineChars="20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pPr>
        <w:adjustRightInd w:val="0"/>
        <w:snapToGrid w:val="0"/>
        <w:spacing w:line="360" w:lineRule="auto"/>
        <w:ind w:firstLine="480" w:firstLineChars="200"/>
        <w:rPr>
          <w:sz w:val="24"/>
        </w:rPr>
      </w:pPr>
      <w:r>
        <w:rPr>
          <w:rFonts w:hint="eastAsia"/>
          <w:sz w:val="24"/>
        </w:rPr>
        <w:t>电话：（</w:t>
      </w:r>
      <w:r>
        <w:rPr>
          <w:sz w:val="24"/>
        </w:rPr>
        <w:t>021</w:t>
      </w:r>
      <w:r>
        <w:rPr>
          <w:rFonts w:hint="eastAsia"/>
          <w:sz w:val="24"/>
        </w:rPr>
        <w:t>）</w:t>
      </w:r>
      <w:r>
        <w:rPr>
          <w:sz w:val="24"/>
        </w:rPr>
        <w:t>61055050</w:t>
      </w:r>
    </w:p>
    <w:p>
      <w:pPr>
        <w:adjustRightInd w:val="0"/>
        <w:snapToGrid w:val="0"/>
        <w:spacing w:line="360" w:lineRule="auto"/>
        <w:ind w:firstLine="480" w:firstLineChars="200"/>
        <w:rPr>
          <w:sz w:val="24"/>
        </w:rPr>
      </w:pPr>
      <w:r>
        <w:rPr>
          <w:rFonts w:hint="eastAsia"/>
          <w:sz w:val="24"/>
        </w:rPr>
        <w:t>传真：（</w:t>
      </w:r>
      <w:r>
        <w:rPr>
          <w:sz w:val="24"/>
        </w:rPr>
        <w:t>021</w:t>
      </w:r>
      <w:r>
        <w:rPr>
          <w:rFonts w:hint="eastAsia"/>
          <w:sz w:val="24"/>
        </w:rPr>
        <w:t>）</w:t>
      </w:r>
      <w:r>
        <w:rPr>
          <w:sz w:val="24"/>
        </w:rPr>
        <w:t>61055034</w:t>
      </w:r>
    </w:p>
    <w:p>
      <w:pPr>
        <w:adjustRightInd w:val="0"/>
        <w:snapToGrid w:val="0"/>
        <w:spacing w:line="360" w:lineRule="auto"/>
        <w:ind w:firstLine="480" w:firstLineChars="200"/>
        <w:rPr>
          <w:sz w:val="24"/>
        </w:rPr>
      </w:pPr>
      <w:r>
        <w:rPr>
          <w:rFonts w:hint="eastAsia"/>
          <w:sz w:val="24"/>
        </w:rPr>
        <w:t>联系人：何佳妮</w:t>
      </w:r>
    </w:p>
    <w:p>
      <w:pPr>
        <w:adjustRightInd w:val="0"/>
        <w:snapToGrid w:val="0"/>
        <w:spacing w:line="360" w:lineRule="auto"/>
        <w:ind w:firstLine="482" w:firstLineChars="200"/>
        <w:rPr>
          <w:rFonts w:hAnsi="宋体"/>
          <w:b/>
          <w:sz w:val="24"/>
        </w:rPr>
      </w:pPr>
      <w:r>
        <w:rPr>
          <w:rFonts w:hint="eastAsia" w:hAnsi="宋体"/>
          <w:b/>
          <w:sz w:val="24"/>
        </w:rPr>
        <w:t>（二）基金托管人</w:t>
      </w:r>
    </w:p>
    <w:p>
      <w:pPr>
        <w:autoSpaceDE w:val="0"/>
        <w:autoSpaceDN w:val="0"/>
        <w:adjustRightInd w:val="0"/>
        <w:snapToGrid w:val="0"/>
        <w:spacing w:line="360" w:lineRule="auto"/>
        <w:ind w:firstLine="480" w:firstLineChars="200"/>
        <w:jc w:val="left"/>
        <w:rPr>
          <w:sz w:val="24"/>
        </w:rPr>
      </w:pPr>
      <w:r>
        <w:rPr>
          <w:rFonts w:hint="eastAsia"/>
          <w:sz w:val="24"/>
        </w:rPr>
        <w:t>名称：国泰海通证券股份有限公司</w:t>
      </w:r>
    </w:p>
    <w:p>
      <w:pPr>
        <w:autoSpaceDE w:val="0"/>
        <w:autoSpaceDN w:val="0"/>
        <w:adjustRightInd w:val="0"/>
        <w:snapToGrid w:val="0"/>
        <w:spacing w:line="360" w:lineRule="auto"/>
        <w:ind w:firstLine="480" w:firstLineChars="200"/>
        <w:jc w:val="left"/>
        <w:rPr>
          <w:sz w:val="24"/>
        </w:rPr>
      </w:pPr>
      <w:r>
        <w:rPr>
          <w:rFonts w:hint="eastAsia"/>
          <w:sz w:val="24"/>
        </w:rPr>
        <w:t>住所：中国（上海）自由贸易试验区商城路618号</w:t>
      </w:r>
    </w:p>
    <w:p>
      <w:pPr>
        <w:autoSpaceDE w:val="0"/>
        <w:autoSpaceDN w:val="0"/>
        <w:adjustRightInd w:val="0"/>
        <w:snapToGrid w:val="0"/>
        <w:spacing w:line="360" w:lineRule="auto"/>
        <w:ind w:firstLine="480" w:firstLineChars="200"/>
        <w:jc w:val="left"/>
        <w:rPr>
          <w:sz w:val="24"/>
        </w:rPr>
      </w:pPr>
      <w:r>
        <w:rPr>
          <w:rFonts w:hint="eastAsia"/>
          <w:sz w:val="24"/>
        </w:rPr>
        <w:t>法定代表人：朱健</w:t>
      </w:r>
    </w:p>
    <w:p>
      <w:pPr>
        <w:autoSpaceDE w:val="0"/>
        <w:autoSpaceDN w:val="0"/>
        <w:adjustRightInd w:val="0"/>
        <w:snapToGrid w:val="0"/>
        <w:spacing w:line="360" w:lineRule="auto"/>
        <w:ind w:firstLine="480" w:firstLineChars="200"/>
        <w:jc w:val="left"/>
        <w:rPr>
          <w:sz w:val="24"/>
        </w:rPr>
      </w:pPr>
      <w:r>
        <w:rPr>
          <w:rFonts w:hint="eastAsia"/>
          <w:sz w:val="24"/>
        </w:rPr>
        <w:t>成立时间：1999年8月18日</w:t>
      </w:r>
    </w:p>
    <w:p>
      <w:pPr>
        <w:autoSpaceDE w:val="0"/>
        <w:autoSpaceDN w:val="0"/>
        <w:adjustRightInd w:val="0"/>
        <w:snapToGrid w:val="0"/>
        <w:spacing w:line="360" w:lineRule="auto"/>
        <w:ind w:firstLine="480" w:firstLineChars="200"/>
        <w:jc w:val="left"/>
        <w:rPr>
          <w:sz w:val="24"/>
        </w:rPr>
      </w:pPr>
      <w:r>
        <w:rPr>
          <w:rFonts w:hint="eastAsia"/>
          <w:sz w:val="24"/>
        </w:rPr>
        <w:t>批准设立机关：中国证监会</w:t>
      </w:r>
    </w:p>
    <w:p>
      <w:pPr>
        <w:autoSpaceDE w:val="0"/>
        <w:autoSpaceDN w:val="0"/>
        <w:adjustRightInd w:val="0"/>
        <w:snapToGrid w:val="0"/>
        <w:spacing w:line="360" w:lineRule="auto"/>
        <w:ind w:firstLine="480" w:firstLineChars="200"/>
        <w:jc w:val="left"/>
        <w:rPr>
          <w:sz w:val="24"/>
        </w:rPr>
      </w:pPr>
      <w:r>
        <w:rPr>
          <w:rFonts w:hint="eastAsia"/>
          <w:sz w:val="24"/>
        </w:rPr>
        <w:t>批准设立文号：证监机构字[1999]77号</w:t>
      </w:r>
    </w:p>
    <w:p>
      <w:pPr>
        <w:autoSpaceDE w:val="0"/>
        <w:autoSpaceDN w:val="0"/>
        <w:adjustRightInd w:val="0"/>
        <w:snapToGrid w:val="0"/>
        <w:spacing w:line="360" w:lineRule="auto"/>
        <w:ind w:firstLine="480" w:firstLineChars="200"/>
        <w:jc w:val="left"/>
        <w:rPr>
          <w:sz w:val="24"/>
        </w:rPr>
      </w:pPr>
      <w:r>
        <w:rPr>
          <w:rFonts w:hint="eastAsia"/>
          <w:sz w:val="24"/>
        </w:rPr>
        <w:t>组织形式：其他股份有限公司（上市）</w:t>
      </w:r>
    </w:p>
    <w:p>
      <w:pPr>
        <w:autoSpaceDE w:val="0"/>
        <w:autoSpaceDN w:val="0"/>
        <w:adjustRightInd w:val="0"/>
        <w:snapToGrid w:val="0"/>
        <w:spacing w:line="360" w:lineRule="auto"/>
        <w:ind w:firstLine="480" w:firstLineChars="200"/>
        <w:jc w:val="left"/>
        <w:rPr>
          <w:sz w:val="24"/>
        </w:rPr>
      </w:pPr>
      <w:r>
        <w:rPr>
          <w:rFonts w:hint="eastAsia"/>
          <w:sz w:val="24"/>
        </w:rPr>
        <w:t>注册资本：人民币17,629,708,696元整</w:t>
      </w:r>
    </w:p>
    <w:p>
      <w:pPr>
        <w:autoSpaceDE w:val="0"/>
        <w:autoSpaceDN w:val="0"/>
        <w:adjustRightInd w:val="0"/>
        <w:snapToGrid w:val="0"/>
        <w:spacing w:line="360" w:lineRule="auto"/>
        <w:ind w:firstLine="480" w:firstLineChars="200"/>
        <w:jc w:val="left"/>
        <w:rPr>
          <w:sz w:val="24"/>
        </w:rPr>
      </w:pPr>
      <w:r>
        <w:rPr>
          <w:rFonts w:hint="eastAsia"/>
          <w:sz w:val="24"/>
        </w:rPr>
        <w:t>存续期间：持续经营</w:t>
      </w:r>
    </w:p>
    <w:p>
      <w:pPr>
        <w:autoSpaceDE w:val="0"/>
        <w:autoSpaceDN w:val="0"/>
        <w:adjustRightInd w:val="0"/>
        <w:snapToGrid w:val="0"/>
        <w:spacing w:line="360" w:lineRule="auto"/>
        <w:ind w:firstLine="480" w:firstLineChars="200"/>
        <w:jc w:val="left"/>
        <w:rPr>
          <w:sz w:val="24"/>
        </w:rPr>
      </w:pPr>
      <w:r>
        <w:rPr>
          <w:rFonts w:hint="eastAsia"/>
          <w:sz w:val="24"/>
        </w:rPr>
        <w:t>基金托管资格批文及文号：证监许可[2014]511号</w:t>
      </w:r>
    </w:p>
    <w:p>
      <w:pPr>
        <w:autoSpaceDE w:val="0"/>
        <w:autoSpaceDN w:val="0"/>
        <w:adjustRightInd w:val="0"/>
        <w:snapToGrid w:val="0"/>
        <w:spacing w:line="360" w:lineRule="auto"/>
        <w:ind w:firstLine="480" w:firstLineChars="200"/>
        <w:jc w:val="left"/>
        <w:rPr>
          <w:sz w:val="24"/>
        </w:rPr>
      </w:pPr>
      <w:r>
        <w:rPr>
          <w:rFonts w:hint="eastAsia"/>
          <w:sz w:val="24"/>
        </w:rPr>
        <w:t>联系人：丛艳</w:t>
      </w:r>
    </w:p>
    <w:p>
      <w:pPr>
        <w:autoSpaceDE w:val="0"/>
        <w:autoSpaceDN w:val="0"/>
        <w:adjustRightInd w:val="0"/>
        <w:snapToGrid w:val="0"/>
        <w:spacing w:line="360" w:lineRule="auto"/>
        <w:ind w:firstLine="480" w:firstLineChars="200"/>
        <w:jc w:val="left"/>
        <w:rPr>
          <w:sz w:val="24"/>
        </w:rPr>
      </w:pPr>
      <w:r>
        <w:rPr>
          <w:rFonts w:hint="eastAsia"/>
          <w:sz w:val="24"/>
        </w:rPr>
        <w:t>通讯地址：上海市静安区新闸路669号博华广场19楼</w:t>
      </w:r>
    </w:p>
    <w:p>
      <w:pPr>
        <w:adjustRightInd w:val="0"/>
        <w:snapToGrid w:val="0"/>
        <w:spacing w:line="360" w:lineRule="auto"/>
        <w:ind w:firstLine="480" w:firstLineChars="200"/>
        <w:rPr>
          <w:sz w:val="24"/>
        </w:rPr>
      </w:pPr>
      <w:r>
        <w:rPr>
          <w:rFonts w:hint="eastAsia"/>
          <w:sz w:val="24"/>
        </w:rPr>
        <w:t>联系电话：021-38677336</w:t>
      </w:r>
    </w:p>
    <w:p>
      <w:pPr>
        <w:adjustRightInd w:val="0"/>
        <w:snapToGrid w:val="0"/>
        <w:spacing w:line="360" w:lineRule="auto"/>
        <w:ind w:firstLine="482" w:firstLineChars="200"/>
        <w:rPr>
          <w:rFonts w:hAnsi="宋体"/>
          <w:b/>
          <w:sz w:val="24"/>
        </w:rPr>
      </w:pPr>
      <w:r>
        <w:rPr>
          <w:rFonts w:hint="eastAsia" w:hAnsi="宋体"/>
          <w:b/>
          <w:sz w:val="24"/>
        </w:rPr>
        <w:t>（三）销售机构</w:t>
      </w:r>
    </w:p>
    <w:p>
      <w:pPr>
        <w:widowControl/>
        <w:adjustRightInd w:val="0"/>
        <w:snapToGrid w:val="0"/>
        <w:spacing w:line="360" w:lineRule="auto"/>
        <w:ind w:firstLine="480" w:firstLineChars="200"/>
        <w:rPr>
          <w:kern w:val="0"/>
          <w:sz w:val="24"/>
        </w:rPr>
      </w:pPr>
      <w:r>
        <w:rPr>
          <w:kern w:val="0"/>
          <w:sz w:val="24"/>
        </w:rPr>
        <w:t>1</w:t>
      </w:r>
      <w:r>
        <w:rPr>
          <w:rFonts w:hint="eastAsia"/>
          <w:kern w:val="0"/>
          <w:sz w:val="24"/>
        </w:rPr>
        <w:t>、发售协调人</w:t>
      </w:r>
    </w:p>
    <w:p>
      <w:pPr>
        <w:widowControl/>
        <w:adjustRightInd w:val="0"/>
        <w:snapToGrid w:val="0"/>
        <w:spacing w:line="360" w:lineRule="auto"/>
        <w:ind w:firstLine="480" w:firstLineChars="200"/>
        <w:rPr>
          <w:kern w:val="0"/>
          <w:sz w:val="24"/>
        </w:rPr>
      </w:pPr>
      <w:r>
        <w:rPr>
          <w:rFonts w:hint="eastAsia"/>
          <w:kern w:val="0"/>
          <w:sz w:val="24"/>
        </w:rPr>
        <w:t>名称：国泰海通证券股份有限公司</w:t>
      </w:r>
    </w:p>
    <w:p>
      <w:pPr>
        <w:widowControl/>
        <w:adjustRightInd w:val="0"/>
        <w:snapToGrid w:val="0"/>
        <w:spacing w:line="360" w:lineRule="auto"/>
        <w:ind w:firstLine="480" w:firstLineChars="200"/>
        <w:rPr>
          <w:kern w:val="0"/>
          <w:sz w:val="24"/>
        </w:rPr>
      </w:pPr>
      <w:r>
        <w:rPr>
          <w:rFonts w:hint="eastAsia"/>
          <w:kern w:val="0"/>
          <w:sz w:val="24"/>
        </w:rPr>
        <w:t>注册地址：中国（上海）自由贸易试验区商城路618号</w:t>
      </w:r>
    </w:p>
    <w:p>
      <w:pPr>
        <w:widowControl/>
        <w:adjustRightInd w:val="0"/>
        <w:snapToGrid w:val="0"/>
        <w:spacing w:line="360" w:lineRule="auto"/>
        <w:ind w:firstLine="480" w:firstLineChars="200"/>
        <w:rPr>
          <w:kern w:val="0"/>
          <w:sz w:val="24"/>
        </w:rPr>
      </w:pPr>
      <w:r>
        <w:rPr>
          <w:rFonts w:hint="eastAsia"/>
          <w:kern w:val="0"/>
          <w:sz w:val="24"/>
        </w:rPr>
        <w:t>办公地址：上海市静安区南京西路768号国泰君安大厦</w:t>
      </w:r>
    </w:p>
    <w:p>
      <w:pPr>
        <w:widowControl/>
        <w:adjustRightInd w:val="0"/>
        <w:snapToGrid w:val="0"/>
        <w:spacing w:line="360" w:lineRule="auto"/>
        <w:ind w:firstLine="480" w:firstLineChars="200"/>
        <w:rPr>
          <w:kern w:val="0"/>
          <w:sz w:val="24"/>
        </w:rPr>
      </w:pPr>
      <w:r>
        <w:rPr>
          <w:rFonts w:hint="eastAsia"/>
          <w:kern w:val="0"/>
          <w:sz w:val="24"/>
        </w:rPr>
        <w:t>法定代表人：朱健</w:t>
      </w:r>
    </w:p>
    <w:p>
      <w:pPr>
        <w:widowControl/>
        <w:adjustRightInd w:val="0"/>
        <w:snapToGrid w:val="0"/>
        <w:spacing w:line="360" w:lineRule="auto"/>
        <w:ind w:firstLine="480" w:firstLineChars="200"/>
        <w:rPr>
          <w:kern w:val="0"/>
          <w:sz w:val="24"/>
        </w:rPr>
      </w:pPr>
      <w:r>
        <w:rPr>
          <w:rFonts w:hint="eastAsia"/>
          <w:kern w:val="0"/>
          <w:sz w:val="24"/>
        </w:rPr>
        <w:t>联系电话：021-38676666</w:t>
      </w:r>
    </w:p>
    <w:p>
      <w:pPr>
        <w:widowControl/>
        <w:adjustRightInd w:val="0"/>
        <w:snapToGrid w:val="0"/>
        <w:spacing w:line="360" w:lineRule="auto"/>
        <w:ind w:firstLine="480" w:firstLineChars="200"/>
        <w:rPr>
          <w:kern w:val="0"/>
          <w:sz w:val="24"/>
        </w:rPr>
      </w:pPr>
      <w:r>
        <w:rPr>
          <w:rFonts w:hint="eastAsia"/>
          <w:kern w:val="0"/>
          <w:sz w:val="24"/>
        </w:rPr>
        <w:t>传真：021-38670666</w:t>
      </w:r>
    </w:p>
    <w:p>
      <w:pPr>
        <w:widowControl/>
        <w:adjustRightInd w:val="0"/>
        <w:snapToGrid w:val="0"/>
        <w:spacing w:line="360" w:lineRule="auto"/>
        <w:ind w:firstLine="480" w:firstLineChars="200"/>
        <w:rPr>
          <w:kern w:val="0"/>
          <w:sz w:val="24"/>
        </w:rPr>
      </w:pPr>
      <w:r>
        <w:rPr>
          <w:rFonts w:hint="eastAsia"/>
          <w:kern w:val="0"/>
          <w:sz w:val="24"/>
        </w:rPr>
        <w:t>联系人：邵亚杰</w:t>
      </w:r>
    </w:p>
    <w:p>
      <w:pPr>
        <w:widowControl/>
        <w:adjustRightInd w:val="0"/>
        <w:snapToGrid w:val="0"/>
        <w:spacing w:line="360" w:lineRule="auto"/>
        <w:ind w:firstLine="480" w:firstLineChars="200"/>
        <w:rPr>
          <w:kern w:val="0"/>
          <w:sz w:val="24"/>
        </w:rPr>
      </w:pPr>
      <w:r>
        <w:rPr>
          <w:rFonts w:hint="eastAsia"/>
          <w:kern w:val="0"/>
          <w:sz w:val="24"/>
        </w:rPr>
        <w:t>服务热线 : 95521 / 4008888666</w:t>
      </w:r>
    </w:p>
    <w:p>
      <w:pPr>
        <w:widowControl/>
        <w:adjustRightInd w:val="0"/>
        <w:snapToGrid w:val="0"/>
        <w:spacing w:line="360" w:lineRule="auto"/>
        <w:ind w:firstLine="480" w:firstLineChars="200"/>
        <w:rPr>
          <w:kern w:val="0"/>
          <w:sz w:val="24"/>
        </w:rPr>
      </w:pPr>
      <w:r>
        <w:rPr>
          <w:rFonts w:hint="eastAsia"/>
          <w:kern w:val="0"/>
          <w:sz w:val="24"/>
        </w:rPr>
        <w:t>网址：</w:t>
      </w:r>
      <w:r>
        <w:fldChar w:fldCharType="begin"/>
      </w:r>
      <w:r>
        <w:instrText xml:space="preserve"> HYPERLINK "http://www.gtht.com" </w:instrText>
      </w:r>
      <w:r>
        <w:fldChar w:fldCharType="separate"/>
      </w:r>
      <w:r>
        <w:rPr>
          <w:rStyle w:val="57"/>
          <w:rFonts w:hint="eastAsia"/>
          <w:kern w:val="0"/>
          <w:sz w:val="24"/>
        </w:rPr>
        <w:t>www.gtht.com</w:t>
      </w:r>
      <w:r>
        <w:rPr>
          <w:rStyle w:val="57"/>
          <w:rFonts w:hint="eastAsia"/>
          <w:kern w:val="0"/>
          <w:sz w:val="24"/>
        </w:rPr>
        <w:fldChar w:fldCharType="end"/>
      </w:r>
    </w:p>
    <w:p>
      <w:pPr>
        <w:widowControl/>
        <w:adjustRightInd w:val="0"/>
        <w:snapToGrid w:val="0"/>
        <w:spacing w:line="360" w:lineRule="auto"/>
        <w:ind w:firstLine="480" w:firstLineChars="200"/>
        <w:rPr>
          <w:kern w:val="0"/>
          <w:sz w:val="24"/>
        </w:rPr>
      </w:pPr>
      <w:r>
        <w:rPr>
          <w:rFonts w:hint="eastAsia"/>
          <w:kern w:val="0"/>
          <w:sz w:val="24"/>
        </w:rPr>
        <w:t>2、网下现金发售直销机构</w:t>
      </w:r>
    </w:p>
    <w:p>
      <w:pPr>
        <w:widowControl/>
        <w:adjustRightInd w:val="0"/>
        <w:snapToGrid w:val="0"/>
        <w:spacing w:line="360" w:lineRule="auto"/>
        <w:ind w:firstLine="480" w:firstLineChars="200"/>
        <w:rPr>
          <w:kern w:val="0"/>
          <w:sz w:val="24"/>
        </w:rPr>
      </w:pPr>
      <w:r>
        <w:rPr>
          <w:rFonts w:hint="eastAsia"/>
          <w:kern w:val="0"/>
          <w:sz w:val="24"/>
        </w:rPr>
        <w:t>本基金网下现金发售直销机构为本公司直销</w:t>
      </w:r>
      <w:r>
        <w:rPr>
          <w:kern w:val="0"/>
          <w:sz w:val="24"/>
        </w:rPr>
        <w:t>柜台</w:t>
      </w:r>
      <w:r>
        <w:rPr>
          <w:rFonts w:hint="eastAsia"/>
          <w:kern w:val="0"/>
          <w:sz w:val="24"/>
        </w:rPr>
        <w:t>。</w:t>
      </w:r>
    </w:p>
    <w:p>
      <w:pPr>
        <w:widowControl/>
        <w:adjustRightInd w:val="0"/>
        <w:snapToGrid w:val="0"/>
        <w:spacing w:line="360" w:lineRule="auto"/>
        <w:ind w:firstLine="480" w:firstLineChars="200"/>
        <w:rPr>
          <w:kern w:val="0"/>
          <w:sz w:val="24"/>
        </w:rPr>
      </w:pPr>
      <w:r>
        <w:rPr>
          <w:rFonts w:hint="eastAsia"/>
          <w:kern w:val="0"/>
          <w:sz w:val="24"/>
        </w:rPr>
        <w:t>名称：交银施罗德基金管理有限公司</w:t>
      </w:r>
    </w:p>
    <w:p>
      <w:pPr>
        <w:widowControl/>
        <w:adjustRightInd w:val="0"/>
        <w:snapToGrid w:val="0"/>
        <w:spacing w:line="360" w:lineRule="auto"/>
        <w:ind w:firstLine="480" w:firstLineChars="20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pPr>
        <w:widowControl/>
        <w:adjustRightInd w:val="0"/>
        <w:snapToGrid w:val="0"/>
        <w:spacing w:line="360" w:lineRule="auto"/>
        <w:ind w:firstLine="480" w:firstLineChars="200"/>
        <w:rPr>
          <w:kern w:val="0"/>
          <w:sz w:val="24"/>
        </w:rPr>
      </w:pPr>
      <w:r>
        <w:rPr>
          <w:rFonts w:hint="eastAsia"/>
          <w:kern w:val="0"/>
          <w:sz w:val="24"/>
        </w:rPr>
        <w:t>办公地址：</w:t>
      </w:r>
      <w:r>
        <w:rPr>
          <w:rFonts w:hAnsi="宋体"/>
          <w:kern w:val="0"/>
          <w:sz w:val="24"/>
        </w:rPr>
        <w:t>上海</w:t>
      </w:r>
      <w:r>
        <w:rPr>
          <w:rFonts w:hint="eastAsia" w:hAnsi="宋体"/>
          <w:kern w:val="0"/>
          <w:sz w:val="24"/>
        </w:rPr>
        <w:t>市浦东新区世纪大道</w:t>
      </w:r>
      <w:r>
        <w:rPr>
          <w:rFonts w:hAnsi="宋体"/>
          <w:kern w:val="0"/>
          <w:sz w:val="24"/>
        </w:rPr>
        <w:t>8</w:t>
      </w:r>
      <w:r>
        <w:rPr>
          <w:rFonts w:hint="eastAsia" w:hAnsi="宋体"/>
          <w:kern w:val="0"/>
          <w:sz w:val="24"/>
        </w:rPr>
        <w:t>号国金中心二期</w:t>
      </w:r>
      <w:r>
        <w:rPr>
          <w:rFonts w:hAnsi="宋体"/>
          <w:kern w:val="0"/>
          <w:sz w:val="24"/>
        </w:rPr>
        <w:t>21-22</w:t>
      </w:r>
      <w:r>
        <w:rPr>
          <w:rFonts w:hint="eastAsia" w:hAnsi="宋体"/>
          <w:kern w:val="0"/>
          <w:sz w:val="24"/>
        </w:rPr>
        <w:t>楼</w:t>
      </w:r>
    </w:p>
    <w:p>
      <w:pPr>
        <w:adjustRightInd w:val="0"/>
        <w:snapToGrid w:val="0"/>
        <w:spacing w:line="360" w:lineRule="auto"/>
        <w:ind w:firstLine="480" w:firstLineChars="200"/>
        <w:rPr>
          <w:sz w:val="24"/>
        </w:rPr>
      </w:pPr>
      <w:r>
        <w:rPr>
          <w:rFonts w:hint="eastAsia"/>
          <w:kern w:val="0"/>
          <w:sz w:val="24"/>
        </w:rPr>
        <w:t>法定代表人：</w:t>
      </w:r>
      <w:r>
        <w:rPr>
          <w:rFonts w:hint="eastAsia"/>
          <w:sz w:val="24"/>
        </w:rPr>
        <w:t>张宏良</w:t>
      </w:r>
    </w:p>
    <w:p>
      <w:pPr>
        <w:widowControl/>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pPr>
        <w:widowControl/>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pPr>
        <w:widowControl/>
        <w:adjustRightInd w:val="0"/>
        <w:snapToGrid w:val="0"/>
        <w:spacing w:line="360" w:lineRule="auto"/>
        <w:ind w:firstLine="480" w:firstLineChars="200"/>
        <w:rPr>
          <w:kern w:val="0"/>
          <w:sz w:val="24"/>
        </w:rPr>
      </w:pPr>
      <w:r>
        <w:rPr>
          <w:rFonts w:hint="eastAsia"/>
          <w:kern w:val="0"/>
          <w:sz w:val="24"/>
        </w:rPr>
        <w:t>联系人：傅鲸</w:t>
      </w:r>
    </w:p>
    <w:p>
      <w:pPr>
        <w:widowControl/>
        <w:adjustRightInd w:val="0"/>
        <w:snapToGrid w:val="0"/>
        <w:spacing w:line="360" w:lineRule="auto"/>
        <w:ind w:firstLine="480" w:firstLineChars="20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pPr>
        <w:widowControl/>
        <w:adjustRightInd w:val="0"/>
        <w:snapToGrid w:val="0"/>
        <w:spacing w:line="360" w:lineRule="auto"/>
        <w:ind w:firstLine="480" w:firstLineChars="200"/>
        <w:rPr>
          <w:color w:val="0000FF"/>
          <w:sz w:val="24"/>
          <w:u w:val="single"/>
        </w:rPr>
      </w:pPr>
      <w:r>
        <w:rPr>
          <w:rFonts w:hint="eastAsia"/>
          <w:kern w:val="0"/>
          <w:sz w:val="24"/>
        </w:rPr>
        <w:t>网址：</w:t>
      </w:r>
      <w:r>
        <w:rPr>
          <w:rStyle w:val="57"/>
          <w:color w:val="auto"/>
          <w:sz w:val="24"/>
          <w:szCs w:val="24"/>
          <w:u w:val="none"/>
        </w:rPr>
        <w:t>www.fund001.com</w:t>
      </w:r>
    </w:p>
    <w:p>
      <w:pPr>
        <w:widowControl/>
        <w:tabs>
          <w:tab w:val="center" w:pos="4393"/>
        </w:tabs>
        <w:adjustRightInd w:val="0"/>
        <w:snapToGrid w:val="0"/>
        <w:spacing w:line="360" w:lineRule="auto"/>
        <w:ind w:firstLine="480" w:firstLineChars="200"/>
        <w:rPr>
          <w:kern w:val="0"/>
          <w:sz w:val="24"/>
        </w:rPr>
      </w:pPr>
      <w:r>
        <w:rPr>
          <w:rFonts w:hint="eastAsia"/>
          <w:kern w:val="0"/>
          <w:sz w:val="24"/>
        </w:rPr>
        <w:t>3、网下现金发售代理机构</w:t>
      </w:r>
    </w:p>
    <w:p>
      <w:pPr>
        <w:widowControl/>
        <w:tabs>
          <w:tab w:val="center" w:pos="4393"/>
        </w:tabs>
        <w:adjustRightInd w:val="0"/>
        <w:snapToGrid w:val="0"/>
        <w:spacing w:line="360" w:lineRule="auto"/>
        <w:ind w:firstLine="480" w:firstLineChars="200"/>
        <w:rPr>
          <w:kern w:val="0"/>
          <w:sz w:val="24"/>
        </w:rPr>
      </w:pPr>
      <w:r>
        <w:rPr>
          <w:rFonts w:hint="eastAsia"/>
          <w:kern w:val="0"/>
          <w:sz w:val="24"/>
        </w:rPr>
        <w:t>（1）国泰海通证券股份有限公司</w:t>
      </w:r>
    </w:p>
    <w:p>
      <w:pPr>
        <w:widowControl/>
        <w:tabs>
          <w:tab w:val="center" w:pos="4393"/>
        </w:tabs>
        <w:adjustRightInd w:val="0"/>
        <w:snapToGrid w:val="0"/>
        <w:spacing w:line="360" w:lineRule="auto"/>
        <w:ind w:firstLine="480" w:firstLineChars="200"/>
        <w:rPr>
          <w:kern w:val="0"/>
          <w:sz w:val="24"/>
        </w:rPr>
      </w:pPr>
      <w:r>
        <w:rPr>
          <w:rFonts w:hint="eastAsia"/>
          <w:kern w:val="0"/>
          <w:sz w:val="24"/>
        </w:rPr>
        <w:t>注册地址：中国（上海）自由贸易试验区商城路618号</w:t>
      </w:r>
    </w:p>
    <w:p>
      <w:pPr>
        <w:widowControl/>
        <w:tabs>
          <w:tab w:val="center" w:pos="4393"/>
        </w:tabs>
        <w:adjustRightInd w:val="0"/>
        <w:snapToGrid w:val="0"/>
        <w:spacing w:line="360" w:lineRule="auto"/>
        <w:ind w:firstLine="480" w:firstLineChars="200"/>
        <w:rPr>
          <w:kern w:val="0"/>
          <w:sz w:val="24"/>
        </w:rPr>
      </w:pPr>
      <w:r>
        <w:rPr>
          <w:rFonts w:hint="eastAsia"/>
          <w:kern w:val="0"/>
          <w:sz w:val="24"/>
        </w:rPr>
        <w:t>办公地址：上海市静安区南京西路768号国泰君安大厦</w:t>
      </w:r>
    </w:p>
    <w:p>
      <w:pPr>
        <w:widowControl/>
        <w:tabs>
          <w:tab w:val="center" w:pos="4393"/>
        </w:tabs>
        <w:adjustRightInd w:val="0"/>
        <w:snapToGrid w:val="0"/>
        <w:spacing w:line="360" w:lineRule="auto"/>
        <w:ind w:firstLine="480" w:firstLineChars="200"/>
        <w:rPr>
          <w:kern w:val="0"/>
          <w:sz w:val="24"/>
        </w:rPr>
      </w:pPr>
      <w:r>
        <w:rPr>
          <w:rFonts w:hint="eastAsia"/>
          <w:kern w:val="0"/>
          <w:sz w:val="24"/>
        </w:rPr>
        <w:t>法定代表人：朱健</w:t>
      </w:r>
    </w:p>
    <w:p>
      <w:pPr>
        <w:widowControl/>
        <w:tabs>
          <w:tab w:val="center" w:pos="4393"/>
        </w:tabs>
        <w:adjustRightInd w:val="0"/>
        <w:snapToGrid w:val="0"/>
        <w:spacing w:line="360" w:lineRule="auto"/>
        <w:ind w:firstLine="480" w:firstLineChars="200"/>
        <w:rPr>
          <w:kern w:val="0"/>
          <w:sz w:val="24"/>
        </w:rPr>
      </w:pPr>
      <w:r>
        <w:rPr>
          <w:rFonts w:hint="eastAsia"/>
          <w:kern w:val="0"/>
          <w:sz w:val="24"/>
        </w:rPr>
        <w:t>联系电话：021-38676666</w:t>
      </w:r>
    </w:p>
    <w:p>
      <w:pPr>
        <w:widowControl/>
        <w:tabs>
          <w:tab w:val="center" w:pos="4393"/>
        </w:tabs>
        <w:adjustRightInd w:val="0"/>
        <w:snapToGrid w:val="0"/>
        <w:spacing w:line="360" w:lineRule="auto"/>
        <w:ind w:firstLine="480" w:firstLineChars="200"/>
        <w:rPr>
          <w:kern w:val="0"/>
          <w:sz w:val="24"/>
        </w:rPr>
      </w:pPr>
      <w:r>
        <w:rPr>
          <w:rFonts w:hint="eastAsia"/>
          <w:kern w:val="0"/>
          <w:sz w:val="24"/>
        </w:rPr>
        <w:t>传真：021-38670666</w:t>
      </w:r>
    </w:p>
    <w:p>
      <w:pPr>
        <w:widowControl/>
        <w:tabs>
          <w:tab w:val="center" w:pos="4393"/>
        </w:tabs>
        <w:adjustRightInd w:val="0"/>
        <w:snapToGrid w:val="0"/>
        <w:spacing w:line="360" w:lineRule="auto"/>
        <w:ind w:firstLine="480" w:firstLineChars="200"/>
        <w:rPr>
          <w:kern w:val="0"/>
          <w:sz w:val="24"/>
        </w:rPr>
      </w:pPr>
      <w:r>
        <w:rPr>
          <w:rFonts w:hint="eastAsia"/>
          <w:kern w:val="0"/>
          <w:sz w:val="24"/>
        </w:rPr>
        <w:t>联系人：邵亚杰</w:t>
      </w:r>
    </w:p>
    <w:p>
      <w:pPr>
        <w:widowControl/>
        <w:tabs>
          <w:tab w:val="center" w:pos="4393"/>
        </w:tabs>
        <w:adjustRightInd w:val="0"/>
        <w:snapToGrid w:val="0"/>
        <w:spacing w:line="360" w:lineRule="auto"/>
        <w:ind w:firstLine="480" w:firstLineChars="200"/>
        <w:rPr>
          <w:kern w:val="0"/>
          <w:sz w:val="24"/>
        </w:rPr>
      </w:pPr>
      <w:r>
        <w:rPr>
          <w:rFonts w:hint="eastAsia"/>
          <w:kern w:val="0"/>
          <w:sz w:val="24"/>
        </w:rPr>
        <w:t>服务热线:95521/4008888666</w:t>
      </w:r>
    </w:p>
    <w:p>
      <w:pPr>
        <w:widowControl/>
        <w:tabs>
          <w:tab w:val="center" w:pos="4393"/>
        </w:tabs>
        <w:adjustRightInd w:val="0"/>
        <w:snapToGrid w:val="0"/>
        <w:spacing w:line="360" w:lineRule="auto"/>
        <w:ind w:firstLine="480" w:firstLineChars="200"/>
        <w:rPr>
          <w:kern w:val="0"/>
          <w:sz w:val="24"/>
        </w:rPr>
      </w:pPr>
      <w:r>
        <w:rPr>
          <w:rFonts w:hint="eastAsia"/>
          <w:kern w:val="0"/>
          <w:sz w:val="24"/>
        </w:rPr>
        <w:t>网址：www.gtht.com</w:t>
      </w:r>
    </w:p>
    <w:p>
      <w:pPr>
        <w:widowControl/>
        <w:tabs>
          <w:tab w:val="center" w:pos="4393"/>
        </w:tabs>
        <w:adjustRightInd w:val="0"/>
        <w:snapToGrid w:val="0"/>
        <w:spacing w:line="360" w:lineRule="auto"/>
        <w:ind w:firstLine="480" w:firstLineChars="200"/>
        <w:rPr>
          <w:kern w:val="0"/>
          <w:sz w:val="24"/>
        </w:rPr>
      </w:pPr>
      <w:r>
        <w:rPr>
          <w:rFonts w:hint="eastAsia"/>
          <w:kern w:val="0"/>
          <w:sz w:val="24"/>
        </w:rPr>
        <w:t>（2）中信证券股份有限公司</w:t>
      </w:r>
    </w:p>
    <w:p>
      <w:pPr>
        <w:widowControl/>
        <w:tabs>
          <w:tab w:val="center" w:pos="4393"/>
        </w:tabs>
        <w:adjustRightInd w:val="0"/>
        <w:snapToGrid w:val="0"/>
        <w:spacing w:line="360" w:lineRule="auto"/>
        <w:ind w:firstLine="480" w:firstLineChars="200"/>
        <w:rPr>
          <w:kern w:val="0"/>
          <w:sz w:val="24"/>
        </w:rPr>
      </w:pPr>
      <w:r>
        <w:rPr>
          <w:rFonts w:hint="eastAsia"/>
          <w:kern w:val="0"/>
          <w:sz w:val="24"/>
        </w:rPr>
        <w:t>住所：广东省深圳市福田区中心三路8号卓越时代广场（二期）北座</w:t>
      </w:r>
    </w:p>
    <w:p>
      <w:pPr>
        <w:widowControl/>
        <w:tabs>
          <w:tab w:val="center" w:pos="4393"/>
        </w:tabs>
        <w:adjustRightInd w:val="0"/>
        <w:snapToGrid w:val="0"/>
        <w:spacing w:line="360" w:lineRule="auto"/>
        <w:ind w:firstLine="480" w:firstLineChars="200"/>
        <w:rPr>
          <w:kern w:val="0"/>
          <w:sz w:val="24"/>
        </w:rPr>
      </w:pPr>
      <w:r>
        <w:rPr>
          <w:rFonts w:hint="eastAsia"/>
          <w:kern w:val="0"/>
          <w:sz w:val="24"/>
        </w:rPr>
        <w:t>办公地址：北京市朝阳区亮马桥路48号中信证券大厦</w:t>
      </w:r>
    </w:p>
    <w:p>
      <w:pPr>
        <w:widowControl/>
        <w:tabs>
          <w:tab w:val="center" w:pos="4393"/>
        </w:tabs>
        <w:adjustRightInd w:val="0"/>
        <w:snapToGrid w:val="0"/>
        <w:spacing w:line="360" w:lineRule="auto"/>
        <w:ind w:firstLine="480" w:firstLineChars="200"/>
        <w:rPr>
          <w:kern w:val="0"/>
          <w:sz w:val="24"/>
        </w:rPr>
      </w:pPr>
      <w:r>
        <w:rPr>
          <w:rFonts w:hint="eastAsia"/>
          <w:kern w:val="0"/>
          <w:sz w:val="24"/>
        </w:rPr>
        <w:t>法定代表人：张佑君</w:t>
      </w:r>
    </w:p>
    <w:p>
      <w:pPr>
        <w:widowControl/>
        <w:tabs>
          <w:tab w:val="center" w:pos="4393"/>
        </w:tabs>
        <w:adjustRightInd w:val="0"/>
        <w:snapToGrid w:val="0"/>
        <w:spacing w:line="360" w:lineRule="auto"/>
        <w:ind w:firstLine="480" w:firstLineChars="200"/>
        <w:rPr>
          <w:kern w:val="0"/>
          <w:sz w:val="24"/>
        </w:rPr>
      </w:pPr>
      <w:r>
        <w:rPr>
          <w:rFonts w:hint="eastAsia"/>
          <w:kern w:val="0"/>
          <w:sz w:val="24"/>
        </w:rPr>
        <w:t>电话：010-60838888</w:t>
      </w:r>
    </w:p>
    <w:p>
      <w:pPr>
        <w:widowControl/>
        <w:tabs>
          <w:tab w:val="center" w:pos="4393"/>
        </w:tabs>
        <w:adjustRightInd w:val="0"/>
        <w:snapToGrid w:val="0"/>
        <w:spacing w:line="360" w:lineRule="auto"/>
        <w:ind w:firstLine="480" w:firstLineChars="200"/>
        <w:rPr>
          <w:kern w:val="0"/>
          <w:sz w:val="24"/>
        </w:rPr>
      </w:pPr>
      <w:r>
        <w:rPr>
          <w:rFonts w:hint="eastAsia"/>
          <w:kern w:val="0"/>
          <w:sz w:val="24"/>
        </w:rPr>
        <w:t>客服电话：95548</w:t>
      </w:r>
    </w:p>
    <w:p>
      <w:pPr>
        <w:widowControl/>
        <w:tabs>
          <w:tab w:val="center" w:pos="4393"/>
        </w:tabs>
        <w:adjustRightInd w:val="0"/>
        <w:snapToGrid w:val="0"/>
        <w:spacing w:line="360" w:lineRule="auto"/>
        <w:ind w:firstLine="480" w:firstLineChars="200"/>
        <w:rPr>
          <w:kern w:val="0"/>
          <w:sz w:val="24"/>
        </w:rPr>
      </w:pPr>
      <w:r>
        <w:rPr>
          <w:rFonts w:hint="eastAsia"/>
          <w:kern w:val="0"/>
          <w:sz w:val="24"/>
        </w:rPr>
        <w:t>网址：www.cs.ecitic.com</w:t>
      </w:r>
    </w:p>
    <w:p>
      <w:pPr>
        <w:widowControl/>
        <w:tabs>
          <w:tab w:val="center" w:pos="4393"/>
        </w:tabs>
        <w:adjustRightInd w:val="0"/>
        <w:snapToGrid w:val="0"/>
        <w:spacing w:line="360" w:lineRule="auto"/>
        <w:ind w:firstLine="480" w:firstLineChars="200"/>
        <w:rPr>
          <w:kern w:val="0"/>
          <w:sz w:val="24"/>
        </w:rPr>
      </w:pPr>
      <w:r>
        <w:rPr>
          <w:rFonts w:hint="eastAsia"/>
          <w:kern w:val="0"/>
          <w:sz w:val="24"/>
        </w:rPr>
        <w:t>（3）中信证券（山东）有限责任公司</w:t>
      </w:r>
    </w:p>
    <w:p>
      <w:pPr>
        <w:widowControl/>
        <w:tabs>
          <w:tab w:val="center" w:pos="4393"/>
        </w:tabs>
        <w:adjustRightInd w:val="0"/>
        <w:snapToGrid w:val="0"/>
        <w:spacing w:line="360" w:lineRule="auto"/>
        <w:ind w:firstLine="480" w:firstLineChars="200"/>
        <w:rPr>
          <w:kern w:val="0"/>
          <w:sz w:val="24"/>
        </w:rPr>
      </w:pPr>
      <w:r>
        <w:rPr>
          <w:rFonts w:hint="eastAsia"/>
          <w:kern w:val="0"/>
          <w:sz w:val="24"/>
        </w:rPr>
        <w:t>住所：青岛市崂山区深圳路222号1号楼2001</w:t>
      </w:r>
    </w:p>
    <w:p>
      <w:pPr>
        <w:widowControl/>
        <w:tabs>
          <w:tab w:val="center" w:pos="4393"/>
        </w:tabs>
        <w:adjustRightInd w:val="0"/>
        <w:snapToGrid w:val="0"/>
        <w:spacing w:line="360" w:lineRule="auto"/>
        <w:ind w:firstLine="480" w:firstLineChars="200"/>
        <w:rPr>
          <w:kern w:val="0"/>
          <w:sz w:val="24"/>
        </w:rPr>
      </w:pPr>
      <w:r>
        <w:rPr>
          <w:rFonts w:hint="eastAsia"/>
          <w:kern w:val="0"/>
          <w:sz w:val="24"/>
        </w:rPr>
        <w:t>办公地址：青岛市市南区东海西路28号龙翔广场东座5层</w:t>
      </w:r>
    </w:p>
    <w:p>
      <w:pPr>
        <w:widowControl/>
        <w:tabs>
          <w:tab w:val="center" w:pos="4393"/>
        </w:tabs>
        <w:adjustRightInd w:val="0"/>
        <w:snapToGrid w:val="0"/>
        <w:spacing w:line="360" w:lineRule="auto"/>
        <w:ind w:firstLine="480" w:firstLineChars="200"/>
        <w:rPr>
          <w:kern w:val="0"/>
          <w:sz w:val="24"/>
        </w:rPr>
      </w:pPr>
      <w:r>
        <w:rPr>
          <w:rFonts w:hint="eastAsia"/>
          <w:kern w:val="0"/>
          <w:sz w:val="24"/>
        </w:rPr>
        <w:t>法定代表人：肖海峰</w:t>
      </w:r>
    </w:p>
    <w:p>
      <w:pPr>
        <w:widowControl/>
        <w:tabs>
          <w:tab w:val="center" w:pos="4393"/>
        </w:tabs>
        <w:adjustRightInd w:val="0"/>
        <w:snapToGrid w:val="0"/>
        <w:spacing w:line="360" w:lineRule="auto"/>
        <w:ind w:firstLine="480" w:firstLineChars="200"/>
        <w:rPr>
          <w:kern w:val="0"/>
          <w:sz w:val="24"/>
        </w:rPr>
      </w:pPr>
      <w:r>
        <w:rPr>
          <w:rFonts w:hint="eastAsia"/>
          <w:kern w:val="0"/>
          <w:sz w:val="24"/>
        </w:rPr>
        <w:t>电话：0531-89606166</w:t>
      </w:r>
    </w:p>
    <w:p>
      <w:pPr>
        <w:widowControl/>
        <w:tabs>
          <w:tab w:val="center" w:pos="4393"/>
        </w:tabs>
        <w:adjustRightInd w:val="0"/>
        <w:snapToGrid w:val="0"/>
        <w:spacing w:line="360" w:lineRule="auto"/>
        <w:ind w:firstLine="480" w:firstLineChars="200"/>
        <w:rPr>
          <w:kern w:val="0"/>
          <w:sz w:val="24"/>
        </w:rPr>
      </w:pPr>
      <w:r>
        <w:rPr>
          <w:rFonts w:hint="eastAsia"/>
          <w:kern w:val="0"/>
          <w:sz w:val="24"/>
        </w:rPr>
        <w:t>传真：0532-85022605</w:t>
      </w:r>
    </w:p>
    <w:p>
      <w:pPr>
        <w:widowControl/>
        <w:tabs>
          <w:tab w:val="center" w:pos="4393"/>
        </w:tabs>
        <w:adjustRightInd w:val="0"/>
        <w:snapToGrid w:val="0"/>
        <w:spacing w:line="360" w:lineRule="auto"/>
        <w:ind w:firstLine="480" w:firstLineChars="200"/>
        <w:rPr>
          <w:kern w:val="0"/>
          <w:sz w:val="24"/>
        </w:rPr>
      </w:pPr>
      <w:r>
        <w:rPr>
          <w:rFonts w:hint="eastAsia"/>
          <w:kern w:val="0"/>
          <w:sz w:val="24"/>
        </w:rPr>
        <w:t>联系人：赵如意</w:t>
      </w:r>
    </w:p>
    <w:p>
      <w:pPr>
        <w:widowControl/>
        <w:tabs>
          <w:tab w:val="center" w:pos="4393"/>
        </w:tabs>
        <w:adjustRightInd w:val="0"/>
        <w:snapToGrid w:val="0"/>
        <w:spacing w:line="360" w:lineRule="auto"/>
        <w:ind w:firstLine="480" w:firstLineChars="200"/>
        <w:rPr>
          <w:kern w:val="0"/>
          <w:sz w:val="24"/>
        </w:rPr>
      </w:pPr>
      <w:r>
        <w:rPr>
          <w:rFonts w:hint="eastAsia"/>
          <w:kern w:val="0"/>
          <w:sz w:val="24"/>
        </w:rPr>
        <w:t>客户服务电话：95548</w:t>
      </w:r>
    </w:p>
    <w:p>
      <w:pPr>
        <w:widowControl/>
        <w:tabs>
          <w:tab w:val="center" w:pos="4393"/>
        </w:tabs>
        <w:adjustRightInd w:val="0"/>
        <w:snapToGrid w:val="0"/>
        <w:spacing w:line="360" w:lineRule="auto"/>
        <w:ind w:firstLine="480" w:firstLineChars="200"/>
        <w:rPr>
          <w:kern w:val="0"/>
          <w:sz w:val="24"/>
        </w:rPr>
      </w:pPr>
      <w:r>
        <w:rPr>
          <w:rFonts w:hint="eastAsia"/>
          <w:kern w:val="0"/>
          <w:sz w:val="24"/>
        </w:rPr>
        <w:t>网址：sd.citics.com</w:t>
      </w:r>
    </w:p>
    <w:p>
      <w:pPr>
        <w:widowControl/>
        <w:tabs>
          <w:tab w:val="center" w:pos="4393"/>
        </w:tabs>
        <w:adjustRightInd w:val="0"/>
        <w:snapToGrid w:val="0"/>
        <w:spacing w:line="360" w:lineRule="auto"/>
        <w:ind w:firstLine="480" w:firstLineChars="200"/>
        <w:rPr>
          <w:kern w:val="0"/>
          <w:sz w:val="24"/>
        </w:rPr>
      </w:pPr>
      <w:r>
        <w:rPr>
          <w:rFonts w:hint="eastAsia"/>
          <w:kern w:val="0"/>
          <w:sz w:val="24"/>
        </w:rPr>
        <w:t>（4）中信证券华南股份有限公司</w:t>
      </w:r>
    </w:p>
    <w:p>
      <w:pPr>
        <w:widowControl/>
        <w:tabs>
          <w:tab w:val="center" w:pos="4393"/>
        </w:tabs>
        <w:adjustRightInd w:val="0"/>
        <w:snapToGrid w:val="0"/>
        <w:spacing w:line="360" w:lineRule="auto"/>
        <w:ind w:firstLine="480" w:firstLineChars="200"/>
        <w:rPr>
          <w:kern w:val="0"/>
          <w:sz w:val="24"/>
        </w:rPr>
      </w:pPr>
      <w:r>
        <w:rPr>
          <w:rFonts w:hint="eastAsia"/>
          <w:kern w:val="0"/>
          <w:sz w:val="24"/>
        </w:rPr>
        <w:t>住所：广州市天河区珠江西路5号广州国际金融中心主塔19层、20层</w:t>
      </w:r>
    </w:p>
    <w:p>
      <w:pPr>
        <w:widowControl/>
        <w:tabs>
          <w:tab w:val="center" w:pos="4393"/>
        </w:tabs>
        <w:adjustRightInd w:val="0"/>
        <w:snapToGrid w:val="0"/>
        <w:spacing w:line="360" w:lineRule="auto"/>
        <w:ind w:firstLine="480" w:firstLineChars="200"/>
        <w:rPr>
          <w:kern w:val="0"/>
          <w:sz w:val="24"/>
        </w:rPr>
      </w:pPr>
      <w:r>
        <w:rPr>
          <w:rFonts w:hint="eastAsia"/>
          <w:kern w:val="0"/>
          <w:sz w:val="24"/>
        </w:rPr>
        <w:t>办公地址：广州市天河区珠江西路5号广州国际金融中心主塔19层、20层</w:t>
      </w:r>
    </w:p>
    <w:p>
      <w:pPr>
        <w:widowControl/>
        <w:tabs>
          <w:tab w:val="center" w:pos="4393"/>
        </w:tabs>
        <w:adjustRightInd w:val="0"/>
        <w:snapToGrid w:val="0"/>
        <w:spacing w:line="360" w:lineRule="auto"/>
        <w:ind w:firstLine="480" w:firstLineChars="200"/>
        <w:rPr>
          <w:kern w:val="0"/>
          <w:sz w:val="24"/>
        </w:rPr>
      </w:pPr>
      <w:r>
        <w:rPr>
          <w:rFonts w:hint="eastAsia"/>
          <w:kern w:val="0"/>
          <w:sz w:val="24"/>
        </w:rPr>
        <w:t>法定代表人：陈可可</w:t>
      </w:r>
    </w:p>
    <w:p>
      <w:pPr>
        <w:widowControl/>
        <w:tabs>
          <w:tab w:val="center" w:pos="4393"/>
        </w:tabs>
        <w:adjustRightInd w:val="0"/>
        <w:snapToGrid w:val="0"/>
        <w:spacing w:line="360" w:lineRule="auto"/>
        <w:ind w:firstLine="480" w:firstLineChars="200"/>
        <w:rPr>
          <w:kern w:val="0"/>
          <w:sz w:val="24"/>
        </w:rPr>
      </w:pPr>
      <w:r>
        <w:rPr>
          <w:rFonts w:hint="eastAsia"/>
          <w:kern w:val="0"/>
          <w:sz w:val="24"/>
        </w:rPr>
        <w:t>电话：020-88836999</w:t>
      </w:r>
    </w:p>
    <w:p>
      <w:pPr>
        <w:widowControl/>
        <w:tabs>
          <w:tab w:val="center" w:pos="4393"/>
        </w:tabs>
        <w:adjustRightInd w:val="0"/>
        <w:snapToGrid w:val="0"/>
        <w:spacing w:line="360" w:lineRule="auto"/>
        <w:ind w:firstLine="480" w:firstLineChars="200"/>
        <w:rPr>
          <w:kern w:val="0"/>
          <w:sz w:val="24"/>
        </w:rPr>
      </w:pPr>
      <w:r>
        <w:rPr>
          <w:rFonts w:hint="eastAsia"/>
          <w:kern w:val="0"/>
          <w:sz w:val="24"/>
        </w:rPr>
        <w:t>传真：020-88836984</w:t>
      </w:r>
    </w:p>
    <w:p>
      <w:pPr>
        <w:widowControl/>
        <w:tabs>
          <w:tab w:val="center" w:pos="4393"/>
        </w:tabs>
        <w:adjustRightInd w:val="0"/>
        <w:snapToGrid w:val="0"/>
        <w:spacing w:line="360" w:lineRule="auto"/>
        <w:ind w:firstLine="480" w:firstLineChars="200"/>
        <w:rPr>
          <w:kern w:val="0"/>
          <w:sz w:val="24"/>
        </w:rPr>
      </w:pPr>
      <w:r>
        <w:rPr>
          <w:rFonts w:hint="eastAsia"/>
          <w:kern w:val="0"/>
          <w:sz w:val="24"/>
        </w:rPr>
        <w:t>联系人：郭杏燕</w:t>
      </w:r>
    </w:p>
    <w:p>
      <w:pPr>
        <w:widowControl/>
        <w:tabs>
          <w:tab w:val="center" w:pos="4393"/>
        </w:tabs>
        <w:adjustRightInd w:val="0"/>
        <w:snapToGrid w:val="0"/>
        <w:spacing w:line="360" w:lineRule="auto"/>
        <w:ind w:firstLine="480" w:firstLineChars="200"/>
        <w:rPr>
          <w:kern w:val="0"/>
          <w:sz w:val="24"/>
        </w:rPr>
      </w:pPr>
      <w:r>
        <w:rPr>
          <w:rFonts w:hint="eastAsia"/>
          <w:kern w:val="0"/>
          <w:sz w:val="24"/>
        </w:rPr>
        <w:t>客服电话：（020）95396</w:t>
      </w:r>
    </w:p>
    <w:p>
      <w:pPr>
        <w:widowControl/>
        <w:tabs>
          <w:tab w:val="center" w:pos="4393"/>
        </w:tabs>
        <w:adjustRightInd w:val="0"/>
        <w:snapToGrid w:val="0"/>
        <w:spacing w:line="360" w:lineRule="auto"/>
        <w:ind w:firstLine="480" w:firstLineChars="200"/>
        <w:rPr>
          <w:kern w:val="0"/>
          <w:sz w:val="24"/>
        </w:rPr>
      </w:pPr>
      <w:r>
        <w:rPr>
          <w:rFonts w:hint="eastAsia"/>
          <w:kern w:val="0"/>
          <w:sz w:val="24"/>
        </w:rPr>
        <w:t>网址：www.gzs.com.cn</w:t>
      </w:r>
    </w:p>
    <w:p>
      <w:pPr>
        <w:widowControl/>
        <w:tabs>
          <w:tab w:val="center" w:pos="4393"/>
        </w:tabs>
        <w:adjustRightInd w:val="0"/>
        <w:snapToGrid w:val="0"/>
        <w:spacing w:line="360" w:lineRule="auto"/>
        <w:ind w:firstLine="480" w:firstLineChars="200"/>
        <w:rPr>
          <w:kern w:val="0"/>
          <w:sz w:val="24"/>
        </w:rPr>
      </w:pPr>
      <w:r>
        <w:rPr>
          <w:rFonts w:hint="eastAsia"/>
          <w:kern w:val="0"/>
          <w:sz w:val="24"/>
        </w:rPr>
        <w:t>（5）方正证券股份有限公司</w:t>
      </w:r>
    </w:p>
    <w:p>
      <w:pPr>
        <w:widowControl/>
        <w:tabs>
          <w:tab w:val="center" w:pos="4393"/>
        </w:tabs>
        <w:adjustRightInd w:val="0"/>
        <w:snapToGrid w:val="0"/>
        <w:spacing w:line="360" w:lineRule="auto"/>
        <w:ind w:firstLine="480" w:firstLineChars="200"/>
        <w:rPr>
          <w:kern w:val="0"/>
          <w:sz w:val="24"/>
        </w:rPr>
      </w:pPr>
      <w:r>
        <w:rPr>
          <w:rFonts w:hint="eastAsia"/>
          <w:kern w:val="0"/>
          <w:sz w:val="24"/>
        </w:rPr>
        <w:t>住所：湖南长沙芙蓉中路二段华侨国际大厦22-24层</w:t>
      </w:r>
    </w:p>
    <w:p>
      <w:pPr>
        <w:widowControl/>
        <w:tabs>
          <w:tab w:val="center" w:pos="4393"/>
        </w:tabs>
        <w:adjustRightInd w:val="0"/>
        <w:snapToGrid w:val="0"/>
        <w:spacing w:line="360" w:lineRule="auto"/>
        <w:ind w:firstLine="480" w:firstLineChars="200"/>
        <w:rPr>
          <w:kern w:val="0"/>
          <w:sz w:val="24"/>
        </w:rPr>
      </w:pPr>
      <w:r>
        <w:rPr>
          <w:rFonts w:hint="eastAsia"/>
          <w:kern w:val="0"/>
          <w:sz w:val="24"/>
        </w:rPr>
        <w:t>办公地址：湖南长沙芙蓉中路二段华侨国际大厦22-24层</w:t>
      </w:r>
    </w:p>
    <w:p>
      <w:pPr>
        <w:widowControl/>
        <w:tabs>
          <w:tab w:val="center" w:pos="4393"/>
        </w:tabs>
        <w:adjustRightInd w:val="0"/>
        <w:snapToGrid w:val="0"/>
        <w:spacing w:line="360" w:lineRule="auto"/>
        <w:ind w:firstLine="480" w:firstLineChars="200"/>
        <w:rPr>
          <w:kern w:val="0"/>
          <w:sz w:val="24"/>
        </w:rPr>
      </w:pPr>
      <w:r>
        <w:rPr>
          <w:rFonts w:hint="eastAsia"/>
          <w:kern w:val="0"/>
          <w:sz w:val="24"/>
        </w:rPr>
        <w:t>法定代表人：施华</w:t>
      </w:r>
    </w:p>
    <w:p>
      <w:pPr>
        <w:widowControl/>
        <w:tabs>
          <w:tab w:val="center" w:pos="4393"/>
        </w:tabs>
        <w:adjustRightInd w:val="0"/>
        <w:snapToGrid w:val="0"/>
        <w:spacing w:line="360" w:lineRule="auto"/>
        <w:ind w:firstLine="480" w:firstLineChars="200"/>
        <w:rPr>
          <w:kern w:val="0"/>
          <w:sz w:val="24"/>
        </w:rPr>
      </w:pPr>
      <w:r>
        <w:rPr>
          <w:rFonts w:hint="eastAsia"/>
          <w:kern w:val="0"/>
          <w:sz w:val="24"/>
        </w:rPr>
        <w:t>电话：（010）68546765</w:t>
      </w:r>
    </w:p>
    <w:p>
      <w:pPr>
        <w:widowControl/>
        <w:tabs>
          <w:tab w:val="center" w:pos="4393"/>
        </w:tabs>
        <w:adjustRightInd w:val="0"/>
        <w:snapToGrid w:val="0"/>
        <w:spacing w:line="360" w:lineRule="auto"/>
        <w:ind w:firstLine="480" w:firstLineChars="200"/>
        <w:rPr>
          <w:kern w:val="0"/>
          <w:sz w:val="24"/>
        </w:rPr>
      </w:pPr>
      <w:r>
        <w:rPr>
          <w:rFonts w:hint="eastAsia"/>
          <w:kern w:val="0"/>
          <w:sz w:val="24"/>
        </w:rPr>
        <w:t>传真：（010）68546792</w:t>
      </w:r>
    </w:p>
    <w:p>
      <w:pPr>
        <w:widowControl/>
        <w:tabs>
          <w:tab w:val="center" w:pos="4393"/>
        </w:tabs>
        <w:adjustRightInd w:val="0"/>
        <w:snapToGrid w:val="0"/>
        <w:spacing w:line="360" w:lineRule="auto"/>
        <w:ind w:firstLine="480" w:firstLineChars="200"/>
        <w:rPr>
          <w:kern w:val="0"/>
          <w:sz w:val="24"/>
        </w:rPr>
      </w:pPr>
      <w:r>
        <w:rPr>
          <w:rFonts w:hint="eastAsia"/>
          <w:kern w:val="0"/>
          <w:sz w:val="24"/>
        </w:rPr>
        <w:t>联系人：张达</w:t>
      </w:r>
    </w:p>
    <w:p>
      <w:pPr>
        <w:widowControl/>
        <w:tabs>
          <w:tab w:val="center" w:pos="4393"/>
        </w:tabs>
        <w:adjustRightInd w:val="0"/>
        <w:snapToGrid w:val="0"/>
        <w:spacing w:line="360" w:lineRule="auto"/>
        <w:ind w:firstLine="480" w:firstLineChars="200"/>
        <w:rPr>
          <w:kern w:val="0"/>
          <w:sz w:val="24"/>
        </w:rPr>
      </w:pPr>
      <w:r>
        <w:rPr>
          <w:rFonts w:hint="eastAsia"/>
          <w:kern w:val="0"/>
          <w:sz w:val="24"/>
        </w:rPr>
        <w:t>客户服务电话：95571</w:t>
      </w:r>
    </w:p>
    <w:p>
      <w:pPr>
        <w:widowControl/>
        <w:tabs>
          <w:tab w:val="center" w:pos="4393"/>
        </w:tabs>
        <w:adjustRightInd w:val="0"/>
        <w:snapToGrid w:val="0"/>
        <w:spacing w:line="360" w:lineRule="auto"/>
        <w:ind w:firstLine="480" w:firstLineChars="200"/>
        <w:rPr>
          <w:kern w:val="0"/>
          <w:sz w:val="24"/>
        </w:rPr>
      </w:pPr>
      <w:r>
        <w:rPr>
          <w:rFonts w:hint="eastAsia"/>
          <w:kern w:val="0"/>
          <w:sz w:val="24"/>
        </w:rPr>
        <w:t>网址：www.foundersc.com</w:t>
      </w:r>
    </w:p>
    <w:p>
      <w:pPr>
        <w:widowControl/>
        <w:tabs>
          <w:tab w:val="center" w:pos="4393"/>
        </w:tabs>
        <w:adjustRightInd w:val="0"/>
        <w:snapToGrid w:val="0"/>
        <w:spacing w:line="360" w:lineRule="auto"/>
        <w:ind w:firstLine="480" w:firstLineChars="200"/>
        <w:rPr>
          <w:kern w:val="0"/>
          <w:sz w:val="24"/>
        </w:rPr>
      </w:pPr>
      <w:r>
        <w:rPr>
          <w:rFonts w:hint="eastAsia"/>
          <w:kern w:val="0"/>
          <w:sz w:val="24"/>
        </w:rPr>
        <w:t>（6）华泰证券股份有限公司</w:t>
      </w:r>
    </w:p>
    <w:p>
      <w:pPr>
        <w:widowControl/>
        <w:tabs>
          <w:tab w:val="center" w:pos="4393"/>
        </w:tabs>
        <w:adjustRightInd w:val="0"/>
        <w:snapToGrid w:val="0"/>
        <w:spacing w:line="360" w:lineRule="auto"/>
        <w:ind w:firstLine="480" w:firstLineChars="200"/>
        <w:rPr>
          <w:kern w:val="0"/>
          <w:sz w:val="24"/>
        </w:rPr>
      </w:pPr>
      <w:r>
        <w:rPr>
          <w:rFonts w:hint="eastAsia"/>
          <w:kern w:val="0"/>
          <w:sz w:val="24"/>
        </w:rPr>
        <w:t>住所：江苏省南京市江东中路228号</w:t>
      </w:r>
    </w:p>
    <w:p>
      <w:pPr>
        <w:widowControl/>
        <w:tabs>
          <w:tab w:val="center" w:pos="4393"/>
        </w:tabs>
        <w:adjustRightInd w:val="0"/>
        <w:snapToGrid w:val="0"/>
        <w:spacing w:line="360" w:lineRule="auto"/>
        <w:ind w:firstLine="480" w:firstLineChars="200"/>
        <w:rPr>
          <w:kern w:val="0"/>
          <w:sz w:val="24"/>
        </w:rPr>
      </w:pPr>
      <w:r>
        <w:rPr>
          <w:rFonts w:hint="eastAsia"/>
          <w:kern w:val="0"/>
          <w:sz w:val="24"/>
        </w:rPr>
        <w:t>办公地址：江苏省南京市建邺区江东中路228号华泰证券广场</w:t>
      </w:r>
    </w:p>
    <w:p>
      <w:pPr>
        <w:widowControl/>
        <w:tabs>
          <w:tab w:val="center" w:pos="4393"/>
        </w:tabs>
        <w:adjustRightInd w:val="0"/>
        <w:snapToGrid w:val="0"/>
        <w:spacing w:line="360" w:lineRule="auto"/>
        <w:ind w:firstLine="480" w:firstLineChars="200"/>
        <w:rPr>
          <w:kern w:val="0"/>
          <w:sz w:val="24"/>
        </w:rPr>
      </w:pPr>
      <w:r>
        <w:rPr>
          <w:rFonts w:hint="eastAsia"/>
          <w:kern w:val="0"/>
          <w:sz w:val="24"/>
        </w:rPr>
        <w:t>法定代表人：张伟</w:t>
      </w:r>
    </w:p>
    <w:p>
      <w:pPr>
        <w:widowControl/>
        <w:tabs>
          <w:tab w:val="center" w:pos="4393"/>
        </w:tabs>
        <w:adjustRightInd w:val="0"/>
        <w:snapToGrid w:val="0"/>
        <w:spacing w:line="360" w:lineRule="auto"/>
        <w:ind w:firstLine="480" w:firstLineChars="200"/>
        <w:rPr>
          <w:kern w:val="0"/>
          <w:sz w:val="24"/>
        </w:rPr>
      </w:pPr>
      <w:r>
        <w:rPr>
          <w:rFonts w:hint="eastAsia"/>
          <w:kern w:val="0"/>
          <w:sz w:val="24"/>
        </w:rPr>
        <w:t>电话：（0755）82492193</w:t>
      </w:r>
    </w:p>
    <w:p>
      <w:pPr>
        <w:widowControl/>
        <w:tabs>
          <w:tab w:val="center" w:pos="4393"/>
        </w:tabs>
        <w:adjustRightInd w:val="0"/>
        <w:snapToGrid w:val="0"/>
        <w:spacing w:line="360" w:lineRule="auto"/>
        <w:ind w:firstLine="480" w:firstLineChars="200"/>
        <w:rPr>
          <w:kern w:val="0"/>
          <w:sz w:val="24"/>
        </w:rPr>
      </w:pPr>
      <w:r>
        <w:rPr>
          <w:rFonts w:hint="eastAsia"/>
          <w:kern w:val="0"/>
          <w:sz w:val="24"/>
        </w:rPr>
        <w:t>传真：（0755）82492962</w:t>
      </w:r>
    </w:p>
    <w:p>
      <w:pPr>
        <w:widowControl/>
        <w:tabs>
          <w:tab w:val="center" w:pos="4393"/>
        </w:tabs>
        <w:adjustRightInd w:val="0"/>
        <w:snapToGrid w:val="0"/>
        <w:spacing w:line="360" w:lineRule="auto"/>
        <w:ind w:firstLine="480" w:firstLineChars="200"/>
        <w:rPr>
          <w:kern w:val="0"/>
          <w:sz w:val="24"/>
        </w:rPr>
      </w:pPr>
      <w:r>
        <w:rPr>
          <w:rFonts w:hint="eastAsia"/>
          <w:kern w:val="0"/>
          <w:sz w:val="24"/>
        </w:rPr>
        <w:t>联系人：徐浩津</w:t>
      </w:r>
    </w:p>
    <w:p>
      <w:pPr>
        <w:widowControl/>
        <w:tabs>
          <w:tab w:val="center" w:pos="4393"/>
        </w:tabs>
        <w:adjustRightInd w:val="0"/>
        <w:snapToGrid w:val="0"/>
        <w:spacing w:line="360" w:lineRule="auto"/>
        <w:ind w:firstLine="480" w:firstLineChars="200"/>
        <w:rPr>
          <w:kern w:val="0"/>
          <w:sz w:val="24"/>
        </w:rPr>
      </w:pPr>
      <w:r>
        <w:rPr>
          <w:rFonts w:hint="eastAsia"/>
          <w:kern w:val="0"/>
          <w:sz w:val="24"/>
        </w:rPr>
        <w:t>客户服务电话：95597</w:t>
      </w:r>
    </w:p>
    <w:p>
      <w:pPr>
        <w:widowControl/>
        <w:tabs>
          <w:tab w:val="center" w:pos="4393"/>
        </w:tabs>
        <w:adjustRightInd w:val="0"/>
        <w:snapToGrid w:val="0"/>
        <w:spacing w:line="360" w:lineRule="auto"/>
        <w:ind w:firstLine="480" w:firstLineChars="200"/>
        <w:rPr>
          <w:kern w:val="0"/>
          <w:sz w:val="24"/>
        </w:rPr>
      </w:pPr>
      <w:r>
        <w:rPr>
          <w:rFonts w:hint="eastAsia"/>
          <w:kern w:val="0"/>
          <w:sz w:val="24"/>
        </w:rPr>
        <w:t>网址：www.htsc.com.cn</w:t>
      </w:r>
    </w:p>
    <w:p>
      <w:pPr>
        <w:widowControl/>
        <w:tabs>
          <w:tab w:val="center" w:pos="4393"/>
        </w:tabs>
        <w:adjustRightInd w:val="0"/>
        <w:snapToGrid w:val="0"/>
        <w:spacing w:line="360" w:lineRule="auto"/>
        <w:ind w:firstLine="480" w:firstLineChars="200"/>
        <w:rPr>
          <w:kern w:val="0"/>
          <w:sz w:val="24"/>
        </w:rPr>
      </w:pPr>
      <w:r>
        <w:rPr>
          <w:rFonts w:hint="eastAsia"/>
          <w:kern w:val="0"/>
          <w:sz w:val="24"/>
        </w:rPr>
        <w:t>（7）中信建投证券股份有限公司</w:t>
      </w:r>
    </w:p>
    <w:p>
      <w:pPr>
        <w:widowControl/>
        <w:tabs>
          <w:tab w:val="center" w:pos="4393"/>
        </w:tabs>
        <w:adjustRightInd w:val="0"/>
        <w:snapToGrid w:val="0"/>
        <w:spacing w:line="360" w:lineRule="auto"/>
        <w:ind w:firstLine="480" w:firstLineChars="200"/>
        <w:rPr>
          <w:kern w:val="0"/>
          <w:sz w:val="24"/>
        </w:rPr>
      </w:pPr>
      <w:r>
        <w:rPr>
          <w:rFonts w:hint="eastAsia"/>
          <w:kern w:val="0"/>
          <w:sz w:val="24"/>
        </w:rPr>
        <w:t>住所：北京市朝阳区安立路66号4号楼</w:t>
      </w:r>
    </w:p>
    <w:p>
      <w:pPr>
        <w:widowControl/>
        <w:tabs>
          <w:tab w:val="center" w:pos="4393"/>
        </w:tabs>
        <w:adjustRightInd w:val="0"/>
        <w:snapToGrid w:val="0"/>
        <w:spacing w:line="360" w:lineRule="auto"/>
        <w:ind w:firstLine="480" w:firstLineChars="200"/>
        <w:rPr>
          <w:kern w:val="0"/>
          <w:sz w:val="24"/>
        </w:rPr>
      </w:pPr>
      <w:r>
        <w:rPr>
          <w:rFonts w:hint="eastAsia"/>
          <w:kern w:val="0"/>
          <w:sz w:val="24"/>
        </w:rPr>
        <w:t>办公地址：北京市朝阳门内大街188号</w:t>
      </w:r>
    </w:p>
    <w:p>
      <w:pPr>
        <w:widowControl/>
        <w:tabs>
          <w:tab w:val="center" w:pos="4393"/>
        </w:tabs>
        <w:adjustRightInd w:val="0"/>
        <w:snapToGrid w:val="0"/>
        <w:spacing w:line="360" w:lineRule="auto"/>
        <w:ind w:firstLine="480" w:firstLineChars="200"/>
        <w:rPr>
          <w:kern w:val="0"/>
          <w:sz w:val="24"/>
        </w:rPr>
      </w:pPr>
      <w:r>
        <w:rPr>
          <w:rFonts w:hint="eastAsia"/>
          <w:kern w:val="0"/>
          <w:sz w:val="24"/>
        </w:rPr>
        <w:t>法定代表人：刘成</w:t>
      </w:r>
    </w:p>
    <w:p>
      <w:pPr>
        <w:widowControl/>
        <w:tabs>
          <w:tab w:val="center" w:pos="4393"/>
        </w:tabs>
        <w:adjustRightInd w:val="0"/>
        <w:snapToGrid w:val="0"/>
        <w:spacing w:line="360" w:lineRule="auto"/>
        <w:ind w:firstLine="480" w:firstLineChars="200"/>
        <w:rPr>
          <w:kern w:val="0"/>
          <w:sz w:val="24"/>
        </w:rPr>
      </w:pPr>
      <w:r>
        <w:rPr>
          <w:rFonts w:hint="eastAsia"/>
          <w:kern w:val="0"/>
          <w:sz w:val="24"/>
        </w:rPr>
        <w:t>电话：（010）56135784</w:t>
      </w:r>
    </w:p>
    <w:p>
      <w:pPr>
        <w:widowControl/>
        <w:tabs>
          <w:tab w:val="center" w:pos="4393"/>
        </w:tabs>
        <w:adjustRightInd w:val="0"/>
        <w:snapToGrid w:val="0"/>
        <w:spacing w:line="360" w:lineRule="auto"/>
        <w:ind w:firstLine="480" w:firstLineChars="200"/>
        <w:rPr>
          <w:kern w:val="0"/>
          <w:sz w:val="24"/>
        </w:rPr>
      </w:pPr>
      <w:r>
        <w:rPr>
          <w:rFonts w:hint="eastAsia"/>
          <w:kern w:val="0"/>
          <w:sz w:val="24"/>
        </w:rPr>
        <w:t>联系人：刘芸</w:t>
      </w:r>
    </w:p>
    <w:p>
      <w:pPr>
        <w:widowControl/>
        <w:tabs>
          <w:tab w:val="center" w:pos="4393"/>
        </w:tabs>
        <w:adjustRightInd w:val="0"/>
        <w:snapToGrid w:val="0"/>
        <w:spacing w:line="360" w:lineRule="auto"/>
        <w:ind w:firstLine="480" w:firstLineChars="200"/>
        <w:rPr>
          <w:kern w:val="0"/>
          <w:sz w:val="24"/>
        </w:rPr>
      </w:pPr>
      <w:r>
        <w:rPr>
          <w:rFonts w:hint="eastAsia"/>
          <w:kern w:val="0"/>
          <w:sz w:val="24"/>
        </w:rPr>
        <w:t>客户服务电话：95587</w:t>
      </w:r>
    </w:p>
    <w:p>
      <w:pPr>
        <w:widowControl/>
        <w:tabs>
          <w:tab w:val="center" w:pos="4393"/>
        </w:tabs>
        <w:adjustRightInd w:val="0"/>
        <w:snapToGrid w:val="0"/>
        <w:spacing w:line="360" w:lineRule="auto"/>
        <w:ind w:firstLine="480" w:firstLineChars="200"/>
        <w:rPr>
          <w:kern w:val="0"/>
          <w:sz w:val="24"/>
        </w:rPr>
      </w:pPr>
      <w:r>
        <w:rPr>
          <w:rFonts w:hint="eastAsia"/>
          <w:kern w:val="0"/>
          <w:sz w:val="24"/>
        </w:rPr>
        <w:t>网址：www.csc108.com</w:t>
      </w:r>
    </w:p>
    <w:p>
      <w:pPr>
        <w:widowControl/>
        <w:tabs>
          <w:tab w:val="center" w:pos="4393"/>
        </w:tabs>
        <w:adjustRightInd w:val="0"/>
        <w:snapToGrid w:val="0"/>
        <w:spacing w:line="360" w:lineRule="auto"/>
        <w:ind w:firstLine="480" w:firstLineChars="200"/>
        <w:rPr>
          <w:kern w:val="0"/>
          <w:sz w:val="24"/>
        </w:rPr>
      </w:pPr>
      <w:r>
        <w:rPr>
          <w:rFonts w:hint="eastAsia"/>
          <w:kern w:val="0"/>
          <w:sz w:val="24"/>
        </w:rPr>
        <w:t>（8）广发证券股份有限公司</w:t>
      </w:r>
    </w:p>
    <w:p>
      <w:pPr>
        <w:widowControl/>
        <w:tabs>
          <w:tab w:val="center" w:pos="4393"/>
        </w:tabs>
        <w:adjustRightInd w:val="0"/>
        <w:snapToGrid w:val="0"/>
        <w:spacing w:line="360" w:lineRule="auto"/>
        <w:ind w:firstLine="480" w:firstLineChars="200"/>
        <w:rPr>
          <w:kern w:val="0"/>
          <w:sz w:val="24"/>
        </w:rPr>
      </w:pPr>
      <w:r>
        <w:rPr>
          <w:rFonts w:hint="eastAsia"/>
          <w:kern w:val="0"/>
          <w:sz w:val="24"/>
        </w:rPr>
        <w:t>住所：广州市黄埔区中新广州知识城腾飞一街2号618室</w:t>
      </w:r>
    </w:p>
    <w:p>
      <w:pPr>
        <w:widowControl/>
        <w:tabs>
          <w:tab w:val="center" w:pos="4393"/>
        </w:tabs>
        <w:adjustRightInd w:val="0"/>
        <w:snapToGrid w:val="0"/>
        <w:spacing w:line="360" w:lineRule="auto"/>
        <w:ind w:firstLine="480" w:firstLineChars="200"/>
        <w:rPr>
          <w:kern w:val="0"/>
          <w:sz w:val="24"/>
        </w:rPr>
      </w:pPr>
      <w:r>
        <w:rPr>
          <w:rFonts w:hint="eastAsia"/>
          <w:kern w:val="0"/>
          <w:sz w:val="24"/>
        </w:rPr>
        <w:t>办公地址：广州市天河区马场路26号广发证券大厦</w:t>
      </w:r>
    </w:p>
    <w:p>
      <w:pPr>
        <w:widowControl/>
        <w:tabs>
          <w:tab w:val="center" w:pos="4393"/>
        </w:tabs>
        <w:adjustRightInd w:val="0"/>
        <w:snapToGrid w:val="0"/>
        <w:spacing w:line="360" w:lineRule="auto"/>
        <w:ind w:firstLine="480" w:firstLineChars="200"/>
        <w:rPr>
          <w:kern w:val="0"/>
          <w:sz w:val="24"/>
        </w:rPr>
      </w:pPr>
      <w:r>
        <w:rPr>
          <w:rFonts w:hint="eastAsia"/>
          <w:kern w:val="0"/>
          <w:sz w:val="24"/>
        </w:rPr>
        <w:t>法定代表人：林传辉</w:t>
      </w:r>
    </w:p>
    <w:p>
      <w:pPr>
        <w:widowControl/>
        <w:tabs>
          <w:tab w:val="center" w:pos="4393"/>
        </w:tabs>
        <w:adjustRightInd w:val="0"/>
        <w:snapToGrid w:val="0"/>
        <w:spacing w:line="360" w:lineRule="auto"/>
        <w:ind w:firstLine="480" w:firstLineChars="200"/>
        <w:rPr>
          <w:kern w:val="0"/>
          <w:sz w:val="24"/>
        </w:rPr>
      </w:pPr>
      <w:r>
        <w:rPr>
          <w:rFonts w:hint="eastAsia"/>
          <w:kern w:val="0"/>
          <w:sz w:val="24"/>
        </w:rPr>
        <w:t>电话：（020）66338888</w:t>
      </w:r>
    </w:p>
    <w:p>
      <w:pPr>
        <w:widowControl/>
        <w:tabs>
          <w:tab w:val="center" w:pos="4393"/>
        </w:tabs>
        <w:adjustRightInd w:val="0"/>
        <w:snapToGrid w:val="0"/>
        <w:spacing w:line="360" w:lineRule="auto"/>
        <w:ind w:firstLine="480" w:firstLineChars="200"/>
        <w:rPr>
          <w:kern w:val="0"/>
          <w:sz w:val="24"/>
        </w:rPr>
      </w:pPr>
      <w:r>
        <w:rPr>
          <w:rFonts w:hint="eastAsia"/>
          <w:kern w:val="0"/>
          <w:sz w:val="24"/>
        </w:rPr>
        <w:t>传真：（020）87553600</w:t>
      </w:r>
    </w:p>
    <w:p>
      <w:pPr>
        <w:widowControl/>
        <w:tabs>
          <w:tab w:val="center" w:pos="4393"/>
        </w:tabs>
        <w:adjustRightInd w:val="0"/>
        <w:snapToGrid w:val="0"/>
        <w:spacing w:line="360" w:lineRule="auto"/>
        <w:ind w:firstLine="480" w:firstLineChars="200"/>
        <w:rPr>
          <w:kern w:val="0"/>
          <w:sz w:val="24"/>
        </w:rPr>
      </w:pPr>
      <w:r>
        <w:rPr>
          <w:rFonts w:hint="eastAsia"/>
          <w:kern w:val="0"/>
          <w:sz w:val="24"/>
        </w:rPr>
        <w:t>联系人：任嘉鹏</w:t>
      </w:r>
    </w:p>
    <w:p>
      <w:pPr>
        <w:widowControl/>
        <w:tabs>
          <w:tab w:val="center" w:pos="4393"/>
        </w:tabs>
        <w:adjustRightInd w:val="0"/>
        <w:snapToGrid w:val="0"/>
        <w:spacing w:line="360" w:lineRule="auto"/>
        <w:ind w:firstLine="480" w:firstLineChars="200"/>
        <w:rPr>
          <w:kern w:val="0"/>
          <w:sz w:val="24"/>
        </w:rPr>
      </w:pPr>
      <w:r>
        <w:rPr>
          <w:rFonts w:hint="eastAsia"/>
          <w:kern w:val="0"/>
          <w:sz w:val="24"/>
        </w:rPr>
        <w:t>客户服务电话：95575</w:t>
      </w:r>
    </w:p>
    <w:p>
      <w:pPr>
        <w:widowControl/>
        <w:tabs>
          <w:tab w:val="center" w:pos="4393"/>
        </w:tabs>
        <w:adjustRightInd w:val="0"/>
        <w:snapToGrid w:val="0"/>
        <w:spacing w:line="360" w:lineRule="auto"/>
        <w:ind w:firstLine="480" w:firstLineChars="200"/>
        <w:rPr>
          <w:kern w:val="0"/>
          <w:sz w:val="24"/>
        </w:rPr>
      </w:pPr>
      <w:r>
        <w:rPr>
          <w:rFonts w:hint="eastAsia"/>
          <w:kern w:val="0"/>
          <w:sz w:val="24"/>
        </w:rPr>
        <w:t>在募集期间，如调整发售代理机构，请见基金管理人发布的关于调整发售代理机构的相关公告或基金管理人网站。</w:t>
      </w:r>
    </w:p>
    <w:p>
      <w:pPr>
        <w:widowControl/>
        <w:adjustRightInd w:val="0"/>
        <w:snapToGrid w:val="0"/>
        <w:spacing w:line="360" w:lineRule="auto"/>
        <w:ind w:firstLine="480" w:firstLineChars="200"/>
        <w:rPr>
          <w:sz w:val="24"/>
        </w:rPr>
      </w:pPr>
      <w:r>
        <w:rPr>
          <w:kern w:val="0"/>
          <w:sz w:val="24"/>
        </w:rPr>
        <w:t>4</w:t>
      </w:r>
      <w:r>
        <w:rPr>
          <w:rFonts w:hint="eastAsia"/>
          <w:kern w:val="0"/>
          <w:sz w:val="24"/>
        </w:rPr>
        <w:t>、</w:t>
      </w:r>
      <w:r>
        <w:rPr>
          <w:rFonts w:hint="eastAsia"/>
          <w:sz w:val="24"/>
        </w:rPr>
        <w:t>网上现金发售代理机构</w:t>
      </w:r>
    </w:p>
    <w:p>
      <w:pPr>
        <w:widowControl/>
        <w:adjustRightInd w:val="0"/>
        <w:snapToGrid w:val="0"/>
        <w:spacing w:line="360" w:lineRule="auto"/>
        <w:ind w:firstLine="480" w:firstLineChars="200"/>
        <w:rPr>
          <w:kern w:val="0"/>
          <w:sz w:val="24"/>
        </w:rPr>
      </w:pPr>
      <w:r>
        <w:rPr>
          <w:rFonts w:hint="eastAsia"/>
          <w:kern w:val="0"/>
          <w:sz w:val="24"/>
        </w:rPr>
        <w:t>网上现金发售代理机构为具有基金销售业务资格的上海证券交易所会员单位，具体名单可在上海证券交易所网站查询。</w:t>
      </w:r>
    </w:p>
    <w:p>
      <w:pPr>
        <w:widowControl/>
        <w:adjustRightInd w:val="0"/>
        <w:snapToGrid w:val="0"/>
        <w:spacing w:line="360" w:lineRule="auto"/>
        <w:ind w:firstLine="480" w:firstLineChars="200"/>
        <w:rPr>
          <w:kern w:val="0"/>
          <w:sz w:val="24"/>
        </w:rPr>
      </w:pPr>
      <w:r>
        <w:rPr>
          <w:rFonts w:hint="eastAsia"/>
          <w:kern w:val="0"/>
          <w:sz w:val="24"/>
        </w:rPr>
        <w:t>5、基金管理人可根据有关法律法规的要求，选择其他符合要求的机构销售本基金。</w:t>
      </w:r>
    </w:p>
    <w:p>
      <w:pPr>
        <w:widowControl/>
        <w:adjustRightInd w:val="0"/>
        <w:snapToGrid w:val="0"/>
        <w:spacing w:line="360" w:lineRule="auto"/>
        <w:rPr>
          <w:b/>
          <w:kern w:val="0"/>
          <w:sz w:val="24"/>
        </w:rPr>
      </w:pPr>
      <w:r>
        <w:rPr>
          <w:kern w:val="0"/>
          <w:sz w:val="24"/>
        </w:rPr>
        <w:tab/>
      </w:r>
      <w:r>
        <w:rPr>
          <w:rFonts w:hint="eastAsia"/>
          <w:b/>
          <w:kern w:val="0"/>
          <w:sz w:val="24"/>
        </w:rPr>
        <w:t>（四）登记机构</w:t>
      </w:r>
    </w:p>
    <w:p>
      <w:pPr>
        <w:widowControl/>
        <w:adjustRightInd w:val="0"/>
        <w:snapToGrid w:val="0"/>
        <w:spacing w:line="360" w:lineRule="auto"/>
        <w:ind w:firstLine="480" w:firstLineChars="200"/>
        <w:rPr>
          <w:sz w:val="24"/>
        </w:rPr>
      </w:pPr>
      <w:r>
        <w:rPr>
          <w:rFonts w:hint="eastAsia"/>
          <w:sz w:val="24"/>
        </w:rPr>
        <w:t>名称：中国证券登记结算有限责任公司</w:t>
      </w:r>
    </w:p>
    <w:p>
      <w:pPr>
        <w:widowControl/>
        <w:adjustRightInd w:val="0"/>
        <w:snapToGrid w:val="0"/>
        <w:spacing w:line="360" w:lineRule="auto"/>
        <w:ind w:firstLine="480" w:firstLineChars="200"/>
        <w:rPr>
          <w:sz w:val="24"/>
        </w:rPr>
      </w:pPr>
      <w:r>
        <w:rPr>
          <w:rFonts w:hint="eastAsia"/>
          <w:sz w:val="24"/>
        </w:rPr>
        <w:t>地址：北京市西城区太平桥大街17号</w:t>
      </w:r>
    </w:p>
    <w:p>
      <w:pPr>
        <w:widowControl/>
        <w:adjustRightInd w:val="0"/>
        <w:snapToGrid w:val="0"/>
        <w:spacing w:line="360" w:lineRule="auto"/>
        <w:ind w:firstLine="480" w:firstLineChars="200"/>
        <w:rPr>
          <w:sz w:val="24"/>
        </w:rPr>
      </w:pPr>
      <w:r>
        <w:rPr>
          <w:rFonts w:hint="eastAsia"/>
          <w:sz w:val="24"/>
        </w:rPr>
        <w:t>法定代表人：于文强</w:t>
      </w:r>
    </w:p>
    <w:p>
      <w:pPr>
        <w:widowControl/>
        <w:adjustRightInd w:val="0"/>
        <w:snapToGrid w:val="0"/>
        <w:spacing w:line="360" w:lineRule="auto"/>
        <w:ind w:firstLine="480" w:firstLineChars="200"/>
        <w:rPr>
          <w:sz w:val="24"/>
        </w:rPr>
      </w:pPr>
      <w:r>
        <w:rPr>
          <w:rFonts w:hint="eastAsia"/>
          <w:sz w:val="24"/>
        </w:rPr>
        <w:t>联系电话：010-50938600</w:t>
      </w:r>
    </w:p>
    <w:p>
      <w:pPr>
        <w:widowControl/>
        <w:adjustRightInd w:val="0"/>
        <w:snapToGrid w:val="0"/>
        <w:spacing w:line="360" w:lineRule="auto"/>
        <w:ind w:firstLine="480" w:firstLineChars="200"/>
        <w:rPr>
          <w:sz w:val="24"/>
        </w:rPr>
      </w:pPr>
      <w:r>
        <w:rPr>
          <w:rFonts w:hint="eastAsia"/>
          <w:sz w:val="24"/>
        </w:rPr>
        <w:t>传真：010-50938907</w:t>
      </w:r>
    </w:p>
    <w:p>
      <w:pPr>
        <w:widowControl/>
        <w:adjustRightInd w:val="0"/>
        <w:snapToGrid w:val="0"/>
        <w:spacing w:line="360" w:lineRule="auto"/>
        <w:ind w:firstLine="480" w:firstLineChars="200"/>
        <w:rPr>
          <w:sz w:val="24"/>
        </w:rPr>
      </w:pPr>
      <w:r>
        <w:rPr>
          <w:rFonts w:hint="eastAsia"/>
          <w:sz w:val="24"/>
        </w:rPr>
        <w:t>联系人：赵亦清</w:t>
      </w:r>
    </w:p>
    <w:p>
      <w:pPr>
        <w:widowControl/>
        <w:adjustRightInd w:val="0"/>
        <w:snapToGrid w:val="0"/>
        <w:spacing w:line="360" w:lineRule="auto"/>
        <w:ind w:firstLine="482" w:firstLineChars="200"/>
        <w:rPr>
          <w:b/>
          <w:kern w:val="0"/>
          <w:sz w:val="24"/>
        </w:rPr>
      </w:pPr>
      <w:r>
        <w:rPr>
          <w:rFonts w:hint="eastAsia"/>
          <w:b/>
          <w:kern w:val="0"/>
          <w:sz w:val="24"/>
        </w:rPr>
        <w:t>（五）律师事务所和经办律师</w:t>
      </w:r>
    </w:p>
    <w:p>
      <w:pPr>
        <w:adjustRightInd w:val="0"/>
        <w:snapToGrid w:val="0"/>
        <w:spacing w:line="360" w:lineRule="auto"/>
        <w:ind w:firstLine="480" w:firstLineChars="200"/>
        <w:rPr>
          <w:kern w:val="0"/>
          <w:sz w:val="24"/>
        </w:rPr>
      </w:pPr>
      <w:r>
        <w:rPr>
          <w:rFonts w:hint="eastAsia"/>
          <w:kern w:val="0"/>
          <w:sz w:val="24"/>
        </w:rPr>
        <w:t>名称：上海市通力律师事务所</w:t>
      </w:r>
    </w:p>
    <w:p>
      <w:pPr>
        <w:adjustRightInd w:val="0"/>
        <w:snapToGrid w:val="0"/>
        <w:spacing w:line="360" w:lineRule="auto"/>
        <w:ind w:firstLine="480" w:firstLineChars="20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pPr>
        <w:adjustRightInd w:val="0"/>
        <w:snapToGrid w:val="0"/>
        <w:spacing w:line="360" w:lineRule="auto"/>
        <w:ind w:firstLine="480" w:firstLineChars="200"/>
        <w:rPr>
          <w:kern w:val="0"/>
          <w:sz w:val="24"/>
        </w:rPr>
      </w:pPr>
      <w:r>
        <w:rPr>
          <w:rFonts w:hint="eastAsia"/>
          <w:kern w:val="0"/>
          <w:sz w:val="24"/>
        </w:rPr>
        <w:t>办公地址：上海市银城中路</w:t>
      </w:r>
      <w:r>
        <w:rPr>
          <w:kern w:val="0"/>
          <w:sz w:val="24"/>
        </w:rPr>
        <w:t>68</w:t>
      </w:r>
      <w:r>
        <w:rPr>
          <w:rFonts w:hint="eastAsia"/>
          <w:kern w:val="0"/>
          <w:sz w:val="24"/>
        </w:rPr>
        <w:t>号时代金融中心18-20楼</w:t>
      </w:r>
    </w:p>
    <w:p>
      <w:pPr>
        <w:adjustRightInd w:val="0"/>
        <w:snapToGrid w:val="0"/>
        <w:spacing w:line="360" w:lineRule="auto"/>
        <w:ind w:firstLine="480" w:firstLineChars="200"/>
        <w:rPr>
          <w:kern w:val="0"/>
          <w:sz w:val="24"/>
        </w:rPr>
      </w:pPr>
      <w:r>
        <w:rPr>
          <w:rFonts w:hint="eastAsia"/>
          <w:kern w:val="0"/>
          <w:sz w:val="24"/>
        </w:rPr>
        <w:t>负责人：韩</w:t>
      </w:r>
      <w:r>
        <w:rPr>
          <w:kern w:val="0"/>
          <w:sz w:val="24"/>
        </w:rPr>
        <w:t>炯</w:t>
      </w:r>
    </w:p>
    <w:p>
      <w:pPr>
        <w:adjustRightInd w:val="0"/>
        <w:snapToGrid w:val="0"/>
        <w:spacing w:line="360" w:lineRule="auto"/>
        <w:ind w:firstLine="480" w:firstLineChars="20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pPr>
        <w:adjustRightInd w:val="0"/>
        <w:snapToGrid w:val="0"/>
        <w:spacing w:line="360" w:lineRule="auto"/>
        <w:ind w:firstLine="480" w:firstLineChars="20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pPr>
        <w:adjustRightInd w:val="0"/>
        <w:snapToGrid w:val="0"/>
        <w:spacing w:line="360" w:lineRule="auto"/>
        <w:ind w:firstLine="480" w:firstLineChars="200"/>
        <w:rPr>
          <w:kern w:val="0"/>
          <w:sz w:val="24"/>
        </w:rPr>
      </w:pPr>
      <w:r>
        <w:rPr>
          <w:rFonts w:hint="eastAsia"/>
          <w:kern w:val="0"/>
          <w:sz w:val="24"/>
        </w:rPr>
        <w:t>联系人：</w:t>
      </w:r>
      <w:r>
        <w:rPr>
          <w:rFonts w:hint="eastAsia" w:hAnsi="宋体"/>
          <w:kern w:val="0"/>
          <w:sz w:val="24"/>
        </w:rPr>
        <w:t>丁媛</w:t>
      </w:r>
    </w:p>
    <w:p>
      <w:pPr>
        <w:adjustRightInd w:val="0"/>
        <w:snapToGrid w:val="0"/>
        <w:spacing w:line="360" w:lineRule="auto"/>
        <w:ind w:firstLine="480" w:firstLineChars="200"/>
        <w:rPr>
          <w:rFonts w:hAnsi="宋体"/>
          <w:kern w:val="0"/>
          <w:sz w:val="24"/>
        </w:rPr>
      </w:pPr>
      <w:bookmarkStart w:id="7" w:name="OLE_LINK3"/>
      <w:bookmarkStart w:id="8" w:name="OLE_LINK4"/>
      <w:r>
        <w:rPr>
          <w:rFonts w:hint="eastAsia"/>
          <w:kern w:val="0"/>
          <w:sz w:val="24"/>
        </w:rPr>
        <w:t>经办律师</w:t>
      </w:r>
      <w:bookmarkEnd w:id="7"/>
      <w:bookmarkEnd w:id="8"/>
      <w:r>
        <w:rPr>
          <w:rFonts w:hint="eastAsia"/>
          <w:kern w:val="0"/>
          <w:sz w:val="24"/>
        </w:rPr>
        <w:t>：</w:t>
      </w:r>
      <w:r>
        <w:rPr>
          <w:sz w:val="24"/>
        </w:rPr>
        <w:t>丁媛</w:t>
      </w:r>
      <w:r>
        <w:rPr>
          <w:rFonts w:hint="eastAsia"/>
          <w:sz w:val="24"/>
        </w:rPr>
        <w:t>、李晓露</w:t>
      </w:r>
    </w:p>
    <w:p>
      <w:pPr>
        <w:widowControl/>
        <w:adjustRightInd w:val="0"/>
        <w:snapToGrid w:val="0"/>
        <w:spacing w:line="360" w:lineRule="auto"/>
        <w:ind w:firstLine="482" w:firstLineChars="200"/>
        <w:rPr>
          <w:b/>
          <w:kern w:val="0"/>
          <w:sz w:val="24"/>
        </w:rPr>
      </w:pPr>
      <w:r>
        <w:rPr>
          <w:rFonts w:hint="eastAsia"/>
          <w:b/>
          <w:kern w:val="0"/>
          <w:sz w:val="24"/>
        </w:rPr>
        <w:t>（六）会计师事务所和经办注册会计师</w:t>
      </w:r>
    </w:p>
    <w:p>
      <w:pPr>
        <w:widowControl/>
        <w:adjustRightInd w:val="0"/>
        <w:snapToGrid w:val="0"/>
        <w:spacing w:line="360" w:lineRule="auto"/>
        <w:ind w:firstLine="480" w:firstLineChars="200"/>
        <w:rPr>
          <w:sz w:val="24"/>
        </w:rPr>
      </w:pPr>
      <w:r>
        <w:rPr>
          <w:rFonts w:hint="eastAsia"/>
          <w:sz w:val="24"/>
        </w:rPr>
        <w:t>名称：容诚会计师事务所（特殊普通合伙）</w:t>
      </w:r>
    </w:p>
    <w:p>
      <w:pPr>
        <w:widowControl/>
        <w:adjustRightInd w:val="0"/>
        <w:snapToGrid w:val="0"/>
        <w:spacing w:line="360" w:lineRule="auto"/>
        <w:ind w:firstLine="480" w:firstLineChars="200"/>
        <w:rPr>
          <w:sz w:val="24"/>
        </w:rPr>
      </w:pPr>
      <w:r>
        <w:rPr>
          <w:rFonts w:hint="eastAsia"/>
          <w:sz w:val="24"/>
        </w:rPr>
        <w:t>注册地址：北京市西城区阜成门外大街22号1幢外经贸大厦901-22至901-26</w:t>
      </w:r>
    </w:p>
    <w:p>
      <w:pPr>
        <w:widowControl/>
        <w:adjustRightInd w:val="0"/>
        <w:snapToGrid w:val="0"/>
        <w:spacing w:line="360" w:lineRule="auto"/>
        <w:ind w:firstLine="480" w:firstLineChars="200"/>
        <w:rPr>
          <w:sz w:val="24"/>
        </w:rPr>
      </w:pPr>
      <w:r>
        <w:rPr>
          <w:rFonts w:hint="eastAsia"/>
          <w:sz w:val="24"/>
        </w:rPr>
        <w:t>办公地址：北京市西城区阜成门外大街22号1幢外经贸大厦901-22至901-26</w:t>
      </w:r>
    </w:p>
    <w:p>
      <w:pPr>
        <w:widowControl/>
        <w:adjustRightInd w:val="0"/>
        <w:snapToGrid w:val="0"/>
        <w:spacing w:line="360" w:lineRule="auto"/>
        <w:ind w:firstLine="480" w:firstLineChars="200"/>
        <w:rPr>
          <w:sz w:val="24"/>
        </w:rPr>
      </w:pPr>
      <w:r>
        <w:rPr>
          <w:rFonts w:hint="eastAsia"/>
          <w:sz w:val="24"/>
        </w:rPr>
        <w:t>电话：010-66001391</w:t>
      </w:r>
    </w:p>
    <w:p>
      <w:pPr>
        <w:widowControl/>
        <w:adjustRightInd w:val="0"/>
        <w:snapToGrid w:val="0"/>
        <w:spacing w:line="360" w:lineRule="auto"/>
        <w:ind w:firstLine="480" w:firstLineChars="200"/>
        <w:rPr>
          <w:sz w:val="24"/>
        </w:rPr>
      </w:pPr>
      <w:r>
        <w:rPr>
          <w:rFonts w:hint="eastAsia"/>
          <w:sz w:val="24"/>
        </w:rPr>
        <w:t>传真：010-66001391</w:t>
      </w:r>
    </w:p>
    <w:p>
      <w:pPr>
        <w:widowControl/>
        <w:adjustRightInd w:val="0"/>
        <w:snapToGrid w:val="0"/>
        <w:spacing w:line="360" w:lineRule="auto"/>
        <w:ind w:firstLine="480" w:firstLineChars="200"/>
        <w:rPr>
          <w:sz w:val="24"/>
        </w:rPr>
      </w:pPr>
      <w:r>
        <w:rPr>
          <w:rFonts w:hint="eastAsia"/>
          <w:sz w:val="24"/>
        </w:rPr>
        <w:t>执行事务合伙人：肖厚发、刘维</w:t>
      </w:r>
    </w:p>
    <w:p>
      <w:pPr>
        <w:widowControl/>
        <w:adjustRightInd w:val="0"/>
        <w:snapToGrid w:val="0"/>
        <w:spacing w:line="360" w:lineRule="auto"/>
        <w:ind w:firstLine="480" w:firstLineChars="200"/>
        <w:rPr>
          <w:sz w:val="24"/>
        </w:rPr>
      </w:pPr>
      <w:r>
        <w:rPr>
          <w:rFonts w:hint="eastAsia"/>
          <w:sz w:val="24"/>
        </w:rPr>
        <w:t>经办会计师：沈兆杰、李隐煜</w:t>
      </w:r>
    </w:p>
    <w:p>
      <w:pPr>
        <w:autoSpaceDE w:val="0"/>
        <w:autoSpaceDN w:val="0"/>
        <w:adjustRightInd w:val="0"/>
        <w:snapToGrid w:val="0"/>
        <w:spacing w:line="360" w:lineRule="auto"/>
        <w:ind w:firstLine="480" w:firstLineChars="200"/>
        <w:jc w:val="left"/>
        <w:rPr>
          <w:sz w:val="24"/>
        </w:rPr>
      </w:pPr>
      <w:r>
        <w:rPr>
          <w:rFonts w:hint="eastAsia"/>
          <w:sz w:val="24"/>
        </w:rPr>
        <w:t>联系人：李隐煜</w:t>
      </w:r>
    </w:p>
    <w:p>
      <w:pPr>
        <w:widowControl/>
        <w:adjustRightInd w:val="0"/>
        <w:snapToGrid w:val="0"/>
        <w:spacing w:line="360" w:lineRule="auto"/>
        <w:ind w:firstLine="480" w:firstLineChars="200"/>
        <w:jc w:val="right"/>
        <w:rPr>
          <w:kern w:val="0"/>
          <w:sz w:val="24"/>
        </w:rPr>
      </w:pPr>
    </w:p>
    <w:p>
      <w:pPr>
        <w:widowControl/>
        <w:adjustRightInd w:val="0"/>
        <w:snapToGrid w:val="0"/>
        <w:spacing w:line="360" w:lineRule="auto"/>
        <w:ind w:firstLine="480" w:firstLineChars="200"/>
        <w:jc w:val="right"/>
        <w:rPr>
          <w:kern w:val="0"/>
          <w:sz w:val="24"/>
        </w:rPr>
      </w:pPr>
      <w:r>
        <w:rPr>
          <w:kern w:val="0"/>
          <w:sz w:val="24"/>
        </w:rPr>
        <w:t>交银施罗德基金管理有限公司</w:t>
      </w:r>
    </w:p>
    <w:p>
      <w:pPr>
        <w:widowControl/>
        <w:adjustRightInd w:val="0"/>
        <w:snapToGrid w:val="0"/>
        <w:spacing w:line="360" w:lineRule="auto"/>
        <w:ind w:firstLine="480" w:firstLineChars="200"/>
        <w:jc w:val="right"/>
        <w:rPr>
          <w:kern w:val="0"/>
          <w:sz w:val="24"/>
        </w:rPr>
      </w:pPr>
      <w:r>
        <w:rPr>
          <w:rFonts w:hint="eastAsia"/>
          <w:kern w:val="0"/>
          <w:sz w:val="24"/>
        </w:rPr>
        <w:t>二〇二五年十一月二十四日</w:t>
      </w:r>
    </w:p>
    <w:sectPr>
      <w:headerReference r:id="rId3" w:type="default"/>
      <w:footerReference r:id="rId4" w:type="default"/>
      <w:pgSz w:w="11906" w:h="16838"/>
      <w:pgMar w:top="15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Sans">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21</w:t>
    </w:r>
    <w:r>
      <w:rPr>
        <w:lang w:val="zh-CN"/>
      </w:rP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tabs>
        <w:tab w:val="right" w:pos="8280"/>
      </w:tabs>
      <w:spacing w:line="160" w:lineRule="exact"/>
      <w:jc w:val="right"/>
    </w:pPr>
    <w:r>
      <w:drawing>
        <wp:anchor distT="0" distB="0" distL="114300" distR="114300" simplePos="0" relativeHeight="251660288" behindDoc="0" locked="0" layoutInCell="1" allowOverlap="1">
          <wp:simplePos x="0" y="0"/>
          <wp:positionH relativeFrom="column">
            <wp:posOffset>2540</wp:posOffset>
          </wp:positionH>
          <wp:positionV relativeFrom="paragraph">
            <wp:posOffset>-145415</wp:posOffset>
          </wp:positionV>
          <wp:extent cx="1549400" cy="205740"/>
          <wp:effectExtent l="0" t="0" r="0" b="4445"/>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549400" cy="205740"/>
                  </a:xfrm>
                  <a:prstGeom prst="rect">
                    <a:avLst/>
                  </a:prstGeom>
                  <a:noFill/>
                  <a:ln w="9525">
                    <a:noFill/>
                    <a:miter lim="800000"/>
                    <a:headEnd/>
                    <a:tailEnd/>
                  </a:ln>
                </pic:spPr>
              </pic:pic>
            </a:graphicData>
          </a:graphic>
        </wp:anchor>
      </w:drawing>
    </w:r>
  </w:p>
  <w:p>
    <w:pPr>
      <w:pStyle w:val="32"/>
      <w:pBdr>
        <w:bottom w:val="none" w:color="auto" w:sz="0" w:space="0"/>
      </w:pBdr>
      <w:tabs>
        <w:tab w:val="right" w:pos="8280"/>
      </w:tabs>
      <w:jc w:val="right"/>
      <w:rPr>
        <w:rFonts w:ascii="宋体"/>
      </w:rPr>
    </w:pPr>
    <w:r>
      <w:rPr>
        <w:rFonts w:hint="eastAsia" w:cs="宋体"/>
      </w:rPr>
      <w:t>交银施罗德中证智选沪深港科技50交易型开放式指数证券投资基金基金份额发售公告</w: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B5EBD"/>
    <w:multiLevelType w:val="multilevel"/>
    <w:tmpl w:val="07AB5EBD"/>
    <w:lvl w:ilvl="0" w:tentative="0">
      <w:start w:val="1"/>
      <w:numFmt w:val="chineseCountingThousand"/>
      <w:suff w:val="nothing"/>
      <w:lvlText w:val="第 %1 章  "/>
      <w:lvlJc w:val="left"/>
      <w:pPr>
        <w:ind w:left="1532" w:hanging="1701"/>
      </w:pPr>
      <w:rPr>
        <w:rFonts w:hint="default" w:ascii="Arial" w:hAnsi="Arial"/>
        <w:b/>
        <w:i w:val="0"/>
        <w:sz w:val="28"/>
      </w:rPr>
    </w:lvl>
    <w:lvl w:ilvl="1" w:tentative="0">
      <w:start w:val="1"/>
      <w:numFmt w:val="chineseCountingThousand"/>
      <w:suff w:val="nothing"/>
      <w:lvlText w:val="第 %2 节  "/>
      <w:lvlJc w:val="left"/>
      <w:pPr>
        <w:ind w:left="1532" w:hanging="1701"/>
      </w:pPr>
      <w:rPr>
        <w:rFonts w:hint="default" w:ascii="Arial" w:hAnsi="Arial" w:eastAsia="宋体"/>
        <w:b/>
        <w:i w:val="0"/>
        <w:sz w:val="24"/>
        <w:szCs w:val="24"/>
      </w:rPr>
    </w:lvl>
    <w:lvl w:ilvl="2" w:tentative="0">
      <w:start w:val="1"/>
      <w:numFmt w:val="chineseCountingThousand"/>
      <w:suff w:val="nothing"/>
      <w:lvlText w:val="%3、  "/>
      <w:lvlJc w:val="left"/>
      <w:pPr>
        <w:ind w:left="-164" w:firstLine="562"/>
      </w:pPr>
      <w:rPr>
        <w:rFonts w:hint="eastAsia"/>
        <w:sz w:val="24"/>
      </w:rPr>
    </w:lvl>
    <w:lvl w:ilvl="3" w:tentative="0">
      <w:start w:val="1"/>
      <w:numFmt w:val="chineseCountingThousand"/>
      <w:suff w:val="nothing"/>
      <w:lvlText w:val="(%4)  "/>
      <w:lvlJc w:val="left"/>
      <w:pPr>
        <w:ind w:left="120" w:firstLine="562"/>
      </w:pPr>
      <w:rPr>
        <w:rFonts w:hint="default"/>
      </w:rPr>
    </w:lvl>
    <w:lvl w:ilvl="4" w:tentative="0">
      <w:start w:val="1"/>
      <w:numFmt w:val="decimal"/>
      <w:pStyle w:val="120"/>
      <w:suff w:val="nothing"/>
      <w:lvlText w:val="%5、  "/>
      <w:lvlJc w:val="left"/>
      <w:pPr>
        <w:ind w:left="878" w:firstLine="562"/>
      </w:pPr>
      <w:rPr>
        <w:rFonts w:hint="default"/>
      </w:rPr>
    </w:lvl>
    <w:lvl w:ilvl="5" w:tentative="0">
      <w:start w:val="1"/>
      <w:numFmt w:val="decimal"/>
      <w:pStyle w:val="121"/>
      <w:suff w:val="nothing"/>
      <w:lvlText w:val="(%6)  "/>
      <w:lvlJc w:val="left"/>
      <w:pPr>
        <w:ind w:left="1152" w:firstLine="562"/>
      </w:pPr>
      <w:rPr>
        <w:rFonts w:hint="default"/>
      </w:rPr>
    </w:lvl>
    <w:lvl w:ilvl="6" w:tentative="0">
      <w:start w:val="1"/>
      <w:numFmt w:val="decimal"/>
      <w:lvlText w:val="%1.%2.%3.%4.%5.%6.%7"/>
      <w:lvlJc w:val="left"/>
      <w:pPr>
        <w:tabs>
          <w:tab w:val="left" w:pos="2056"/>
        </w:tabs>
        <w:ind w:left="1532" w:hanging="1701"/>
      </w:pPr>
      <w:rPr>
        <w:rFonts w:hint="default"/>
      </w:rPr>
    </w:lvl>
    <w:lvl w:ilvl="7" w:tentative="0">
      <w:start w:val="1"/>
      <w:numFmt w:val="decimal"/>
      <w:lvlText w:val="%1.%2.%3.%4.%5.%6.%7.%8"/>
      <w:lvlJc w:val="left"/>
      <w:pPr>
        <w:tabs>
          <w:tab w:val="left" w:pos="1696"/>
        </w:tabs>
        <w:ind w:left="1696" w:hanging="1440"/>
      </w:pPr>
      <w:rPr>
        <w:rFonts w:hint="default"/>
      </w:rPr>
    </w:lvl>
    <w:lvl w:ilvl="8" w:tentative="0">
      <w:start w:val="1"/>
      <w:numFmt w:val="decimal"/>
      <w:lvlText w:val="%1.%2.%3.%4.%5.%6.%7.%8.%9"/>
      <w:lvlJc w:val="left"/>
      <w:pPr>
        <w:tabs>
          <w:tab w:val="left" w:pos="1840"/>
        </w:tabs>
        <w:ind w:left="1840" w:hanging="1584"/>
      </w:pPr>
      <w:rPr>
        <w:rFonts w:hint="default"/>
      </w:rPr>
    </w:lvl>
  </w:abstractNum>
  <w:abstractNum w:abstractNumId="1">
    <w:nsid w:val="43B2480C"/>
    <w:multiLevelType w:val="singleLevel"/>
    <w:tmpl w:val="43B2480C"/>
    <w:lvl w:ilvl="0" w:tentative="0">
      <w:start w:val="1"/>
      <w:numFmt w:val="bullet"/>
      <w:pStyle w:val="115"/>
      <w:lvlText w:val=""/>
      <w:lvlJc w:val="left"/>
      <w:pPr>
        <w:tabs>
          <w:tab w:val="left" w:pos="680"/>
        </w:tabs>
        <w:ind w:left="680" w:hanging="68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A5"/>
    <w:rsid w:val="00001E6B"/>
    <w:rsid w:val="00002D8B"/>
    <w:rsid w:val="000030C3"/>
    <w:rsid w:val="00004239"/>
    <w:rsid w:val="00006222"/>
    <w:rsid w:val="000062C8"/>
    <w:rsid w:val="00007337"/>
    <w:rsid w:val="00011AC2"/>
    <w:rsid w:val="000122B7"/>
    <w:rsid w:val="00012CCB"/>
    <w:rsid w:val="000135DE"/>
    <w:rsid w:val="00014946"/>
    <w:rsid w:val="00015066"/>
    <w:rsid w:val="000163D3"/>
    <w:rsid w:val="00016AB7"/>
    <w:rsid w:val="0001786B"/>
    <w:rsid w:val="00017FA2"/>
    <w:rsid w:val="00020471"/>
    <w:rsid w:val="00021B9C"/>
    <w:rsid w:val="00021FE1"/>
    <w:rsid w:val="0002209F"/>
    <w:rsid w:val="0002239D"/>
    <w:rsid w:val="00023652"/>
    <w:rsid w:val="0002385C"/>
    <w:rsid w:val="0002478D"/>
    <w:rsid w:val="000266A3"/>
    <w:rsid w:val="00026D4F"/>
    <w:rsid w:val="00027021"/>
    <w:rsid w:val="000273C5"/>
    <w:rsid w:val="00027B7D"/>
    <w:rsid w:val="00030C4F"/>
    <w:rsid w:val="000310A6"/>
    <w:rsid w:val="00032473"/>
    <w:rsid w:val="00032E01"/>
    <w:rsid w:val="0003308E"/>
    <w:rsid w:val="00033BD5"/>
    <w:rsid w:val="00034A64"/>
    <w:rsid w:val="00035651"/>
    <w:rsid w:val="0003597F"/>
    <w:rsid w:val="000369B1"/>
    <w:rsid w:val="000371F3"/>
    <w:rsid w:val="000371FB"/>
    <w:rsid w:val="00040C9D"/>
    <w:rsid w:val="0004329A"/>
    <w:rsid w:val="0004367B"/>
    <w:rsid w:val="00043A2B"/>
    <w:rsid w:val="00043C21"/>
    <w:rsid w:val="000448AD"/>
    <w:rsid w:val="00045253"/>
    <w:rsid w:val="00046BCB"/>
    <w:rsid w:val="00046DE0"/>
    <w:rsid w:val="00046F16"/>
    <w:rsid w:val="00047B99"/>
    <w:rsid w:val="000530AF"/>
    <w:rsid w:val="000543DA"/>
    <w:rsid w:val="00054729"/>
    <w:rsid w:val="00056A64"/>
    <w:rsid w:val="00056EAB"/>
    <w:rsid w:val="00057391"/>
    <w:rsid w:val="00057871"/>
    <w:rsid w:val="000608AF"/>
    <w:rsid w:val="000613A0"/>
    <w:rsid w:val="00061407"/>
    <w:rsid w:val="000625B0"/>
    <w:rsid w:val="000629CB"/>
    <w:rsid w:val="0006319C"/>
    <w:rsid w:val="00063F52"/>
    <w:rsid w:val="000643A1"/>
    <w:rsid w:val="00064F3C"/>
    <w:rsid w:val="000656EE"/>
    <w:rsid w:val="00065A18"/>
    <w:rsid w:val="00066854"/>
    <w:rsid w:val="00066D73"/>
    <w:rsid w:val="00067D8D"/>
    <w:rsid w:val="00067FCA"/>
    <w:rsid w:val="00070C95"/>
    <w:rsid w:val="0007154E"/>
    <w:rsid w:val="000715BF"/>
    <w:rsid w:val="00072280"/>
    <w:rsid w:val="00073141"/>
    <w:rsid w:val="00074376"/>
    <w:rsid w:val="00075064"/>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C63"/>
    <w:rsid w:val="00083EFC"/>
    <w:rsid w:val="0008451D"/>
    <w:rsid w:val="000845A5"/>
    <w:rsid w:val="00084ED5"/>
    <w:rsid w:val="00084F82"/>
    <w:rsid w:val="0008538E"/>
    <w:rsid w:val="000855D4"/>
    <w:rsid w:val="0008646D"/>
    <w:rsid w:val="00087BC7"/>
    <w:rsid w:val="0009062F"/>
    <w:rsid w:val="00091A22"/>
    <w:rsid w:val="00091FE1"/>
    <w:rsid w:val="0009228A"/>
    <w:rsid w:val="0009289E"/>
    <w:rsid w:val="00093020"/>
    <w:rsid w:val="00093828"/>
    <w:rsid w:val="00094DCF"/>
    <w:rsid w:val="000952EA"/>
    <w:rsid w:val="0009613B"/>
    <w:rsid w:val="0009791D"/>
    <w:rsid w:val="000A08C7"/>
    <w:rsid w:val="000A0C30"/>
    <w:rsid w:val="000A0CF9"/>
    <w:rsid w:val="000A44BB"/>
    <w:rsid w:val="000A48B3"/>
    <w:rsid w:val="000A4A0F"/>
    <w:rsid w:val="000A4C7D"/>
    <w:rsid w:val="000A5137"/>
    <w:rsid w:val="000A6153"/>
    <w:rsid w:val="000A6190"/>
    <w:rsid w:val="000A62A6"/>
    <w:rsid w:val="000A66FA"/>
    <w:rsid w:val="000B003C"/>
    <w:rsid w:val="000B140E"/>
    <w:rsid w:val="000B1756"/>
    <w:rsid w:val="000B1CA1"/>
    <w:rsid w:val="000B319B"/>
    <w:rsid w:val="000B4F0F"/>
    <w:rsid w:val="000B68BD"/>
    <w:rsid w:val="000B7E82"/>
    <w:rsid w:val="000B7F7F"/>
    <w:rsid w:val="000C182F"/>
    <w:rsid w:val="000C223E"/>
    <w:rsid w:val="000C2593"/>
    <w:rsid w:val="000C2824"/>
    <w:rsid w:val="000C32C3"/>
    <w:rsid w:val="000C3722"/>
    <w:rsid w:val="000C374E"/>
    <w:rsid w:val="000C4067"/>
    <w:rsid w:val="000C4F12"/>
    <w:rsid w:val="000C4FD1"/>
    <w:rsid w:val="000C5031"/>
    <w:rsid w:val="000C57DC"/>
    <w:rsid w:val="000C5BB3"/>
    <w:rsid w:val="000C6708"/>
    <w:rsid w:val="000C6835"/>
    <w:rsid w:val="000C6AA6"/>
    <w:rsid w:val="000C6DF7"/>
    <w:rsid w:val="000C7496"/>
    <w:rsid w:val="000C769E"/>
    <w:rsid w:val="000C7ADD"/>
    <w:rsid w:val="000C7ECB"/>
    <w:rsid w:val="000D0479"/>
    <w:rsid w:val="000D0686"/>
    <w:rsid w:val="000D0F80"/>
    <w:rsid w:val="000D143C"/>
    <w:rsid w:val="000D33E0"/>
    <w:rsid w:val="000D5798"/>
    <w:rsid w:val="000D5C19"/>
    <w:rsid w:val="000D6936"/>
    <w:rsid w:val="000D7287"/>
    <w:rsid w:val="000E0B96"/>
    <w:rsid w:val="000E1118"/>
    <w:rsid w:val="000E12EF"/>
    <w:rsid w:val="000E22A5"/>
    <w:rsid w:val="000E266A"/>
    <w:rsid w:val="000E2AAE"/>
    <w:rsid w:val="000E3549"/>
    <w:rsid w:val="000E4A3F"/>
    <w:rsid w:val="000E5B07"/>
    <w:rsid w:val="000E74D7"/>
    <w:rsid w:val="000F0C1D"/>
    <w:rsid w:val="000F2255"/>
    <w:rsid w:val="000F2CCD"/>
    <w:rsid w:val="000F3288"/>
    <w:rsid w:val="000F5A46"/>
    <w:rsid w:val="000F5C6D"/>
    <w:rsid w:val="000F5E92"/>
    <w:rsid w:val="000F6383"/>
    <w:rsid w:val="000F69F8"/>
    <w:rsid w:val="000F7F90"/>
    <w:rsid w:val="00100478"/>
    <w:rsid w:val="0010123A"/>
    <w:rsid w:val="00102567"/>
    <w:rsid w:val="0010342F"/>
    <w:rsid w:val="00103B30"/>
    <w:rsid w:val="00103D9A"/>
    <w:rsid w:val="001058CB"/>
    <w:rsid w:val="00105E22"/>
    <w:rsid w:val="00106448"/>
    <w:rsid w:val="00106F6C"/>
    <w:rsid w:val="001071B2"/>
    <w:rsid w:val="00110051"/>
    <w:rsid w:val="001106EA"/>
    <w:rsid w:val="00110FDF"/>
    <w:rsid w:val="00111AFD"/>
    <w:rsid w:val="00113786"/>
    <w:rsid w:val="00113B6D"/>
    <w:rsid w:val="00113EFD"/>
    <w:rsid w:val="00114137"/>
    <w:rsid w:val="0011417A"/>
    <w:rsid w:val="001148D5"/>
    <w:rsid w:val="00114987"/>
    <w:rsid w:val="001149E0"/>
    <w:rsid w:val="001156EC"/>
    <w:rsid w:val="00116306"/>
    <w:rsid w:val="00116A93"/>
    <w:rsid w:val="001172E0"/>
    <w:rsid w:val="001175E0"/>
    <w:rsid w:val="00121F64"/>
    <w:rsid w:val="001221B7"/>
    <w:rsid w:val="00122467"/>
    <w:rsid w:val="00122894"/>
    <w:rsid w:val="00122BE0"/>
    <w:rsid w:val="0012360E"/>
    <w:rsid w:val="0012373B"/>
    <w:rsid w:val="00124539"/>
    <w:rsid w:val="001245A1"/>
    <w:rsid w:val="0012527F"/>
    <w:rsid w:val="0012560F"/>
    <w:rsid w:val="00126895"/>
    <w:rsid w:val="00126F01"/>
    <w:rsid w:val="00127CD7"/>
    <w:rsid w:val="00131CEF"/>
    <w:rsid w:val="00132488"/>
    <w:rsid w:val="00132555"/>
    <w:rsid w:val="00136B1B"/>
    <w:rsid w:val="00136B50"/>
    <w:rsid w:val="001400D2"/>
    <w:rsid w:val="00140DB1"/>
    <w:rsid w:val="00143964"/>
    <w:rsid w:val="001448EA"/>
    <w:rsid w:val="001458E7"/>
    <w:rsid w:val="00146167"/>
    <w:rsid w:val="00150E57"/>
    <w:rsid w:val="001518C8"/>
    <w:rsid w:val="00151D56"/>
    <w:rsid w:val="00151EFB"/>
    <w:rsid w:val="00153D75"/>
    <w:rsid w:val="001557B3"/>
    <w:rsid w:val="00155811"/>
    <w:rsid w:val="00156671"/>
    <w:rsid w:val="001572BC"/>
    <w:rsid w:val="001605EA"/>
    <w:rsid w:val="001608E7"/>
    <w:rsid w:val="00160D33"/>
    <w:rsid w:val="00162055"/>
    <w:rsid w:val="00163D55"/>
    <w:rsid w:val="0016403C"/>
    <w:rsid w:val="00164BA3"/>
    <w:rsid w:val="00164D2A"/>
    <w:rsid w:val="001657A6"/>
    <w:rsid w:val="0016597C"/>
    <w:rsid w:val="00165D58"/>
    <w:rsid w:val="001662CD"/>
    <w:rsid w:val="001665AD"/>
    <w:rsid w:val="001668D5"/>
    <w:rsid w:val="00167BF0"/>
    <w:rsid w:val="0017056F"/>
    <w:rsid w:val="00170CE0"/>
    <w:rsid w:val="00171072"/>
    <w:rsid w:val="00171C47"/>
    <w:rsid w:val="00172036"/>
    <w:rsid w:val="00172163"/>
    <w:rsid w:val="00172240"/>
    <w:rsid w:val="001724F4"/>
    <w:rsid w:val="00172A27"/>
    <w:rsid w:val="00172F45"/>
    <w:rsid w:val="001733BC"/>
    <w:rsid w:val="0017438A"/>
    <w:rsid w:val="00174BE9"/>
    <w:rsid w:val="0017594F"/>
    <w:rsid w:val="00176589"/>
    <w:rsid w:val="001776F6"/>
    <w:rsid w:val="00180BBA"/>
    <w:rsid w:val="00180CEB"/>
    <w:rsid w:val="00182162"/>
    <w:rsid w:val="00182D49"/>
    <w:rsid w:val="00183689"/>
    <w:rsid w:val="00183C1C"/>
    <w:rsid w:val="00184C51"/>
    <w:rsid w:val="00184E31"/>
    <w:rsid w:val="00186442"/>
    <w:rsid w:val="001872C5"/>
    <w:rsid w:val="00187894"/>
    <w:rsid w:val="00187976"/>
    <w:rsid w:val="00187B82"/>
    <w:rsid w:val="00187DDD"/>
    <w:rsid w:val="00191303"/>
    <w:rsid w:val="00192C18"/>
    <w:rsid w:val="0019367F"/>
    <w:rsid w:val="00194568"/>
    <w:rsid w:val="00194EE3"/>
    <w:rsid w:val="001950C7"/>
    <w:rsid w:val="001951FF"/>
    <w:rsid w:val="00196292"/>
    <w:rsid w:val="0019631F"/>
    <w:rsid w:val="001A0648"/>
    <w:rsid w:val="001A11C7"/>
    <w:rsid w:val="001A149F"/>
    <w:rsid w:val="001A1752"/>
    <w:rsid w:val="001A1A8A"/>
    <w:rsid w:val="001A1EBD"/>
    <w:rsid w:val="001A1EEC"/>
    <w:rsid w:val="001A23C4"/>
    <w:rsid w:val="001A2EE7"/>
    <w:rsid w:val="001A30EA"/>
    <w:rsid w:val="001A3564"/>
    <w:rsid w:val="001A3DE1"/>
    <w:rsid w:val="001A3EB9"/>
    <w:rsid w:val="001A42E6"/>
    <w:rsid w:val="001A49EE"/>
    <w:rsid w:val="001A4F39"/>
    <w:rsid w:val="001A5068"/>
    <w:rsid w:val="001A5F0D"/>
    <w:rsid w:val="001A5FFE"/>
    <w:rsid w:val="001A6740"/>
    <w:rsid w:val="001A68BE"/>
    <w:rsid w:val="001B0C97"/>
    <w:rsid w:val="001B16B9"/>
    <w:rsid w:val="001B1902"/>
    <w:rsid w:val="001B2051"/>
    <w:rsid w:val="001B2E4B"/>
    <w:rsid w:val="001B37C9"/>
    <w:rsid w:val="001B3A0F"/>
    <w:rsid w:val="001B5801"/>
    <w:rsid w:val="001B69C4"/>
    <w:rsid w:val="001B6FA6"/>
    <w:rsid w:val="001B7FAE"/>
    <w:rsid w:val="001C0B2F"/>
    <w:rsid w:val="001C0F4A"/>
    <w:rsid w:val="001C11F5"/>
    <w:rsid w:val="001C168C"/>
    <w:rsid w:val="001C19A9"/>
    <w:rsid w:val="001C1AEF"/>
    <w:rsid w:val="001C1D02"/>
    <w:rsid w:val="001C1EE4"/>
    <w:rsid w:val="001C2695"/>
    <w:rsid w:val="001C3FEF"/>
    <w:rsid w:val="001C4403"/>
    <w:rsid w:val="001C57F0"/>
    <w:rsid w:val="001C5B7C"/>
    <w:rsid w:val="001C62A3"/>
    <w:rsid w:val="001C62BB"/>
    <w:rsid w:val="001C646F"/>
    <w:rsid w:val="001C65D8"/>
    <w:rsid w:val="001C686B"/>
    <w:rsid w:val="001C7D22"/>
    <w:rsid w:val="001D15CD"/>
    <w:rsid w:val="001D2A72"/>
    <w:rsid w:val="001D2E28"/>
    <w:rsid w:val="001D41BE"/>
    <w:rsid w:val="001D4281"/>
    <w:rsid w:val="001D45E2"/>
    <w:rsid w:val="001D555F"/>
    <w:rsid w:val="001D5D14"/>
    <w:rsid w:val="001D6DA9"/>
    <w:rsid w:val="001D6F06"/>
    <w:rsid w:val="001D772F"/>
    <w:rsid w:val="001E0C86"/>
    <w:rsid w:val="001E0D64"/>
    <w:rsid w:val="001E14DB"/>
    <w:rsid w:val="001E2465"/>
    <w:rsid w:val="001E28D0"/>
    <w:rsid w:val="001E31E0"/>
    <w:rsid w:val="001E5DAC"/>
    <w:rsid w:val="001E5E7F"/>
    <w:rsid w:val="001E6A1F"/>
    <w:rsid w:val="001E7AE9"/>
    <w:rsid w:val="001E7DAF"/>
    <w:rsid w:val="001E7F0D"/>
    <w:rsid w:val="001F04F5"/>
    <w:rsid w:val="001F3B8C"/>
    <w:rsid w:val="001F3E19"/>
    <w:rsid w:val="001F51FF"/>
    <w:rsid w:val="001F60B0"/>
    <w:rsid w:val="001F786E"/>
    <w:rsid w:val="001F7B68"/>
    <w:rsid w:val="001F7C18"/>
    <w:rsid w:val="002011DF"/>
    <w:rsid w:val="00203CE6"/>
    <w:rsid w:val="002040C1"/>
    <w:rsid w:val="0020492D"/>
    <w:rsid w:val="00204AE9"/>
    <w:rsid w:val="00204B47"/>
    <w:rsid w:val="00204B5A"/>
    <w:rsid w:val="002050E5"/>
    <w:rsid w:val="002071E7"/>
    <w:rsid w:val="002076D2"/>
    <w:rsid w:val="00207B0A"/>
    <w:rsid w:val="00210009"/>
    <w:rsid w:val="002103A3"/>
    <w:rsid w:val="00211EEA"/>
    <w:rsid w:val="00213CA3"/>
    <w:rsid w:val="0021457F"/>
    <w:rsid w:val="00214FD0"/>
    <w:rsid w:val="00215DE7"/>
    <w:rsid w:val="00216403"/>
    <w:rsid w:val="002171DE"/>
    <w:rsid w:val="00217A0E"/>
    <w:rsid w:val="0022131C"/>
    <w:rsid w:val="002225C8"/>
    <w:rsid w:val="00222C2E"/>
    <w:rsid w:val="00223C2A"/>
    <w:rsid w:val="002248D8"/>
    <w:rsid w:val="00224D1F"/>
    <w:rsid w:val="002255AD"/>
    <w:rsid w:val="00227E2D"/>
    <w:rsid w:val="00230EF1"/>
    <w:rsid w:val="00231994"/>
    <w:rsid w:val="00232D70"/>
    <w:rsid w:val="00232FA7"/>
    <w:rsid w:val="00233C66"/>
    <w:rsid w:val="00234F32"/>
    <w:rsid w:val="002351BA"/>
    <w:rsid w:val="002368DC"/>
    <w:rsid w:val="002373B8"/>
    <w:rsid w:val="00237D60"/>
    <w:rsid w:val="00237DC8"/>
    <w:rsid w:val="00242A2E"/>
    <w:rsid w:val="00243378"/>
    <w:rsid w:val="0024338E"/>
    <w:rsid w:val="002448B3"/>
    <w:rsid w:val="002465FE"/>
    <w:rsid w:val="002469D9"/>
    <w:rsid w:val="00246E02"/>
    <w:rsid w:val="00250348"/>
    <w:rsid w:val="00250D85"/>
    <w:rsid w:val="002520B9"/>
    <w:rsid w:val="002522C5"/>
    <w:rsid w:val="002534B7"/>
    <w:rsid w:val="00253F24"/>
    <w:rsid w:val="002542CA"/>
    <w:rsid w:val="00254542"/>
    <w:rsid w:val="0025461F"/>
    <w:rsid w:val="00255005"/>
    <w:rsid w:val="0025510E"/>
    <w:rsid w:val="00255B6C"/>
    <w:rsid w:val="0025673D"/>
    <w:rsid w:val="00256AD3"/>
    <w:rsid w:val="00256FA0"/>
    <w:rsid w:val="00257074"/>
    <w:rsid w:val="002570A7"/>
    <w:rsid w:val="00257137"/>
    <w:rsid w:val="00257A75"/>
    <w:rsid w:val="00257CC3"/>
    <w:rsid w:val="002601C5"/>
    <w:rsid w:val="00261CDF"/>
    <w:rsid w:val="002633A1"/>
    <w:rsid w:val="00263A85"/>
    <w:rsid w:val="00263AD2"/>
    <w:rsid w:val="002645C8"/>
    <w:rsid w:val="00265396"/>
    <w:rsid w:val="0026557D"/>
    <w:rsid w:val="002658E4"/>
    <w:rsid w:val="00265EEE"/>
    <w:rsid w:val="00266A2C"/>
    <w:rsid w:val="00266C38"/>
    <w:rsid w:val="00267E61"/>
    <w:rsid w:val="00267F21"/>
    <w:rsid w:val="0027109F"/>
    <w:rsid w:val="002721DA"/>
    <w:rsid w:val="00272204"/>
    <w:rsid w:val="00272481"/>
    <w:rsid w:val="0027504C"/>
    <w:rsid w:val="002750EA"/>
    <w:rsid w:val="0027570E"/>
    <w:rsid w:val="00275C3A"/>
    <w:rsid w:val="00276B29"/>
    <w:rsid w:val="002804E3"/>
    <w:rsid w:val="0028135E"/>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3BA"/>
    <w:rsid w:val="002A09C9"/>
    <w:rsid w:val="002A0ADA"/>
    <w:rsid w:val="002A0C97"/>
    <w:rsid w:val="002A10E2"/>
    <w:rsid w:val="002A1436"/>
    <w:rsid w:val="002A1732"/>
    <w:rsid w:val="002A2D91"/>
    <w:rsid w:val="002A353A"/>
    <w:rsid w:val="002A3A85"/>
    <w:rsid w:val="002A3A91"/>
    <w:rsid w:val="002A456E"/>
    <w:rsid w:val="002A4586"/>
    <w:rsid w:val="002A6B18"/>
    <w:rsid w:val="002B0AD8"/>
    <w:rsid w:val="002B29DB"/>
    <w:rsid w:val="002B2DFB"/>
    <w:rsid w:val="002B466E"/>
    <w:rsid w:val="002B4704"/>
    <w:rsid w:val="002B48F5"/>
    <w:rsid w:val="002B4F20"/>
    <w:rsid w:val="002B5747"/>
    <w:rsid w:val="002B5BF3"/>
    <w:rsid w:val="002B5C65"/>
    <w:rsid w:val="002B611D"/>
    <w:rsid w:val="002B6822"/>
    <w:rsid w:val="002B6E87"/>
    <w:rsid w:val="002B6EE3"/>
    <w:rsid w:val="002B7776"/>
    <w:rsid w:val="002C0FFA"/>
    <w:rsid w:val="002C118B"/>
    <w:rsid w:val="002C1A0A"/>
    <w:rsid w:val="002C1C4E"/>
    <w:rsid w:val="002C231D"/>
    <w:rsid w:val="002C2497"/>
    <w:rsid w:val="002C5140"/>
    <w:rsid w:val="002C5E8D"/>
    <w:rsid w:val="002C6D73"/>
    <w:rsid w:val="002C7583"/>
    <w:rsid w:val="002D0B9F"/>
    <w:rsid w:val="002D1F25"/>
    <w:rsid w:val="002D2317"/>
    <w:rsid w:val="002D2B2F"/>
    <w:rsid w:val="002D38B9"/>
    <w:rsid w:val="002D3B95"/>
    <w:rsid w:val="002D3D64"/>
    <w:rsid w:val="002D4317"/>
    <w:rsid w:val="002D4711"/>
    <w:rsid w:val="002D4C00"/>
    <w:rsid w:val="002D55F6"/>
    <w:rsid w:val="002D5EC4"/>
    <w:rsid w:val="002D65AF"/>
    <w:rsid w:val="002D6D77"/>
    <w:rsid w:val="002D76A2"/>
    <w:rsid w:val="002E1A7E"/>
    <w:rsid w:val="002E26AD"/>
    <w:rsid w:val="002E28AD"/>
    <w:rsid w:val="002E3B8E"/>
    <w:rsid w:val="002E418E"/>
    <w:rsid w:val="002E550F"/>
    <w:rsid w:val="002E5FA6"/>
    <w:rsid w:val="002E611E"/>
    <w:rsid w:val="002E6A37"/>
    <w:rsid w:val="002F024D"/>
    <w:rsid w:val="002F1127"/>
    <w:rsid w:val="002F156B"/>
    <w:rsid w:val="002F16CF"/>
    <w:rsid w:val="002F1839"/>
    <w:rsid w:val="002F24F6"/>
    <w:rsid w:val="002F27BC"/>
    <w:rsid w:val="002F3544"/>
    <w:rsid w:val="002F5A19"/>
    <w:rsid w:val="002F5E03"/>
    <w:rsid w:val="002F6851"/>
    <w:rsid w:val="003008D1"/>
    <w:rsid w:val="003015B3"/>
    <w:rsid w:val="00301990"/>
    <w:rsid w:val="00302846"/>
    <w:rsid w:val="0030318F"/>
    <w:rsid w:val="003052FF"/>
    <w:rsid w:val="00306671"/>
    <w:rsid w:val="00307B3E"/>
    <w:rsid w:val="00311CD6"/>
    <w:rsid w:val="0031207D"/>
    <w:rsid w:val="00313969"/>
    <w:rsid w:val="00315C7C"/>
    <w:rsid w:val="00315E2F"/>
    <w:rsid w:val="00316F0B"/>
    <w:rsid w:val="003209D9"/>
    <w:rsid w:val="003219EC"/>
    <w:rsid w:val="0032211B"/>
    <w:rsid w:val="00322DCD"/>
    <w:rsid w:val="00322DFF"/>
    <w:rsid w:val="00324B29"/>
    <w:rsid w:val="003252B0"/>
    <w:rsid w:val="00325431"/>
    <w:rsid w:val="00325748"/>
    <w:rsid w:val="00325C15"/>
    <w:rsid w:val="00325CE6"/>
    <w:rsid w:val="00326540"/>
    <w:rsid w:val="00326C68"/>
    <w:rsid w:val="00327424"/>
    <w:rsid w:val="00327764"/>
    <w:rsid w:val="00327891"/>
    <w:rsid w:val="003305F3"/>
    <w:rsid w:val="0033123F"/>
    <w:rsid w:val="00331293"/>
    <w:rsid w:val="00331321"/>
    <w:rsid w:val="00331BDE"/>
    <w:rsid w:val="0033271D"/>
    <w:rsid w:val="0033284B"/>
    <w:rsid w:val="00333C78"/>
    <w:rsid w:val="003347ED"/>
    <w:rsid w:val="0033492A"/>
    <w:rsid w:val="00334C5E"/>
    <w:rsid w:val="00335975"/>
    <w:rsid w:val="00336007"/>
    <w:rsid w:val="00336728"/>
    <w:rsid w:val="00337F06"/>
    <w:rsid w:val="00340A3E"/>
    <w:rsid w:val="00340E4B"/>
    <w:rsid w:val="00342DDE"/>
    <w:rsid w:val="003432A8"/>
    <w:rsid w:val="0034394B"/>
    <w:rsid w:val="00343CFC"/>
    <w:rsid w:val="00343E78"/>
    <w:rsid w:val="003443C1"/>
    <w:rsid w:val="00345F95"/>
    <w:rsid w:val="00347405"/>
    <w:rsid w:val="00347BB4"/>
    <w:rsid w:val="003505F8"/>
    <w:rsid w:val="003515F5"/>
    <w:rsid w:val="00351E0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137"/>
    <w:rsid w:val="00362D75"/>
    <w:rsid w:val="00363D14"/>
    <w:rsid w:val="00364B78"/>
    <w:rsid w:val="00364DD0"/>
    <w:rsid w:val="00364DE4"/>
    <w:rsid w:val="00364E65"/>
    <w:rsid w:val="003662BD"/>
    <w:rsid w:val="00370274"/>
    <w:rsid w:val="00370AB0"/>
    <w:rsid w:val="00371C7E"/>
    <w:rsid w:val="0037204A"/>
    <w:rsid w:val="003725E1"/>
    <w:rsid w:val="003736A5"/>
    <w:rsid w:val="003744DA"/>
    <w:rsid w:val="00375089"/>
    <w:rsid w:val="003754CD"/>
    <w:rsid w:val="00377755"/>
    <w:rsid w:val="00377C27"/>
    <w:rsid w:val="003803E5"/>
    <w:rsid w:val="0038086C"/>
    <w:rsid w:val="00380937"/>
    <w:rsid w:val="00382296"/>
    <w:rsid w:val="0038284A"/>
    <w:rsid w:val="00383244"/>
    <w:rsid w:val="003833BE"/>
    <w:rsid w:val="00383D31"/>
    <w:rsid w:val="00383E77"/>
    <w:rsid w:val="00384968"/>
    <w:rsid w:val="00384C02"/>
    <w:rsid w:val="00384FF5"/>
    <w:rsid w:val="003856D3"/>
    <w:rsid w:val="00385A03"/>
    <w:rsid w:val="00385EB4"/>
    <w:rsid w:val="003860E9"/>
    <w:rsid w:val="00386AE5"/>
    <w:rsid w:val="00386CD6"/>
    <w:rsid w:val="003871FA"/>
    <w:rsid w:val="00392572"/>
    <w:rsid w:val="00392722"/>
    <w:rsid w:val="0039282B"/>
    <w:rsid w:val="00393D4B"/>
    <w:rsid w:val="00394063"/>
    <w:rsid w:val="003948A1"/>
    <w:rsid w:val="00394A30"/>
    <w:rsid w:val="00394DCD"/>
    <w:rsid w:val="00394FAD"/>
    <w:rsid w:val="0039592D"/>
    <w:rsid w:val="00395B86"/>
    <w:rsid w:val="00395DF3"/>
    <w:rsid w:val="003975A3"/>
    <w:rsid w:val="0039791B"/>
    <w:rsid w:val="00397A53"/>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125C"/>
    <w:rsid w:val="003B154B"/>
    <w:rsid w:val="003B16F2"/>
    <w:rsid w:val="003B1CD6"/>
    <w:rsid w:val="003B325A"/>
    <w:rsid w:val="003B5187"/>
    <w:rsid w:val="003B68D8"/>
    <w:rsid w:val="003B731C"/>
    <w:rsid w:val="003B79E7"/>
    <w:rsid w:val="003C0755"/>
    <w:rsid w:val="003C0BEA"/>
    <w:rsid w:val="003C620C"/>
    <w:rsid w:val="003C6B28"/>
    <w:rsid w:val="003C721E"/>
    <w:rsid w:val="003C72E2"/>
    <w:rsid w:val="003C7C6C"/>
    <w:rsid w:val="003C7D08"/>
    <w:rsid w:val="003D00A5"/>
    <w:rsid w:val="003D0269"/>
    <w:rsid w:val="003D0715"/>
    <w:rsid w:val="003D07CB"/>
    <w:rsid w:val="003D0993"/>
    <w:rsid w:val="003D237B"/>
    <w:rsid w:val="003D2613"/>
    <w:rsid w:val="003D3FF0"/>
    <w:rsid w:val="003D579D"/>
    <w:rsid w:val="003D6204"/>
    <w:rsid w:val="003D6A84"/>
    <w:rsid w:val="003D6DAA"/>
    <w:rsid w:val="003D6DB1"/>
    <w:rsid w:val="003D72B3"/>
    <w:rsid w:val="003E0138"/>
    <w:rsid w:val="003E0634"/>
    <w:rsid w:val="003E1E4E"/>
    <w:rsid w:val="003E2872"/>
    <w:rsid w:val="003E2ADA"/>
    <w:rsid w:val="003E2DFD"/>
    <w:rsid w:val="003E2E2E"/>
    <w:rsid w:val="003E2FD1"/>
    <w:rsid w:val="003E343C"/>
    <w:rsid w:val="003E3D28"/>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3F72CE"/>
    <w:rsid w:val="0040063B"/>
    <w:rsid w:val="00400670"/>
    <w:rsid w:val="00400CA3"/>
    <w:rsid w:val="00401052"/>
    <w:rsid w:val="00401899"/>
    <w:rsid w:val="00401AC3"/>
    <w:rsid w:val="00401DEF"/>
    <w:rsid w:val="0040239C"/>
    <w:rsid w:val="0040330D"/>
    <w:rsid w:val="00403B8C"/>
    <w:rsid w:val="00404021"/>
    <w:rsid w:val="00404592"/>
    <w:rsid w:val="00405AE7"/>
    <w:rsid w:val="00405BDD"/>
    <w:rsid w:val="00406A38"/>
    <w:rsid w:val="00407451"/>
    <w:rsid w:val="004074CF"/>
    <w:rsid w:val="00407CEC"/>
    <w:rsid w:val="00410BAD"/>
    <w:rsid w:val="00411DE6"/>
    <w:rsid w:val="00412881"/>
    <w:rsid w:val="00412EF8"/>
    <w:rsid w:val="00413FEB"/>
    <w:rsid w:val="00414F88"/>
    <w:rsid w:val="00415FA5"/>
    <w:rsid w:val="0041671D"/>
    <w:rsid w:val="004171A5"/>
    <w:rsid w:val="004178AD"/>
    <w:rsid w:val="00417F8D"/>
    <w:rsid w:val="00420366"/>
    <w:rsid w:val="004209FA"/>
    <w:rsid w:val="00422634"/>
    <w:rsid w:val="00422BC7"/>
    <w:rsid w:val="00423AF9"/>
    <w:rsid w:val="00424770"/>
    <w:rsid w:val="00424BBB"/>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08E1"/>
    <w:rsid w:val="004412C1"/>
    <w:rsid w:val="00441524"/>
    <w:rsid w:val="00441B2A"/>
    <w:rsid w:val="00442979"/>
    <w:rsid w:val="0044319D"/>
    <w:rsid w:val="00444546"/>
    <w:rsid w:val="004446BE"/>
    <w:rsid w:val="00444BD0"/>
    <w:rsid w:val="00444DAE"/>
    <w:rsid w:val="00445238"/>
    <w:rsid w:val="004452F9"/>
    <w:rsid w:val="004453DB"/>
    <w:rsid w:val="00450C6F"/>
    <w:rsid w:val="00450C88"/>
    <w:rsid w:val="00451C85"/>
    <w:rsid w:val="00452A97"/>
    <w:rsid w:val="00452BA4"/>
    <w:rsid w:val="00453AD0"/>
    <w:rsid w:val="00454DD9"/>
    <w:rsid w:val="00455727"/>
    <w:rsid w:val="00457ACB"/>
    <w:rsid w:val="0046020D"/>
    <w:rsid w:val="004606D3"/>
    <w:rsid w:val="004607BC"/>
    <w:rsid w:val="004611A7"/>
    <w:rsid w:val="00461289"/>
    <w:rsid w:val="00463132"/>
    <w:rsid w:val="00464A83"/>
    <w:rsid w:val="00464C75"/>
    <w:rsid w:val="00465711"/>
    <w:rsid w:val="00465EF1"/>
    <w:rsid w:val="004663CF"/>
    <w:rsid w:val="00466B6A"/>
    <w:rsid w:val="004671A8"/>
    <w:rsid w:val="00467ADC"/>
    <w:rsid w:val="0047042D"/>
    <w:rsid w:val="004713CA"/>
    <w:rsid w:val="0047260B"/>
    <w:rsid w:val="00474167"/>
    <w:rsid w:val="004749C5"/>
    <w:rsid w:val="00475172"/>
    <w:rsid w:val="004752E7"/>
    <w:rsid w:val="004762AB"/>
    <w:rsid w:val="004777FB"/>
    <w:rsid w:val="004779C5"/>
    <w:rsid w:val="00477E61"/>
    <w:rsid w:val="004812E6"/>
    <w:rsid w:val="00481CAB"/>
    <w:rsid w:val="00482AC5"/>
    <w:rsid w:val="00482AF3"/>
    <w:rsid w:val="00483498"/>
    <w:rsid w:val="00483981"/>
    <w:rsid w:val="00487F0D"/>
    <w:rsid w:val="004907A6"/>
    <w:rsid w:val="00490FA4"/>
    <w:rsid w:val="0049112E"/>
    <w:rsid w:val="00491217"/>
    <w:rsid w:val="00491313"/>
    <w:rsid w:val="00492AEB"/>
    <w:rsid w:val="00493A04"/>
    <w:rsid w:val="00493DE0"/>
    <w:rsid w:val="00494225"/>
    <w:rsid w:val="00496815"/>
    <w:rsid w:val="00496B35"/>
    <w:rsid w:val="004974B9"/>
    <w:rsid w:val="00497728"/>
    <w:rsid w:val="004A0B61"/>
    <w:rsid w:val="004A0ED4"/>
    <w:rsid w:val="004A1D92"/>
    <w:rsid w:val="004A2CC6"/>
    <w:rsid w:val="004A3D28"/>
    <w:rsid w:val="004A4099"/>
    <w:rsid w:val="004A42D3"/>
    <w:rsid w:val="004A6DDE"/>
    <w:rsid w:val="004A731A"/>
    <w:rsid w:val="004A798F"/>
    <w:rsid w:val="004A7E95"/>
    <w:rsid w:val="004B0995"/>
    <w:rsid w:val="004B0BED"/>
    <w:rsid w:val="004B1754"/>
    <w:rsid w:val="004B1F92"/>
    <w:rsid w:val="004B31AF"/>
    <w:rsid w:val="004B3564"/>
    <w:rsid w:val="004B3FF1"/>
    <w:rsid w:val="004B4F69"/>
    <w:rsid w:val="004B52F5"/>
    <w:rsid w:val="004B580A"/>
    <w:rsid w:val="004B595E"/>
    <w:rsid w:val="004B5D58"/>
    <w:rsid w:val="004B6695"/>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9F7"/>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9DD"/>
    <w:rsid w:val="004D3EB2"/>
    <w:rsid w:val="004D43B4"/>
    <w:rsid w:val="004D5F50"/>
    <w:rsid w:val="004D6446"/>
    <w:rsid w:val="004D65BC"/>
    <w:rsid w:val="004D7E6E"/>
    <w:rsid w:val="004D7F5D"/>
    <w:rsid w:val="004E0B0A"/>
    <w:rsid w:val="004E2043"/>
    <w:rsid w:val="004E22D8"/>
    <w:rsid w:val="004E2C3B"/>
    <w:rsid w:val="004E438D"/>
    <w:rsid w:val="004E6432"/>
    <w:rsid w:val="004E7EA8"/>
    <w:rsid w:val="004F0959"/>
    <w:rsid w:val="004F0AFC"/>
    <w:rsid w:val="004F1477"/>
    <w:rsid w:val="004F1EB7"/>
    <w:rsid w:val="004F27CA"/>
    <w:rsid w:val="004F3BC5"/>
    <w:rsid w:val="004F4372"/>
    <w:rsid w:val="004F4D5C"/>
    <w:rsid w:val="004F6AF6"/>
    <w:rsid w:val="004F6D3C"/>
    <w:rsid w:val="004F719C"/>
    <w:rsid w:val="004F733B"/>
    <w:rsid w:val="004F7812"/>
    <w:rsid w:val="005019A8"/>
    <w:rsid w:val="00502624"/>
    <w:rsid w:val="00502955"/>
    <w:rsid w:val="00503547"/>
    <w:rsid w:val="00504332"/>
    <w:rsid w:val="005046ED"/>
    <w:rsid w:val="00506E62"/>
    <w:rsid w:val="0051035D"/>
    <w:rsid w:val="0051211B"/>
    <w:rsid w:val="00512982"/>
    <w:rsid w:val="0051378F"/>
    <w:rsid w:val="005147C8"/>
    <w:rsid w:val="00515D66"/>
    <w:rsid w:val="0051602D"/>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07E3"/>
    <w:rsid w:val="0054140E"/>
    <w:rsid w:val="00541424"/>
    <w:rsid w:val="0054324E"/>
    <w:rsid w:val="005440C2"/>
    <w:rsid w:val="00546A47"/>
    <w:rsid w:val="00546F7C"/>
    <w:rsid w:val="00547302"/>
    <w:rsid w:val="00550196"/>
    <w:rsid w:val="005505FE"/>
    <w:rsid w:val="005517B6"/>
    <w:rsid w:val="00551AA3"/>
    <w:rsid w:val="00551AA5"/>
    <w:rsid w:val="00551E64"/>
    <w:rsid w:val="00553AD7"/>
    <w:rsid w:val="00553E69"/>
    <w:rsid w:val="005544DD"/>
    <w:rsid w:val="00554547"/>
    <w:rsid w:val="00554FB9"/>
    <w:rsid w:val="005556BE"/>
    <w:rsid w:val="00555DF6"/>
    <w:rsid w:val="00556764"/>
    <w:rsid w:val="00556767"/>
    <w:rsid w:val="00557978"/>
    <w:rsid w:val="00557D0E"/>
    <w:rsid w:val="00557FBF"/>
    <w:rsid w:val="00560557"/>
    <w:rsid w:val="00560C69"/>
    <w:rsid w:val="0056171A"/>
    <w:rsid w:val="00561EBC"/>
    <w:rsid w:val="005632F9"/>
    <w:rsid w:val="00563DF6"/>
    <w:rsid w:val="00564375"/>
    <w:rsid w:val="00564ED6"/>
    <w:rsid w:val="00565456"/>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7708C"/>
    <w:rsid w:val="0057758C"/>
    <w:rsid w:val="005807CB"/>
    <w:rsid w:val="00580A22"/>
    <w:rsid w:val="0058114B"/>
    <w:rsid w:val="005811B0"/>
    <w:rsid w:val="005817DD"/>
    <w:rsid w:val="00581F09"/>
    <w:rsid w:val="005824A9"/>
    <w:rsid w:val="00582D10"/>
    <w:rsid w:val="00583818"/>
    <w:rsid w:val="00584501"/>
    <w:rsid w:val="00584793"/>
    <w:rsid w:val="00584804"/>
    <w:rsid w:val="00584846"/>
    <w:rsid w:val="00584A2E"/>
    <w:rsid w:val="005865FF"/>
    <w:rsid w:val="00587353"/>
    <w:rsid w:val="005910B0"/>
    <w:rsid w:val="00591704"/>
    <w:rsid w:val="00591ADC"/>
    <w:rsid w:val="005922B9"/>
    <w:rsid w:val="005923B6"/>
    <w:rsid w:val="00592442"/>
    <w:rsid w:val="00592A88"/>
    <w:rsid w:val="00594565"/>
    <w:rsid w:val="005954D8"/>
    <w:rsid w:val="00596434"/>
    <w:rsid w:val="00596953"/>
    <w:rsid w:val="00597D2E"/>
    <w:rsid w:val="005A117A"/>
    <w:rsid w:val="005A1ECE"/>
    <w:rsid w:val="005A2206"/>
    <w:rsid w:val="005A251E"/>
    <w:rsid w:val="005A2AAB"/>
    <w:rsid w:val="005A2C94"/>
    <w:rsid w:val="005A2F33"/>
    <w:rsid w:val="005A548F"/>
    <w:rsid w:val="005A566D"/>
    <w:rsid w:val="005A57AC"/>
    <w:rsid w:val="005A59B6"/>
    <w:rsid w:val="005A63D8"/>
    <w:rsid w:val="005A7B8D"/>
    <w:rsid w:val="005B060A"/>
    <w:rsid w:val="005B2C85"/>
    <w:rsid w:val="005B31B0"/>
    <w:rsid w:val="005B3640"/>
    <w:rsid w:val="005B6022"/>
    <w:rsid w:val="005B67AB"/>
    <w:rsid w:val="005B6E95"/>
    <w:rsid w:val="005B757B"/>
    <w:rsid w:val="005B7AA8"/>
    <w:rsid w:val="005C1754"/>
    <w:rsid w:val="005C19F7"/>
    <w:rsid w:val="005C1DB3"/>
    <w:rsid w:val="005C2629"/>
    <w:rsid w:val="005C2873"/>
    <w:rsid w:val="005C357D"/>
    <w:rsid w:val="005C38B1"/>
    <w:rsid w:val="005C3DB8"/>
    <w:rsid w:val="005C41E5"/>
    <w:rsid w:val="005C4A4F"/>
    <w:rsid w:val="005C5AC3"/>
    <w:rsid w:val="005C7655"/>
    <w:rsid w:val="005D08C3"/>
    <w:rsid w:val="005D0A4E"/>
    <w:rsid w:val="005D1307"/>
    <w:rsid w:val="005D2921"/>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E5F25"/>
    <w:rsid w:val="005E729F"/>
    <w:rsid w:val="005F02F8"/>
    <w:rsid w:val="005F0C6F"/>
    <w:rsid w:val="005F14C6"/>
    <w:rsid w:val="005F1753"/>
    <w:rsid w:val="005F1FFF"/>
    <w:rsid w:val="005F2EEF"/>
    <w:rsid w:val="005F2F6F"/>
    <w:rsid w:val="005F38C8"/>
    <w:rsid w:val="005F3A58"/>
    <w:rsid w:val="005F3AD0"/>
    <w:rsid w:val="005F5023"/>
    <w:rsid w:val="005F5367"/>
    <w:rsid w:val="005F5525"/>
    <w:rsid w:val="005F5B78"/>
    <w:rsid w:val="005F620D"/>
    <w:rsid w:val="0060008B"/>
    <w:rsid w:val="006008A8"/>
    <w:rsid w:val="006008B5"/>
    <w:rsid w:val="00601474"/>
    <w:rsid w:val="006016BA"/>
    <w:rsid w:val="006017E9"/>
    <w:rsid w:val="0060196F"/>
    <w:rsid w:val="006021DF"/>
    <w:rsid w:val="00603275"/>
    <w:rsid w:val="0060385E"/>
    <w:rsid w:val="006059AE"/>
    <w:rsid w:val="006062EF"/>
    <w:rsid w:val="006071D6"/>
    <w:rsid w:val="00607486"/>
    <w:rsid w:val="0061111B"/>
    <w:rsid w:val="006118E8"/>
    <w:rsid w:val="00612449"/>
    <w:rsid w:val="0061252F"/>
    <w:rsid w:val="00612A13"/>
    <w:rsid w:val="00612DFE"/>
    <w:rsid w:val="00613AA2"/>
    <w:rsid w:val="00613DF5"/>
    <w:rsid w:val="00614657"/>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EA2"/>
    <w:rsid w:val="00627FE9"/>
    <w:rsid w:val="006306A0"/>
    <w:rsid w:val="00631071"/>
    <w:rsid w:val="00631714"/>
    <w:rsid w:val="00632CF1"/>
    <w:rsid w:val="00633034"/>
    <w:rsid w:val="006339A7"/>
    <w:rsid w:val="00633AC6"/>
    <w:rsid w:val="00633AD0"/>
    <w:rsid w:val="0063485D"/>
    <w:rsid w:val="00635764"/>
    <w:rsid w:val="00635CA4"/>
    <w:rsid w:val="00635CC8"/>
    <w:rsid w:val="00636A8C"/>
    <w:rsid w:val="00636D5B"/>
    <w:rsid w:val="00637241"/>
    <w:rsid w:val="006400D2"/>
    <w:rsid w:val="00645C61"/>
    <w:rsid w:val="006463D5"/>
    <w:rsid w:val="006464C9"/>
    <w:rsid w:val="006464F0"/>
    <w:rsid w:val="00646EF5"/>
    <w:rsid w:val="00647A7A"/>
    <w:rsid w:val="00647E26"/>
    <w:rsid w:val="00647FDE"/>
    <w:rsid w:val="00651583"/>
    <w:rsid w:val="00651CD0"/>
    <w:rsid w:val="006537EA"/>
    <w:rsid w:val="00653CC2"/>
    <w:rsid w:val="006545BA"/>
    <w:rsid w:val="006570FA"/>
    <w:rsid w:val="00657DFC"/>
    <w:rsid w:val="0066065C"/>
    <w:rsid w:val="006624B8"/>
    <w:rsid w:val="00665776"/>
    <w:rsid w:val="00665D43"/>
    <w:rsid w:val="00666C7C"/>
    <w:rsid w:val="00666E64"/>
    <w:rsid w:val="006724AE"/>
    <w:rsid w:val="00672A2F"/>
    <w:rsid w:val="00673A21"/>
    <w:rsid w:val="00673DD5"/>
    <w:rsid w:val="006746BD"/>
    <w:rsid w:val="00675253"/>
    <w:rsid w:val="00675370"/>
    <w:rsid w:val="006764DD"/>
    <w:rsid w:val="0067774E"/>
    <w:rsid w:val="00677E72"/>
    <w:rsid w:val="00680486"/>
    <w:rsid w:val="00680E12"/>
    <w:rsid w:val="00681400"/>
    <w:rsid w:val="00683496"/>
    <w:rsid w:val="00684D4A"/>
    <w:rsid w:val="00684E9E"/>
    <w:rsid w:val="00686C7E"/>
    <w:rsid w:val="0068736D"/>
    <w:rsid w:val="00691C24"/>
    <w:rsid w:val="00694709"/>
    <w:rsid w:val="00695E49"/>
    <w:rsid w:val="00697FE7"/>
    <w:rsid w:val="006A0514"/>
    <w:rsid w:val="006A0813"/>
    <w:rsid w:val="006A0974"/>
    <w:rsid w:val="006A0CA6"/>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B0B"/>
    <w:rsid w:val="006B5D55"/>
    <w:rsid w:val="006B792F"/>
    <w:rsid w:val="006C12B4"/>
    <w:rsid w:val="006C14A6"/>
    <w:rsid w:val="006C1B57"/>
    <w:rsid w:val="006C2504"/>
    <w:rsid w:val="006C2608"/>
    <w:rsid w:val="006C2A0B"/>
    <w:rsid w:val="006C3504"/>
    <w:rsid w:val="006C3E66"/>
    <w:rsid w:val="006C45EF"/>
    <w:rsid w:val="006C4665"/>
    <w:rsid w:val="006C7195"/>
    <w:rsid w:val="006C75C1"/>
    <w:rsid w:val="006C7AD4"/>
    <w:rsid w:val="006C7F4D"/>
    <w:rsid w:val="006D10DD"/>
    <w:rsid w:val="006D1864"/>
    <w:rsid w:val="006D3EEE"/>
    <w:rsid w:val="006D4599"/>
    <w:rsid w:val="006D71EA"/>
    <w:rsid w:val="006E0392"/>
    <w:rsid w:val="006E050C"/>
    <w:rsid w:val="006E18BB"/>
    <w:rsid w:val="006E391E"/>
    <w:rsid w:val="006E4277"/>
    <w:rsid w:val="006E4AAE"/>
    <w:rsid w:val="006E655D"/>
    <w:rsid w:val="006E6C1B"/>
    <w:rsid w:val="006E6D37"/>
    <w:rsid w:val="006E6D4B"/>
    <w:rsid w:val="006E6FA7"/>
    <w:rsid w:val="006F007C"/>
    <w:rsid w:val="006F0D3B"/>
    <w:rsid w:val="006F1581"/>
    <w:rsid w:val="006F24A0"/>
    <w:rsid w:val="006F3AFB"/>
    <w:rsid w:val="006F409C"/>
    <w:rsid w:val="006F449F"/>
    <w:rsid w:val="006F4A45"/>
    <w:rsid w:val="006F4B15"/>
    <w:rsid w:val="006F5F4B"/>
    <w:rsid w:val="006F7178"/>
    <w:rsid w:val="00700582"/>
    <w:rsid w:val="007005F8"/>
    <w:rsid w:val="00701198"/>
    <w:rsid w:val="0070131C"/>
    <w:rsid w:val="00702989"/>
    <w:rsid w:val="00702ADF"/>
    <w:rsid w:val="00702B26"/>
    <w:rsid w:val="00703922"/>
    <w:rsid w:val="00703C75"/>
    <w:rsid w:val="0070414A"/>
    <w:rsid w:val="007045AA"/>
    <w:rsid w:val="00704F35"/>
    <w:rsid w:val="0070571A"/>
    <w:rsid w:val="00706E1D"/>
    <w:rsid w:val="00710B19"/>
    <w:rsid w:val="00711887"/>
    <w:rsid w:val="00712540"/>
    <w:rsid w:val="00712E9F"/>
    <w:rsid w:val="00713100"/>
    <w:rsid w:val="007145DE"/>
    <w:rsid w:val="00714935"/>
    <w:rsid w:val="00714CA8"/>
    <w:rsid w:val="007160B6"/>
    <w:rsid w:val="007160E4"/>
    <w:rsid w:val="00716433"/>
    <w:rsid w:val="00716A46"/>
    <w:rsid w:val="007200CA"/>
    <w:rsid w:val="00720639"/>
    <w:rsid w:val="0072116F"/>
    <w:rsid w:val="00721447"/>
    <w:rsid w:val="00721711"/>
    <w:rsid w:val="00721B8E"/>
    <w:rsid w:val="007237C9"/>
    <w:rsid w:val="00723D91"/>
    <w:rsid w:val="0072441A"/>
    <w:rsid w:val="0072548B"/>
    <w:rsid w:val="0073384F"/>
    <w:rsid w:val="007338B7"/>
    <w:rsid w:val="00734B0B"/>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6F9"/>
    <w:rsid w:val="00746A86"/>
    <w:rsid w:val="007478B4"/>
    <w:rsid w:val="00750140"/>
    <w:rsid w:val="0075070D"/>
    <w:rsid w:val="0075167B"/>
    <w:rsid w:val="00751760"/>
    <w:rsid w:val="00752DDB"/>
    <w:rsid w:val="00753CCF"/>
    <w:rsid w:val="00754081"/>
    <w:rsid w:val="007547AC"/>
    <w:rsid w:val="00755069"/>
    <w:rsid w:val="00756D89"/>
    <w:rsid w:val="00757192"/>
    <w:rsid w:val="00757767"/>
    <w:rsid w:val="0076071D"/>
    <w:rsid w:val="0076252D"/>
    <w:rsid w:val="007627EB"/>
    <w:rsid w:val="00763355"/>
    <w:rsid w:val="00763D12"/>
    <w:rsid w:val="00764146"/>
    <w:rsid w:val="007644C7"/>
    <w:rsid w:val="007659DC"/>
    <w:rsid w:val="00770E11"/>
    <w:rsid w:val="00770F8C"/>
    <w:rsid w:val="00771430"/>
    <w:rsid w:val="00771815"/>
    <w:rsid w:val="0077192C"/>
    <w:rsid w:val="00771E56"/>
    <w:rsid w:val="00772615"/>
    <w:rsid w:val="0077353C"/>
    <w:rsid w:val="00774822"/>
    <w:rsid w:val="00775684"/>
    <w:rsid w:val="007769D3"/>
    <w:rsid w:val="00777E29"/>
    <w:rsid w:val="00780BC7"/>
    <w:rsid w:val="00781410"/>
    <w:rsid w:val="007819B5"/>
    <w:rsid w:val="0078262B"/>
    <w:rsid w:val="0078329B"/>
    <w:rsid w:val="007836B3"/>
    <w:rsid w:val="00784445"/>
    <w:rsid w:val="00784E1F"/>
    <w:rsid w:val="007858AD"/>
    <w:rsid w:val="00786295"/>
    <w:rsid w:val="0078639D"/>
    <w:rsid w:val="0078751A"/>
    <w:rsid w:val="00791889"/>
    <w:rsid w:val="00791D9A"/>
    <w:rsid w:val="007927CD"/>
    <w:rsid w:val="00792DAB"/>
    <w:rsid w:val="007956B7"/>
    <w:rsid w:val="00795960"/>
    <w:rsid w:val="00795D2C"/>
    <w:rsid w:val="00795D51"/>
    <w:rsid w:val="00795F1D"/>
    <w:rsid w:val="007977D4"/>
    <w:rsid w:val="00797DAE"/>
    <w:rsid w:val="007A0E07"/>
    <w:rsid w:val="007A1913"/>
    <w:rsid w:val="007A19B0"/>
    <w:rsid w:val="007A3E87"/>
    <w:rsid w:val="007A51FD"/>
    <w:rsid w:val="007A670E"/>
    <w:rsid w:val="007A741E"/>
    <w:rsid w:val="007A7745"/>
    <w:rsid w:val="007A77E7"/>
    <w:rsid w:val="007A7A2A"/>
    <w:rsid w:val="007A7C07"/>
    <w:rsid w:val="007B05E7"/>
    <w:rsid w:val="007B0E50"/>
    <w:rsid w:val="007B0FA4"/>
    <w:rsid w:val="007B0FF2"/>
    <w:rsid w:val="007B292C"/>
    <w:rsid w:val="007B2B2D"/>
    <w:rsid w:val="007B2F8A"/>
    <w:rsid w:val="007B47D5"/>
    <w:rsid w:val="007B658A"/>
    <w:rsid w:val="007B7625"/>
    <w:rsid w:val="007C0484"/>
    <w:rsid w:val="007C1D7C"/>
    <w:rsid w:val="007C2AE9"/>
    <w:rsid w:val="007C4117"/>
    <w:rsid w:val="007C4BFF"/>
    <w:rsid w:val="007C4F07"/>
    <w:rsid w:val="007C5911"/>
    <w:rsid w:val="007C5B18"/>
    <w:rsid w:val="007C5EC2"/>
    <w:rsid w:val="007C7342"/>
    <w:rsid w:val="007C7469"/>
    <w:rsid w:val="007C7EAC"/>
    <w:rsid w:val="007C7F17"/>
    <w:rsid w:val="007D026F"/>
    <w:rsid w:val="007D08D1"/>
    <w:rsid w:val="007D08FE"/>
    <w:rsid w:val="007D23D6"/>
    <w:rsid w:val="007D2403"/>
    <w:rsid w:val="007D3941"/>
    <w:rsid w:val="007D3BC8"/>
    <w:rsid w:val="007D3C01"/>
    <w:rsid w:val="007D5885"/>
    <w:rsid w:val="007D5C56"/>
    <w:rsid w:val="007D6230"/>
    <w:rsid w:val="007D7427"/>
    <w:rsid w:val="007D76DB"/>
    <w:rsid w:val="007D7CB9"/>
    <w:rsid w:val="007E0994"/>
    <w:rsid w:val="007E0D7D"/>
    <w:rsid w:val="007E218D"/>
    <w:rsid w:val="007E28B1"/>
    <w:rsid w:val="007E2C9A"/>
    <w:rsid w:val="007E2DBB"/>
    <w:rsid w:val="007E2E90"/>
    <w:rsid w:val="007E4177"/>
    <w:rsid w:val="007E42A4"/>
    <w:rsid w:val="007E561F"/>
    <w:rsid w:val="007E5E5E"/>
    <w:rsid w:val="007E689A"/>
    <w:rsid w:val="007E69B9"/>
    <w:rsid w:val="007F0375"/>
    <w:rsid w:val="007F0983"/>
    <w:rsid w:val="007F142B"/>
    <w:rsid w:val="007F1539"/>
    <w:rsid w:val="007F1857"/>
    <w:rsid w:val="007F24A8"/>
    <w:rsid w:val="007F24D6"/>
    <w:rsid w:val="007F28B4"/>
    <w:rsid w:val="007F45BA"/>
    <w:rsid w:val="007F4ACD"/>
    <w:rsid w:val="007F533C"/>
    <w:rsid w:val="007F621A"/>
    <w:rsid w:val="007F6C0E"/>
    <w:rsid w:val="007F735D"/>
    <w:rsid w:val="007F7F38"/>
    <w:rsid w:val="0080021A"/>
    <w:rsid w:val="0080114E"/>
    <w:rsid w:val="008019C9"/>
    <w:rsid w:val="00801BAC"/>
    <w:rsid w:val="00803E4A"/>
    <w:rsid w:val="00804288"/>
    <w:rsid w:val="00804571"/>
    <w:rsid w:val="0080590A"/>
    <w:rsid w:val="008067C3"/>
    <w:rsid w:val="008069ED"/>
    <w:rsid w:val="00806D50"/>
    <w:rsid w:val="0080734A"/>
    <w:rsid w:val="00807652"/>
    <w:rsid w:val="00807B46"/>
    <w:rsid w:val="00810092"/>
    <w:rsid w:val="0081021B"/>
    <w:rsid w:val="008103DA"/>
    <w:rsid w:val="00810F69"/>
    <w:rsid w:val="00810F9E"/>
    <w:rsid w:val="0081232F"/>
    <w:rsid w:val="00813017"/>
    <w:rsid w:val="0081362B"/>
    <w:rsid w:val="008137F7"/>
    <w:rsid w:val="008147AF"/>
    <w:rsid w:val="00814A2E"/>
    <w:rsid w:val="00814B4D"/>
    <w:rsid w:val="00814D2B"/>
    <w:rsid w:val="00817072"/>
    <w:rsid w:val="00821774"/>
    <w:rsid w:val="0082197A"/>
    <w:rsid w:val="00822EF0"/>
    <w:rsid w:val="008231CB"/>
    <w:rsid w:val="00824C8F"/>
    <w:rsid w:val="0082529A"/>
    <w:rsid w:val="0082753D"/>
    <w:rsid w:val="008278D8"/>
    <w:rsid w:val="00830155"/>
    <w:rsid w:val="0083124F"/>
    <w:rsid w:val="00831661"/>
    <w:rsid w:val="008319B5"/>
    <w:rsid w:val="008320A3"/>
    <w:rsid w:val="0083216C"/>
    <w:rsid w:val="00832F91"/>
    <w:rsid w:val="008331AC"/>
    <w:rsid w:val="00833CD4"/>
    <w:rsid w:val="00834C89"/>
    <w:rsid w:val="00836453"/>
    <w:rsid w:val="00836B86"/>
    <w:rsid w:val="00836CF5"/>
    <w:rsid w:val="00837177"/>
    <w:rsid w:val="00837512"/>
    <w:rsid w:val="008377FD"/>
    <w:rsid w:val="00837D62"/>
    <w:rsid w:val="008406E5"/>
    <w:rsid w:val="00840A10"/>
    <w:rsid w:val="00841044"/>
    <w:rsid w:val="00841C56"/>
    <w:rsid w:val="008420C1"/>
    <w:rsid w:val="00842166"/>
    <w:rsid w:val="008424A9"/>
    <w:rsid w:val="00843DE5"/>
    <w:rsid w:val="0084433C"/>
    <w:rsid w:val="00844475"/>
    <w:rsid w:val="008444EC"/>
    <w:rsid w:val="00844821"/>
    <w:rsid w:val="00844DD4"/>
    <w:rsid w:val="008456E1"/>
    <w:rsid w:val="00845CD8"/>
    <w:rsid w:val="00845D83"/>
    <w:rsid w:val="00846265"/>
    <w:rsid w:val="00846A70"/>
    <w:rsid w:val="00846D2F"/>
    <w:rsid w:val="00847B3F"/>
    <w:rsid w:val="008503C3"/>
    <w:rsid w:val="008515E4"/>
    <w:rsid w:val="0085252E"/>
    <w:rsid w:val="0085253E"/>
    <w:rsid w:val="0085338D"/>
    <w:rsid w:val="0085425B"/>
    <w:rsid w:val="008544F3"/>
    <w:rsid w:val="008553F1"/>
    <w:rsid w:val="00855858"/>
    <w:rsid w:val="0085770C"/>
    <w:rsid w:val="00857740"/>
    <w:rsid w:val="00860208"/>
    <w:rsid w:val="0086032D"/>
    <w:rsid w:val="008605ED"/>
    <w:rsid w:val="00860758"/>
    <w:rsid w:val="00860DB8"/>
    <w:rsid w:val="00861318"/>
    <w:rsid w:val="008615D2"/>
    <w:rsid w:val="0086211C"/>
    <w:rsid w:val="00862559"/>
    <w:rsid w:val="00862FB0"/>
    <w:rsid w:val="008632A6"/>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2FD7"/>
    <w:rsid w:val="0088418B"/>
    <w:rsid w:val="0088531D"/>
    <w:rsid w:val="00886123"/>
    <w:rsid w:val="0088614E"/>
    <w:rsid w:val="008862CA"/>
    <w:rsid w:val="00887B34"/>
    <w:rsid w:val="008900BD"/>
    <w:rsid w:val="00892F18"/>
    <w:rsid w:val="008934FB"/>
    <w:rsid w:val="00893900"/>
    <w:rsid w:val="00894096"/>
    <w:rsid w:val="008943F3"/>
    <w:rsid w:val="00894FA4"/>
    <w:rsid w:val="00895D0A"/>
    <w:rsid w:val="00896608"/>
    <w:rsid w:val="00896FBC"/>
    <w:rsid w:val="00897386"/>
    <w:rsid w:val="008A08D0"/>
    <w:rsid w:val="008A22FF"/>
    <w:rsid w:val="008A3C94"/>
    <w:rsid w:val="008A3ED4"/>
    <w:rsid w:val="008A4BF3"/>
    <w:rsid w:val="008A560C"/>
    <w:rsid w:val="008A6B07"/>
    <w:rsid w:val="008A6D72"/>
    <w:rsid w:val="008A7945"/>
    <w:rsid w:val="008A7C6C"/>
    <w:rsid w:val="008B30DD"/>
    <w:rsid w:val="008B4834"/>
    <w:rsid w:val="008B4F9C"/>
    <w:rsid w:val="008B5251"/>
    <w:rsid w:val="008B5690"/>
    <w:rsid w:val="008B59E7"/>
    <w:rsid w:val="008B6755"/>
    <w:rsid w:val="008C2343"/>
    <w:rsid w:val="008C25D0"/>
    <w:rsid w:val="008C304C"/>
    <w:rsid w:val="008C5311"/>
    <w:rsid w:val="008C5A58"/>
    <w:rsid w:val="008C6A96"/>
    <w:rsid w:val="008C701F"/>
    <w:rsid w:val="008C7547"/>
    <w:rsid w:val="008C7EC2"/>
    <w:rsid w:val="008D0206"/>
    <w:rsid w:val="008D0AA9"/>
    <w:rsid w:val="008D1496"/>
    <w:rsid w:val="008D1868"/>
    <w:rsid w:val="008D2573"/>
    <w:rsid w:val="008D27F9"/>
    <w:rsid w:val="008D3A97"/>
    <w:rsid w:val="008D3E39"/>
    <w:rsid w:val="008D406E"/>
    <w:rsid w:val="008D410F"/>
    <w:rsid w:val="008D5DD0"/>
    <w:rsid w:val="008D6A16"/>
    <w:rsid w:val="008D7291"/>
    <w:rsid w:val="008D753A"/>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034C"/>
    <w:rsid w:val="009119F5"/>
    <w:rsid w:val="009124E0"/>
    <w:rsid w:val="009125F0"/>
    <w:rsid w:val="0091317D"/>
    <w:rsid w:val="00913258"/>
    <w:rsid w:val="00913E44"/>
    <w:rsid w:val="00915BDD"/>
    <w:rsid w:val="00915DC8"/>
    <w:rsid w:val="00916266"/>
    <w:rsid w:val="00916678"/>
    <w:rsid w:val="00916DD0"/>
    <w:rsid w:val="00921537"/>
    <w:rsid w:val="00922492"/>
    <w:rsid w:val="009239BD"/>
    <w:rsid w:val="00923EAF"/>
    <w:rsid w:val="00924E1F"/>
    <w:rsid w:val="00924F4E"/>
    <w:rsid w:val="00926F20"/>
    <w:rsid w:val="00927537"/>
    <w:rsid w:val="009279C5"/>
    <w:rsid w:val="00927C62"/>
    <w:rsid w:val="009305F9"/>
    <w:rsid w:val="0093064C"/>
    <w:rsid w:val="00931B52"/>
    <w:rsid w:val="009324AF"/>
    <w:rsid w:val="00932CB5"/>
    <w:rsid w:val="00933B12"/>
    <w:rsid w:val="00933F78"/>
    <w:rsid w:val="00934048"/>
    <w:rsid w:val="00934E34"/>
    <w:rsid w:val="009356DE"/>
    <w:rsid w:val="00936ADF"/>
    <w:rsid w:val="00937A63"/>
    <w:rsid w:val="009402B0"/>
    <w:rsid w:val="0094097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6C0B"/>
    <w:rsid w:val="0096050A"/>
    <w:rsid w:val="00960E7E"/>
    <w:rsid w:val="00960E9A"/>
    <w:rsid w:val="009610B0"/>
    <w:rsid w:val="00961246"/>
    <w:rsid w:val="0096256A"/>
    <w:rsid w:val="009625AB"/>
    <w:rsid w:val="00962965"/>
    <w:rsid w:val="0096393C"/>
    <w:rsid w:val="0096498F"/>
    <w:rsid w:val="009652B3"/>
    <w:rsid w:val="00965C98"/>
    <w:rsid w:val="00965F7E"/>
    <w:rsid w:val="00966678"/>
    <w:rsid w:val="00966C07"/>
    <w:rsid w:val="009709FA"/>
    <w:rsid w:val="009711B0"/>
    <w:rsid w:val="00973071"/>
    <w:rsid w:val="00973AB6"/>
    <w:rsid w:val="00973D97"/>
    <w:rsid w:val="00975273"/>
    <w:rsid w:val="00975A1F"/>
    <w:rsid w:val="00976479"/>
    <w:rsid w:val="00976D8A"/>
    <w:rsid w:val="009774F7"/>
    <w:rsid w:val="00977A1C"/>
    <w:rsid w:val="009813AE"/>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1CB"/>
    <w:rsid w:val="009976EA"/>
    <w:rsid w:val="009A020F"/>
    <w:rsid w:val="009A1114"/>
    <w:rsid w:val="009A1328"/>
    <w:rsid w:val="009A1355"/>
    <w:rsid w:val="009A1815"/>
    <w:rsid w:val="009A27F0"/>
    <w:rsid w:val="009A30FA"/>
    <w:rsid w:val="009A396C"/>
    <w:rsid w:val="009A3A95"/>
    <w:rsid w:val="009A3D25"/>
    <w:rsid w:val="009A4A6B"/>
    <w:rsid w:val="009A4C3F"/>
    <w:rsid w:val="009A6AE9"/>
    <w:rsid w:val="009A7A50"/>
    <w:rsid w:val="009A7E73"/>
    <w:rsid w:val="009B00A2"/>
    <w:rsid w:val="009B06BD"/>
    <w:rsid w:val="009B139E"/>
    <w:rsid w:val="009B2160"/>
    <w:rsid w:val="009B2496"/>
    <w:rsid w:val="009B269E"/>
    <w:rsid w:val="009B2A52"/>
    <w:rsid w:val="009B38AD"/>
    <w:rsid w:val="009B4FFD"/>
    <w:rsid w:val="009B6FE3"/>
    <w:rsid w:val="009B7E0A"/>
    <w:rsid w:val="009C00EB"/>
    <w:rsid w:val="009C05B4"/>
    <w:rsid w:val="009C1BE0"/>
    <w:rsid w:val="009C1ED8"/>
    <w:rsid w:val="009C48EC"/>
    <w:rsid w:val="009C4CB3"/>
    <w:rsid w:val="009C549C"/>
    <w:rsid w:val="009C551E"/>
    <w:rsid w:val="009C77F6"/>
    <w:rsid w:val="009C7B63"/>
    <w:rsid w:val="009D0806"/>
    <w:rsid w:val="009D0A15"/>
    <w:rsid w:val="009D0A1D"/>
    <w:rsid w:val="009D1C73"/>
    <w:rsid w:val="009D25F3"/>
    <w:rsid w:val="009D2DCC"/>
    <w:rsid w:val="009D36CC"/>
    <w:rsid w:val="009D3ACB"/>
    <w:rsid w:val="009D3B34"/>
    <w:rsid w:val="009D60EC"/>
    <w:rsid w:val="009D63BB"/>
    <w:rsid w:val="009D663F"/>
    <w:rsid w:val="009D6F5A"/>
    <w:rsid w:val="009E02A1"/>
    <w:rsid w:val="009E04A1"/>
    <w:rsid w:val="009E0A14"/>
    <w:rsid w:val="009E3C09"/>
    <w:rsid w:val="009E433B"/>
    <w:rsid w:val="009E44E4"/>
    <w:rsid w:val="009E5124"/>
    <w:rsid w:val="009E61C8"/>
    <w:rsid w:val="009E6748"/>
    <w:rsid w:val="009E675C"/>
    <w:rsid w:val="009E736B"/>
    <w:rsid w:val="009E7802"/>
    <w:rsid w:val="009E7991"/>
    <w:rsid w:val="009F019C"/>
    <w:rsid w:val="009F01FB"/>
    <w:rsid w:val="009F0D03"/>
    <w:rsid w:val="009F1FF8"/>
    <w:rsid w:val="009F2577"/>
    <w:rsid w:val="009F25CC"/>
    <w:rsid w:val="009F2CA0"/>
    <w:rsid w:val="009F411D"/>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02BA"/>
    <w:rsid w:val="00A120A2"/>
    <w:rsid w:val="00A123BF"/>
    <w:rsid w:val="00A12E46"/>
    <w:rsid w:val="00A133D5"/>
    <w:rsid w:val="00A1767D"/>
    <w:rsid w:val="00A20792"/>
    <w:rsid w:val="00A226DE"/>
    <w:rsid w:val="00A228D2"/>
    <w:rsid w:val="00A22C81"/>
    <w:rsid w:val="00A23683"/>
    <w:rsid w:val="00A23B1E"/>
    <w:rsid w:val="00A23CEC"/>
    <w:rsid w:val="00A26FDB"/>
    <w:rsid w:val="00A27188"/>
    <w:rsid w:val="00A27E38"/>
    <w:rsid w:val="00A30A3B"/>
    <w:rsid w:val="00A30E10"/>
    <w:rsid w:val="00A3134E"/>
    <w:rsid w:val="00A315B9"/>
    <w:rsid w:val="00A32591"/>
    <w:rsid w:val="00A3285D"/>
    <w:rsid w:val="00A34A0D"/>
    <w:rsid w:val="00A34F3B"/>
    <w:rsid w:val="00A35641"/>
    <w:rsid w:val="00A356C5"/>
    <w:rsid w:val="00A3673E"/>
    <w:rsid w:val="00A367B3"/>
    <w:rsid w:val="00A3695E"/>
    <w:rsid w:val="00A36D9B"/>
    <w:rsid w:val="00A37BC3"/>
    <w:rsid w:val="00A4051E"/>
    <w:rsid w:val="00A40611"/>
    <w:rsid w:val="00A407FF"/>
    <w:rsid w:val="00A40ADF"/>
    <w:rsid w:val="00A40E4B"/>
    <w:rsid w:val="00A412CB"/>
    <w:rsid w:val="00A418FC"/>
    <w:rsid w:val="00A41A02"/>
    <w:rsid w:val="00A41B24"/>
    <w:rsid w:val="00A42C7D"/>
    <w:rsid w:val="00A430CB"/>
    <w:rsid w:val="00A442C7"/>
    <w:rsid w:val="00A474E7"/>
    <w:rsid w:val="00A5025F"/>
    <w:rsid w:val="00A51712"/>
    <w:rsid w:val="00A51C7B"/>
    <w:rsid w:val="00A521EB"/>
    <w:rsid w:val="00A52887"/>
    <w:rsid w:val="00A53612"/>
    <w:rsid w:val="00A539D6"/>
    <w:rsid w:val="00A5495A"/>
    <w:rsid w:val="00A55F58"/>
    <w:rsid w:val="00A57040"/>
    <w:rsid w:val="00A57AEF"/>
    <w:rsid w:val="00A60FE3"/>
    <w:rsid w:val="00A611AA"/>
    <w:rsid w:val="00A616F5"/>
    <w:rsid w:val="00A61928"/>
    <w:rsid w:val="00A63148"/>
    <w:rsid w:val="00A634A0"/>
    <w:rsid w:val="00A63874"/>
    <w:rsid w:val="00A645BA"/>
    <w:rsid w:val="00A64C4B"/>
    <w:rsid w:val="00A65F5C"/>
    <w:rsid w:val="00A669F1"/>
    <w:rsid w:val="00A67175"/>
    <w:rsid w:val="00A67830"/>
    <w:rsid w:val="00A70102"/>
    <w:rsid w:val="00A705B0"/>
    <w:rsid w:val="00A70CE9"/>
    <w:rsid w:val="00A71025"/>
    <w:rsid w:val="00A712B5"/>
    <w:rsid w:val="00A71344"/>
    <w:rsid w:val="00A71A4B"/>
    <w:rsid w:val="00A73641"/>
    <w:rsid w:val="00A7590A"/>
    <w:rsid w:val="00A75C82"/>
    <w:rsid w:val="00A76A65"/>
    <w:rsid w:val="00A811ED"/>
    <w:rsid w:val="00A81801"/>
    <w:rsid w:val="00A83593"/>
    <w:rsid w:val="00A8368F"/>
    <w:rsid w:val="00A83ADF"/>
    <w:rsid w:val="00A84832"/>
    <w:rsid w:val="00A85476"/>
    <w:rsid w:val="00A863BA"/>
    <w:rsid w:val="00A8655D"/>
    <w:rsid w:val="00A87076"/>
    <w:rsid w:val="00A87437"/>
    <w:rsid w:val="00A9298E"/>
    <w:rsid w:val="00A92E6D"/>
    <w:rsid w:val="00A94699"/>
    <w:rsid w:val="00A9530B"/>
    <w:rsid w:val="00A97263"/>
    <w:rsid w:val="00A97962"/>
    <w:rsid w:val="00A97AC1"/>
    <w:rsid w:val="00AA10B2"/>
    <w:rsid w:val="00AA12D8"/>
    <w:rsid w:val="00AA2145"/>
    <w:rsid w:val="00AA2472"/>
    <w:rsid w:val="00AA2C07"/>
    <w:rsid w:val="00AA2F58"/>
    <w:rsid w:val="00AA3108"/>
    <w:rsid w:val="00AA3F94"/>
    <w:rsid w:val="00AA4507"/>
    <w:rsid w:val="00AA4945"/>
    <w:rsid w:val="00AA49C9"/>
    <w:rsid w:val="00AA520A"/>
    <w:rsid w:val="00AA6467"/>
    <w:rsid w:val="00AA6742"/>
    <w:rsid w:val="00AA72B1"/>
    <w:rsid w:val="00AB19E2"/>
    <w:rsid w:val="00AB2F7B"/>
    <w:rsid w:val="00AB3883"/>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5D3E"/>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0BCA"/>
    <w:rsid w:val="00AE1A93"/>
    <w:rsid w:val="00AE1C15"/>
    <w:rsid w:val="00AE1E2F"/>
    <w:rsid w:val="00AE28BB"/>
    <w:rsid w:val="00AE2FB1"/>
    <w:rsid w:val="00AE336E"/>
    <w:rsid w:val="00AE3E27"/>
    <w:rsid w:val="00AE3FBA"/>
    <w:rsid w:val="00AE5029"/>
    <w:rsid w:val="00AE6270"/>
    <w:rsid w:val="00AE63B5"/>
    <w:rsid w:val="00AE6EDD"/>
    <w:rsid w:val="00AE73B6"/>
    <w:rsid w:val="00AE75FB"/>
    <w:rsid w:val="00AE77A4"/>
    <w:rsid w:val="00AF1041"/>
    <w:rsid w:val="00AF326B"/>
    <w:rsid w:val="00AF3270"/>
    <w:rsid w:val="00AF3D84"/>
    <w:rsid w:val="00AF4DCC"/>
    <w:rsid w:val="00AF50B1"/>
    <w:rsid w:val="00AF5852"/>
    <w:rsid w:val="00AF58A7"/>
    <w:rsid w:val="00AF5D8D"/>
    <w:rsid w:val="00AF6962"/>
    <w:rsid w:val="00AF6E17"/>
    <w:rsid w:val="00AF70AF"/>
    <w:rsid w:val="00AF743D"/>
    <w:rsid w:val="00AF77CA"/>
    <w:rsid w:val="00AF7A9C"/>
    <w:rsid w:val="00B00F48"/>
    <w:rsid w:val="00B02832"/>
    <w:rsid w:val="00B02D4E"/>
    <w:rsid w:val="00B03461"/>
    <w:rsid w:val="00B0479C"/>
    <w:rsid w:val="00B05E94"/>
    <w:rsid w:val="00B06A43"/>
    <w:rsid w:val="00B10899"/>
    <w:rsid w:val="00B11C03"/>
    <w:rsid w:val="00B12BEC"/>
    <w:rsid w:val="00B14051"/>
    <w:rsid w:val="00B145BE"/>
    <w:rsid w:val="00B15433"/>
    <w:rsid w:val="00B15DFE"/>
    <w:rsid w:val="00B16E5B"/>
    <w:rsid w:val="00B16E9A"/>
    <w:rsid w:val="00B20E04"/>
    <w:rsid w:val="00B2117A"/>
    <w:rsid w:val="00B21CA3"/>
    <w:rsid w:val="00B233BB"/>
    <w:rsid w:val="00B2515A"/>
    <w:rsid w:val="00B25A9E"/>
    <w:rsid w:val="00B27389"/>
    <w:rsid w:val="00B27709"/>
    <w:rsid w:val="00B300DF"/>
    <w:rsid w:val="00B307D2"/>
    <w:rsid w:val="00B3089B"/>
    <w:rsid w:val="00B31261"/>
    <w:rsid w:val="00B315B5"/>
    <w:rsid w:val="00B31846"/>
    <w:rsid w:val="00B323D3"/>
    <w:rsid w:val="00B32D79"/>
    <w:rsid w:val="00B32D99"/>
    <w:rsid w:val="00B331BB"/>
    <w:rsid w:val="00B3337A"/>
    <w:rsid w:val="00B342D7"/>
    <w:rsid w:val="00B35840"/>
    <w:rsid w:val="00B36536"/>
    <w:rsid w:val="00B365BC"/>
    <w:rsid w:val="00B372EA"/>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5F25"/>
    <w:rsid w:val="00B56C49"/>
    <w:rsid w:val="00B579EC"/>
    <w:rsid w:val="00B57BAF"/>
    <w:rsid w:val="00B57D2F"/>
    <w:rsid w:val="00B60962"/>
    <w:rsid w:val="00B60D06"/>
    <w:rsid w:val="00B62B25"/>
    <w:rsid w:val="00B64CF5"/>
    <w:rsid w:val="00B6516E"/>
    <w:rsid w:val="00B668AB"/>
    <w:rsid w:val="00B669F8"/>
    <w:rsid w:val="00B66E19"/>
    <w:rsid w:val="00B67CFF"/>
    <w:rsid w:val="00B70358"/>
    <w:rsid w:val="00B70380"/>
    <w:rsid w:val="00B706FB"/>
    <w:rsid w:val="00B708DD"/>
    <w:rsid w:val="00B721FA"/>
    <w:rsid w:val="00B726A9"/>
    <w:rsid w:val="00B73BF9"/>
    <w:rsid w:val="00B759FC"/>
    <w:rsid w:val="00B75C8C"/>
    <w:rsid w:val="00B75FEB"/>
    <w:rsid w:val="00B770A0"/>
    <w:rsid w:val="00B77162"/>
    <w:rsid w:val="00B771D7"/>
    <w:rsid w:val="00B80A97"/>
    <w:rsid w:val="00B80F66"/>
    <w:rsid w:val="00B82DE9"/>
    <w:rsid w:val="00B8354D"/>
    <w:rsid w:val="00B8377F"/>
    <w:rsid w:val="00B83A8C"/>
    <w:rsid w:val="00B84285"/>
    <w:rsid w:val="00B84C0D"/>
    <w:rsid w:val="00B84F9D"/>
    <w:rsid w:val="00B84FC5"/>
    <w:rsid w:val="00B85E01"/>
    <w:rsid w:val="00B860A3"/>
    <w:rsid w:val="00B86BBA"/>
    <w:rsid w:val="00B86BD4"/>
    <w:rsid w:val="00B87821"/>
    <w:rsid w:val="00B91AF5"/>
    <w:rsid w:val="00B9247C"/>
    <w:rsid w:val="00B92AC9"/>
    <w:rsid w:val="00B93132"/>
    <w:rsid w:val="00B946C6"/>
    <w:rsid w:val="00B950E1"/>
    <w:rsid w:val="00B9627E"/>
    <w:rsid w:val="00B963F2"/>
    <w:rsid w:val="00B977AF"/>
    <w:rsid w:val="00B97CE5"/>
    <w:rsid w:val="00BA02DB"/>
    <w:rsid w:val="00BA03F5"/>
    <w:rsid w:val="00BA19A6"/>
    <w:rsid w:val="00BA32B6"/>
    <w:rsid w:val="00BA3CDA"/>
    <w:rsid w:val="00BA4082"/>
    <w:rsid w:val="00BA4A84"/>
    <w:rsid w:val="00BA4E6A"/>
    <w:rsid w:val="00BA5306"/>
    <w:rsid w:val="00BA5B9C"/>
    <w:rsid w:val="00BA5D80"/>
    <w:rsid w:val="00BA5EF3"/>
    <w:rsid w:val="00BA7B9E"/>
    <w:rsid w:val="00BA7DFD"/>
    <w:rsid w:val="00BB0C24"/>
    <w:rsid w:val="00BB0C2B"/>
    <w:rsid w:val="00BB137B"/>
    <w:rsid w:val="00BB229A"/>
    <w:rsid w:val="00BB2959"/>
    <w:rsid w:val="00BB2FB5"/>
    <w:rsid w:val="00BB549B"/>
    <w:rsid w:val="00BB5DC2"/>
    <w:rsid w:val="00BB7D84"/>
    <w:rsid w:val="00BC0E45"/>
    <w:rsid w:val="00BC172B"/>
    <w:rsid w:val="00BC301A"/>
    <w:rsid w:val="00BC3937"/>
    <w:rsid w:val="00BC574A"/>
    <w:rsid w:val="00BC5860"/>
    <w:rsid w:val="00BC63A1"/>
    <w:rsid w:val="00BC6424"/>
    <w:rsid w:val="00BC6760"/>
    <w:rsid w:val="00BC7A1C"/>
    <w:rsid w:val="00BD0079"/>
    <w:rsid w:val="00BD0145"/>
    <w:rsid w:val="00BD1BC7"/>
    <w:rsid w:val="00BD2830"/>
    <w:rsid w:val="00BD2B08"/>
    <w:rsid w:val="00BD30E5"/>
    <w:rsid w:val="00BD313C"/>
    <w:rsid w:val="00BD4602"/>
    <w:rsid w:val="00BD5F17"/>
    <w:rsid w:val="00BD6496"/>
    <w:rsid w:val="00BD64CC"/>
    <w:rsid w:val="00BD7337"/>
    <w:rsid w:val="00BD7895"/>
    <w:rsid w:val="00BE0159"/>
    <w:rsid w:val="00BE209A"/>
    <w:rsid w:val="00BE2720"/>
    <w:rsid w:val="00BE2F53"/>
    <w:rsid w:val="00BE3051"/>
    <w:rsid w:val="00BE3B49"/>
    <w:rsid w:val="00BE3F39"/>
    <w:rsid w:val="00BE4FEA"/>
    <w:rsid w:val="00BE506B"/>
    <w:rsid w:val="00BE538F"/>
    <w:rsid w:val="00BE5626"/>
    <w:rsid w:val="00BE5D63"/>
    <w:rsid w:val="00BE624D"/>
    <w:rsid w:val="00BE66A3"/>
    <w:rsid w:val="00BE7087"/>
    <w:rsid w:val="00BE7943"/>
    <w:rsid w:val="00BF151A"/>
    <w:rsid w:val="00BF22C7"/>
    <w:rsid w:val="00BF280F"/>
    <w:rsid w:val="00BF2D76"/>
    <w:rsid w:val="00BF33E4"/>
    <w:rsid w:val="00BF4519"/>
    <w:rsid w:val="00BF5158"/>
    <w:rsid w:val="00BF5178"/>
    <w:rsid w:val="00BF51EE"/>
    <w:rsid w:val="00BF5250"/>
    <w:rsid w:val="00BF579B"/>
    <w:rsid w:val="00BF617A"/>
    <w:rsid w:val="00C0049B"/>
    <w:rsid w:val="00C00C67"/>
    <w:rsid w:val="00C014BB"/>
    <w:rsid w:val="00C02600"/>
    <w:rsid w:val="00C028EC"/>
    <w:rsid w:val="00C02958"/>
    <w:rsid w:val="00C02D1E"/>
    <w:rsid w:val="00C03150"/>
    <w:rsid w:val="00C03669"/>
    <w:rsid w:val="00C0418E"/>
    <w:rsid w:val="00C042D5"/>
    <w:rsid w:val="00C0430E"/>
    <w:rsid w:val="00C04725"/>
    <w:rsid w:val="00C05482"/>
    <w:rsid w:val="00C05BD0"/>
    <w:rsid w:val="00C05BFB"/>
    <w:rsid w:val="00C05D69"/>
    <w:rsid w:val="00C0756A"/>
    <w:rsid w:val="00C07BAD"/>
    <w:rsid w:val="00C121F5"/>
    <w:rsid w:val="00C1262A"/>
    <w:rsid w:val="00C12B27"/>
    <w:rsid w:val="00C134F4"/>
    <w:rsid w:val="00C13593"/>
    <w:rsid w:val="00C1468E"/>
    <w:rsid w:val="00C14804"/>
    <w:rsid w:val="00C15689"/>
    <w:rsid w:val="00C15782"/>
    <w:rsid w:val="00C1650A"/>
    <w:rsid w:val="00C16F73"/>
    <w:rsid w:val="00C177E9"/>
    <w:rsid w:val="00C20557"/>
    <w:rsid w:val="00C2057E"/>
    <w:rsid w:val="00C21AFC"/>
    <w:rsid w:val="00C22410"/>
    <w:rsid w:val="00C23123"/>
    <w:rsid w:val="00C23948"/>
    <w:rsid w:val="00C253CB"/>
    <w:rsid w:val="00C25555"/>
    <w:rsid w:val="00C255DB"/>
    <w:rsid w:val="00C2582D"/>
    <w:rsid w:val="00C26B52"/>
    <w:rsid w:val="00C272C0"/>
    <w:rsid w:val="00C2760A"/>
    <w:rsid w:val="00C3038A"/>
    <w:rsid w:val="00C3091B"/>
    <w:rsid w:val="00C311AD"/>
    <w:rsid w:val="00C31493"/>
    <w:rsid w:val="00C319EB"/>
    <w:rsid w:val="00C31A19"/>
    <w:rsid w:val="00C333AF"/>
    <w:rsid w:val="00C34092"/>
    <w:rsid w:val="00C36AF4"/>
    <w:rsid w:val="00C37868"/>
    <w:rsid w:val="00C40DA4"/>
    <w:rsid w:val="00C428DE"/>
    <w:rsid w:val="00C42B0C"/>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3EB8"/>
    <w:rsid w:val="00C647ED"/>
    <w:rsid w:val="00C64E14"/>
    <w:rsid w:val="00C6548F"/>
    <w:rsid w:val="00C656D6"/>
    <w:rsid w:val="00C66ACA"/>
    <w:rsid w:val="00C66E18"/>
    <w:rsid w:val="00C66E1A"/>
    <w:rsid w:val="00C67A7B"/>
    <w:rsid w:val="00C67B75"/>
    <w:rsid w:val="00C67D4B"/>
    <w:rsid w:val="00C710D0"/>
    <w:rsid w:val="00C71261"/>
    <w:rsid w:val="00C717FE"/>
    <w:rsid w:val="00C7216E"/>
    <w:rsid w:val="00C73D7C"/>
    <w:rsid w:val="00C74086"/>
    <w:rsid w:val="00C74C82"/>
    <w:rsid w:val="00C74E32"/>
    <w:rsid w:val="00C75935"/>
    <w:rsid w:val="00C75AA7"/>
    <w:rsid w:val="00C75FC7"/>
    <w:rsid w:val="00C75FF9"/>
    <w:rsid w:val="00C765BD"/>
    <w:rsid w:val="00C766E6"/>
    <w:rsid w:val="00C76AB6"/>
    <w:rsid w:val="00C77C1C"/>
    <w:rsid w:val="00C77D21"/>
    <w:rsid w:val="00C81775"/>
    <w:rsid w:val="00C844AA"/>
    <w:rsid w:val="00C863FD"/>
    <w:rsid w:val="00C86575"/>
    <w:rsid w:val="00C927C3"/>
    <w:rsid w:val="00C92B4F"/>
    <w:rsid w:val="00C92F3F"/>
    <w:rsid w:val="00C94442"/>
    <w:rsid w:val="00C94A3B"/>
    <w:rsid w:val="00C9587B"/>
    <w:rsid w:val="00C95FE0"/>
    <w:rsid w:val="00C961FD"/>
    <w:rsid w:val="00C96537"/>
    <w:rsid w:val="00C96EE5"/>
    <w:rsid w:val="00C97040"/>
    <w:rsid w:val="00CA0827"/>
    <w:rsid w:val="00CA30B3"/>
    <w:rsid w:val="00CA3672"/>
    <w:rsid w:val="00CA3CDE"/>
    <w:rsid w:val="00CA3DE6"/>
    <w:rsid w:val="00CA4342"/>
    <w:rsid w:val="00CA4D98"/>
    <w:rsid w:val="00CA53D9"/>
    <w:rsid w:val="00CA5C21"/>
    <w:rsid w:val="00CA5FBE"/>
    <w:rsid w:val="00CB1775"/>
    <w:rsid w:val="00CB1F18"/>
    <w:rsid w:val="00CB2D29"/>
    <w:rsid w:val="00CB53E6"/>
    <w:rsid w:val="00CB632D"/>
    <w:rsid w:val="00CB6E14"/>
    <w:rsid w:val="00CB6E94"/>
    <w:rsid w:val="00CB6ED5"/>
    <w:rsid w:val="00CB7A12"/>
    <w:rsid w:val="00CB7B4A"/>
    <w:rsid w:val="00CC02C1"/>
    <w:rsid w:val="00CC0A60"/>
    <w:rsid w:val="00CC1413"/>
    <w:rsid w:val="00CC24F0"/>
    <w:rsid w:val="00CC34B1"/>
    <w:rsid w:val="00CC46F1"/>
    <w:rsid w:val="00CC500F"/>
    <w:rsid w:val="00CC557E"/>
    <w:rsid w:val="00CC6231"/>
    <w:rsid w:val="00CC680C"/>
    <w:rsid w:val="00CC69B8"/>
    <w:rsid w:val="00CC6A51"/>
    <w:rsid w:val="00CC713A"/>
    <w:rsid w:val="00CC7CB5"/>
    <w:rsid w:val="00CC7D97"/>
    <w:rsid w:val="00CD0827"/>
    <w:rsid w:val="00CD1123"/>
    <w:rsid w:val="00CD1DDD"/>
    <w:rsid w:val="00CD232A"/>
    <w:rsid w:val="00CD27B9"/>
    <w:rsid w:val="00CD3947"/>
    <w:rsid w:val="00CD3AE8"/>
    <w:rsid w:val="00CD41C2"/>
    <w:rsid w:val="00CD6AED"/>
    <w:rsid w:val="00CD7D82"/>
    <w:rsid w:val="00CE2724"/>
    <w:rsid w:val="00CE45EA"/>
    <w:rsid w:val="00CE4AC4"/>
    <w:rsid w:val="00CE4CDC"/>
    <w:rsid w:val="00CE4F30"/>
    <w:rsid w:val="00CE5951"/>
    <w:rsid w:val="00CE616B"/>
    <w:rsid w:val="00CE77BB"/>
    <w:rsid w:val="00CF0651"/>
    <w:rsid w:val="00CF15FA"/>
    <w:rsid w:val="00CF1B88"/>
    <w:rsid w:val="00CF375F"/>
    <w:rsid w:val="00CF4468"/>
    <w:rsid w:val="00CF44F3"/>
    <w:rsid w:val="00CF4A2A"/>
    <w:rsid w:val="00CF4FA4"/>
    <w:rsid w:val="00CF51DA"/>
    <w:rsid w:val="00CF6A79"/>
    <w:rsid w:val="00CF7518"/>
    <w:rsid w:val="00CF7EBC"/>
    <w:rsid w:val="00D0027C"/>
    <w:rsid w:val="00D00693"/>
    <w:rsid w:val="00D02466"/>
    <w:rsid w:val="00D03018"/>
    <w:rsid w:val="00D043F1"/>
    <w:rsid w:val="00D04710"/>
    <w:rsid w:val="00D04733"/>
    <w:rsid w:val="00D052E1"/>
    <w:rsid w:val="00D05390"/>
    <w:rsid w:val="00D05CE3"/>
    <w:rsid w:val="00D05DE5"/>
    <w:rsid w:val="00D0661E"/>
    <w:rsid w:val="00D105EA"/>
    <w:rsid w:val="00D10C12"/>
    <w:rsid w:val="00D11881"/>
    <w:rsid w:val="00D11BBB"/>
    <w:rsid w:val="00D12606"/>
    <w:rsid w:val="00D12AD3"/>
    <w:rsid w:val="00D12B26"/>
    <w:rsid w:val="00D136D1"/>
    <w:rsid w:val="00D13C76"/>
    <w:rsid w:val="00D14C75"/>
    <w:rsid w:val="00D15243"/>
    <w:rsid w:val="00D1656E"/>
    <w:rsid w:val="00D168FC"/>
    <w:rsid w:val="00D16C5F"/>
    <w:rsid w:val="00D173CA"/>
    <w:rsid w:val="00D17803"/>
    <w:rsid w:val="00D17C4E"/>
    <w:rsid w:val="00D17DDF"/>
    <w:rsid w:val="00D22C0A"/>
    <w:rsid w:val="00D23BBE"/>
    <w:rsid w:val="00D2448A"/>
    <w:rsid w:val="00D24E99"/>
    <w:rsid w:val="00D251ED"/>
    <w:rsid w:val="00D26881"/>
    <w:rsid w:val="00D26B4C"/>
    <w:rsid w:val="00D2733E"/>
    <w:rsid w:val="00D273A4"/>
    <w:rsid w:val="00D27B18"/>
    <w:rsid w:val="00D27C7D"/>
    <w:rsid w:val="00D27E4B"/>
    <w:rsid w:val="00D30175"/>
    <w:rsid w:val="00D30244"/>
    <w:rsid w:val="00D304B5"/>
    <w:rsid w:val="00D306FF"/>
    <w:rsid w:val="00D31B65"/>
    <w:rsid w:val="00D325FD"/>
    <w:rsid w:val="00D32E7F"/>
    <w:rsid w:val="00D33C78"/>
    <w:rsid w:val="00D33F8E"/>
    <w:rsid w:val="00D34F5D"/>
    <w:rsid w:val="00D374BD"/>
    <w:rsid w:val="00D378D0"/>
    <w:rsid w:val="00D37E74"/>
    <w:rsid w:val="00D415A2"/>
    <w:rsid w:val="00D422C4"/>
    <w:rsid w:val="00D435F7"/>
    <w:rsid w:val="00D44B48"/>
    <w:rsid w:val="00D44F68"/>
    <w:rsid w:val="00D459D6"/>
    <w:rsid w:val="00D468EB"/>
    <w:rsid w:val="00D46B72"/>
    <w:rsid w:val="00D472E4"/>
    <w:rsid w:val="00D4790F"/>
    <w:rsid w:val="00D5010E"/>
    <w:rsid w:val="00D5021F"/>
    <w:rsid w:val="00D502AD"/>
    <w:rsid w:val="00D503AF"/>
    <w:rsid w:val="00D50400"/>
    <w:rsid w:val="00D507EC"/>
    <w:rsid w:val="00D5095B"/>
    <w:rsid w:val="00D50E73"/>
    <w:rsid w:val="00D51542"/>
    <w:rsid w:val="00D5228B"/>
    <w:rsid w:val="00D525B4"/>
    <w:rsid w:val="00D52C3D"/>
    <w:rsid w:val="00D54282"/>
    <w:rsid w:val="00D54AEA"/>
    <w:rsid w:val="00D54B56"/>
    <w:rsid w:val="00D54C89"/>
    <w:rsid w:val="00D55150"/>
    <w:rsid w:val="00D553F9"/>
    <w:rsid w:val="00D5622C"/>
    <w:rsid w:val="00D57784"/>
    <w:rsid w:val="00D579CD"/>
    <w:rsid w:val="00D600DD"/>
    <w:rsid w:val="00D60630"/>
    <w:rsid w:val="00D618F0"/>
    <w:rsid w:val="00D61F1C"/>
    <w:rsid w:val="00D64E49"/>
    <w:rsid w:val="00D651B0"/>
    <w:rsid w:val="00D67DC8"/>
    <w:rsid w:val="00D707DF"/>
    <w:rsid w:val="00D708F1"/>
    <w:rsid w:val="00D71D3A"/>
    <w:rsid w:val="00D72345"/>
    <w:rsid w:val="00D7247D"/>
    <w:rsid w:val="00D74881"/>
    <w:rsid w:val="00D757C0"/>
    <w:rsid w:val="00D7611B"/>
    <w:rsid w:val="00D768DA"/>
    <w:rsid w:val="00D76944"/>
    <w:rsid w:val="00D76951"/>
    <w:rsid w:val="00D77355"/>
    <w:rsid w:val="00D77AFC"/>
    <w:rsid w:val="00D80572"/>
    <w:rsid w:val="00D81C24"/>
    <w:rsid w:val="00D81D47"/>
    <w:rsid w:val="00D825E1"/>
    <w:rsid w:val="00D82B15"/>
    <w:rsid w:val="00D831D9"/>
    <w:rsid w:val="00D83D2A"/>
    <w:rsid w:val="00D84D5A"/>
    <w:rsid w:val="00D852B6"/>
    <w:rsid w:val="00D85B22"/>
    <w:rsid w:val="00D860F8"/>
    <w:rsid w:val="00D865C8"/>
    <w:rsid w:val="00D868B7"/>
    <w:rsid w:val="00D87DF6"/>
    <w:rsid w:val="00D90652"/>
    <w:rsid w:val="00D90BA0"/>
    <w:rsid w:val="00D918F6"/>
    <w:rsid w:val="00D92D23"/>
    <w:rsid w:val="00D94104"/>
    <w:rsid w:val="00D946B6"/>
    <w:rsid w:val="00D94F60"/>
    <w:rsid w:val="00D95855"/>
    <w:rsid w:val="00D95C92"/>
    <w:rsid w:val="00D95D28"/>
    <w:rsid w:val="00D96186"/>
    <w:rsid w:val="00D97005"/>
    <w:rsid w:val="00D97069"/>
    <w:rsid w:val="00DA1017"/>
    <w:rsid w:val="00DA1733"/>
    <w:rsid w:val="00DA1D49"/>
    <w:rsid w:val="00DA1E4F"/>
    <w:rsid w:val="00DA246F"/>
    <w:rsid w:val="00DA254F"/>
    <w:rsid w:val="00DA339A"/>
    <w:rsid w:val="00DA34CA"/>
    <w:rsid w:val="00DA38F2"/>
    <w:rsid w:val="00DA3A36"/>
    <w:rsid w:val="00DA3F34"/>
    <w:rsid w:val="00DA3F70"/>
    <w:rsid w:val="00DA627A"/>
    <w:rsid w:val="00DA6562"/>
    <w:rsid w:val="00DA6594"/>
    <w:rsid w:val="00DA6706"/>
    <w:rsid w:val="00DA6B08"/>
    <w:rsid w:val="00DB001D"/>
    <w:rsid w:val="00DB117C"/>
    <w:rsid w:val="00DB2B4B"/>
    <w:rsid w:val="00DB2E58"/>
    <w:rsid w:val="00DB67DE"/>
    <w:rsid w:val="00DB70C5"/>
    <w:rsid w:val="00DB76CB"/>
    <w:rsid w:val="00DC10E8"/>
    <w:rsid w:val="00DC12D2"/>
    <w:rsid w:val="00DC17A0"/>
    <w:rsid w:val="00DC2E6B"/>
    <w:rsid w:val="00DC3484"/>
    <w:rsid w:val="00DC4E25"/>
    <w:rsid w:val="00DC600E"/>
    <w:rsid w:val="00DC730C"/>
    <w:rsid w:val="00DD0146"/>
    <w:rsid w:val="00DD027F"/>
    <w:rsid w:val="00DD0F69"/>
    <w:rsid w:val="00DD1DD2"/>
    <w:rsid w:val="00DD1F16"/>
    <w:rsid w:val="00DD234A"/>
    <w:rsid w:val="00DD34EF"/>
    <w:rsid w:val="00DD3571"/>
    <w:rsid w:val="00DD40C2"/>
    <w:rsid w:val="00DD483C"/>
    <w:rsid w:val="00DD5646"/>
    <w:rsid w:val="00DD6D24"/>
    <w:rsid w:val="00DD787E"/>
    <w:rsid w:val="00DD7B58"/>
    <w:rsid w:val="00DE014A"/>
    <w:rsid w:val="00DE0D18"/>
    <w:rsid w:val="00DE11E7"/>
    <w:rsid w:val="00DE1BC2"/>
    <w:rsid w:val="00DE1D30"/>
    <w:rsid w:val="00DE2251"/>
    <w:rsid w:val="00DE2D07"/>
    <w:rsid w:val="00DE2ED5"/>
    <w:rsid w:val="00DE3627"/>
    <w:rsid w:val="00DE3935"/>
    <w:rsid w:val="00DE3B99"/>
    <w:rsid w:val="00DE4A6C"/>
    <w:rsid w:val="00DE50D3"/>
    <w:rsid w:val="00DE551F"/>
    <w:rsid w:val="00DE5BB6"/>
    <w:rsid w:val="00DE609A"/>
    <w:rsid w:val="00DE6AC4"/>
    <w:rsid w:val="00DE6C26"/>
    <w:rsid w:val="00DE7985"/>
    <w:rsid w:val="00DF02EA"/>
    <w:rsid w:val="00DF1EA5"/>
    <w:rsid w:val="00DF2AB5"/>
    <w:rsid w:val="00DF3EAF"/>
    <w:rsid w:val="00DF44FC"/>
    <w:rsid w:val="00DF452B"/>
    <w:rsid w:val="00DF6E53"/>
    <w:rsid w:val="00DF7CA7"/>
    <w:rsid w:val="00E00BEB"/>
    <w:rsid w:val="00E01548"/>
    <w:rsid w:val="00E01B18"/>
    <w:rsid w:val="00E02891"/>
    <w:rsid w:val="00E02A3B"/>
    <w:rsid w:val="00E032E0"/>
    <w:rsid w:val="00E034E8"/>
    <w:rsid w:val="00E03B89"/>
    <w:rsid w:val="00E03CC9"/>
    <w:rsid w:val="00E04715"/>
    <w:rsid w:val="00E04F45"/>
    <w:rsid w:val="00E05038"/>
    <w:rsid w:val="00E072ED"/>
    <w:rsid w:val="00E07A36"/>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784B"/>
    <w:rsid w:val="00E17F08"/>
    <w:rsid w:val="00E20A52"/>
    <w:rsid w:val="00E20C97"/>
    <w:rsid w:val="00E2143E"/>
    <w:rsid w:val="00E215E4"/>
    <w:rsid w:val="00E21F2A"/>
    <w:rsid w:val="00E22E62"/>
    <w:rsid w:val="00E23172"/>
    <w:rsid w:val="00E2342B"/>
    <w:rsid w:val="00E23646"/>
    <w:rsid w:val="00E23ADE"/>
    <w:rsid w:val="00E241A3"/>
    <w:rsid w:val="00E250C5"/>
    <w:rsid w:val="00E2535B"/>
    <w:rsid w:val="00E26E5D"/>
    <w:rsid w:val="00E2728B"/>
    <w:rsid w:val="00E2743B"/>
    <w:rsid w:val="00E27462"/>
    <w:rsid w:val="00E27F85"/>
    <w:rsid w:val="00E307EB"/>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465CE"/>
    <w:rsid w:val="00E46E92"/>
    <w:rsid w:val="00E50323"/>
    <w:rsid w:val="00E50A8E"/>
    <w:rsid w:val="00E5240C"/>
    <w:rsid w:val="00E52677"/>
    <w:rsid w:val="00E53AAE"/>
    <w:rsid w:val="00E54629"/>
    <w:rsid w:val="00E54D84"/>
    <w:rsid w:val="00E558B2"/>
    <w:rsid w:val="00E62EFD"/>
    <w:rsid w:val="00E63320"/>
    <w:rsid w:val="00E64176"/>
    <w:rsid w:val="00E64655"/>
    <w:rsid w:val="00E65122"/>
    <w:rsid w:val="00E6647E"/>
    <w:rsid w:val="00E6711A"/>
    <w:rsid w:val="00E71231"/>
    <w:rsid w:val="00E716B0"/>
    <w:rsid w:val="00E71AD4"/>
    <w:rsid w:val="00E71D02"/>
    <w:rsid w:val="00E72658"/>
    <w:rsid w:val="00E72E78"/>
    <w:rsid w:val="00E73793"/>
    <w:rsid w:val="00E739BA"/>
    <w:rsid w:val="00E74A55"/>
    <w:rsid w:val="00E74D89"/>
    <w:rsid w:val="00E752B3"/>
    <w:rsid w:val="00E77E1C"/>
    <w:rsid w:val="00E80D42"/>
    <w:rsid w:val="00E81418"/>
    <w:rsid w:val="00E819FB"/>
    <w:rsid w:val="00E81D69"/>
    <w:rsid w:val="00E82BA1"/>
    <w:rsid w:val="00E834B2"/>
    <w:rsid w:val="00E8357A"/>
    <w:rsid w:val="00E84206"/>
    <w:rsid w:val="00E8488C"/>
    <w:rsid w:val="00E84B16"/>
    <w:rsid w:val="00E86B7C"/>
    <w:rsid w:val="00E90974"/>
    <w:rsid w:val="00E90A8D"/>
    <w:rsid w:val="00E90FB4"/>
    <w:rsid w:val="00E915A4"/>
    <w:rsid w:val="00E91A62"/>
    <w:rsid w:val="00E91F44"/>
    <w:rsid w:val="00E925D1"/>
    <w:rsid w:val="00E9353E"/>
    <w:rsid w:val="00E94002"/>
    <w:rsid w:val="00E96015"/>
    <w:rsid w:val="00E960EE"/>
    <w:rsid w:val="00E962E0"/>
    <w:rsid w:val="00E96571"/>
    <w:rsid w:val="00E965A0"/>
    <w:rsid w:val="00E966B5"/>
    <w:rsid w:val="00E96CB2"/>
    <w:rsid w:val="00E96DFA"/>
    <w:rsid w:val="00E96F60"/>
    <w:rsid w:val="00E97ABF"/>
    <w:rsid w:val="00E97E9C"/>
    <w:rsid w:val="00EA0759"/>
    <w:rsid w:val="00EA18FF"/>
    <w:rsid w:val="00EA282F"/>
    <w:rsid w:val="00EA2D56"/>
    <w:rsid w:val="00EA2F37"/>
    <w:rsid w:val="00EA4012"/>
    <w:rsid w:val="00EA402E"/>
    <w:rsid w:val="00EA4655"/>
    <w:rsid w:val="00EA6460"/>
    <w:rsid w:val="00EA652C"/>
    <w:rsid w:val="00EA6724"/>
    <w:rsid w:val="00EA6E10"/>
    <w:rsid w:val="00EA70B2"/>
    <w:rsid w:val="00EA7369"/>
    <w:rsid w:val="00EA7D47"/>
    <w:rsid w:val="00EB0A05"/>
    <w:rsid w:val="00EB188D"/>
    <w:rsid w:val="00EB19AC"/>
    <w:rsid w:val="00EB2A7E"/>
    <w:rsid w:val="00EB3B96"/>
    <w:rsid w:val="00EB4044"/>
    <w:rsid w:val="00EB4475"/>
    <w:rsid w:val="00EB4ED9"/>
    <w:rsid w:val="00EB5493"/>
    <w:rsid w:val="00EB7049"/>
    <w:rsid w:val="00EB7F82"/>
    <w:rsid w:val="00EC16BB"/>
    <w:rsid w:val="00EC22EF"/>
    <w:rsid w:val="00EC34D4"/>
    <w:rsid w:val="00EC438F"/>
    <w:rsid w:val="00EC444B"/>
    <w:rsid w:val="00EC4924"/>
    <w:rsid w:val="00EC4C2F"/>
    <w:rsid w:val="00EC4ECA"/>
    <w:rsid w:val="00EC6242"/>
    <w:rsid w:val="00EC6D3B"/>
    <w:rsid w:val="00EC7011"/>
    <w:rsid w:val="00EC7BC0"/>
    <w:rsid w:val="00EC7F86"/>
    <w:rsid w:val="00ED0226"/>
    <w:rsid w:val="00ED03FB"/>
    <w:rsid w:val="00ED0B5F"/>
    <w:rsid w:val="00ED0F42"/>
    <w:rsid w:val="00ED110D"/>
    <w:rsid w:val="00ED1166"/>
    <w:rsid w:val="00ED3423"/>
    <w:rsid w:val="00ED3B53"/>
    <w:rsid w:val="00ED3E81"/>
    <w:rsid w:val="00ED3FAE"/>
    <w:rsid w:val="00ED421D"/>
    <w:rsid w:val="00ED4278"/>
    <w:rsid w:val="00ED4907"/>
    <w:rsid w:val="00ED4AE5"/>
    <w:rsid w:val="00ED502C"/>
    <w:rsid w:val="00ED528A"/>
    <w:rsid w:val="00ED541E"/>
    <w:rsid w:val="00ED5615"/>
    <w:rsid w:val="00ED5708"/>
    <w:rsid w:val="00ED681B"/>
    <w:rsid w:val="00ED6C5F"/>
    <w:rsid w:val="00ED7DAD"/>
    <w:rsid w:val="00EE1E45"/>
    <w:rsid w:val="00EE1FC6"/>
    <w:rsid w:val="00EE265D"/>
    <w:rsid w:val="00EE3A96"/>
    <w:rsid w:val="00EE3D81"/>
    <w:rsid w:val="00EE593D"/>
    <w:rsid w:val="00EE627C"/>
    <w:rsid w:val="00EE65C0"/>
    <w:rsid w:val="00EE6850"/>
    <w:rsid w:val="00EE6A28"/>
    <w:rsid w:val="00EE6C0E"/>
    <w:rsid w:val="00EE7084"/>
    <w:rsid w:val="00EE731C"/>
    <w:rsid w:val="00EE7EE6"/>
    <w:rsid w:val="00EF0108"/>
    <w:rsid w:val="00EF015C"/>
    <w:rsid w:val="00EF0A3B"/>
    <w:rsid w:val="00EF12ED"/>
    <w:rsid w:val="00EF236A"/>
    <w:rsid w:val="00EF2584"/>
    <w:rsid w:val="00EF273D"/>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217"/>
    <w:rsid w:val="00F063B8"/>
    <w:rsid w:val="00F06D0B"/>
    <w:rsid w:val="00F06E03"/>
    <w:rsid w:val="00F079B3"/>
    <w:rsid w:val="00F07B52"/>
    <w:rsid w:val="00F07B6F"/>
    <w:rsid w:val="00F13B6E"/>
    <w:rsid w:val="00F14F2E"/>
    <w:rsid w:val="00F15057"/>
    <w:rsid w:val="00F169C1"/>
    <w:rsid w:val="00F16DC1"/>
    <w:rsid w:val="00F17068"/>
    <w:rsid w:val="00F17888"/>
    <w:rsid w:val="00F17F3A"/>
    <w:rsid w:val="00F209D7"/>
    <w:rsid w:val="00F216F7"/>
    <w:rsid w:val="00F2306B"/>
    <w:rsid w:val="00F2318F"/>
    <w:rsid w:val="00F23454"/>
    <w:rsid w:val="00F23EB8"/>
    <w:rsid w:val="00F23EBE"/>
    <w:rsid w:val="00F25F84"/>
    <w:rsid w:val="00F260BB"/>
    <w:rsid w:val="00F2649A"/>
    <w:rsid w:val="00F270D5"/>
    <w:rsid w:val="00F27508"/>
    <w:rsid w:val="00F2768D"/>
    <w:rsid w:val="00F27EC6"/>
    <w:rsid w:val="00F30032"/>
    <w:rsid w:val="00F30328"/>
    <w:rsid w:val="00F310B9"/>
    <w:rsid w:val="00F317A7"/>
    <w:rsid w:val="00F31AC8"/>
    <w:rsid w:val="00F31DE3"/>
    <w:rsid w:val="00F32F67"/>
    <w:rsid w:val="00F336A5"/>
    <w:rsid w:val="00F35362"/>
    <w:rsid w:val="00F35A50"/>
    <w:rsid w:val="00F361D9"/>
    <w:rsid w:val="00F402CC"/>
    <w:rsid w:val="00F40AC6"/>
    <w:rsid w:val="00F40DF7"/>
    <w:rsid w:val="00F41643"/>
    <w:rsid w:val="00F419F0"/>
    <w:rsid w:val="00F41EBD"/>
    <w:rsid w:val="00F4300A"/>
    <w:rsid w:val="00F43E98"/>
    <w:rsid w:val="00F4441B"/>
    <w:rsid w:val="00F45785"/>
    <w:rsid w:val="00F464D7"/>
    <w:rsid w:val="00F474C1"/>
    <w:rsid w:val="00F47EA7"/>
    <w:rsid w:val="00F504C3"/>
    <w:rsid w:val="00F51A1C"/>
    <w:rsid w:val="00F534B1"/>
    <w:rsid w:val="00F539D3"/>
    <w:rsid w:val="00F53EB9"/>
    <w:rsid w:val="00F5401C"/>
    <w:rsid w:val="00F54FCF"/>
    <w:rsid w:val="00F552A9"/>
    <w:rsid w:val="00F55BB5"/>
    <w:rsid w:val="00F55FC2"/>
    <w:rsid w:val="00F56404"/>
    <w:rsid w:val="00F566EF"/>
    <w:rsid w:val="00F570AD"/>
    <w:rsid w:val="00F576D4"/>
    <w:rsid w:val="00F61D69"/>
    <w:rsid w:val="00F61FCD"/>
    <w:rsid w:val="00F631B6"/>
    <w:rsid w:val="00F63562"/>
    <w:rsid w:val="00F64028"/>
    <w:rsid w:val="00F64443"/>
    <w:rsid w:val="00F6474F"/>
    <w:rsid w:val="00F6511D"/>
    <w:rsid w:val="00F65120"/>
    <w:rsid w:val="00F6642F"/>
    <w:rsid w:val="00F67095"/>
    <w:rsid w:val="00F67E25"/>
    <w:rsid w:val="00F705A6"/>
    <w:rsid w:val="00F70A30"/>
    <w:rsid w:val="00F7146E"/>
    <w:rsid w:val="00F736DD"/>
    <w:rsid w:val="00F73C31"/>
    <w:rsid w:val="00F7402D"/>
    <w:rsid w:val="00F740A4"/>
    <w:rsid w:val="00F74106"/>
    <w:rsid w:val="00F742BD"/>
    <w:rsid w:val="00F74449"/>
    <w:rsid w:val="00F74BAA"/>
    <w:rsid w:val="00F76066"/>
    <w:rsid w:val="00F771B1"/>
    <w:rsid w:val="00F77870"/>
    <w:rsid w:val="00F77DC2"/>
    <w:rsid w:val="00F8092E"/>
    <w:rsid w:val="00F80A31"/>
    <w:rsid w:val="00F83034"/>
    <w:rsid w:val="00F83336"/>
    <w:rsid w:val="00F834D9"/>
    <w:rsid w:val="00F8542C"/>
    <w:rsid w:val="00F85822"/>
    <w:rsid w:val="00F86212"/>
    <w:rsid w:val="00F90407"/>
    <w:rsid w:val="00F912CB"/>
    <w:rsid w:val="00F92C27"/>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D61"/>
    <w:rsid w:val="00FA3F54"/>
    <w:rsid w:val="00FA44C1"/>
    <w:rsid w:val="00FA5343"/>
    <w:rsid w:val="00FA5837"/>
    <w:rsid w:val="00FA5913"/>
    <w:rsid w:val="00FA6231"/>
    <w:rsid w:val="00FA7433"/>
    <w:rsid w:val="00FA7724"/>
    <w:rsid w:val="00FB00BE"/>
    <w:rsid w:val="00FB12DC"/>
    <w:rsid w:val="00FB2744"/>
    <w:rsid w:val="00FB31BA"/>
    <w:rsid w:val="00FB31CD"/>
    <w:rsid w:val="00FB3EF4"/>
    <w:rsid w:val="00FB4467"/>
    <w:rsid w:val="00FB44DC"/>
    <w:rsid w:val="00FB4C2E"/>
    <w:rsid w:val="00FB4F75"/>
    <w:rsid w:val="00FB5341"/>
    <w:rsid w:val="00FB53E4"/>
    <w:rsid w:val="00FB58A2"/>
    <w:rsid w:val="00FB5CDA"/>
    <w:rsid w:val="00FB646C"/>
    <w:rsid w:val="00FB6798"/>
    <w:rsid w:val="00FB6C8F"/>
    <w:rsid w:val="00FB6F88"/>
    <w:rsid w:val="00FB7AE9"/>
    <w:rsid w:val="00FC0AC9"/>
    <w:rsid w:val="00FC12B8"/>
    <w:rsid w:val="00FC1C78"/>
    <w:rsid w:val="00FC1CB7"/>
    <w:rsid w:val="00FC2023"/>
    <w:rsid w:val="00FC278E"/>
    <w:rsid w:val="00FC27CF"/>
    <w:rsid w:val="00FC358D"/>
    <w:rsid w:val="00FC3A62"/>
    <w:rsid w:val="00FC3A7B"/>
    <w:rsid w:val="00FC45CF"/>
    <w:rsid w:val="00FC498F"/>
    <w:rsid w:val="00FC522C"/>
    <w:rsid w:val="00FC526B"/>
    <w:rsid w:val="00FC61E1"/>
    <w:rsid w:val="00FC6AB7"/>
    <w:rsid w:val="00FC7004"/>
    <w:rsid w:val="00FD01DB"/>
    <w:rsid w:val="00FD0A24"/>
    <w:rsid w:val="00FD1D12"/>
    <w:rsid w:val="00FD2238"/>
    <w:rsid w:val="00FD311C"/>
    <w:rsid w:val="00FD37DA"/>
    <w:rsid w:val="00FD3B00"/>
    <w:rsid w:val="00FD436D"/>
    <w:rsid w:val="00FD51C8"/>
    <w:rsid w:val="00FD5AD1"/>
    <w:rsid w:val="00FD60BC"/>
    <w:rsid w:val="00FD6432"/>
    <w:rsid w:val="00FD6F28"/>
    <w:rsid w:val="00FD7093"/>
    <w:rsid w:val="00FD7635"/>
    <w:rsid w:val="00FD77A0"/>
    <w:rsid w:val="00FE0388"/>
    <w:rsid w:val="00FE1299"/>
    <w:rsid w:val="00FE153A"/>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2CEB"/>
    <w:rsid w:val="00FF47A7"/>
    <w:rsid w:val="00FF4B35"/>
    <w:rsid w:val="00FF4BD6"/>
    <w:rsid w:val="00FF5923"/>
    <w:rsid w:val="00FF59EC"/>
    <w:rsid w:val="00FF7043"/>
    <w:rsid w:val="00FF770B"/>
    <w:rsid w:val="043913E9"/>
    <w:rsid w:val="05164BE7"/>
    <w:rsid w:val="0A18181A"/>
    <w:rsid w:val="0A632726"/>
    <w:rsid w:val="0D625A4D"/>
    <w:rsid w:val="11033725"/>
    <w:rsid w:val="1B116FF8"/>
    <w:rsid w:val="1B5D7AF7"/>
    <w:rsid w:val="1D3F64EC"/>
    <w:rsid w:val="1F563E08"/>
    <w:rsid w:val="21D1535A"/>
    <w:rsid w:val="22BF7243"/>
    <w:rsid w:val="24AC701B"/>
    <w:rsid w:val="2CD92868"/>
    <w:rsid w:val="3086056D"/>
    <w:rsid w:val="314236C1"/>
    <w:rsid w:val="35921DF3"/>
    <w:rsid w:val="36DB109D"/>
    <w:rsid w:val="3A9229EB"/>
    <w:rsid w:val="3FDD6FAB"/>
    <w:rsid w:val="410F0621"/>
    <w:rsid w:val="43AF57C2"/>
    <w:rsid w:val="467E0D27"/>
    <w:rsid w:val="4C5D1379"/>
    <w:rsid w:val="4C952ABB"/>
    <w:rsid w:val="4D667C64"/>
    <w:rsid w:val="4E734CA6"/>
    <w:rsid w:val="551E0609"/>
    <w:rsid w:val="5986658F"/>
    <w:rsid w:val="5A1A21C5"/>
    <w:rsid w:val="5A9165FD"/>
    <w:rsid w:val="5DEB6C03"/>
    <w:rsid w:val="5E7A5C21"/>
    <w:rsid w:val="639E0296"/>
    <w:rsid w:val="6A2364A7"/>
    <w:rsid w:val="6D063E8C"/>
    <w:rsid w:val="6D114B0E"/>
    <w:rsid w:val="6F1A16E3"/>
    <w:rsid w:val="6F877DC6"/>
    <w:rsid w:val="7CDF5BE8"/>
    <w:rsid w:val="7DE55C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61"/>
    <w:qFormat/>
    <w:uiPriority w:val="0"/>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62"/>
    <w:qFormat/>
    <w:uiPriority w:val="0"/>
    <w:pPr>
      <w:keepNext/>
      <w:keepLines/>
      <w:spacing w:line="360" w:lineRule="auto"/>
      <w:outlineLvl w:val="2"/>
    </w:pPr>
    <w:rPr>
      <w:b/>
      <w:bCs/>
      <w:sz w:val="24"/>
      <w:szCs w:val="24"/>
    </w:rPr>
  </w:style>
  <w:style w:type="paragraph" w:styleId="6">
    <w:name w:val="heading 4"/>
    <w:basedOn w:val="1"/>
    <w:next w:val="4"/>
    <w:link w:val="63"/>
    <w:qFormat/>
    <w:uiPriority w:val="0"/>
    <w:pPr>
      <w:keepNext/>
      <w:keepLines/>
      <w:spacing w:line="360" w:lineRule="auto"/>
      <w:outlineLvl w:val="3"/>
    </w:pPr>
    <w:rPr>
      <w:rFonts w:ascii="Arial" w:hAnsi="Arial" w:eastAsia="黑体" w:cs="Arial"/>
      <w:b/>
      <w:bCs/>
      <w:sz w:val="24"/>
      <w:szCs w:val="24"/>
    </w:rPr>
  </w:style>
  <w:style w:type="paragraph" w:styleId="7">
    <w:name w:val="heading 5"/>
    <w:basedOn w:val="8"/>
    <w:next w:val="8"/>
    <w:link w:val="64"/>
    <w:qFormat/>
    <w:uiPriority w:val="0"/>
    <w:pPr>
      <w:snapToGrid w:val="0"/>
      <w:spacing w:after="0" w:line="360" w:lineRule="auto"/>
      <w:outlineLvl w:val="4"/>
    </w:pPr>
    <w:rPr>
      <w:rFonts w:eastAsia="楷体_GB2312"/>
      <w:sz w:val="24"/>
      <w:szCs w:val="24"/>
    </w:rPr>
  </w:style>
  <w:style w:type="paragraph" w:styleId="9">
    <w:name w:val="heading 6"/>
    <w:basedOn w:val="1"/>
    <w:next w:val="8"/>
    <w:link w:val="65"/>
    <w:qFormat/>
    <w:uiPriority w:val="0"/>
    <w:pPr>
      <w:snapToGrid w:val="0"/>
      <w:spacing w:before="60" w:after="60" w:line="360" w:lineRule="auto"/>
      <w:outlineLvl w:val="5"/>
    </w:pPr>
    <w:rPr>
      <w:rFonts w:eastAsia="楷体_GB2312"/>
      <w:sz w:val="24"/>
      <w:szCs w:val="24"/>
    </w:rPr>
  </w:style>
  <w:style w:type="paragraph" w:styleId="10">
    <w:name w:val="heading 7"/>
    <w:basedOn w:val="1"/>
    <w:next w:val="1"/>
    <w:link w:val="97"/>
    <w:qFormat/>
    <w:locked/>
    <w:uiPriority w:val="0"/>
    <w:pPr>
      <w:keepNext/>
      <w:keepLines/>
      <w:spacing w:before="240" w:after="64" w:line="317" w:lineRule="auto"/>
      <w:outlineLvl w:val="6"/>
    </w:pPr>
    <w:rPr>
      <w:b/>
      <w:sz w:val="24"/>
      <w:szCs w:val="20"/>
    </w:rPr>
  </w:style>
  <w:style w:type="paragraph" w:styleId="11">
    <w:name w:val="heading 8"/>
    <w:basedOn w:val="1"/>
    <w:next w:val="1"/>
    <w:link w:val="98"/>
    <w:qFormat/>
    <w:locked/>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1"/>
    <w:link w:val="99"/>
    <w:qFormat/>
    <w:locked/>
    <w:uiPriority w:val="0"/>
    <w:pPr>
      <w:keepNext/>
      <w:keepLines/>
      <w:spacing w:before="240" w:after="64" w:line="317" w:lineRule="auto"/>
      <w:outlineLvl w:val="8"/>
    </w:pPr>
    <w:rPr>
      <w:rFonts w:ascii="Arial" w:hAnsi="Arial" w:eastAsia="黑体"/>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firstLine="420"/>
    </w:pPr>
    <w:rPr>
      <w:sz w:val="24"/>
      <w:szCs w:val="24"/>
    </w:rPr>
  </w:style>
  <w:style w:type="paragraph" w:styleId="8">
    <w:name w:val="Body Text"/>
    <w:basedOn w:val="1"/>
    <w:link w:val="66"/>
    <w:qFormat/>
    <w:uiPriority w:val="0"/>
    <w:pPr>
      <w:spacing w:after="120"/>
    </w:pPr>
  </w:style>
  <w:style w:type="paragraph" w:styleId="13">
    <w:name w:val="toc 7"/>
    <w:basedOn w:val="1"/>
    <w:next w:val="1"/>
    <w:semiHidden/>
    <w:qFormat/>
    <w:uiPriority w:val="0"/>
    <w:pPr>
      <w:ind w:left="1260"/>
      <w:jc w:val="left"/>
    </w:pPr>
  </w:style>
  <w:style w:type="paragraph" w:styleId="14">
    <w:name w:val="index 8"/>
    <w:basedOn w:val="1"/>
    <w:next w:val="1"/>
    <w:semiHidden/>
    <w:qFormat/>
    <w:uiPriority w:val="0"/>
    <w:pPr>
      <w:ind w:left="1400" w:leftChars="1400"/>
    </w:pPr>
    <w:rPr>
      <w:rFonts w:ascii="Arial" w:hAnsi="Arial"/>
      <w:sz w:val="18"/>
      <w:szCs w:val="24"/>
    </w:rPr>
  </w:style>
  <w:style w:type="paragraph" w:styleId="15">
    <w:name w:val="index 5"/>
    <w:basedOn w:val="1"/>
    <w:next w:val="1"/>
    <w:semiHidden/>
    <w:qFormat/>
    <w:uiPriority w:val="0"/>
    <w:pPr>
      <w:ind w:left="800" w:leftChars="800"/>
    </w:pPr>
    <w:rPr>
      <w:rFonts w:ascii="Arial" w:hAnsi="Arial"/>
      <w:sz w:val="18"/>
      <w:szCs w:val="24"/>
    </w:rPr>
  </w:style>
  <w:style w:type="paragraph" w:styleId="16">
    <w:name w:val="Document Map"/>
    <w:basedOn w:val="1"/>
    <w:link w:val="114"/>
    <w:semiHidden/>
    <w:qFormat/>
    <w:uiPriority w:val="0"/>
    <w:pPr>
      <w:shd w:val="clear" w:color="auto" w:fill="000080"/>
    </w:pPr>
    <w:rPr>
      <w:rFonts w:ascii="Arial" w:hAnsi="Arial"/>
      <w:sz w:val="18"/>
      <w:szCs w:val="24"/>
    </w:rPr>
  </w:style>
  <w:style w:type="paragraph" w:styleId="17">
    <w:name w:val="annotation text"/>
    <w:basedOn w:val="1"/>
    <w:link w:val="79"/>
    <w:qFormat/>
    <w:uiPriority w:val="0"/>
    <w:pPr>
      <w:jc w:val="left"/>
    </w:pPr>
  </w:style>
  <w:style w:type="paragraph" w:styleId="18">
    <w:name w:val="index 6"/>
    <w:basedOn w:val="1"/>
    <w:next w:val="1"/>
    <w:semiHidden/>
    <w:qFormat/>
    <w:uiPriority w:val="0"/>
    <w:pPr>
      <w:ind w:left="1000" w:leftChars="1000"/>
    </w:pPr>
    <w:rPr>
      <w:rFonts w:ascii="Arial" w:hAnsi="Arial"/>
      <w:sz w:val="18"/>
      <w:szCs w:val="24"/>
    </w:rPr>
  </w:style>
  <w:style w:type="paragraph" w:styleId="19">
    <w:name w:val="Body Text 3"/>
    <w:basedOn w:val="1"/>
    <w:link w:val="113"/>
    <w:qFormat/>
    <w:uiPriority w:val="0"/>
    <w:pPr>
      <w:spacing w:line="360" w:lineRule="auto"/>
    </w:pPr>
    <w:rPr>
      <w:rFonts w:ascii="仿宋_GB2312" w:hAnsi="Arial" w:eastAsia="仿宋_GB2312"/>
      <w:szCs w:val="24"/>
    </w:rPr>
  </w:style>
  <w:style w:type="paragraph" w:styleId="20">
    <w:name w:val="Body Text Indent"/>
    <w:basedOn w:val="1"/>
    <w:link w:val="75"/>
    <w:qFormat/>
    <w:uiPriority w:val="0"/>
    <w:pPr>
      <w:spacing w:before="50" w:after="50" w:line="360" w:lineRule="auto"/>
      <w:ind w:left="1260" w:leftChars="600" w:firstLine="420" w:firstLineChars="175"/>
    </w:pPr>
    <w:rPr>
      <w:rFonts w:ascii="宋体" w:hAnsi="宋体" w:cs="宋体"/>
      <w:sz w:val="24"/>
      <w:szCs w:val="24"/>
    </w:rPr>
  </w:style>
  <w:style w:type="paragraph" w:styleId="21">
    <w:name w:val="Block Text"/>
    <w:basedOn w:val="1"/>
    <w:qFormat/>
    <w:uiPriority w:val="0"/>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22">
    <w:name w:val="index 4"/>
    <w:basedOn w:val="1"/>
    <w:next w:val="1"/>
    <w:semiHidden/>
    <w:qFormat/>
    <w:uiPriority w:val="0"/>
    <w:pPr>
      <w:ind w:left="600" w:leftChars="600"/>
    </w:pPr>
    <w:rPr>
      <w:rFonts w:ascii="Arial" w:hAnsi="Arial"/>
      <w:sz w:val="18"/>
      <w:szCs w:val="24"/>
    </w:r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rPr>
  </w:style>
  <w:style w:type="paragraph" w:styleId="25">
    <w:name w:val="Plain Text"/>
    <w:basedOn w:val="1"/>
    <w:link w:val="72"/>
    <w:qFormat/>
    <w:uiPriority w:val="99"/>
    <w:rPr>
      <w:rFonts w:ascii="宋体" w:hAnsi="Courier New" w:cs="宋体"/>
      <w:sz w:val="16"/>
      <w:szCs w:val="16"/>
    </w:rPr>
  </w:style>
  <w:style w:type="paragraph" w:styleId="26">
    <w:name w:val="toc 8"/>
    <w:basedOn w:val="1"/>
    <w:next w:val="1"/>
    <w:semiHidden/>
    <w:qFormat/>
    <w:uiPriority w:val="0"/>
    <w:pPr>
      <w:ind w:left="1470"/>
      <w:jc w:val="left"/>
    </w:pPr>
  </w:style>
  <w:style w:type="paragraph" w:styleId="27">
    <w:name w:val="index 3"/>
    <w:basedOn w:val="1"/>
    <w:next w:val="1"/>
    <w:semiHidden/>
    <w:qFormat/>
    <w:uiPriority w:val="0"/>
    <w:pPr>
      <w:ind w:left="400" w:leftChars="400"/>
    </w:pPr>
    <w:rPr>
      <w:rFonts w:ascii="Arial" w:hAnsi="Arial"/>
      <w:sz w:val="18"/>
      <w:szCs w:val="24"/>
    </w:rPr>
  </w:style>
  <w:style w:type="paragraph" w:styleId="28">
    <w:name w:val="Date"/>
    <w:basedOn w:val="1"/>
    <w:next w:val="1"/>
    <w:link w:val="81"/>
    <w:qFormat/>
    <w:uiPriority w:val="0"/>
    <w:pPr>
      <w:ind w:left="100" w:leftChars="2500"/>
    </w:pPr>
  </w:style>
  <w:style w:type="paragraph" w:styleId="29">
    <w:name w:val="Body Text Indent 2"/>
    <w:basedOn w:val="1"/>
    <w:link w:val="69"/>
    <w:qFormat/>
    <w:uiPriority w:val="0"/>
    <w:pPr>
      <w:spacing w:before="50" w:after="50" w:line="360" w:lineRule="auto"/>
      <w:ind w:firstLine="420"/>
    </w:pPr>
    <w:rPr>
      <w:rFonts w:ascii="宋体" w:hAnsi="宋体" w:cs="宋体"/>
      <w:color w:val="0000FF"/>
      <w:sz w:val="24"/>
      <w:szCs w:val="24"/>
    </w:rPr>
  </w:style>
  <w:style w:type="paragraph" w:styleId="30">
    <w:name w:val="Balloon Text"/>
    <w:basedOn w:val="1"/>
    <w:link w:val="77"/>
    <w:qFormat/>
    <w:uiPriority w:val="0"/>
    <w:rPr>
      <w:sz w:val="18"/>
      <w:szCs w:val="18"/>
    </w:rPr>
  </w:style>
  <w:style w:type="paragraph" w:styleId="31">
    <w:name w:val="footer"/>
    <w:basedOn w:val="1"/>
    <w:link w:val="71"/>
    <w:qFormat/>
    <w:uiPriority w:val="99"/>
    <w:pPr>
      <w:tabs>
        <w:tab w:val="center" w:pos="4153"/>
        <w:tab w:val="right" w:pos="8306"/>
      </w:tabs>
      <w:snapToGrid w:val="0"/>
      <w:jc w:val="left"/>
    </w:pPr>
    <w:rPr>
      <w:sz w:val="18"/>
      <w:szCs w:val="18"/>
    </w:rPr>
  </w:style>
  <w:style w:type="paragraph" w:styleId="3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before="120" w:after="120"/>
      <w:jc w:val="left"/>
    </w:pPr>
    <w:rPr>
      <w:rFonts w:eastAsia="黑体"/>
      <w:b/>
      <w:bCs/>
      <w:caps/>
      <w:sz w:val="32"/>
      <w:szCs w:val="32"/>
    </w:rPr>
  </w:style>
  <w:style w:type="paragraph" w:styleId="34">
    <w:name w:val="toc 4"/>
    <w:basedOn w:val="1"/>
    <w:next w:val="1"/>
    <w:semiHidden/>
    <w:qFormat/>
    <w:uiPriority w:val="0"/>
    <w:pPr>
      <w:ind w:left="630"/>
      <w:jc w:val="left"/>
    </w:pPr>
  </w:style>
  <w:style w:type="paragraph" w:styleId="35">
    <w:name w:val="index heading"/>
    <w:basedOn w:val="1"/>
    <w:next w:val="36"/>
    <w:semiHidden/>
    <w:qFormat/>
    <w:uiPriority w:val="0"/>
    <w:rPr>
      <w:rFonts w:ascii="Arial" w:hAnsi="Arial"/>
      <w:sz w:val="18"/>
      <w:szCs w:val="24"/>
    </w:rPr>
  </w:style>
  <w:style w:type="paragraph" w:styleId="36">
    <w:name w:val="index 1"/>
    <w:basedOn w:val="1"/>
    <w:next w:val="1"/>
    <w:semiHidden/>
    <w:qFormat/>
    <w:uiPriority w:val="0"/>
    <w:rPr>
      <w:rFonts w:ascii="Arial" w:hAnsi="Arial"/>
      <w:sz w:val="18"/>
      <w:szCs w:val="24"/>
    </w:rPr>
  </w:style>
  <w:style w:type="paragraph" w:styleId="37">
    <w:name w:val="footnote text"/>
    <w:basedOn w:val="1"/>
    <w:link w:val="73"/>
    <w:semiHidden/>
    <w:qFormat/>
    <w:uiPriority w:val="0"/>
    <w:pPr>
      <w:snapToGrid w:val="0"/>
      <w:jc w:val="left"/>
    </w:pPr>
    <w:rPr>
      <w:sz w:val="18"/>
      <w:szCs w:val="18"/>
    </w:rPr>
  </w:style>
  <w:style w:type="paragraph" w:styleId="38">
    <w:name w:val="toc 6"/>
    <w:basedOn w:val="1"/>
    <w:next w:val="1"/>
    <w:semiHidden/>
    <w:qFormat/>
    <w:uiPriority w:val="0"/>
    <w:pPr>
      <w:ind w:left="1050"/>
      <w:jc w:val="left"/>
    </w:pPr>
  </w:style>
  <w:style w:type="paragraph" w:styleId="39">
    <w:name w:val="Body Text Indent 3"/>
    <w:basedOn w:val="1"/>
    <w:link w:val="76"/>
    <w:qFormat/>
    <w:uiPriority w:val="0"/>
    <w:pPr>
      <w:spacing w:before="50" w:after="50" w:line="360" w:lineRule="auto"/>
      <w:ind w:left="1260" w:leftChars="600" w:firstLine="480" w:firstLineChars="200"/>
    </w:pPr>
    <w:rPr>
      <w:rFonts w:ascii="宋体" w:hAnsi="宋体" w:cs="宋体"/>
      <w:sz w:val="24"/>
      <w:szCs w:val="24"/>
    </w:rPr>
  </w:style>
  <w:style w:type="paragraph" w:styleId="40">
    <w:name w:val="index 7"/>
    <w:basedOn w:val="1"/>
    <w:next w:val="1"/>
    <w:semiHidden/>
    <w:qFormat/>
    <w:uiPriority w:val="0"/>
    <w:pPr>
      <w:ind w:left="1200" w:leftChars="1200"/>
    </w:pPr>
    <w:rPr>
      <w:rFonts w:ascii="Arial" w:hAnsi="Arial"/>
      <w:sz w:val="18"/>
      <w:szCs w:val="24"/>
    </w:rPr>
  </w:style>
  <w:style w:type="paragraph" w:styleId="41">
    <w:name w:val="index 9"/>
    <w:basedOn w:val="1"/>
    <w:next w:val="1"/>
    <w:semiHidden/>
    <w:qFormat/>
    <w:uiPriority w:val="0"/>
    <w:pPr>
      <w:ind w:left="1600" w:leftChars="1600"/>
    </w:pPr>
    <w:rPr>
      <w:rFonts w:ascii="Arial" w:hAnsi="Arial"/>
      <w:sz w:val="18"/>
      <w:szCs w:val="24"/>
    </w:rPr>
  </w:style>
  <w:style w:type="paragraph" w:styleId="42">
    <w:name w:val="toc 2"/>
    <w:basedOn w:val="1"/>
    <w:next w:val="1"/>
    <w:qFormat/>
    <w:uiPriority w:val="39"/>
    <w:pPr>
      <w:ind w:left="210"/>
      <w:jc w:val="left"/>
    </w:pPr>
    <w:rPr>
      <w:smallCaps/>
    </w:rPr>
  </w:style>
  <w:style w:type="paragraph" w:styleId="43">
    <w:name w:val="toc 9"/>
    <w:basedOn w:val="1"/>
    <w:next w:val="1"/>
    <w:semiHidden/>
    <w:qFormat/>
    <w:uiPriority w:val="0"/>
    <w:pPr>
      <w:ind w:left="1680"/>
      <w:jc w:val="left"/>
    </w:pPr>
  </w:style>
  <w:style w:type="paragraph" w:styleId="44">
    <w:name w:val="Body Text 2"/>
    <w:basedOn w:val="1"/>
    <w:link w:val="112"/>
    <w:qFormat/>
    <w:uiPriority w:val="0"/>
    <w:pPr>
      <w:autoSpaceDE w:val="0"/>
      <w:autoSpaceDN w:val="0"/>
      <w:adjustRightInd w:val="0"/>
      <w:spacing w:before="120" w:after="120" w:line="220" w:lineRule="exact"/>
    </w:pPr>
    <w:rPr>
      <w:rFonts w:ascii="Arial" w:hAnsi="Arial"/>
      <w:b/>
      <w:bCs/>
      <w:color w:val="000000"/>
      <w:sz w:val="18"/>
      <w:szCs w:val="18"/>
      <w:lang w:val="zh-CN"/>
    </w:rPr>
  </w:style>
  <w:style w:type="paragraph" w:styleId="45">
    <w:name w:val="HTML Preformatted"/>
    <w:basedOn w:val="1"/>
    <w:link w:val="1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index 2"/>
    <w:basedOn w:val="1"/>
    <w:next w:val="1"/>
    <w:semiHidden/>
    <w:qFormat/>
    <w:uiPriority w:val="0"/>
    <w:pPr>
      <w:ind w:left="200" w:leftChars="200"/>
    </w:pPr>
    <w:rPr>
      <w:rFonts w:ascii="Arial" w:hAnsi="Arial"/>
      <w:sz w:val="18"/>
      <w:szCs w:val="24"/>
    </w:rPr>
  </w:style>
  <w:style w:type="paragraph" w:styleId="48">
    <w:name w:val="Title"/>
    <w:basedOn w:val="8"/>
    <w:next w:val="8"/>
    <w:link w:val="105"/>
    <w:qFormat/>
    <w:locked/>
    <w:uiPriority w:val="0"/>
    <w:pPr>
      <w:tabs>
        <w:tab w:val="left" w:pos="-540"/>
        <w:tab w:val="left" w:pos="1182"/>
      </w:tabs>
      <w:snapToGrid w:val="0"/>
      <w:spacing w:before="240" w:after="60" w:line="360" w:lineRule="auto"/>
      <w:ind w:left="527" w:hanging="425"/>
      <w:jc w:val="center"/>
      <w:outlineLvl w:val="0"/>
    </w:pPr>
    <w:rPr>
      <w:b/>
      <w:sz w:val="36"/>
      <w:szCs w:val="20"/>
    </w:rPr>
  </w:style>
  <w:style w:type="paragraph" w:styleId="49">
    <w:name w:val="annotation subject"/>
    <w:basedOn w:val="17"/>
    <w:next w:val="17"/>
    <w:link w:val="80"/>
    <w:qFormat/>
    <w:uiPriority w:val="0"/>
    <w:rPr>
      <w:b/>
      <w:bCs/>
    </w:rPr>
  </w:style>
  <w:style w:type="paragraph" w:styleId="50">
    <w:name w:val="Body Text First Indent"/>
    <w:basedOn w:val="8"/>
    <w:link w:val="74"/>
    <w:qFormat/>
    <w:uiPriority w:val="0"/>
    <w:pPr>
      <w:spacing w:line="300" w:lineRule="auto"/>
      <w:ind w:firstLine="425" w:firstLineChars="15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Cambria" w:hAnsi="Cambria" w:eastAsia="宋体" w:cs="Times New Roman"/>
      <w:b/>
      <w:bCs/>
      <w:sz w:val="32"/>
      <w:szCs w:val="32"/>
    </w:rPr>
  </w:style>
  <w:style w:type="character" w:customStyle="1" w:styleId="62">
    <w:name w:val="标题 3 字符"/>
    <w:link w:val="5"/>
    <w:qFormat/>
    <w:uiPriority w:val="0"/>
    <w:rPr>
      <w:b/>
      <w:bCs/>
      <w:sz w:val="32"/>
      <w:szCs w:val="32"/>
    </w:rPr>
  </w:style>
  <w:style w:type="character" w:customStyle="1" w:styleId="63">
    <w:name w:val="标题 4 字符"/>
    <w:link w:val="6"/>
    <w:qFormat/>
    <w:locked/>
    <w:uiPriority w:val="0"/>
    <w:rPr>
      <w:rFonts w:ascii="Arial" w:hAnsi="Arial" w:eastAsia="黑体" w:cs="Arial"/>
      <w:b/>
      <w:bCs/>
      <w:kern w:val="2"/>
      <w:sz w:val="24"/>
      <w:szCs w:val="24"/>
    </w:rPr>
  </w:style>
  <w:style w:type="character" w:customStyle="1" w:styleId="64">
    <w:name w:val="标题 5 字符"/>
    <w:link w:val="7"/>
    <w:qFormat/>
    <w:uiPriority w:val="0"/>
    <w:rPr>
      <w:b/>
      <w:bCs/>
      <w:sz w:val="28"/>
      <w:szCs w:val="28"/>
    </w:rPr>
  </w:style>
  <w:style w:type="character" w:customStyle="1" w:styleId="65">
    <w:name w:val="标题 6 字符"/>
    <w:link w:val="9"/>
    <w:qFormat/>
    <w:uiPriority w:val="0"/>
    <w:rPr>
      <w:rFonts w:ascii="Cambria" w:hAnsi="Cambria" w:eastAsia="宋体" w:cs="Times New Roman"/>
      <w:b/>
      <w:bCs/>
      <w:sz w:val="24"/>
      <w:szCs w:val="24"/>
    </w:rPr>
  </w:style>
  <w:style w:type="character" w:customStyle="1" w:styleId="66">
    <w:name w:val="正文文本 字符"/>
    <w:link w:val="8"/>
    <w:qFormat/>
    <w:uiPriority w:val="0"/>
    <w:rPr>
      <w:szCs w:val="21"/>
    </w:rPr>
  </w:style>
  <w:style w:type="paragraph" w:customStyle="1" w:styleId="67">
    <w:name w:val="ccidsiTemplate"/>
    <w:basedOn w:val="1"/>
    <w:qFormat/>
    <w:uiPriority w:val="0"/>
    <w:pPr>
      <w:spacing w:line="360" w:lineRule="auto"/>
    </w:pPr>
    <w:rPr>
      <w:sz w:val="24"/>
      <w:szCs w:val="24"/>
    </w:rPr>
  </w:style>
  <w:style w:type="character" w:customStyle="1" w:styleId="68">
    <w:name w:val="big1"/>
    <w:qFormat/>
    <w:uiPriority w:val="0"/>
    <w:rPr>
      <w:spacing w:val="360"/>
      <w:sz w:val="22"/>
      <w:szCs w:val="22"/>
    </w:rPr>
  </w:style>
  <w:style w:type="character" w:customStyle="1" w:styleId="69">
    <w:name w:val="正文文本缩进 2 字符"/>
    <w:link w:val="29"/>
    <w:qFormat/>
    <w:uiPriority w:val="0"/>
    <w:rPr>
      <w:szCs w:val="21"/>
    </w:rPr>
  </w:style>
  <w:style w:type="character" w:customStyle="1" w:styleId="70">
    <w:name w:val="页眉 字符"/>
    <w:link w:val="32"/>
    <w:qFormat/>
    <w:uiPriority w:val="99"/>
    <w:rPr>
      <w:sz w:val="18"/>
      <w:szCs w:val="18"/>
    </w:rPr>
  </w:style>
  <w:style w:type="character" w:customStyle="1" w:styleId="71">
    <w:name w:val="页脚 字符"/>
    <w:link w:val="31"/>
    <w:qFormat/>
    <w:locked/>
    <w:uiPriority w:val="99"/>
    <w:rPr>
      <w:kern w:val="2"/>
      <w:sz w:val="18"/>
      <w:szCs w:val="18"/>
    </w:rPr>
  </w:style>
  <w:style w:type="character" w:customStyle="1" w:styleId="72">
    <w:name w:val="纯文本 字符"/>
    <w:link w:val="25"/>
    <w:qFormat/>
    <w:locked/>
    <w:uiPriority w:val="99"/>
    <w:rPr>
      <w:rFonts w:ascii="宋体" w:hAnsi="Courier New" w:cs="宋体"/>
      <w:kern w:val="2"/>
      <w:sz w:val="16"/>
      <w:szCs w:val="16"/>
    </w:rPr>
  </w:style>
  <w:style w:type="character" w:customStyle="1" w:styleId="73">
    <w:name w:val="脚注文本 字符"/>
    <w:link w:val="37"/>
    <w:semiHidden/>
    <w:qFormat/>
    <w:locked/>
    <w:uiPriority w:val="0"/>
    <w:rPr>
      <w:kern w:val="2"/>
      <w:sz w:val="18"/>
      <w:szCs w:val="18"/>
    </w:rPr>
  </w:style>
  <w:style w:type="character" w:customStyle="1" w:styleId="74">
    <w:name w:val="正文首行缩进 字符"/>
    <w:basedOn w:val="66"/>
    <w:link w:val="50"/>
    <w:qFormat/>
    <w:uiPriority w:val="0"/>
    <w:rPr>
      <w:szCs w:val="21"/>
    </w:rPr>
  </w:style>
  <w:style w:type="character" w:customStyle="1" w:styleId="75">
    <w:name w:val="正文文本缩进 字符"/>
    <w:link w:val="20"/>
    <w:qFormat/>
    <w:uiPriority w:val="0"/>
    <w:rPr>
      <w:szCs w:val="21"/>
    </w:rPr>
  </w:style>
  <w:style w:type="character" w:customStyle="1" w:styleId="76">
    <w:name w:val="正文文本缩进 3 字符"/>
    <w:link w:val="39"/>
    <w:qFormat/>
    <w:uiPriority w:val="0"/>
    <w:rPr>
      <w:sz w:val="16"/>
      <w:szCs w:val="16"/>
    </w:rPr>
  </w:style>
  <w:style w:type="character" w:customStyle="1" w:styleId="77">
    <w:name w:val="批注框文本 字符"/>
    <w:link w:val="30"/>
    <w:qFormat/>
    <w:uiPriority w:val="0"/>
    <w:rPr>
      <w:sz w:val="0"/>
      <w:szCs w:val="0"/>
    </w:rPr>
  </w:style>
  <w:style w:type="character" w:customStyle="1" w:styleId="78">
    <w:name w:val="ten51"/>
    <w:qFormat/>
    <w:uiPriority w:val="0"/>
    <w:rPr>
      <w:sz w:val="21"/>
      <w:szCs w:val="21"/>
    </w:rPr>
  </w:style>
  <w:style w:type="character" w:customStyle="1" w:styleId="79">
    <w:name w:val="批注文字 字符"/>
    <w:link w:val="17"/>
    <w:qFormat/>
    <w:locked/>
    <w:uiPriority w:val="0"/>
    <w:rPr>
      <w:kern w:val="2"/>
      <w:sz w:val="24"/>
      <w:szCs w:val="24"/>
    </w:rPr>
  </w:style>
  <w:style w:type="character" w:customStyle="1" w:styleId="80">
    <w:name w:val="批注主题 字符"/>
    <w:link w:val="49"/>
    <w:qFormat/>
    <w:uiPriority w:val="0"/>
    <w:rPr>
      <w:b/>
      <w:bCs/>
      <w:kern w:val="2"/>
      <w:sz w:val="24"/>
      <w:szCs w:val="21"/>
    </w:rPr>
  </w:style>
  <w:style w:type="character" w:customStyle="1" w:styleId="81">
    <w:name w:val="日期 字符"/>
    <w:link w:val="28"/>
    <w:qFormat/>
    <w:uiPriority w:val="0"/>
    <w:rPr>
      <w:szCs w:val="21"/>
    </w:rPr>
  </w:style>
  <w:style w:type="paragraph" w:customStyle="1" w:styleId="82">
    <w:name w:val="Char Char Char Char Char Char Char Char Char1 Char Char Char Char Char Char Char"/>
    <w:basedOn w:val="1"/>
    <w:qFormat/>
    <w:uiPriority w:val="0"/>
    <w:pPr>
      <w:tabs>
        <w:tab w:val="left" w:pos="840"/>
      </w:tabs>
      <w:ind w:left="840" w:hanging="360"/>
    </w:pPr>
    <w:rPr>
      <w:sz w:val="24"/>
      <w:szCs w:val="24"/>
    </w:rPr>
  </w:style>
  <w:style w:type="paragraph" w:customStyle="1" w:styleId="83">
    <w:name w:val="Char Char Char Char Char Char Char"/>
    <w:basedOn w:val="1"/>
    <w:qFormat/>
    <w:uiPriority w:val="0"/>
    <w:pPr>
      <w:tabs>
        <w:tab w:val="left" w:pos="840"/>
      </w:tabs>
      <w:ind w:left="840" w:hanging="360"/>
    </w:pPr>
    <w:rPr>
      <w:sz w:val="24"/>
      <w:szCs w:val="24"/>
    </w:rPr>
  </w:style>
  <w:style w:type="paragraph" w:customStyle="1" w:styleId="84">
    <w:name w:val="Char"/>
    <w:basedOn w:val="1"/>
    <w:qFormat/>
    <w:uiPriority w:val="0"/>
  </w:style>
  <w:style w:type="paragraph" w:customStyle="1" w:styleId="85">
    <w:name w:val="默认段落字体 Para Char"/>
    <w:basedOn w:val="1"/>
    <w:qFormat/>
    <w:uiPriority w:val="0"/>
    <w:pPr>
      <w:tabs>
        <w:tab w:val="left" w:pos="840"/>
      </w:tabs>
      <w:ind w:left="840" w:hanging="420"/>
    </w:pPr>
    <w:rPr>
      <w:sz w:val="24"/>
      <w:szCs w:val="24"/>
    </w:rPr>
  </w:style>
  <w:style w:type="paragraph" w:customStyle="1" w:styleId="86">
    <w:name w:val="Char Char Char Char1 Char Char Char"/>
    <w:basedOn w:val="1"/>
    <w:qFormat/>
    <w:uiPriority w:val="0"/>
  </w:style>
  <w:style w:type="paragraph" w:customStyle="1" w:styleId="87">
    <w:name w:val="Char Char Char Char Char"/>
    <w:basedOn w:val="1"/>
    <w:qFormat/>
    <w:uiPriority w:val="0"/>
    <w:pPr>
      <w:tabs>
        <w:tab w:val="left" w:pos="840"/>
      </w:tabs>
      <w:ind w:left="840" w:hanging="360"/>
    </w:pPr>
    <w:rPr>
      <w:sz w:val="24"/>
      <w:szCs w:val="24"/>
    </w:rPr>
  </w:style>
  <w:style w:type="paragraph" w:customStyle="1" w:styleId="88">
    <w:name w:val="Char Char"/>
    <w:basedOn w:val="1"/>
    <w:qFormat/>
    <w:uiPriority w:val="0"/>
    <w:pPr>
      <w:tabs>
        <w:tab w:val="left" w:pos="840"/>
      </w:tabs>
      <w:ind w:left="840" w:hanging="360"/>
    </w:pPr>
    <w:rPr>
      <w:sz w:val="24"/>
      <w:szCs w:val="24"/>
    </w:rPr>
  </w:style>
  <w:style w:type="paragraph" w:customStyle="1" w:styleId="89">
    <w:name w:val="默认段落字体 Para Char Char Char Char Char Char"/>
    <w:basedOn w:val="1"/>
    <w:qFormat/>
    <w:uiPriority w:val="0"/>
    <w:pPr>
      <w:tabs>
        <w:tab w:val="left" w:pos="840"/>
      </w:tabs>
      <w:ind w:left="840" w:hanging="360"/>
    </w:pPr>
    <w:rPr>
      <w:sz w:val="24"/>
      <w:szCs w:val="24"/>
    </w:rPr>
  </w:style>
  <w:style w:type="paragraph" w:customStyle="1" w:styleId="90">
    <w:name w:val="Char Char Char Char Char Char Char Char Char1 Char Char Char Char"/>
    <w:basedOn w:val="1"/>
    <w:qFormat/>
    <w:uiPriority w:val="0"/>
    <w:pPr>
      <w:tabs>
        <w:tab w:val="left" w:pos="840"/>
      </w:tabs>
      <w:ind w:left="840" w:hanging="360"/>
    </w:pPr>
    <w:rPr>
      <w:sz w:val="24"/>
      <w:szCs w:val="24"/>
    </w:rPr>
  </w:style>
  <w:style w:type="paragraph" w:customStyle="1" w:styleId="91">
    <w:name w:val="1 Char"/>
    <w:basedOn w:val="1"/>
    <w:semiHidden/>
    <w:qFormat/>
    <w:uiPriority w:val="0"/>
    <w:pPr>
      <w:tabs>
        <w:tab w:val="left" w:pos="360"/>
      </w:tabs>
    </w:pPr>
    <w:rPr>
      <w:sz w:val="24"/>
      <w:szCs w:val="24"/>
    </w:rPr>
  </w:style>
  <w:style w:type="paragraph" w:customStyle="1" w:styleId="92">
    <w:name w:val="Char Char Char"/>
    <w:basedOn w:val="1"/>
    <w:qFormat/>
    <w:uiPriority w:val="0"/>
  </w:style>
  <w:style w:type="paragraph" w:customStyle="1" w:styleId="93">
    <w:name w:val="Char1 Char Char Char Char Char Char"/>
    <w:basedOn w:val="1"/>
    <w:qFormat/>
    <w:uiPriority w:val="0"/>
  </w:style>
  <w:style w:type="paragraph" w:customStyle="1" w:styleId="94">
    <w:name w:val="c_"/>
    <w:qFormat/>
    <w:uiPriority w:val="0"/>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95">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96">
    <w:name w:val="apple-style-span"/>
    <w:basedOn w:val="53"/>
    <w:qFormat/>
    <w:uiPriority w:val="0"/>
  </w:style>
  <w:style w:type="character" w:customStyle="1" w:styleId="97">
    <w:name w:val="标题 7 字符"/>
    <w:link w:val="10"/>
    <w:qFormat/>
    <w:uiPriority w:val="0"/>
    <w:rPr>
      <w:b/>
      <w:kern w:val="2"/>
      <w:sz w:val="24"/>
    </w:rPr>
  </w:style>
  <w:style w:type="character" w:customStyle="1" w:styleId="98">
    <w:name w:val="标题 8 字符"/>
    <w:link w:val="11"/>
    <w:qFormat/>
    <w:uiPriority w:val="0"/>
    <w:rPr>
      <w:rFonts w:ascii="Arial" w:hAnsi="Arial" w:eastAsia="黑体"/>
      <w:kern w:val="2"/>
      <w:sz w:val="24"/>
    </w:rPr>
  </w:style>
  <w:style w:type="character" w:customStyle="1" w:styleId="99">
    <w:name w:val="标题 9 字符"/>
    <w:link w:val="12"/>
    <w:qFormat/>
    <w:uiPriority w:val="0"/>
    <w:rPr>
      <w:rFonts w:ascii="Arial" w:hAnsi="Arial" w:eastAsia="黑体"/>
      <w:kern w:val="2"/>
      <w:sz w:val="21"/>
    </w:rPr>
  </w:style>
  <w:style w:type="character" w:customStyle="1" w:styleId="100">
    <w:name w:val="read"/>
    <w:basedOn w:val="53"/>
    <w:qFormat/>
    <w:uiPriority w:val="0"/>
  </w:style>
  <w:style w:type="paragraph" w:customStyle="1" w:styleId="101">
    <w:name w:val="编号正文2"/>
    <w:basedOn w:val="1"/>
    <w:qFormat/>
    <w:uiPriority w:val="0"/>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102">
    <w:name w:val="xl22"/>
    <w:basedOn w:val="1"/>
    <w:qFormat/>
    <w:uiPriority w:val="0"/>
    <w:pPr>
      <w:widowControl/>
      <w:spacing w:before="100" w:beforeAutospacing="1" w:after="100" w:afterAutospacing="1"/>
      <w:textAlignment w:val="top"/>
    </w:pPr>
    <w:rPr>
      <w:rFonts w:hint="eastAsia" w:ascii="宋体" w:hAnsi="宋体"/>
      <w:kern w:val="0"/>
      <w:sz w:val="18"/>
      <w:szCs w:val="20"/>
    </w:rPr>
  </w:style>
  <w:style w:type="paragraph" w:customStyle="1" w:styleId="103">
    <w:name w:val="项目"/>
    <w:basedOn w:val="6"/>
    <w:qFormat/>
    <w:uiPriority w:val="0"/>
    <w:pPr>
      <w:snapToGrid w:val="0"/>
      <w:spacing w:before="120" w:after="120"/>
    </w:pPr>
    <w:rPr>
      <w:rFonts w:ascii="Times New Roman" w:hAnsi="Times New Roman" w:eastAsia="楷体_GB2312" w:cs="Times New Roman"/>
      <w:b w:val="0"/>
      <w:bCs w:val="0"/>
      <w:szCs w:val="20"/>
    </w:rPr>
  </w:style>
  <w:style w:type="paragraph" w:customStyle="1" w:styleId="104">
    <w:name w:val="表格正文"/>
    <w:basedOn w:val="4"/>
    <w:qFormat/>
    <w:uiPriority w:val="0"/>
    <w:pPr>
      <w:spacing w:beforeLines="50" w:line="240" w:lineRule="auto"/>
      <w:ind w:firstLine="0"/>
      <w:jc w:val="center"/>
    </w:pPr>
    <w:rPr>
      <w:szCs w:val="20"/>
    </w:rPr>
  </w:style>
  <w:style w:type="character" w:customStyle="1" w:styleId="105">
    <w:name w:val="标题 字符"/>
    <w:link w:val="48"/>
    <w:qFormat/>
    <w:uiPriority w:val="0"/>
    <w:rPr>
      <w:b/>
      <w:kern w:val="2"/>
      <w:sz w:val="36"/>
    </w:rPr>
  </w:style>
  <w:style w:type="paragraph" w:customStyle="1" w:styleId="106">
    <w:name w:val="报告署名"/>
    <w:basedOn w:val="1"/>
    <w:next w:val="1"/>
    <w:qFormat/>
    <w:uiPriority w:val="0"/>
    <w:pPr>
      <w:spacing w:line="360" w:lineRule="auto"/>
      <w:jc w:val="center"/>
    </w:pPr>
    <w:rPr>
      <w:rFonts w:ascii="宋体" w:hAnsi="宋体"/>
      <w:sz w:val="24"/>
      <w:szCs w:val="20"/>
    </w:rPr>
  </w:style>
  <w:style w:type="paragraph" w:customStyle="1" w:styleId="107">
    <w:name w:val="列表2"/>
    <w:basedOn w:val="1"/>
    <w:next w:val="48"/>
    <w:qFormat/>
    <w:uiPriority w:val="0"/>
    <w:pPr>
      <w:tabs>
        <w:tab w:val="left" w:pos="1125"/>
      </w:tabs>
      <w:spacing w:line="360" w:lineRule="auto"/>
      <w:ind w:left="1125" w:hanging="1125"/>
    </w:pPr>
    <w:rPr>
      <w:rFonts w:ascii="宋体"/>
      <w:szCs w:val="20"/>
    </w:rPr>
  </w:style>
  <w:style w:type="paragraph" w:styleId="108">
    <w:name w:val="List Paragraph"/>
    <w:basedOn w:val="1"/>
    <w:qFormat/>
    <w:uiPriority w:val="34"/>
    <w:pPr>
      <w:ind w:firstLine="420" w:firstLineChars="200"/>
    </w:pPr>
    <w:rPr>
      <w:szCs w:val="20"/>
    </w:rPr>
  </w:style>
  <w:style w:type="character" w:customStyle="1" w:styleId="109">
    <w:name w:val="unnamed11"/>
    <w:qFormat/>
    <w:uiPriority w:val="0"/>
    <w:rPr>
      <w:rFonts w:hint="eastAsia" w:ascii="宋体" w:hAnsi="宋体" w:eastAsia="宋体"/>
      <w:sz w:val="18"/>
      <w:szCs w:val="18"/>
    </w:rPr>
  </w:style>
  <w:style w:type="paragraph" w:customStyle="1" w:styleId="1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1">
    <w:name w:val="Char1"/>
    <w:basedOn w:val="1"/>
    <w:qFormat/>
    <w:uiPriority w:val="0"/>
    <w:rPr>
      <w:szCs w:val="20"/>
    </w:rPr>
  </w:style>
  <w:style w:type="character" w:customStyle="1" w:styleId="112">
    <w:name w:val="正文文本 2 字符"/>
    <w:link w:val="44"/>
    <w:qFormat/>
    <w:uiPriority w:val="0"/>
    <w:rPr>
      <w:rFonts w:ascii="Arial" w:hAnsi="Arial"/>
      <w:b/>
      <w:bCs/>
      <w:color w:val="000000"/>
      <w:kern w:val="2"/>
      <w:sz w:val="18"/>
      <w:szCs w:val="18"/>
      <w:lang w:val="zh-CN"/>
    </w:rPr>
  </w:style>
  <w:style w:type="character" w:customStyle="1" w:styleId="113">
    <w:name w:val="正文文本 3 字符"/>
    <w:link w:val="19"/>
    <w:qFormat/>
    <w:uiPriority w:val="0"/>
    <w:rPr>
      <w:rFonts w:ascii="仿宋_GB2312" w:hAnsi="Arial" w:eastAsia="仿宋_GB2312"/>
      <w:kern w:val="2"/>
      <w:sz w:val="21"/>
      <w:szCs w:val="24"/>
    </w:rPr>
  </w:style>
  <w:style w:type="character" w:customStyle="1" w:styleId="114">
    <w:name w:val="文档结构图 字符"/>
    <w:link w:val="16"/>
    <w:semiHidden/>
    <w:qFormat/>
    <w:uiPriority w:val="0"/>
    <w:rPr>
      <w:rFonts w:ascii="Arial" w:hAnsi="Arial"/>
      <w:kern w:val="2"/>
      <w:sz w:val="18"/>
      <w:szCs w:val="24"/>
      <w:shd w:val="clear" w:color="auto" w:fill="000080"/>
    </w:rPr>
  </w:style>
  <w:style w:type="paragraph" w:customStyle="1" w:styleId="115">
    <w:name w:val="Q? Bulleted text"/>
    <w:basedOn w:val="1"/>
    <w:qFormat/>
    <w:uiPriority w:val="0"/>
    <w:pPr>
      <w:widowControl/>
      <w:numPr>
        <w:ilvl w:val="0"/>
        <w:numId w:val="1"/>
      </w:numPr>
      <w:spacing w:after="120" w:line="240" w:lineRule="exact"/>
      <w:jc w:val="left"/>
    </w:pPr>
    <w:rPr>
      <w:rFonts w:ascii="Arial" w:hAnsi="Arial"/>
      <w:color w:val="000000"/>
      <w:spacing w:val="-6"/>
      <w:kern w:val="0"/>
      <w:sz w:val="22"/>
      <w:szCs w:val="20"/>
      <w:lang w:val="en-GB" w:eastAsia="en-GB"/>
    </w:rPr>
  </w:style>
  <w:style w:type="paragraph" w:customStyle="1" w:styleId="116">
    <w:name w:val="Q? Table text"/>
    <w:basedOn w:val="1"/>
    <w:qFormat/>
    <w:uiPriority w:val="0"/>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117">
    <w:name w:val="Q? Bulleted text Char"/>
    <w:qFormat/>
    <w:uiPriority w:val="0"/>
    <w:rPr>
      <w:rFonts w:ascii="Arial" w:hAnsi="Arial" w:eastAsia="宋体"/>
      <w:color w:val="000000"/>
      <w:spacing w:val="-6"/>
      <w:sz w:val="22"/>
      <w:lang w:val="en-GB" w:eastAsia="en-GB" w:bidi="ar-SA"/>
    </w:rPr>
  </w:style>
  <w:style w:type="paragraph" w:customStyle="1" w:styleId="118">
    <w:name w:val="Q? Paragraph heading burgundy"/>
    <w:basedOn w:val="1"/>
    <w:qFormat/>
    <w:uiPriority w:val="0"/>
    <w:pPr>
      <w:widowControl/>
      <w:spacing w:line="240" w:lineRule="exact"/>
      <w:jc w:val="left"/>
    </w:pPr>
    <w:rPr>
      <w:rFonts w:ascii="Arial" w:hAnsi="Arial"/>
      <w:b/>
      <w:color w:val="800000"/>
      <w:spacing w:val="-8"/>
      <w:kern w:val="0"/>
      <w:sz w:val="22"/>
      <w:szCs w:val="20"/>
      <w:lang w:val="en-GB" w:eastAsia="en-GB"/>
    </w:rPr>
  </w:style>
  <w:style w:type="character" w:customStyle="1" w:styleId="119">
    <w:name w:val="Q? Paragraph heading burgundy Char"/>
    <w:qFormat/>
    <w:uiPriority w:val="0"/>
    <w:rPr>
      <w:rFonts w:ascii="Arial" w:hAnsi="Arial" w:eastAsia="宋体"/>
      <w:b/>
      <w:color w:val="800000"/>
      <w:spacing w:val="-8"/>
      <w:sz w:val="22"/>
      <w:lang w:val="en-GB" w:eastAsia="en-GB" w:bidi="ar-SA"/>
    </w:rPr>
  </w:style>
  <w:style w:type="paragraph" w:customStyle="1" w:styleId="120">
    <w:name w:val="Chi Section Heading 5"/>
    <w:basedOn w:val="1"/>
    <w:qFormat/>
    <w:uiPriority w:val="0"/>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121">
    <w:name w:val="Chi Section Heading 6"/>
    <w:basedOn w:val="1"/>
    <w:qFormat/>
    <w:uiPriority w:val="0"/>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122">
    <w:name w:val="table"/>
    <w:basedOn w:val="1"/>
    <w:qFormat/>
    <w:uiPriority w:val="0"/>
    <w:pPr>
      <w:keepNext/>
      <w:widowControl/>
    </w:pPr>
    <w:rPr>
      <w:rFonts w:ascii="Arial" w:hAnsi="Arial" w:eastAsia="Times New Roman"/>
      <w:kern w:val="0"/>
      <w:sz w:val="22"/>
      <w:szCs w:val="24"/>
      <w:lang w:val="en-AU" w:eastAsia="en-US"/>
    </w:rPr>
  </w:style>
  <w:style w:type="character" w:customStyle="1" w:styleId="123">
    <w:name w:val="txtcontent11"/>
    <w:qFormat/>
    <w:uiPriority w:val="0"/>
    <w:rPr>
      <w:rFonts w:hint="default" w:ascii="ˎ̥" w:hAnsi="ˎ̥"/>
      <w:color w:val="000000"/>
      <w:sz w:val="21"/>
      <w:szCs w:val="21"/>
    </w:rPr>
  </w:style>
  <w:style w:type="paragraph" w:customStyle="1" w:styleId="124">
    <w:name w:val="正文（首行缩进两字）"/>
    <w:basedOn w:val="110"/>
    <w:next w:val="110"/>
    <w:qFormat/>
    <w:uiPriority w:val="0"/>
  </w:style>
  <w:style w:type="character" w:customStyle="1" w:styleId="125">
    <w:name w:val="HTML 预设格式 字符"/>
    <w:link w:val="45"/>
    <w:qFormat/>
    <w:uiPriority w:val="0"/>
    <w:rPr>
      <w:rFonts w:ascii="宋体" w:hAnsi="宋体" w:cs="宋体"/>
      <w:color w:val="000000"/>
      <w:sz w:val="21"/>
      <w:szCs w:val="21"/>
    </w:rPr>
  </w:style>
  <w:style w:type="paragraph" w:customStyle="1" w:styleId="126">
    <w:name w:val="R Insert Chart/picture"/>
    <w:basedOn w:val="1"/>
    <w:next w:val="1"/>
    <w:qFormat/>
    <w:uiPriority w:val="0"/>
    <w:pPr>
      <w:widowControl/>
      <w:ind w:left="-28"/>
    </w:pPr>
    <w:rPr>
      <w:rFonts w:ascii="LucidaSans" w:hAnsi="LucidaSans"/>
      <w:color w:val="FF0000"/>
      <w:spacing w:val="-8"/>
      <w:kern w:val="0"/>
      <w:sz w:val="56"/>
      <w:szCs w:val="20"/>
      <w:lang w:val="en-GB"/>
    </w:rPr>
  </w:style>
  <w:style w:type="paragraph" w:customStyle="1" w:styleId="127">
    <w:name w:val="Char1 Char Char Char Char Char Char Char Char Char Char Char Char1 Char Char Char Char Char Char Char Char Char"/>
    <w:basedOn w:val="1"/>
    <w:qFormat/>
    <w:uiPriority w:val="0"/>
    <w:rPr>
      <w:szCs w:val="24"/>
    </w:rPr>
  </w:style>
  <w:style w:type="table" w:customStyle="1" w:styleId="128">
    <w:name w:val="浅色底纹 - 强调文字颜色 11"/>
    <w:basedOn w:val="51"/>
    <w:qFormat/>
    <w:uiPriority w:val="60"/>
    <w:rPr>
      <w:rFonts w:ascii="Calibri" w:hAnsi="Calibri"/>
      <w:color w:val="365F91"/>
      <w:kern w:val="2"/>
      <w:sz w:val="21"/>
      <w:szCs w:val="22"/>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table" w:customStyle="1" w:styleId="129">
    <w:name w:val="网格表 5 深色 - 着色 51"/>
    <w:basedOn w:val="51"/>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AEE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BACC6"/>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BACC6"/>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BACC6"/>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BACC6"/>
      </w:tcPr>
    </w:tblStylePr>
    <w:tblStylePr w:type="band1Vert">
      <w:tcPr>
        <w:shd w:val="clear" w:color="auto" w:fill="B6DDE8"/>
      </w:tcPr>
    </w:tblStylePr>
    <w:tblStylePr w:type="band1Horz">
      <w:tcPr>
        <w:shd w:val="clear" w:color="auto" w:fill="B6DDE8"/>
      </w:tcPr>
    </w:tblStylePr>
  </w:style>
  <w:style w:type="paragraph" w:customStyle="1" w:styleId="130">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131">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132">
    <w:name w:val="修订4"/>
    <w:hidden/>
    <w:semiHidden/>
    <w:qFormat/>
    <w:uiPriority w:val="99"/>
    <w:rPr>
      <w:rFonts w:ascii="Times New Roman" w:hAnsi="Times New Roman" w:eastAsia="宋体" w:cs="Times New Roman"/>
      <w:kern w:val="2"/>
      <w:sz w:val="21"/>
      <w:szCs w:val="21"/>
      <w:lang w:val="en-US" w:eastAsia="zh-CN" w:bidi="ar-SA"/>
    </w:rPr>
  </w:style>
  <w:style w:type="paragraph" w:customStyle="1" w:styleId="133">
    <w:name w:val="修订5"/>
    <w:hidden/>
    <w:semiHidden/>
    <w:uiPriority w:val="99"/>
    <w:rPr>
      <w:rFonts w:ascii="Times New Roman" w:hAnsi="Times New Roman" w:eastAsia="宋体" w:cs="Times New Roman"/>
      <w:kern w:val="2"/>
      <w:sz w:val="21"/>
      <w:szCs w:val="21"/>
      <w:lang w:val="en-US" w:eastAsia="zh-CN" w:bidi="ar-SA"/>
    </w:rPr>
  </w:style>
  <w:style w:type="paragraph" w:customStyle="1" w:styleId="134">
    <w:name w:val="Revision"/>
    <w:hidden/>
    <w:semiHidden/>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8BE42-EE33-454E-8FC7-139A7B1597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2077</Words>
  <Characters>11843</Characters>
  <Lines>98</Lines>
  <Paragraphs>27</Paragraphs>
  <TotalTime>101</TotalTime>
  <ScaleCrop>false</ScaleCrop>
  <LinksUpToDate>false</LinksUpToDate>
  <CharactersWithSpaces>13893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2025-11-08T14:25:00Z</dcterms:created>
  <dc:creator>zhangminjun</dc:creator>
  <cp:lastModifiedBy>guanjiachen</cp:lastModifiedBy>
  <cp:lastPrinted>2007-06-27T06:13:00Z</cp:lastPrinted>
  <dcterms:modified xsi:type="dcterms:W3CDTF">2025-11-24T07:30:44Z</dcterms:modified>
  <dc:title>募集方案</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912890D0D2344D52A7F065EBBFBE45B0</vt:lpwstr>
  </property>
</Properties>
</file>