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ascii="宋体" w:hAnsi="宋体" w:eastAsia="宋体" w:cs="宋体"/>
          <w:b/>
          <w:kern w:val="0"/>
          <w:sz w:val="30"/>
        </w:rPr>
      </w:pPr>
      <w:r>
        <w:rPr>
          <w:rFonts w:hint="eastAsia" w:ascii="宋体" w:hAnsi="宋体" w:eastAsia="宋体" w:cs="宋体"/>
          <w:b/>
          <w:kern w:val="0"/>
          <w:sz w:val="30"/>
          <w:lang w:val="en-US" w:eastAsia="zh-CN"/>
        </w:rPr>
        <w:t>交银施罗德</w:t>
      </w:r>
      <w:r>
        <w:rPr>
          <w:rFonts w:ascii="宋体" w:hAnsi="宋体" w:eastAsia="宋体" w:cs="宋体"/>
          <w:b/>
          <w:kern w:val="0"/>
          <w:sz w:val="30"/>
        </w:rPr>
        <w:t>基金管理有限公司关于旗下上交所ETF申购赎回清单版本更新的公告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spacing w:line="360" w:lineRule="auto"/>
        <w:ind w:firstLine="420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ab/>
      </w:r>
      <w:r>
        <w:rPr>
          <w:rFonts w:ascii="宋体" w:hAnsi="宋体" w:eastAsia="宋体" w:cs="宋体"/>
          <w:kern w:val="0"/>
          <w:sz w:val="24"/>
        </w:rPr>
        <w:t>根据上海证券交易所（以下简称“上交所”）于2025年10月24日公告的《关于发布优化ETF申赎清单、EzOES下线市场接口及技术指南（正式稿）的通知》，上交所将正式上线ETF新版申购赎回清单。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交银施罗德</w:t>
      </w:r>
      <w:r>
        <w:rPr>
          <w:rFonts w:ascii="宋体" w:hAnsi="宋体" w:eastAsia="宋体" w:cs="宋体"/>
          <w:kern w:val="0"/>
          <w:sz w:val="24"/>
        </w:rPr>
        <w:t>基金管理有限公司（以下简称“本公司”）自2025年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11</w:t>
      </w:r>
      <w:r>
        <w:rPr>
          <w:rFonts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24</w:t>
      </w:r>
      <w:r>
        <w:rPr>
          <w:rFonts w:ascii="宋体" w:hAnsi="宋体" w:eastAsia="宋体" w:cs="宋体"/>
          <w:kern w:val="0"/>
          <w:sz w:val="24"/>
        </w:rPr>
        <w:t>日起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</w:rPr>
        <w:t>对旗下上交所ETF申购赎回清单进行版本更新。现将相关事项公告如下：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涉及本次申购赎回清单版本更新的基金列表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967"/>
        <w:gridCol w:w="120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基金代码</w:t>
            </w:r>
          </w:p>
        </w:tc>
        <w:tc>
          <w:tcPr>
            <w:tcW w:w="39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基金名称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场内简称</w:t>
            </w:r>
          </w:p>
        </w:tc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扩位证券简称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510010</w:t>
            </w:r>
          </w:p>
        </w:tc>
        <w:tc>
          <w:tcPr>
            <w:tcW w:w="3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上证180公司治理交易型开放式指数证券投资基金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治理ETF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180治理ETF</w:t>
            </w:r>
          </w:p>
        </w:tc>
      </w:tr>
    </w:tbl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更新情况说明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根据《上海证券交易所优化ETF申赎清单市场参与者技术实施指南》3.0版，上交所ETF申购赎回清单将新增xml版本，除格式变更外，主要调整包括：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启用“市场ID”字段；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调整“替代标志”字段描述，统一调整为“0-禁止现金替代”“1-允许现金替代”“2-必须现金替代”三类；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新增“当日净申购基金份额上限”“当日净赎回基金份额上限”字段；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新增“单个账户净申购总额限制”“单个账户净赎回总额限制”字段；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新增“单个账户累计申购总额限制”“单个账户累计赎回总额限制”字段；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新增“当日申购限额”“当日赎回限额”；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增加部分字段长度；</w:t>
      </w:r>
    </w:p>
    <w:p>
      <w:pPr>
        <w:widowControl/>
        <w:numPr>
          <w:ilvl w:val="0"/>
          <w:numId w:val="2"/>
        </w:numPr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新增“申赎模式”字段。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0"/>
        <w:jc w:val="left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ascii="Times New Roman" w:hAnsi="Times New Roman" w:eastAsia="Times New Roman" w:cs="Times New Roman"/>
          <w:kern w:val="0"/>
          <w:sz w:val="24"/>
        </w:rPr>
        <w:t>具体更新内容详见上交所的相关说明。</w:t>
      </w:r>
    </w:p>
    <w:p>
      <w:pPr>
        <w:widowControl/>
        <w:numPr>
          <w:ilvl w:val="-1"/>
          <w:numId w:val="0"/>
        </w:numPr>
        <w:spacing w:line="360" w:lineRule="auto"/>
        <w:ind w:leftChars="0"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自2025年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ascii="Times New Roman" w:hAnsi="Times New Roman" w:eastAsia="Times New Roman" w:cs="Times New Roman"/>
          <w:kern w:val="0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ascii="Times New Roman" w:hAnsi="Times New Roman" w:eastAsia="Times New Roman" w:cs="Times New Roman"/>
          <w:kern w:val="0"/>
          <w:sz w:val="24"/>
          <w:szCs w:val="24"/>
          <w:highlight w:val="none"/>
        </w:rPr>
        <w:t>日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起，上述ETF将采用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/>
        </w:rPr>
        <w:t>新版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申购赎回清单，具体内容以上交所实际公布的清单为准。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其他需要提示的事项</w:t>
      </w:r>
    </w:p>
    <w:p>
      <w:pPr>
        <w:numPr>
          <w:ilvl w:val="-1"/>
          <w:numId w:val="0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widowControl/>
        <w:numPr>
          <w:ilvl w:val="0"/>
          <w:numId w:val="3"/>
        </w:numPr>
        <w:spacing w:line="360" w:lineRule="auto"/>
        <w:ind w:leftChars="0" w:firstLine="480" w:firstLineChars="200"/>
        <w:rPr>
          <w:rFonts w:hint="eastAsia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kern w:val="0"/>
          <w:sz w:val="24"/>
          <w:szCs w:val="24"/>
        </w:rPr>
        <w:t>本次更新符合相关法律法规及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上述ETF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</w:rPr>
        <w:t>基金合同的规定，本公告主要对本公司旗下上交所ETF申购赎回清单版本更新的有关事项予以说明。投资者欲了解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/>
        </w:rPr>
        <w:t>各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</w:rPr>
        <w:t>ETF的详细情况，请阅读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/>
        </w:rPr>
        <w:t>各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</w:rPr>
        <w:t>ETF的基金合同、招募说明书（更新）、基金产品资料概要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等信息披露文件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3"/>
        </w:numPr>
        <w:spacing w:line="360" w:lineRule="auto"/>
        <w:ind w:left="0" w:leftChars="0" w:firstLine="480" w:firstLineChars="200"/>
        <w:rPr>
          <w:rFonts w:hint="eastAsia" w:ascii="Times New Roman" w:hAnsi="Times New Roman" w:cs="Times New Roman" w:eastAsiaTheme="minorEastAsia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kern w:val="0"/>
          <w:sz w:val="24"/>
          <w:szCs w:val="24"/>
        </w:rPr>
        <w:t>投资者可登录本基金管理人网站（www.fund001.com）或拨打本基金管理人的客户服务电话400-700-5000（免长途话费），（021）61055000进行咨询、查询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highlight w:val="none"/>
        </w:rPr>
        <w:t>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pStyle w:val="3"/>
        <w:spacing w:line="360" w:lineRule="auto"/>
        <w:ind w:leftChars="0" w:firstLine="480" w:firstLineChars="200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风险提示：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>
      <w:pPr>
        <w:pStyle w:val="3"/>
        <w:spacing w:line="360" w:lineRule="auto"/>
        <w:ind w:leftChars="0" w:firstLine="480" w:firstLineChars="200"/>
        <w:rPr>
          <w:rFonts w:ascii="Times New Roman" w:hAnsi="Times New Roman" w:cs="Times New Roman" w:eastAsiaTheme="majorEastAsia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特此公告。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交银施罗德</w:t>
      </w:r>
      <w:r>
        <w:rPr>
          <w:rFonts w:ascii="宋体" w:hAnsi="宋体" w:eastAsia="宋体" w:cs="宋体"/>
          <w:sz w:val="24"/>
          <w:szCs w:val="24"/>
        </w:rPr>
        <w:t>基金管理有限公司</w:t>
      </w:r>
    </w:p>
    <w:p>
      <w:pPr>
        <w:numPr>
          <w:ilvl w:val="0"/>
          <w:numId w:val="0"/>
        </w:numPr>
        <w:ind w:leftChars="0"/>
        <w:jc w:val="right"/>
      </w:pPr>
      <w:r>
        <w:rPr>
          <w:rFonts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B5157"/>
    <w:multiLevelType w:val="singleLevel"/>
    <w:tmpl w:val="8C5B515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90C74B"/>
    <w:multiLevelType w:val="singleLevel"/>
    <w:tmpl w:val="5990C7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35ADB4"/>
    <w:multiLevelType w:val="singleLevel"/>
    <w:tmpl w:val="7235AD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78C0"/>
    <w:rsid w:val="0A964553"/>
    <w:rsid w:val="0F6532F1"/>
    <w:rsid w:val="197958A5"/>
    <w:rsid w:val="19F50995"/>
    <w:rsid w:val="1E041AD4"/>
    <w:rsid w:val="1E64721D"/>
    <w:rsid w:val="20546E99"/>
    <w:rsid w:val="2B823170"/>
    <w:rsid w:val="2ECA37FB"/>
    <w:rsid w:val="32C33B2A"/>
    <w:rsid w:val="4729044D"/>
    <w:rsid w:val="48E45BD0"/>
    <w:rsid w:val="4B2A0FBC"/>
    <w:rsid w:val="5F112FE9"/>
    <w:rsid w:val="67DA6204"/>
    <w:rsid w:val="6841155D"/>
    <w:rsid w:val="6F162629"/>
    <w:rsid w:val="70D6447A"/>
    <w:rsid w:val="70F76D1A"/>
    <w:rsid w:val="723C78C0"/>
    <w:rsid w:val="7C2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2025-11-03T06:06:00Z</dcterms:created>
  <dc:creator>zhuyifan</dc:creator>
  <cp:lastModifiedBy>zhuyifan</cp:lastModifiedBy>
  <dcterms:modified xsi:type="dcterms:W3CDTF">2025-11-20T05:30:17Z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33935694FC3640219F6F8CD5D4611C3D</vt:lpwstr>
  </property>
</Properties>
</file>