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sz w:val="32"/>
        </w:rPr>
      </w:pPr>
    </w:p>
    <w:p>
      <w:pPr>
        <w:spacing w:line="360" w:lineRule="auto"/>
        <w:rPr>
          <w:sz w:val="32"/>
        </w:rPr>
      </w:pPr>
    </w:p>
    <w:p>
      <w:pPr>
        <w:spacing w:line="360" w:lineRule="auto"/>
        <w:rPr>
          <w:sz w:val="32"/>
        </w:rPr>
      </w:pPr>
    </w:p>
    <w:p>
      <w:pPr>
        <w:spacing w:line="360" w:lineRule="auto"/>
        <w:jc w:val="center"/>
        <w:rPr>
          <w:sz w:val="32"/>
        </w:rPr>
      </w:pPr>
      <w: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spacing w:line="360" w:lineRule="auto"/>
        <w:jc w:val="center"/>
        <w:rPr>
          <w:b/>
          <w:sz w:val="32"/>
        </w:rPr>
      </w:pPr>
    </w:p>
    <w:p>
      <w:pPr>
        <w:spacing w:line="360" w:lineRule="auto"/>
        <w:jc w:val="center"/>
        <w:rPr>
          <w:b/>
          <w:sz w:val="32"/>
        </w:rPr>
      </w:pPr>
    </w:p>
    <w:p>
      <w:pPr>
        <w:spacing w:line="360" w:lineRule="auto"/>
        <w:rPr>
          <w:b/>
          <w:sz w:val="44"/>
        </w:rPr>
      </w:pPr>
    </w:p>
    <w:p>
      <w:pPr>
        <w:adjustRightInd w:val="0"/>
        <w:snapToGrid w:val="0"/>
        <w:spacing w:line="360" w:lineRule="auto"/>
        <w:jc w:val="center"/>
        <w:rPr>
          <w:rFonts w:hAnsi="宋体"/>
          <w:b/>
          <w:sz w:val="44"/>
        </w:rPr>
      </w:pPr>
      <w:r>
        <w:rPr>
          <w:rFonts w:hAnsi="宋体"/>
          <w:b/>
          <w:sz w:val="44"/>
        </w:rPr>
        <w:t>交银施罗德</w:t>
      </w:r>
      <w:r>
        <w:rPr>
          <w:rFonts w:hint="eastAsia" w:hAnsi="宋体"/>
          <w:b/>
          <w:sz w:val="44"/>
        </w:rPr>
        <w:t>产业臻选</w:t>
      </w:r>
      <w:r>
        <w:rPr>
          <w:rFonts w:hAnsi="宋体"/>
          <w:b/>
          <w:sz w:val="44"/>
        </w:rPr>
        <w:t>混合型证券投资基金</w:t>
      </w:r>
    </w:p>
    <w:p>
      <w:pPr>
        <w:adjustRightInd w:val="0"/>
        <w:snapToGrid w:val="0"/>
        <w:spacing w:line="360" w:lineRule="auto"/>
        <w:jc w:val="center"/>
        <w:rPr>
          <w:sz w:val="24"/>
        </w:rPr>
      </w:pPr>
      <w:r>
        <w:rPr>
          <w:rFonts w:hAnsi="宋体"/>
          <w:b/>
          <w:sz w:val="44"/>
        </w:rPr>
        <w:t>招募说明书</w:t>
      </w: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ind w:left="1978" w:leftChars="942"/>
        <w:rPr>
          <w:b/>
          <w:sz w:val="28"/>
        </w:rPr>
      </w:pPr>
      <w:r>
        <w:rPr>
          <w:rFonts w:hAnsi="宋体"/>
          <w:b/>
          <w:sz w:val="28"/>
        </w:rPr>
        <w:t>基金管理人：交银施罗德基金管理有限公司</w:t>
      </w:r>
    </w:p>
    <w:p>
      <w:pPr>
        <w:spacing w:line="360" w:lineRule="auto"/>
        <w:ind w:left="1978" w:leftChars="942"/>
        <w:rPr>
          <w:b/>
          <w:sz w:val="28"/>
        </w:rPr>
      </w:pPr>
      <w:r>
        <w:rPr>
          <w:rFonts w:hAnsi="宋体"/>
          <w:b/>
          <w:sz w:val="28"/>
        </w:rPr>
        <w:t>基金托管人：</w:t>
      </w:r>
      <w:r>
        <w:rPr>
          <w:rFonts w:hint="eastAsia" w:hAnsi="宋体"/>
          <w:b/>
          <w:sz w:val="28"/>
        </w:rPr>
        <w:t>招商</w:t>
      </w:r>
      <w:r>
        <w:rPr>
          <w:rFonts w:hAnsi="宋体"/>
          <w:b/>
          <w:sz w:val="28"/>
        </w:rPr>
        <w:t>银行股份有限公司</w:t>
      </w:r>
    </w:p>
    <w:p>
      <w:pPr>
        <w:widowControl/>
        <w:spacing w:line="360" w:lineRule="auto"/>
        <w:ind w:firstLine="420" w:firstLineChars="200"/>
        <w:rPr>
          <w:rFonts w:ascii="宋体" w:hAnsi="宋体"/>
          <w:kern w:val="0"/>
        </w:rPr>
      </w:pPr>
    </w:p>
    <w:p>
      <w:pPr>
        <w:widowControl/>
        <w:spacing w:line="360" w:lineRule="auto"/>
        <w:ind w:firstLine="420" w:firstLineChars="200"/>
        <w:rPr>
          <w:rFonts w:ascii="宋体" w:hAnsi="宋体"/>
          <w:kern w:val="0"/>
        </w:rPr>
      </w:pPr>
    </w:p>
    <w:p>
      <w:pPr>
        <w:autoSpaceDE w:val="0"/>
        <w:autoSpaceDN w:val="0"/>
        <w:spacing w:line="360" w:lineRule="auto"/>
        <w:ind w:left="2996" w:hanging="2996"/>
        <w:jc w:val="center"/>
        <w:textAlignment w:val="bottom"/>
        <w:rPr>
          <w:rFonts w:hAnsi="宋体"/>
          <w:b/>
          <w:sz w:val="28"/>
        </w:rPr>
      </w:pPr>
      <w:r>
        <w:rPr>
          <w:rFonts w:hAnsi="宋体"/>
          <w:b/>
          <w:sz w:val="28"/>
        </w:rPr>
        <w:t>二〇二</w:t>
      </w:r>
      <w:r>
        <w:rPr>
          <w:rFonts w:hint="eastAsia" w:hAnsi="宋体"/>
          <w:b/>
          <w:sz w:val="28"/>
        </w:rPr>
        <w:t>五</w:t>
      </w:r>
      <w:r>
        <w:rPr>
          <w:rFonts w:hAnsi="宋体"/>
          <w:b/>
          <w:sz w:val="28"/>
        </w:rPr>
        <w:t>年</w:t>
      </w:r>
      <w:r>
        <w:rPr>
          <w:rFonts w:hint="eastAsia" w:hAnsi="宋体"/>
          <w:b/>
          <w:sz w:val="28"/>
          <w:lang w:val="en-US" w:eastAsia="zh-CN"/>
        </w:rPr>
        <w:t>八</w:t>
      </w:r>
      <w:r>
        <w:rPr>
          <w:rFonts w:hAnsi="宋体"/>
          <w:b/>
          <w:sz w:val="28"/>
        </w:rPr>
        <w:t>月</w:t>
      </w:r>
    </w:p>
    <w:p>
      <w:pPr>
        <w:autoSpaceDE w:val="0"/>
        <w:autoSpaceDN w:val="0"/>
        <w:spacing w:line="360" w:lineRule="auto"/>
        <w:ind w:left="2996" w:hanging="2996"/>
        <w:jc w:val="center"/>
        <w:textAlignment w:val="bottom"/>
        <w:rPr>
          <w:b/>
          <w:sz w:val="24"/>
        </w:rPr>
      </w:pPr>
    </w:p>
    <w:p>
      <w:pPr>
        <w:widowControl/>
        <w:spacing w:line="360" w:lineRule="auto"/>
        <w:jc w:val="left"/>
        <w:rPr>
          <w:rFonts w:hAnsi="宋体"/>
          <w:kern w:val="0"/>
        </w:rPr>
      </w:pPr>
    </w:p>
    <w:p>
      <w:pPr>
        <w:widowControl/>
        <w:spacing w:line="360" w:lineRule="auto"/>
        <w:jc w:val="left"/>
        <w:rPr>
          <w:kern w:val="0"/>
        </w:rPr>
      </w:pPr>
    </w:p>
    <w:p>
      <w:pPr>
        <w:widowControl/>
        <w:spacing w:line="360" w:lineRule="auto"/>
        <w:jc w:val="center"/>
        <w:rPr>
          <w:rFonts w:ascii="宋体" w:hAnsi="宋体"/>
          <w:b/>
          <w:kern w:val="0"/>
          <w:sz w:val="30"/>
        </w:rPr>
      </w:pPr>
      <w:r>
        <w:rPr>
          <w:rFonts w:hint="eastAsia" w:ascii="宋体" w:hAnsi="宋体"/>
          <w:b/>
          <w:kern w:val="0"/>
          <w:sz w:val="30"/>
        </w:rPr>
        <w:t>【</w:t>
      </w:r>
      <w:r>
        <w:rPr>
          <w:rFonts w:ascii="宋体" w:hAnsi="宋体"/>
          <w:b/>
          <w:kern w:val="0"/>
          <w:sz w:val="30"/>
        </w:rPr>
        <w:t>重要提示】</w:t>
      </w:r>
    </w:p>
    <w:p>
      <w:pPr>
        <w:widowControl/>
        <w:adjustRightInd w:val="0"/>
        <w:snapToGrid w:val="0"/>
        <w:spacing w:line="360" w:lineRule="auto"/>
        <w:ind w:firstLine="480" w:firstLineChars="200"/>
        <w:rPr>
          <w:kern w:val="0"/>
          <w:sz w:val="24"/>
        </w:rPr>
      </w:pPr>
      <w:r>
        <w:rPr>
          <w:kern w:val="0"/>
          <w:sz w:val="24"/>
        </w:rPr>
        <w:t>交银施罗德</w:t>
      </w:r>
      <w:r>
        <w:rPr>
          <w:rFonts w:hint="eastAsia"/>
          <w:kern w:val="0"/>
          <w:sz w:val="24"/>
        </w:rPr>
        <w:t>产业臻选</w:t>
      </w:r>
      <w:r>
        <w:rPr>
          <w:kern w:val="0"/>
          <w:sz w:val="24"/>
        </w:rPr>
        <w:t>混合型证券投资基金（以下简称</w:t>
      </w:r>
      <w:r>
        <w:rPr>
          <w:rFonts w:ascii="宋体" w:hAnsi="宋体"/>
          <w:kern w:val="0"/>
          <w:sz w:val="24"/>
        </w:rPr>
        <w:t>“本基金”</w:t>
      </w:r>
      <w:r>
        <w:rPr>
          <w:rFonts w:hAnsi="宋体"/>
          <w:kern w:val="0"/>
          <w:sz w:val="24"/>
        </w:rPr>
        <w:t>）经</w:t>
      </w:r>
      <w:r>
        <w:rPr>
          <w:rFonts w:hint="eastAsia"/>
          <w:kern w:val="0"/>
          <w:sz w:val="24"/>
          <w:lang w:val="en-US" w:eastAsia="zh-CN"/>
        </w:rPr>
        <w:t>2025年7月10日</w:t>
      </w:r>
      <w:r>
        <w:rPr>
          <w:rFonts w:hAnsi="宋体"/>
          <w:kern w:val="0"/>
          <w:sz w:val="24"/>
        </w:rPr>
        <w:t>中国证券监督管理委员会（以下简称</w:t>
      </w:r>
      <w:r>
        <w:rPr>
          <w:rFonts w:ascii="宋体" w:hAnsi="宋体"/>
          <w:kern w:val="0"/>
          <w:sz w:val="24"/>
        </w:rPr>
        <w:t>“中国证监会”</w:t>
      </w:r>
      <w:r>
        <w:rPr>
          <w:rFonts w:hAnsi="宋体"/>
          <w:kern w:val="0"/>
          <w:sz w:val="24"/>
        </w:rPr>
        <w:t>）证监许可【</w:t>
      </w:r>
      <w:r>
        <w:rPr>
          <w:rFonts w:hint="eastAsia"/>
          <w:kern w:val="0"/>
          <w:sz w:val="24"/>
          <w:lang w:val="en-US" w:eastAsia="zh-CN"/>
        </w:rPr>
        <w:t>2025</w:t>
      </w:r>
      <w:r>
        <w:rPr>
          <w:rFonts w:hAnsi="宋体"/>
          <w:kern w:val="0"/>
          <w:sz w:val="24"/>
        </w:rPr>
        <w:t>】</w:t>
      </w:r>
      <w:r>
        <w:rPr>
          <w:rFonts w:hint="eastAsia" w:hAnsi="宋体"/>
          <w:kern w:val="0"/>
          <w:sz w:val="24"/>
          <w:lang w:val="en-US" w:eastAsia="zh-CN"/>
        </w:rPr>
        <w:t>1446</w:t>
      </w:r>
      <w:r>
        <w:rPr>
          <w:rFonts w:hAnsi="宋体"/>
          <w:kern w:val="0"/>
          <w:sz w:val="24"/>
        </w:rPr>
        <w:t>号文</w:t>
      </w:r>
      <w:r>
        <w:rPr>
          <w:rFonts w:hint="eastAsia" w:hAnsi="宋体"/>
          <w:kern w:val="0"/>
          <w:sz w:val="24"/>
        </w:rPr>
        <w:t>准予</w:t>
      </w:r>
      <w:r>
        <w:rPr>
          <w:rFonts w:hAnsi="宋体"/>
          <w:kern w:val="0"/>
          <w:sz w:val="24"/>
        </w:rPr>
        <w:t>募集</w:t>
      </w:r>
      <w:r>
        <w:rPr>
          <w:rFonts w:hint="eastAsia" w:hAnsi="宋体"/>
          <w:kern w:val="0"/>
          <w:sz w:val="24"/>
        </w:rPr>
        <w:t>注册</w:t>
      </w:r>
      <w:r>
        <w:rPr>
          <w:rFonts w:hAnsi="宋体"/>
          <w:kern w:val="0"/>
          <w:sz w:val="24"/>
        </w:rPr>
        <w:t>。</w:t>
      </w:r>
    </w:p>
    <w:p>
      <w:pPr>
        <w:widowControl/>
        <w:adjustRightInd w:val="0"/>
        <w:snapToGrid w:val="0"/>
        <w:spacing w:line="360" w:lineRule="auto"/>
        <w:ind w:firstLine="480" w:firstLineChars="20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r>
        <w:rPr>
          <w:kern w:val="0"/>
          <w:sz w:val="24"/>
        </w:rPr>
        <w:t>作出实质性判断或保证，也不表明投资于本基金没有风险。</w:t>
      </w:r>
    </w:p>
    <w:p>
      <w:pPr>
        <w:widowControl/>
        <w:adjustRightInd w:val="0"/>
        <w:snapToGrid w:val="0"/>
        <w:spacing w:line="360" w:lineRule="auto"/>
        <w:ind w:firstLine="480" w:firstLineChars="200"/>
        <w:rPr>
          <w:kern w:val="0"/>
          <w:sz w:val="24"/>
        </w:rPr>
      </w:pPr>
      <w:r>
        <w:rPr>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pPr>
        <w:widowControl/>
        <w:adjustRightInd w:val="0"/>
        <w:snapToGrid w:val="0"/>
        <w:spacing w:line="360" w:lineRule="auto"/>
        <w:ind w:firstLine="480" w:firstLineChars="20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w:t>
      </w:r>
      <w:r>
        <w:rPr>
          <w:rFonts w:hint="eastAsia"/>
          <w:kern w:val="0"/>
          <w:sz w:val="24"/>
        </w:rPr>
        <w:t>基金</w:t>
      </w:r>
      <w:r>
        <w:rPr>
          <w:kern w:val="0"/>
          <w:sz w:val="24"/>
        </w:rPr>
        <w:t>份额享受基金的收益，但同时也需承担相应的投资风险。投资本基金可能遇到的风险包括：</w:t>
      </w:r>
      <w:r>
        <w:rPr>
          <w:rFonts w:ascii="宋体" w:hAnsi="宋体"/>
          <w:kern w:val="0"/>
          <w:sz w:val="24"/>
        </w:rPr>
        <w:t>因受到经济因素、政治因素、投资心理和交易制度等各种因素的影响而引起的</w:t>
      </w:r>
      <w:r>
        <w:rPr>
          <w:rFonts w:hint="eastAsia" w:ascii="宋体" w:hAnsi="宋体"/>
          <w:kern w:val="0"/>
          <w:sz w:val="24"/>
        </w:rPr>
        <w:t>市场风险；基金管理人在基金管理运作过程中产生的基金管理风险；流动性风险（包括实施</w:t>
      </w:r>
      <w:r>
        <w:rPr>
          <w:rFonts w:ascii="宋体" w:hAnsi="宋体"/>
          <w:kern w:val="0"/>
          <w:sz w:val="24"/>
        </w:rPr>
        <w:t>侧袋机制时的特定风险）</w:t>
      </w:r>
      <w:r>
        <w:rPr>
          <w:rFonts w:hint="eastAsia" w:ascii="宋体" w:hAnsi="宋体"/>
          <w:kern w:val="0"/>
          <w:sz w:val="24"/>
        </w:rPr>
        <w:t>；信用风险；本基金的特有风险；本基金法律文件风险收益特征表述与销售机构基金风险评价可能不一致的风险；投资本基金的其他风险等等</w:t>
      </w:r>
      <w:r>
        <w:rPr>
          <w:kern w:val="0"/>
          <w:sz w:val="24"/>
        </w:rPr>
        <w:t>。</w:t>
      </w:r>
    </w:p>
    <w:p>
      <w:pPr>
        <w:widowControl/>
        <w:adjustRightInd w:val="0"/>
        <w:snapToGrid w:val="0"/>
        <w:spacing w:line="360" w:lineRule="auto"/>
        <w:ind w:firstLine="480" w:firstLineChars="200"/>
        <w:rPr>
          <w:kern w:val="0"/>
          <w:sz w:val="24"/>
        </w:rPr>
      </w:pPr>
      <w:r>
        <w:rPr>
          <w:rFonts w:hint="eastAsia"/>
          <w:kern w:val="0"/>
          <w:sz w:val="24"/>
        </w:rPr>
        <w:t>本基金是一只混合型基金，其预期风险和预期收益理论上高于债券型基金和货币市场基金，低于股票型基金。</w:t>
      </w:r>
    </w:p>
    <w:p>
      <w:pPr>
        <w:widowControl/>
        <w:adjustRightInd w:val="0"/>
        <w:snapToGrid w:val="0"/>
        <w:spacing w:line="360" w:lineRule="auto"/>
        <w:ind w:firstLine="480" w:firstLineChars="200"/>
        <w:rPr>
          <w:rFonts w:hAnsi="宋体"/>
          <w:sz w:val="24"/>
        </w:rPr>
      </w:pPr>
      <w:r>
        <w:rPr>
          <w:rFonts w:hint="eastAsia"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pPr>
        <w:widowControl/>
        <w:adjustRightInd w:val="0"/>
        <w:snapToGrid w:val="0"/>
        <w:spacing w:line="360" w:lineRule="auto"/>
        <w:ind w:firstLine="480" w:firstLineChars="200"/>
        <w:rPr>
          <w:rFonts w:hAnsi="宋体"/>
          <w:sz w:val="24"/>
        </w:rPr>
      </w:pPr>
      <w:r>
        <w:rPr>
          <w:rFonts w:hint="eastAsia" w:hAnsi="宋体"/>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rFonts w:hAnsi="宋体"/>
          <w:sz w:val="24"/>
        </w:rPr>
      </w:pPr>
      <w:r>
        <w:rPr>
          <w:rFonts w:hint="eastAsia" w:hAnsi="宋体"/>
          <w:sz w:val="24"/>
        </w:rPr>
        <w:t>基金若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rPr>
          <w:rFonts w:hAnsi="宋体"/>
          <w:sz w:val="24"/>
        </w:rPr>
      </w:pPr>
      <w:r>
        <w:rPr>
          <w:rFonts w:hint="eastAsia" w:hAnsi="宋体"/>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但不限于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pPr>
        <w:widowControl/>
        <w:adjustRightInd w:val="0"/>
        <w:snapToGrid w:val="0"/>
        <w:spacing w:line="360" w:lineRule="auto"/>
        <w:ind w:firstLine="480" w:firstLineChars="200"/>
        <w:rPr>
          <w:rFonts w:hAnsi="宋体"/>
          <w:sz w:val="24"/>
        </w:rPr>
      </w:pPr>
      <w:r>
        <w:rPr>
          <w:rFonts w:hint="eastAsia" w:hAnsi="宋体"/>
          <w:sz w:val="24"/>
        </w:rPr>
        <w:t>本基金可根据投资策略需要或不同配置地市场环境的变化，选择将部分基金资产投资于港股通标的股票或选择不将基金资产投资于港股通标的股票，基金资产并非必然投资港股通标的股票。</w:t>
      </w:r>
    </w:p>
    <w:p>
      <w:pPr>
        <w:widowControl/>
        <w:adjustRightInd w:val="0"/>
        <w:snapToGrid w:val="0"/>
        <w:spacing w:line="360" w:lineRule="auto"/>
        <w:ind w:firstLine="480" w:firstLineChars="200"/>
        <w:rPr>
          <w:kern w:val="0"/>
          <w:sz w:val="24"/>
        </w:rPr>
      </w:pPr>
      <w:r>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pPr>
        <w:widowControl/>
        <w:adjustRightInd w:val="0"/>
        <w:snapToGrid w:val="0"/>
        <w:spacing w:line="360" w:lineRule="auto"/>
        <w:ind w:firstLine="480" w:firstLineChars="200"/>
        <w:rPr>
          <w:kern w:val="0"/>
          <w:sz w:val="24"/>
        </w:rPr>
      </w:pPr>
      <w:r>
        <w:rPr>
          <w:rFonts w:hint="eastAsia"/>
          <w:kern w:val="0"/>
          <w:sz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0" w:firstLineChars="200"/>
        <w:rPr>
          <w:rFonts w:hAnsi="宋体"/>
          <w:bCs/>
          <w:sz w:val="24"/>
        </w:rPr>
      </w:pPr>
      <w:r>
        <w:rPr>
          <w:rFonts w:hint="eastAsia" w:hAnsi="宋体"/>
          <w:bCs/>
          <w:sz w:val="24"/>
        </w:rPr>
        <w:t>本基金可投资科创板股票，会面临科创板机制下因投资标的、市场制度以及交易规则等差异带来的特有风险，包括但不限于市场风险、流动性风险、退市风险、系统性风险、政策风险等。具体风险请查阅本基金招募说明书“风险揭示”章节的具体内容。</w:t>
      </w:r>
    </w:p>
    <w:p>
      <w:pPr>
        <w:widowControl/>
        <w:adjustRightInd w:val="0"/>
        <w:snapToGrid w:val="0"/>
        <w:spacing w:line="360" w:lineRule="auto"/>
        <w:ind w:firstLine="480" w:firstLineChars="200"/>
        <w:rPr>
          <w:kern w:val="0"/>
          <w:sz w:val="24"/>
        </w:rPr>
      </w:pPr>
      <w:r>
        <w:rPr>
          <w:rFonts w:hint="eastAsia" w:hAnsi="宋体"/>
          <w:bCs/>
          <w:sz w:val="24"/>
        </w:rPr>
        <w:t>基金可根据投资策略需要或市场环境的变化，选择将部分基金资产投资于科创板股票或选择不将基金资产投资于科创板股票，基金资产并非必然投资于科创板股票。</w:t>
      </w:r>
    </w:p>
    <w:p>
      <w:pPr>
        <w:widowControl/>
        <w:adjustRightInd w:val="0"/>
        <w:snapToGrid w:val="0"/>
        <w:spacing w:line="360" w:lineRule="auto"/>
        <w:ind w:firstLine="480" w:firstLineChars="200"/>
        <w:rPr>
          <w:kern w:val="0"/>
          <w:sz w:val="24"/>
        </w:rPr>
      </w:pPr>
      <w:r>
        <w:rPr>
          <w:rFonts w:hint="eastAsia"/>
          <w:kern w:val="0"/>
          <w:sz w:val="24"/>
        </w:rPr>
        <w:t>基金合同提前终止风险。连续50个工作日出现基金份额持有人数量不满200人或者基金资产净值低于5000万元情形的，基金合同终止，不需召开基金份额持有人大会。</w:t>
      </w:r>
    </w:p>
    <w:p>
      <w:pPr>
        <w:widowControl/>
        <w:adjustRightInd w:val="0"/>
        <w:snapToGrid w:val="0"/>
        <w:spacing w:line="360" w:lineRule="auto"/>
        <w:ind w:firstLine="480" w:firstLineChars="200"/>
        <w:rPr>
          <w:kern w:val="0"/>
          <w:sz w:val="24"/>
        </w:rPr>
      </w:pPr>
      <w:r>
        <w:rPr>
          <w:kern w:val="0"/>
          <w:sz w:val="24"/>
        </w:rPr>
        <w:t>投资有风险，投资人在投资本基金前应认真阅读本基金的招募说明书、基金合同</w:t>
      </w:r>
      <w:r>
        <w:rPr>
          <w:rFonts w:hint="eastAsia"/>
          <w:kern w:val="0"/>
          <w:sz w:val="24"/>
        </w:rPr>
        <w:t>、</w:t>
      </w:r>
      <w:r>
        <w:rPr>
          <w:kern w:val="0"/>
          <w:sz w:val="24"/>
        </w:rPr>
        <w:t>基金产品资料概要等信息披露文件</w:t>
      </w:r>
      <w:r>
        <w:rPr>
          <w:rFonts w:hint="eastAsia"/>
          <w:kern w:val="0"/>
          <w:sz w:val="24"/>
        </w:rPr>
        <w:t>，自主判断基金的投资价值，自主作出投资决策，自行承担投资风险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本基金单一投资者持有基金份额数不得超过基金份额总数的50%，但在基金运作过程中因基金份额赎回等情形导致被动超过前述50%比例的除外。</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t>目  录</w:t>
      </w:r>
    </w:p>
    <w:p>
      <w:pPr>
        <w:pStyle w:val="22"/>
        <w:adjustRightInd w:val="0"/>
        <w:snapToGrid w:val="0"/>
        <w:rPr>
          <w:rStyle w:val="31"/>
          <w:rFonts w:ascii="宋体"/>
          <w:b/>
          <w:kern w:val="0"/>
        </w:rPr>
      </w:pPr>
      <w:bookmarkStart w:id="0" w:name="_Toc109537379"/>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r>
        <w:fldChar w:fldCharType="begin"/>
      </w:r>
      <w:r>
        <w:instrText xml:space="preserve"> HYPERLINK \l "_Toc48122002" </w:instrText>
      </w:r>
      <w:r>
        <w:fldChar w:fldCharType="separate"/>
      </w:r>
      <w:r>
        <w:rPr>
          <w:rStyle w:val="31"/>
          <w:rFonts w:ascii="宋体"/>
          <w:b/>
          <w:kern w:val="0"/>
        </w:rPr>
        <w:t>一、绪言</w:t>
      </w:r>
      <w:r>
        <w:rPr>
          <w:rStyle w:val="31"/>
          <w:rFonts w:ascii="宋体"/>
          <w:b/>
          <w:kern w:val="0"/>
        </w:rPr>
        <w:tab/>
      </w:r>
      <w:r>
        <w:rPr>
          <w:rStyle w:val="31"/>
          <w:rFonts w:ascii="宋体"/>
          <w:b/>
          <w:kern w:val="0"/>
        </w:rPr>
        <w:fldChar w:fldCharType="begin"/>
      </w:r>
      <w:r>
        <w:rPr>
          <w:rStyle w:val="31"/>
          <w:rFonts w:ascii="宋体"/>
          <w:b/>
          <w:kern w:val="0"/>
        </w:rPr>
        <w:instrText xml:space="preserve"> PAGEREF _Toc48122002 \h </w:instrText>
      </w:r>
      <w:r>
        <w:rPr>
          <w:rStyle w:val="31"/>
          <w:rFonts w:ascii="宋体"/>
          <w:b/>
          <w:kern w:val="0"/>
        </w:rPr>
        <w:fldChar w:fldCharType="separate"/>
      </w:r>
      <w:r>
        <w:rPr>
          <w:rStyle w:val="31"/>
          <w:rFonts w:ascii="宋体"/>
          <w:b/>
          <w:kern w:val="0"/>
        </w:rPr>
        <w:t>6</w:t>
      </w:r>
      <w:r>
        <w:rPr>
          <w:rStyle w:val="31"/>
          <w:rFonts w:ascii="宋体"/>
          <w:b/>
          <w:kern w:val="0"/>
        </w:rPr>
        <w:fldChar w:fldCharType="end"/>
      </w:r>
      <w:r>
        <w:rPr>
          <w:rStyle w:val="31"/>
          <w:rFonts w:ascii="宋体"/>
          <w:b/>
          <w:kern w:val="0"/>
        </w:rPr>
        <w:fldChar w:fldCharType="end"/>
      </w:r>
    </w:p>
    <w:p>
      <w:pPr>
        <w:pStyle w:val="22"/>
        <w:adjustRightInd w:val="0"/>
        <w:snapToGrid w:val="0"/>
        <w:rPr>
          <w:rStyle w:val="31"/>
          <w:rFonts w:ascii="宋体"/>
          <w:b/>
          <w:kern w:val="0"/>
        </w:rPr>
      </w:pPr>
      <w:r>
        <w:fldChar w:fldCharType="begin"/>
      </w:r>
      <w:r>
        <w:instrText xml:space="preserve"> HYPERLINK \l "_Toc48122003" </w:instrText>
      </w:r>
      <w:r>
        <w:fldChar w:fldCharType="separate"/>
      </w:r>
      <w:r>
        <w:rPr>
          <w:rStyle w:val="31"/>
          <w:rFonts w:ascii="宋体"/>
          <w:b/>
          <w:kern w:val="0"/>
        </w:rPr>
        <w:t>二、释义</w:t>
      </w:r>
      <w:r>
        <w:rPr>
          <w:rStyle w:val="31"/>
          <w:rFonts w:ascii="宋体"/>
          <w:b/>
          <w:kern w:val="0"/>
        </w:rPr>
        <w:tab/>
      </w:r>
      <w:r>
        <w:rPr>
          <w:rStyle w:val="31"/>
          <w:rFonts w:ascii="宋体"/>
          <w:b/>
          <w:kern w:val="0"/>
        </w:rPr>
        <w:fldChar w:fldCharType="begin"/>
      </w:r>
      <w:r>
        <w:rPr>
          <w:rStyle w:val="31"/>
          <w:rFonts w:ascii="宋体"/>
          <w:b/>
          <w:kern w:val="0"/>
        </w:rPr>
        <w:instrText xml:space="preserve"> PAGEREF _Toc48122003 \h </w:instrText>
      </w:r>
      <w:r>
        <w:rPr>
          <w:rStyle w:val="31"/>
          <w:rFonts w:ascii="宋体"/>
          <w:b/>
          <w:kern w:val="0"/>
        </w:rPr>
        <w:fldChar w:fldCharType="separate"/>
      </w:r>
      <w:r>
        <w:rPr>
          <w:rStyle w:val="31"/>
          <w:rFonts w:ascii="宋体"/>
          <w:b/>
          <w:kern w:val="0"/>
        </w:rPr>
        <w:t>7</w:t>
      </w:r>
      <w:r>
        <w:rPr>
          <w:rStyle w:val="31"/>
          <w:rFonts w:ascii="宋体"/>
          <w:b/>
          <w:kern w:val="0"/>
        </w:rPr>
        <w:fldChar w:fldCharType="end"/>
      </w:r>
      <w:r>
        <w:rPr>
          <w:rStyle w:val="31"/>
          <w:rFonts w:ascii="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"_Toc48122004" </w:instrText>
      </w:r>
      <w:r>
        <w:fldChar w:fldCharType="separate"/>
      </w:r>
      <w:r>
        <w:rPr>
          <w:rStyle w:val="31"/>
          <w:rFonts w:ascii="宋体"/>
          <w:b/>
          <w:kern w:val="0"/>
        </w:rPr>
        <w:t>三、基金管理人</w:t>
      </w:r>
      <w:r>
        <w:rPr>
          <w:rStyle w:val="31"/>
          <w:rFonts w:ascii="宋体"/>
          <w:b/>
          <w:kern w:val="0"/>
        </w:rPr>
        <w:tab/>
      </w:r>
      <w:r>
        <w:rPr>
          <w:rStyle w:val="31"/>
          <w:rFonts w:ascii="宋体"/>
          <w:b/>
          <w:kern w:val="0"/>
        </w:rPr>
        <w:fldChar w:fldCharType="begin"/>
      </w:r>
      <w:r>
        <w:rPr>
          <w:rStyle w:val="31"/>
          <w:rFonts w:ascii="宋体"/>
          <w:b/>
          <w:kern w:val="0"/>
        </w:rPr>
        <w:instrText xml:space="preserve"> PAGEREF _Toc48122004 \h </w:instrText>
      </w:r>
      <w:r>
        <w:rPr>
          <w:rStyle w:val="31"/>
          <w:rFonts w:ascii="宋体"/>
          <w:b/>
          <w:kern w:val="0"/>
        </w:rPr>
        <w:fldChar w:fldCharType="separate"/>
      </w:r>
      <w:r>
        <w:rPr>
          <w:rStyle w:val="31"/>
          <w:rFonts w:ascii="宋体"/>
          <w:b/>
          <w:kern w:val="0"/>
        </w:rPr>
        <w:t>12</w:t>
      </w:r>
      <w:r>
        <w:rPr>
          <w:rStyle w:val="31"/>
          <w:rFonts w:ascii="宋体"/>
          <w:b/>
          <w:kern w:val="0"/>
        </w:rPr>
        <w:fldChar w:fldCharType="end"/>
      </w:r>
      <w:r>
        <w:rPr>
          <w:rStyle w:val="31"/>
          <w:rFonts w:ascii="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"_Toc48122005" </w:instrText>
      </w:r>
      <w:r>
        <w:fldChar w:fldCharType="separate"/>
      </w:r>
      <w:r>
        <w:rPr>
          <w:rStyle w:val="31"/>
          <w:rFonts w:ascii="宋体"/>
          <w:b/>
          <w:kern w:val="0"/>
        </w:rPr>
        <w:t>四、基金托管人</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_Toc48122005 \h </w:instrText>
      </w:r>
      <w:r>
        <w:rPr>
          <w:rStyle w:val="31"/>
          <w:rFonts w:ascii="宋体" w:hAnsi="Times New Roman" w:eastAsia="宋体"/>
          <w:b/>
          <w:kern w:val="0"/>
        </w:rPr>
        <w:fldChar w:fldCharType="separate"/>
      </w:r>
      <w:r>
        <w:rPr>
          <w:rStyle w:val="31"/>
          <w:rFonts w:ascii="宋体" w:hAnsi="Times New Roman" w:eastAsia="宋体"/>
          <w:b/>
          <w:kern w:val="0"/>
        </w:rPr>
        <w:t>20</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"_Toc48122006" </w:instrText>
      </w:r>
      <w:r>
        <w:fldChar w:fldCharType="separate"/>
      </w:r>
      <w:r>
        <w:rPr>
          <w:rStyle w:val="31"/>
          <w:rFonts w:ascii="宋体"/>
          <w:b/>
          <w:kern w:val="0"/>
        </w:rPr>
        <w:t>五、相关服务机构</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_Toc48122006 \h </w:instrText>
      </w:r>
      <w:r>
        <w:rPr>
          <w:rStyle w:val="31"/>
          <w:rFonts w:ascii="宋体" w:hAnsi="Times New Roman" w:eastAsia="宋体"/>
          <w:b/>
          <w:kern w:val="0"/>
        </w:rPr>
        <w:fldChar w:fldCharType="separate"/>
      </w:r>
      <w:r>
        <w:rPr>
          <w:rStyle w:val="31"/>
          <w:rFonts w:ascii="宋体" w:hAnsi="Times New Roman" w:eastAsia="宋体"/>
          <w:b/>
          <w:kern w:val="0"/>
        </w:rPr>
        <w:t>27</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"_Toc48122007" </w:instrText>
      </w:r>
      <w:r>
        <w:fldChar w:fldCharType="separate"/>
      </w:r>
      <w:r>
        <w:rPr>
          <w:rStyle w:val="31"/>
          <w:rFonts w:ascii="宋体"/>
          <w:b/>
          <w:kern w:val="0"/>
        </w:rPr>
        <w:t>六、基金的募集</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_Toc48122007 \h </w:instrText>
      </w:r>
      <w:r>
        <w:rPr>
          <w:rStyle w:val="31"/>
          <w:rFonts w:ascii="宋体" w:hAnsi="Times New Roman" w:eastAsia="宋体"/>
          <w:b/>
          <w:kern w:val="0"/>
        </w:rPr>
        <w:fldChar w:fldCharType="separate"/>
      </w:r>
      <w:r>
        <w:rPr>
          <w:rStyle w:val="31"/>
          <w:rFonts w:ascii="宋体" w:hAnsi="Times New Roman" w:eastAsia="宋体"/>
          <w:b/>
          <w:kern w:val="0"/>
        </w:rPr>
        <w:t>30</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"_Toc48122008" </w:instrText>
      </w:r>
      <w:r>
        <w:fldChar w:fldCharType="separate"/>
      </w:r>
      <w:r>
        <w:rPr>
          <w:rStyle w:val="31"/>
          <w:rFonts w:ascii="宋体"/>
          <w:b/>
          <w:kern w:val="0"/>
        </w:rPr>
        <w:t>七、基金合同的生效</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_Toc48122008 \h </w:instrText>
      </w:r>
      <w:r>
        <w:rPr>
          <w:rStyle w:val="31"/>
          <w:rFonts w:ascii="宋体" w:hAnsi="Times New Roman" w:eastAsia="宋体"/>
          <w:b/>
          <w:kern w:val="0"/>
        </w:rPr>
        <w:fldChar w:fldCharType="separate"/>
      </w:r>
      <w:r>
        <w:rPr>
          <w:rStyle w:val="31"/>
          <w:rFonts w:ascii="宋体" w:hAnsi="Times New Roman" w:eastAsia="宋体"/>
          <w:b/>
          <w:kern w:val="0"/>
        </w:rPr>
        <w:t>35</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"_Toc48122009" </w:instrText>
      </w:r>
      <w:r>
        <w:fldChar w:fldCharType="separate"/>
      </w:r>
      <w:r>
        <w:rPr>
          <w:rStyle w:val="31"/>
          <w:rFonts w:ascii="宋体"/>
          <w:b/>
          <w:kern w:val="0"/>
        </w:rPr>
        <w:t>八、基金份额的申购与赎回</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_Toc48122009 \h </w:instrText>
      </w:r>
      <w:r>
        <w:rPr>
          <w:rStyle w:val="31"/>
          <w:rFonts w:ascii="宋体" w:hAnsi="Times New Roman" w:eastAsia="宋体"/>
          <w:b/>
          <w:kern w:val="0"/>
        </w:rPr>
        <w:fldChar w:fldCharType="separate"/>
      </w:r>
      <w:r>
        <w:rPr>
          <w:rStyle w:val="31"/>
          <w:rFonts w:ascii="宋体" w:hAnsi="Times New Roman" w:eastAsia="宋体"/>
          <w:b/>
          <w:kern w:val="0"/>
        </w:rPr>
        <w:t>36</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"_Toc48122010" </w:instrText>
      </w:r>
      <w:r>
        <w:fldChar w:fldCharType="separate"/>
      </w:r>
      <w:r>
        <w:rPr>
          <w:rStyle w:val="31"/>
          <w:rFonts w:ascii="宋体"/>
          <w:b/>
          <w:kern w:val="0"/>
        </w:rPr>
        <w:t>九、基金的投资</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_Toc48122010 \h </w:instrText>
      </w:r>
      <w:r>
        <w:rPr>
          <w:rStyle w:val="31"/>
          <w:rFonts w:ascii="宋体" w:hAnsi="Times New Roman" w:eastAsia="宋体"/>
          <w:b/>
          <w:kern w:val="0"/>
        </w:rPr>
        <w:fldChar w:fldCharType="separate"/>
      </w:r>
      <w:r>
        <w:rPr>
          <w:rStyle w:val="31"/>
          <w:rFonts w:ascii="宋体" w:hAnsi="Times New Roman" w:eastAsia="宋体"/>
          <w:b/>
          <w:kern w:val="0"/>
        </w:rPr>
        <w:t>50</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"_Toc48122011" </w:instrText>
      </w:r>
      <w:r>
        <w:fldChar w:fldCharType="separate"/>
      </w:r>
      <w:r>
        <w:rPr>
          <w:rStyle w:val="31"/>
          <w:rFonts w:ascii="宋体"/>
          <w:b/>
          <w:kern w:val="0"/>
        </w:rPr>
        <w:t>十、基金的财产</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_Toc48122011 \h </w:instrText>
      </w:r>
      <w:r>
        <w:rPr>
          <w:rStyle w:val="31"/>
          <w:rFonts w:ascii="宋体" w:hAnsi="Times New Roman" w:eastAsia="宋体"/>
          <w:b/>
          <w:kern w:val="0"/>
        </w:rPr>
        <w:fldChar w:fldCharType="separate"/>
      </w:r>
      <w:r>
        <w:rPr>
          <w:rStyle w:val="31"/>
          <w:rFonts w:ascii="宋体" w:hAnsi="Times New Roman" w:eastAsia="宋体"/>
          <w:b/>
          <w:kern w:val="0"/>
        </w:rPr>
        <w:t>58</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"_Toc48122012" </w:instrText>
      </w:r>
      <w:r>
        <w:fldChar w:fldCharType="separate"/>
      </w:r>
      <w:r>
        <w:rPr>
          <w:rStyle w:val="31"/>
          <w:rFonts w:ascii="宋体"/>
          <w:b/>
          <w:kern w:val="0"/>
        </w:rPr>
        <w:t>十一、基金资产的估值</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_Toc48122012 \h </w:instrText>
      </w:r>
      <w:r>
        <w:rPr>
          <w:rStyle w:val="31"/>
          <w:rFonts w:ascii="宋体" w:hAnsi="Times New Roman" w:eastAsia="宋体"/>
          <w:b/>
          <w:kern w:val="0"/>
        </w:rPr>
        <w:fldChar w:fldCharType="separate"/>
      </w:r>
      <w:r>
        <w:rPr>
          <w:rStyle w:val="31"/>
          <w:rFonts w:ascii="宋体" w:hAnsi="Times New Roman" w:eastAsia="宋体"/>
          <w:b/>
          <w:kern w:val="0"/>
        </w:rPr>
        <w:t>59</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"_Toc48122013" </w:instrText>
      </w:r>
      <w:r>
        <w:fldChar w:fldCharType="separate"/>
      </w:r>
      <w:r>
        <w:rPr>
          <w:rStyle w:val="31"/>
          <w:rFonts w:ascii="宋体"/>
          <w:b/>
          <w:kern w:val="0"/>
        </w:rPr>
        <w:t>十二、基金收益与分配</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_Toc48122013 \h </w:instrText>
      </w:r>
      <w:r>
        <w:rPr>
          <w:rStyle w:val="31"/>
          <w:rFonts w:ascii="宋体" w:hAnsi="Times New Roman" w:eastAsia="宋体"/>
          <w:b/>
          <w:kern w:val="0"/>
        </w:rPr>
        <w:fldChar w:fldCharType="separate"/>
      </w:r>
      <w:r>
        <w:rPr>
          <w:rStyle w:val="31"/>
          <w:rFonts w:ascii="宋体" w:hAnsi="Times New Roman" w:eastAsia="宋体"/>
          <w:b/>
          <w:kern w:val="0"/>
        </w:rPr>
        <w:t>66</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"_Toc48122014" </w:instrText>
      </w:r>
      <w:r>
        <w:fldChar w:fldCharType="separate"/>
      </w:r>
      <w:r>
        <w:rPr>
          <w:rStyle w:val="31"/>
          <w:rFonts w:ascii="宋体"/>
          <w:b/>
          <w:kern w:val="0"/>
        </w:rPr>
        <w:t>十三、基金的费用与税收</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_Toc48122014 \h </w:instrText>
      </w:r>
      <w:r>
        <w:rPr>
          <w:rStyle w:val="31"/>
          <w:rFonts w:ascii="宋体" w:hAnsi="Times New Roman" w:eastAsia="宋体"/>
          <w:b/>
          <w:kern w:val="0"/>
        </w:rPr>
        <w:fldChar w:fldCharType="separate"/>
      </w:r>
      <w:r>
        <w:rPr>
          <w:rStyle w:val="31"/>
          <w:rFonts w:ascii="宋体" w:hAnsi="Times New Roman" w:eastAsia="宋体"/>
          <w:b/>
          <w:kern w:val="0"/>
        </w:rPr>
        <w:t>68</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"_Toc48122015" </w:instrText>
      </w:r>
      <w:r>
        <w:fldChar w:fldCharType="separate"/>
      </w:r>
      <w:r>
        <w:rPr>
          <w:rStyle w:val="31"/>
          <w:rFonts w:ascii="宋体"/>
          <w:b/>
          <w:kern w:val="0"/>
        </w:rPr>
        <w:t>十四、基金的会计与审计</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_Toc48122015 \h </w:instrText>
      </w:r>
      <w:r>
        <w:rPr>
          <w:rStyle w:val="31"/>
          <w:rFonts w:ascii="宋体" w:hAnsi="Times New Roman" w:eastAsia="宋体"/>
          <w:b/>
          <w:kern w:val="0"/>
        </w:rPr>
        <w:fldChar w:fldCharType="separate"/>
      </w:r>
      <w:r>
        <w:rPr>
          <w:rStyle w:val="31"/>
          <w:rFonts w:ascii="宋体" w:hAnsi="Times New Roman" w:eastAsia="宋体"/>
          <w:b/>
          <w:kern w:val="0"/>
        </w:rPr>
        <w:t>71</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"_Toc48122016" </w:instrText>
      </w:r>
      <w:r>
        <w:fldChar w:fldCharType="separate"/>
      </w:r>
      <w:r>
        <w:rPr>
          <w:rStyle w:val="31"/>
          <w:rFonts w:ascii="宋体"/>
          <w:b/>
          <w:kern w:val="0"/>
        </w:rPr>
        <w:t>十五、基金的信息披露</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_Toc48122016 \h </w:instrText>
      </w:r>
      <w:r>
        <w:rPr>
          <w:rStyle w:val="31"/>
          <w:rFonts w:ascii="宋体" w:hAnsi="Times New Roman" w:eastAsia="宋体"/>
          <w:b/>
          <w:kern w:val="0"/>
        </w:rPr>
        <w:fldChar w:fldCharType="separate"/>
      </w:r>
      <w:r>
        <w:rPr>
          <w:rStyle w:val="31"/>
          <w:rFonts w:ascii="宋体" w:hAnsi="Times New Roman" w:eastAsia="宋体"/>
          <w:b/>
          <w:kern w:val="0"/>
        </w:rPr>
        <w:t>72</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"_Toc48122017" </w:instrText>
      </w:r>
      <w:r>
        <w:fldChar w:fldCharType="separate"/>
      </w:r>
      <w:r>
        <w:rPr>
          <w:rStyle w:val="31"/>
          <w:rFonts w:ascii="宋体"/>
          <w:b/>
          <w:kern w:val="0"/>
        </w:rPr>
        <w:t>十六、侧袋机制</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_Toc48122017 \h </w:instrText>
      </w:r>
      <w:r>
        <w:rPr>
          <w:rStyle w:val="31"/>
          <w:rFonts w:ascii="宋体" w:hAnsi="Times New Roman" w:eastAsia="宋体"/>
          <w:b/>
          <w:kern w:val="0"/>
        </w:rPr>
        <w:fldChar w:fldCharType="separate"/>
      </w:r>
      <w:r>
        <w:rPr>
          <w:rStyle w:val="31"/>
          <w:rFonts w:ascii="宋体" w:hAnsi="Times New Roman" w:eastAsia="宋体"/>
          <w:b/>
          <w:kern w:val="0"/>
        </w:rPr>
        <w:t>79</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"_Toc48122018" </w:instrText>
      </w:r>
      <w:r>
        <w:fldChar w:fldCharType="separate"/>
      </w:r>
      <w:r>
        <w:rPr>
          <w:rStyle w:val="31"/>
          <w:rFonts w:ascii="宋体"/>
          <w:b/>
          <w:kern w:val="0"/>
        </w:rPr>
        <w:t>十七、风险揭示</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_Toc48122018 \h </w:instrText>
      </w:r>
      <w:r>
        <w:rPr>
          <w:rStyle w:val="31"/>
          <w:rFonts w:ascii="宋体" w:hAnsi="Times New Roman" w:eastAsia="宋体"/>
          <w:b/>
          <w:kern w:val="0"/>
        </w:rPr>
        <w:fldChar w:fldCharType="separate"/>
      </w:r>
      <w:r>
        <w:rPr>
          <w:rStyle w:val="31"/>
          <w:rFonts w:ascii="宋体" w:hAnsi="Times New Roman" w:eastAsia="宋体"/>
          <w:b/>
          <w:kern w:val="0"/>
        </w:rPr>
        <w:t>82</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"_Toc48122019" </w:instrText>
      </w:r>
      <w:r>
        <w:fldChar w:fldCharType="separate"/>
      </w:r>
      <w:r>
        <w:rPr>
          <w:rStyle w:val="31"/>
          <w:b/>
          <w:kern w:val="0"/>
        </w:rPr>
        <w:t>十八、基金合同的变更、终止与基金财产的清算</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_Toc48122019 \h </w:instrText>
      </w:r>
      <w:r>
        <w:rPr>
          <w:rStyle w:val="31"/>
          <w:rFonts w:ascii="宋体" w:hAnsi="Times New Roman" w:eastAsia="宋体"/>
          <w:b/>
          <w:kern w:val="0"/>
        </w:rPr>
        <w:fldChar w:fldCharType="separate"/>
      </w:r>
      <w:r>
        <w:rPr>
          <w:rStyle w:val="31"/>
          <w:rFonts w:ascii="宋体" w:hAnsi="Times New Roman" w:eastAsia="宋体"/>
          <w:b/>
          <w:kern w:val="0"/>
        </w:rPr>
        <w:t>93</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"_Toc48122020" </w:instrText>
      </w:r>
      <w:r>
        <w:fldChar w:fldCharType="separate"/>
      </w:r>
      <w:r>
        <w:rPr>
          <w:rStyle w:val="31"/>
          <w:rFonts w:ascii="宋体"/>
          <w:b/>
          <w:kern w:val="0"/>
        </w:rPr>
        <w:t>十九、基金合同内容摘要</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_Toc48122020 \h </w:instrText>
      </w:r>
      <w:r>
        <w:rPr>
          <w:rStyle w:val="31"/>
          <w:rFonts w:ascii="宋体" w:hAnsi="Times New Roman" w:eastAsia="宋体"/>
          <w:b/>
          <w:kern w:val="0"/>
        </w:rPr>
        <w:fldChar w:fldCharType="separate"/>
      </w:r>
      <w:r>
        <w:rPr>
          <w:rStyle w:val="31"/>
          <w:rFonts w:ascii="宋体" w:hAnsi="Times New Roman" w:eastAsia="宋体"/>
          <w:b/>
          <w:kern w:val="0"/>
        </w:rPr>
        <w:t>95</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"_Toc48122021" </w:instrText>
      </w:r>
      <w:r>
        <w:fldChar w:fldCharType="separate"/>
      </w:r>
      <w:r>
        <w:rPr>
          <w:rStyle w:val="31"/>
          <w:rFonts w:ascii="宋体"/>
          <w:b/>
          <w:kern w:val="0"/>
        </w:rPr>
        <w:t>二十、托管协议的内容摘要</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_Toc48122021 \h </w:instrText>
      </w:r>
      <w:r>
        <w:rPr>
          <w:rStyle w:val="31"/>
          <w:rFonts w:ascii="宋体" w:hAnsi="Times New Roman" w:eastAsia="宋体"/>
          <w:b/>
          <w:kern w:val="0"/>
        </w:rPr>
        <w:fldChar w:fldCharType="separate"/>
      </w:r>
      <w:r>
        <w:rPr>
          <w:rStyle w:val="31"/>
          <w:rFonts w:ascii="宋体" w:hAnsi="Times New Roman" w:eastAsia="宋体"/>
          <w:b/>
          <w:kern w:val="0"/>
        </w:rPr>
        <w:t>113</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"_Toc48122022" </w:instrText>
      </w:r>
      <w:r>
        <w:fldChar w:fldCharType="separate"/>
      </w:r>
      <w:r>
        <w:rPr>
          <w:rStyle w:val="31"/>
          <w:rFonts w:ascii="宋体"/>
          <w:b/>
          <w:kern w:val="0"/>
        </w:rPr>
        <w:t>二十一、对基金份额持有人的服务</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_Toc48122022 \h </w:instrText>
      </w:r>
      <w:r>
        <w:rPr>
          <w:rStyle w:val="31"/>
          <w:rFonts w:ascii="宋体" w:hAnsi="Times New Roman" w:eastAsia="宋体"/>
          <w:b/>
          <w:kern w:val="0"/>
        </w:rPr>
        <w:fldChar w:fldCharType="separate"/>
      </w:r>
      <w:r>
        <w:rPr>
          <w:rStyle w:val="31"/>
          <w:rFonts w:ascii="宋体" w:hAnsi="Times New Roman" w:eastAsia="宋体"/>
          <w:b/>
          <w:kern w:val="0"/>
        </w:rPr>
        <w:t>132</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"_Toc48122023" </w:instrText>
      </w:r>
      <w:r>
        <w:fldChar w:fldCharType="separate"/>
      </w:r>
      <w:r>
        <w:rPr>
          <w:rStyle w:val="31"/>
          <w:rFonts w:ascii="宋体"/>
          <w:b/>
          <w:kern w:val="0"/>
        </w:rPr>
        <w:t>二十二、其他应披露事项</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_Toc48122023 \h </w:instrText>
      </w:r>
      <w:r>
        <w:rPr>
          <w:rStyle w:val="31"/>
          <w:rFonts w:ascii="宋体" w:hAnsi="Times New Roman" w:eastAsia="宋体"/>
          <w:b/>
          <w:kern w:val="0"/>
        </w:rPr>
        <w:fldChar w:fldCharType="separate"/>
      </w:r>
      <w:r>
        <w:rPr>
          <w:rStyle w:val="31"/>
          <w:rFonts w:ascii="宋体" w:hAnsi="Times New Roman" w:eastAsia="宋体"/>
          <w:b/>
          <w:kern w:val="0"/>
        </w:rPr>
        <w:t>134</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"_Toc48122024" </w:instrText>
      </w:r>
      <w:r>
        <w:fldChar w:fldCharType="separate"/>
      </w:r>
      <w:r>
        <w:rPr>
          <w:rStyle w:val="31"/>
          <w:rFonts w:ascii="宋体"/>
          <w:b/>
          <w:kern w:val="0"/>
        </w:rPr>
        <w:t>二十三、招募说明书的存放及查阅方式</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_Toc48122024 \h </w:instrText>
      </w:r>
      <w:r>
        <w:rPr>
          <w:rStyle w:val="31"/>
          <w:rFonts w:ascii="宋体" w:hAnsi="Times New Roman" w:eastAsia="宋体"/>
          <w:b/>
          <w:kern w:val="0"/>
        </w:rPr>
        <w:fldChar w:fldCharType="separate"/>
      </w:r>
      <w:r>
        <w:rPr>
          <w:rStyle w:val="31"/>
          <w:rFonts w:ascii="宋体" w:hAnsi="Times New Roman" w:eastAsia="宋体"/>
          <w:b/>
          <w:kern w:val="0"/>
        </w:rPr>
        <w:t>135</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"_Toc48122025" </w:instrText>
      </w:r>
      <w:r>
        <w:fldChar w:fldCharType="separate"/>
      </w:r>
      <w:r>
        <w:rPr>
          <w:rStyle w:val="31"/>
          <w:rFonts w:ascii="宋体"/>
          <w:b/>
          <w:kern w:val="0"/>
        </w:rPr>
        <w:t>二十四、备查文件</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_Toc48122025 \h </w:instrText>
      </w:r>
      <w:r>
        <w:rPr>
          <w:rStyle w:val="31"/>
          <w:rFonts w:ascii="宋体" w:hAnsi="Times New Roman" w:eastAsia="宋体"/>
          <w:b/>
          <w:kern w:val="0"/>
        </w:rPr>
        <w:fldChar w:fldCharType="separate"/>
      </w:r>
      <w:r>
        <w:rPr>
          <w:rStyle w:val="31"/>
          <w:rFonts w:ascii="宋体" w:hAnsi="Times New Roman" w:eastAsia="宋体"/>
          <w:b/>
          <w:kern w:val="0"/>
        </w:rPr>
        <w:t>136</w:t>
      </w:r>
      <w:r>
        <w:rPr>
          <w:rStyle w:val="31"/>
          <w:rFonts w:ascii="宋体" w:hAnsi="Times New Roman" w:eastAsia="宋体"/>
          <w:b/>
          <w:kern w:val="0"/>
        </w:rPr>
        <w:fldChar w:fldCharType="end"/>
      </w:r>
      <w:r>
        <w:rPr>
          <w:rStyle w:val="31"/>
          <w:rFonts w:ascii="宋体" w:hAnsi="Times New Roman" w:eastAsia="宋体"/>
          <w:b/>
          <w:kern w:val="0"/>
        </w:rPr>
        <w:fldChar w:fldCharType="end"/>
      </w:r>
    </w:p>
    <w:p>
      <w:pPr>
        <w:adjustRightInd w:val="0"/>
        <w:snapToGrid w:val="0"/>
      </w:pPr>
      <w:r>
        <w:fldChar w:fldCharType="end"/>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kern w:val="0"/>
          <w:sz w:val="24"/>
        </w:rPr>
        <w:br w:type="page"/>
      </w:r>
      <w:bookmarkStart w:id="1" w:name="_Toc48122002"/>
      <w:r>
        <w:rPr>
          <w:rFonts w:hint="eastAsia" w:ascii="宋体" w:hAnsi="宋体"/>
          <w:b/>
          <w:kern w:val="0"/>
          <w:sz w:val="30"/>
        </w:rPr>
        <w:t>一、绪言</w:t>
      </w:r>
      <w:bookmarkEnd w:id="0"/>
      <w:bookmarkEnd w:id="1"/>
    </w:p>
    <w:p>
      <w:pPr>
        <w:widowControl/>
        <w:adjustRightInd w:val="0"/>
        <w:snapToGrid w:val="0"/>
        <w:spacing w:line="360" w:lineRule="auto"/>
        <w:ind w:firstLine="480" w:firstLineChars="200"/>
        <w:rPr>
          <w:kern w:val="0"/>
          <w:sz w:val="24"/>
        </w:rPr>
      </w:pPr>
      <w:r>
        <w:rPr>
          <w:rFonts w:ascii="宋体" w:hAnsi="宋体"/>
          <w:kern w:val="0"/>
          <w:sz w:val="24"/>
        </w:rPr>
        <w:t>《交银施罗德</w:t>
      </w:r>
      <w:r>
        <w:rPr>
          <w:rFonts w:hint="eastAsia" w:ascii="宋体" w:hAnsi="宋体"/>
          <w:kern w:val="0"/>
          <w:sz w:val="24"/>
        </w:rPr>
        <w:t>产业臻选</w:t>
      </w:r>
      <w:r>
        <w:rPr>
          <w:rFonts w:ascii="宋体" w:hAnsi="宋体"/>
          <w:kern w:val="0"/>
          <w:sz w:val="24"/>
        </w:rPr>
        <w:t>混合型证券投资基金招募说明书》（以下简称“本招募说明书”）依据《中华人民共和国证券投资基金法》</w:t>
      </w:r>
      <w:r>
        <w:rPr>
          <w:rFonts w:hint="eastAsia" w:ascii="宋体" w:hAnsi="宋体"/>
          <w:kern w:val="0"/>
          <w:sz w:val="24"/>
        </w:rPr>
        <w:t>（以下简称“《基金法》”）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证券投资基金运作管理办法》</w:t>
      </w:r>
      <w:r>
        <w:rPr>
          <w:rFonts w:hint="eastAsia" w:ascii="宋体" w:hAnsi="宋体"/>
          <w:kern w:val="0"/>
          <w:sz w:val="24"/>
        </w:rPr>
        <w:t>（以下简称“《运作办法》”）</w:t>
      </w:r>
      <w:r>
        <w:rPr>
          <w:rFonts w:ascii="宋体" w:hAnsi="宋体"/>
          <w:kern w:val="0"/>
          <w:sz w:val="24"/>
        </w:rPr>
        <w:t>、《公开募集证券投资基金销售机构监督管理办法》</w:t>
      </w:r>
      <w:r>
        <w:rPr>
          <w:rFonts w:hint="eastAsia" w:ascii="宋体" w:hAnsi="宋体"/>
          <w:kern w:val="0"/>
          <w:sz w:val="24"/>
        </w:rPr>
        <w:t>（以下简称“《销售办法》”）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证券投资基金信息披露管理办法》</w:t>
      </w:r>
      <w:r>
        <w:rPr>
          <w:rFonts w:hint="eastAsia" w:ascii="宋体" w:hAnsi="宋体"/>
          <w:kern w:val="0"/>
          <w:sz w:val="24"/>
        </w:rPr>
        <w:t>（以下简称“《信息披露办法》”）、《公开募集开放式证券投资基金流动性风险管理规定》（以下简称“《流动性</w:t>
      </w:r>
      <w:r>
        <w:rPr>
          <w:rFonts w:hint="eastAsia" w:hAnsi="宋体"/>
          <w:kern w:val="0"/>
          <w:sz w:val="24"/>
        </w:rPr>
        <w:t>风险管理</w:t>
      </w:r>
      <w:r>
        <w:rPr>
          <w:rFonts w:hint="eastAsia" w:ascii="宋体" w:hAnsi="宋体"/>
          <w:kern w:val="0"/>
          <w:sz w:val="24"/>
        </w:rPr>
        <w:t>规定》”）</w:t>
      </w:r>
      <w:r>
        <w:rPr>
          <w:rFonts w:ascii="宋体" w:hAnsi="宋体"/>
          <w:kern w:val="0"/>
          <w:sz w:val="24"/>
        </w:rPr>
        <w:t>和其他相关法律法规的规定以及《交银施罗德</w:t>
      </w:r>
      <w:r>
        <w:rPr>
          <w:rFonts w:hint="eastAsia" w:ascii="宋体" w:hAnsi="宋体"/>
          <w:kern w:val="0"/>
          <w:sz w:val="24"/>
        </w:rPr>
        <w:t>产业臻选</w:t>
      </w:r>
      <w:r>
        <w:rPr>
          <w:rFonts w:ascii="宋体" w:hAnsi="宋体"/>
          <w:kern w:val="0"/>
          <w:sz w:val="24"/>
        </w:rPr>
        <w:t>混合型证券投资基金基金合同》（以下简称“基金合同”）</w:t>
      </w:r>
      <w:r>
        <w:rPr>
          <w:rFonts w:hAnsi="宋体"/>
          <w:kern w:val="0"/>
          <w:sz w:val="24"/>
        </w:rPr>
        <w:t>编写。</w:t>
      </w:r>
    </w:p>
    <w:p>
      <w:pPr>
        <w:widowControl/>
        <w:adjustRightInd w:val="0"/>
        <w:snapToGrid w:val="0"/>
        <w:spacing w:line="360" w:lineRule="auto"/>
        <w:ind w:firstLine="480" w:firstLineChars="20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int="eastAsia" w:ascii="宋体" w:hAnsi="宋体"/>
          <w:kern w:val="0"/>
          <w:sz w:val="24"/>
        </w:rPr>
        <w:t>，</w:t>
      </w:r>
      <w:r>
        <w:rPr>
          <w:rFonts w:hAnsi="宋体"/>
          <w:kern w:val="0"/>
          <w:sz w:val="24"/>
        </w:rPr>
        <w:t>或对本招募说明书作任何解释或者说明。</w:t>
      </w:r>
    </w:p>
    <w:p>
      <w:pPr>
        <w:widowControl/>
        <w:adjustRightInd w:val="0"/>
        <w:snapToGrid w:val="0"/>
        <w:spacing w:line="360" w:lineRule="auto"/>
        <w:ind w:firstLine="480" w:firstLineChars="200"/>
        <w:rPr>
          <w:rFonts w:ascii="宋体" w:hAnsi="宋体"/>
          <w:b/>
          <w:kern w:val="0"/>
          <w:sz w:val="24"/>
        </w:rPr>
      </w:pPr>
      <w:r>
        <w:rPr>
          <w:rFonts w:hAnsi="宋体"/>
          <w:kern w:val="0"/>
          <w:sz w:val="24"/>
        </w:rPr>
        <w:t>本招募说明书根据本基金的基金合同编写，并经中国证监会</w:t>
      </w:r>
      <w:r>
        <w:rPr>
          <w:rFonts w:hint="eastAsia" w:hAnsi="宋体"/>
          <w:kern w:val="0"/>
          <w:sz w:val="24"/>
        </w:rPr>
        <w:t>注册</w:t>
      </w:r>
      <w:r>
        <w:rPr>
          <w:rFonts w:hAnsi="宋体"/>
          <w:kern w:val="0"/>
          <w:sz w:val="24"/>
        </w:rPr>
        <w:t>。基金合同是约定基金</w:t>
      </w:r>
      <w:r>
        <w:rPr>
          <w:rFonts w:hint="eastAsia" w:hAnsi="宋体"/>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widowControl/>
        <w:adjustRightInd w:val="0"/>
        <w:snapToGrid w:val="0"/>
        <w:spacing w:before="143" w:beforeLines="50" w:after="143" w:afterLines="50"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48122003"/>
      <w:r>
        <w:rPr>
          <w:rFonts w:hint="eastAsia" w:ascii="宋体" w:hAnsi="宋体"/>
          <w:b/>
          <w:kern w:val="0"/>
          <w:sz w:val="30"/>
        </w:rPr>
        <w:t>二、释义</w:t>
      </w:r>
      <w:bookmarkEnd w:id="2"/>
      <w:bookmarkEnd w:id="3"/>
    </w:p>
    <w:p>
      <w:pPr>
        <w:adjustRightInd w:val="0"/>
        <w:snapToGrid w:val="0"/>
        <w:spacing w:line="360" w:lineRule="auto"/>
        <w:ind w:firstLine="480" w:firstLineChars="200"/>
        <w:rPr>
          <w:spacing w:val="8"/>
          <w:sz w:val="24"/>
        </w:rPr>
      </w:pPr>
      <w:r>
        <w:rPr>
          <w:rFonts w:hAnsi="宋体"/>
          <w:sz w:val="24"/>
        </w:rPr>
        <w:t>在本招募说明书中，除非文意另有所指，下列词语或简称具有如下含义：</w:t>
      </w:r>
    </w:p>
    <w:p>
      <w:pPr>
        <w:adjustRightInd w:val="0"/>
        <w:snapToGrid w:val="0"/>
        <w:spacing w:line="360" w:lineRule="auto"/>
        <w:ind w:firstLine="480" w:firstLineChars="200"/>
        <w:rPr>
          <w:bCs/>
          <w:sz w:val="24"/>
        </w:rPr>
      </w:pPr>
      <w:bookmarkStart w:id="4" w:name="_Hlk49340113"/>
      <w:r>
        <w:rPr>
          <w:rFonts w:hint="eastAsia"/>
          <w:bCs/>
          <w:sz w:val="24"/>
        </w:rPr>
        <w:t>1、基金或本基金：指交银施罗德产业臻选混合型证券投资基金</w:t>
      </w:r>
    </w:p>
    <w:p>
      <w:pPr>
        <w:adjustRightInd w:val="0"/>
        <w:snapToGrid w:val="0"/>
        <w:spacing w:line="360" w:lineRule="auto"/>
        <w:ind w:firstLine="480" w:firstLineChars="200"/>
        <w:rPr>
          <w:bCs/>
          <w:sz w:val="24"/>
        </w:rPr>
      </w:pPr>
      <w:r>
        <w:rPr>
          <w:rFonts w:hint="eastAsia"/>
          <w:bCs/>
          <w:sz w:val="24"/>
        </w:rPr>
        <w:t>2、基金管理人：指交银施罗德基金管理有限公司</w:t>
      </w:r>
    </w:p>
    <w:p>
      <w:pPr>
        <w:adjustRightInd w:val="0"/>
        <w:snapToGrid w:val="0"/>
        <w:spacing w:line="360" w:lineRule="auto"/>
        <w:ind w:firstLine="480" w:firstLineChars="200"/>
        <w:rPr>
          <w:bCs/>
          <w:sz w:val="24"/>
        </w:rPr>
      </w:pPr>
      <w:r>
        <w:rPr>
          <w:rFonts w:hint="eastAsia"/>
          <w:bCs/>
          <w:sz w:val="24"/>
        </w:rPr>
        <w:t>3、基金托管人：指招商银行股份有限公司</w:t>
      </w:r>
    </w:p>
    <w:p>
      <w:pPr>
        <w:adjustRightInd w:val="0"/>
        <w:snapToGrid w:val="0"/>
        <w:spacing w:line="360" w:lineRule="auto"/>
        <w:ind w:firstLine="480" w:firstLineChars="200"/>
        <w:rPr>
          <w:bCs/>
          <w:sz w:val="24"/>
        </w:rPr>
      </w:pPr>
      <w:r>
        <w:rPr>
          <w:rFonts w:hint="eastAsia"/>
          <w:bCs/>
          <w:sz w:val="24"/>
        </w:rPr>
        <w:t>4、基金合同、《基金合同》：指《交银施罗德产业臻选混合型证券投资基金基金合同》及对基金合同的任何有效修订和补充</w:t>
      </w:r>
    </w:p>
    <w:p>
      <w:pPr>
        <w:adjustRightInd w:val="0"/>
        <w:snapToGrid w:val="0"/>
        <w:spacing w:line="360" w:lineRule="auto"/>
        <w:ind w:firstLine="480" w:firstLineChars="200"/>
        <w:rPr>
          <w:bCs/>
          <w:sz w:val="24"/>
        </w:rPr>
      </w:pPr>
      <w:r>
        <w:rPr>
          <w:rFonts w:hint="eastAsia"/>
          <w:bCs/>
          <w:sz w:val="24"/>
        </w:rPr>
        <w:t>5、托管协议：指基金管理人与基金托管人就本基金签订之《交银施罗德产业臻选混合型证券投资基金托管协议》及对该托管协议的任何有效修订和补充</w:t>
      </w:r>
    </w:p>
    <w:p>
      <w:pPr>
        <w:adjustRightInd w:val="0"/>
        <w:snapToGrid w:val="0"/>
        <w:spacing w:line="360" w:lineRule="auto"/>
        <w:ind w:firstLine="480" w:firstLineChars="200"/>
        <w:rPr>
          <w:bCs/>
          <w:sz w:val="24"/>
        </w:rPr>
      </w:pPr>
      <w:r>
        <w:rPr>
          <w:rFonts w:hint="eastAsia"/>
          <w:bCs/>
          <w:sz w:val="24"/>
        </w:rPr>
        <w:t>6、招募说明书、《招募说明书》或本招募说明书：指《交银施罗德产业臻选混合型证券投资基金招募说明书》及其更新</w:t>
      </w:r>
    </w:p>
    <w:p>
      <w:pPr>
        <w:adjustRightInd w:val="0"/>
        <w:snapToGrid w:val="0"/>
        <w:spacing w:line="360" w:lineRule="auto"/>
        <w:ind w:firstLine="480" w:firstLineChars="200"/>
        <w:rPr>
          <w:bCs/>
          <w:sz w:val="24"/>
        </w:rPr>
      </w:pPr>
      <w:r>
        <w:rPr>
          <w:rFonts w:hint="eastAsia"/>
          <w:bCs/>
          <w:sz w:val="24"/>
        </w:rPr>
        <w:t>7、基金产品资料概要：指《交银施罗德产业臻选混合型证券投资基金基金产品资料概要》及其更新</w:t>
      </w:r>
    </w:p>
    <w:p>
      <w:pPr>
        <w:adjustRightInd w:val="0"/>
        <w:snapToGrid w:val="0"/>
        <w:spacing w:line="360" w:lineRule="auto"/>
        <w:ind w:firstLine="480" w:firstLineChars="200"/>
        <w:rPr>
          <w:bCs/>
          <w:sz w:val="24"/>
        </w:rPr>
      </w:pPr>
      <w:r>
        <w:rPr>
          <w:rFonts w:hint="eastAsia"/>
          <w:bCs/>
          <w:sz w:val="24"/>
        </w:rPr>
        <w:t>8、基金份额发售公告：指《交银施罗德产业臻选混合型证券投资基金基金份额发售公告》</w:t>
      </w:r>
    </w:p>
    <w:p>
      <w:pPr>
        <w:adjustRightInd w:val="0"/>
        <w:snapToGrid w:val="0"/>
        <w:spacing w:line="360" w:lineRule="auto"/>
        <w:ind w:firstLine="480" w:firstLineChars="20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pPr>
        <w:adjustRightInd w:val="0"/>
        <w:snapToGrid w:val="0"/>
        <w:spacing w:line="360" w:lineRule="auto"/>
        <w:ind w:firstLine="480" w:firstLineChars="200"/>
        <w:rPr>
          <w:bCs/>
          <w:sz w:val="24"/>
        </w:rPr>
      </w:pPr>
      <w:r>
        <w:rPr>
          <w:bCs/>
          <w:sz w:val="24"/>
        </w:rPr>
        <w:t>10</w:t>
      </w:r>
      <w:r>
        <w:rPr>
          <w:rFonts w:hint="eastAsia"/>
          <w:bCs/>
          <w:sz w:val="24"/>
        </w:rPr>
        <w:t>、《基金法》：指《中华人民共和国证券投资基金法》及颁布机关对其不时做出的修订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1</w:t>
      </w:r>
      <w:r>
        <w:rPr>
          <w:rFonts w:hint="eastAsia"/>
          <w:bCs/>
          <w:sz w:val="24"/>
        </w:rPr>
        <w:t>、《销售办法》：指《公开募集证券投资基金销售机构监督管理办法》及颁布机关对其不时做出的修订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2</w:t>
      </w:r>
      <w:r>
        <w:rPr>
          <w:rFonts w:hint="eastAsia"/>
          <w:bCs/>
          <w:sz w:val="24"/>
        </w:rPr>
        <w:t>、《信息披露办法》：指《公开募集证券投资基金信息披露管理办法》及颁布机关对其不时做出的修订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3</w:t>
      </w:r>
      <w:r>
        <w:rPr>
          <w:rFonts w:hint="eastAsia"/>
          <w:bCs/>
          <w:sz w:val="24"/>
        </w:rPr>
        <w:t>、《运作办法》：指《公开募集证券投资基金运作管理办法》及颁布机关对其不时做出的修订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、《流动性风险管理规定》：指《公开募集开放式证券投资基金流动性风险管理规定》及颁布机关对其不时做出的修订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5</w:t>
      </w:r>
      <w:r>
        <w:rPr>
          <w:rFonts w:hint="eastAsia"/>
          <w:bCs/>
          <w:sz w:val="24"/>
        </w:rPr>
        <w:t>、中国证监会：指中国证券监督管理委员会</w:t>
      </w:r>
    </w:p>
    <w:p>
      <w:pPr>
        <w:adjustRightInd w:val="0"/>
        <w:snapToGrid w:val="0"/>
        <w:spacing w:line="360" w:lineRule="auto"/>
        <w:ind w:firstLine="480" w:firstLineChars="200"/>
        <w:rPr>
          <w:bCs/>
          <w:sz w:val="24"/>
        </w:rPr>
      </w:pPr>
      <w:r>
        <w:rPr>
          <w:rFonts w:hint="eastAsia"/>
          <w:bCs/>
          <w:sz w:val="24"/>
        </w:rPr>
        <w:t>1</w:t>
      </w:r>
      <w:r>
        <w:rPr>
          <w:bCs/>
          <w:sz w:val="24"/>
        </w:rPr>
        <w:t>6</w:t>
      </w:r>
      <w:r>
        <w:rPr>
          <w:rFonts w:hint="eastAsia"/>
          <w:bCs/>
          <w:sz w:val="24"/>
        </w:rPr>
        <w:t>、银行业监督管理机构：指中国人民银行和/或国家金融监督管理总局</w:t>
      </w:r>
    </w:p>
    <w:p>
      <w:pPr>
        <w:adjustRightInd w:val="0"/>
        <w:snapToGrid w:val="0"/>
        <w:spacing w:line="360" w:lineRule="auto"/>
        <w:ind w:firstLine="480" w:firstLineChars="200"/>
        <w:rPr>
          <w:bCs/>
          <w:sz w:val="24"/>
        </w:rPr>
      </w:pPr>
      <w:r>
        <w:rPr>
          <w:rFonts w:hint="eastAsia"/>
          <w:bCs/>
          <w:sz w:val="24"/>
        </w:rPr>
        <w:t>1</w:t>
      </w:r>
      <w:r>
        <w:rPr>
          <w:bCs/>
          <w:sz w:val="24"/>
        </w:rPr>
        <w:t>7</w:t>
      </w:r>
      <w:r>
        <w:rPr>
          <w:rFonts w:hint="eastAsia"/>
          <w:bCs/>
          <w:sz w:val="24"/>
        </w:rPr>
        <w:t>、基金合同当事人：指受基金合同约束，根据基金合同享有权利并承担义务的法律主体，包括基金管理人、基金托管人和基金份额持有人</w:t>
      </w:r>
    </w:p>
    <w:p>
      <w:pPr>
        <w:adjustRightInd w:val="0"/>
        <w:snapToGrid w:val="0"/>
        <w:spacing w:line="360" w:lineRule="auto"/>
        <w:ind w:firstLine="480" w:firstLineChars="200"/>
        <w:rPr>
          <w:bCs/>
          <w:sz w:val="24"/>
        </w:rPr>
      </w:pPr>
      <w:r>
        <w:rPr>
          <w:rFonts w:hint="eastAsia"/>
          <w:bCs/>
          <w:sz w:val="24"/>
        </w:rPr>
        <w:t>1</w:t>
      </w:r>
      <w:r>
        <w:rPr>
          <w:bCs/>
          <w:sz w:val="24"/>
        </w:rPr>
        <w:t>8</w:t>
      </w:r>
      <w:r>
        <w:rPr>
          <w:rFonts w:hint="eastAsia"/>
          <w:bCs/>
          <w:sz w:val="24"/>
        </w:rPr>
        <w:t>、个人投资者：指依据有关法律法规规定可投资于证券投资基金的自然人</w:t>
      </w:r>
    </w:p>
    <w:p>
      <w:pPr>
        <w:adjustRightInd w:val="0"/>
        <w:snapToGrid w:val="0"/>
        <w:spacing w:line="360" w:lineRule="auto"/>
        <w:ind w:firstLine="480" w:firstLineChars="200"/>
        <w:rPr>
          <w:bCs/>
          <w:sz w:val="24"/>
        </w:rPr>
      </w:pPr>
      <w:r>
        <w:rPr>
          <w:rFonts w:hint="eastAsia"/>
          <w:bCs/>
          <w:sz w:val="24"/>
        </w:rPr>
        <w:t>1</w:t>
      </w:r>
      <w:r>
        <w:rPr>
          <w:bCs/>
          <w:sz w:val="24"/>
        </w:rPr>
        <w:t>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pPr>
        <w:adjustRightInd w:val="0"/>
        <w:snapToGrid w:val="0"/>
        <w:spacing w:line="360" w:lineRule="auto"/>
        <w:ind w:firstLine="480" w:firstLineChars="200"/>
        <w:rPr>
          <w:bCs/>
          <w:sz w:val="24"/>
        </w:rPr>
      </w:pPr>
      <w:r>
        <w:rPr>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pPr>
        <w:adjustRightInd w:val="0"/>
        <w:snapToGrid w:val="0"/>
        <w:spacing w:line="360" w:lineRule="auto"/>
        <w:ind w:firstLine="480" w:firstLineChars="200"/>
        <w:rPr>
          <w:bCs/>
          <w:sz w:val="24"/>
        </w:rPr>
      </w:pPr>
      <w:r>
        <w:rPr>
          <w:rFonts w:hint="eastAsia"/>
          <w:bCs/>
          <w:sz w:val="24"/>
        </w:rPr>
        <w:t>2</w:t>
      </w:r>
      <w:r>
        <w:rPr>
          <w:bCs/>
          <w:sz w:val="24"/>
        </w:rPr>
        <w:t>1</w:t>
      </w:r>
      <w:r>
        <w:rPr>
          <w:rFonts w:hint="eastAsia"/>
          <w:bCs/>
          <w:sz w:val="24"/>
        </w:rPr>
        <w:t>、投资人、投资者：指个人投资者、机构投资者、合格境外投资者以及法律法规或中国证监会允许购买证券投资基金的其他投资人的合称</w:t>
      </w:r>
    </w:p>
    <w:p>
      <w:pPr>
        <w:adjustRightInd w:val="0"/>
        <w:snapToGrid w:val="0"/>
        <w:spacing w:line="360" w:lineRule="auto"/>
        <w:ind w:firstLine="480" w:firstLineChars="200"/>
        <w:rPr>
          <w:bCs/>
          <w:sz w:val="24"/>
        </w:rPr>
      </w:pPr>
      <w:r>
        <w:rPr>
          <w:bCs/>
          <w:sz w:val="24"/>
        </w:rPr>
        <w:t>22</w:t>
      </w:r>
      <w:r>
        <w:rPr>
          <w:rFonts w:hint="eastAsia"/>
          <w:bCs/>
          <w:sz w:val="24"/>
        </w:rPr>
        <w:t>、基金份额持有人：指依基金合同和招募说明书合法取得基金份额的投资人</w:t>
      </w:r>
    </w:p>
    <w:p>
      <w:pPr>
        <w:adjustRightInd w:val="0"/>
        <w:snapToGrid w:val="0"/>
        <w:spacing w:line="360" w:lineRule="auto"/>
        <w:ind w:firstLine="480" w:firstLineChars="200"/>
        <w:rPr>
          <w:bCs/>
          <w:sz w:val="24"/>
        </w:rPr>
      </w:pPr>
      <w:r>
        <w:rPr>
          <w:bCs/>
          <w:sz w:val="24"/>
        </w:rPr>
        <w:t>23</w:t>
      </w:r>
      <w:r>
        <w:rPr>
          <w:rFonts w:hint="eastAsia"/>
          <w:bCs/>
          <w:sz w:val="24"/>
        </w:rPr>
        <w:t>、基金销售业务：指基金管理人或销售机构宣传推介基金，发售基金份额，办理基金份额的申购、赎回、转换、转托管及定期定额投资等业务</w:t>
      </w:r>
    </w:p>
    <w:p>
      <w:pPr>
        <w:adjustRightInd w:val="0"/>
        <w:snapToGrid w:val="0"/>
        <w:spacing w:line="360" w:lineRule="auto"/>
        <w:ind w:firstLine="480" w:firstLineChars="200"/>
        <w:rPr>
          <w:bCs/>
          <w:sz w:val="24"/>
        </w:rPr>
      </w:pPr>
      <w:r>
        <w:rPr>
          <w:bCs/>
          <w:sz w:val="24"/>
        </w:rPr>
        <w:t>24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pPr>
        <w:adjustRightInd w:val="0"/>
        <w:snapToGrid w:val="0"/>
        <w:spacing w:line="360" w:lineRule="auto"/>
        <w:ind w:firstLine="480" w:firstLineChars="200"/>
        <w:rPr>
          <w:bCs/>
          <w:sz w:val="24"/>
        </w:rPr>
      </w:pPr>
      <w:r>
        <w:rPr>
          <w:bCs/>
          <w:sz w:val="24"/>
        </w:rPr>
        <w:t>25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adjustRightInd w:val="0"/>
        <w:snapToGrid w:val="0"/>
        <w:spacing w:line="360" w:lineRule="auto"/>
        <w:ind w:firstLine="480" w:firstLineChars="200"/>
        <w:rPr>
          <w:bCs/>
          <w:sz w:val="24"/>
        </w:rPr>
      </w:pPr>
      <w:r>
        <w:rPr>
          <w:bCs/>
          <w:sz w:val="24"/>
        </w:rPr>
        <w:t>26</w:t>
      </w:r>
      <w:r>
        <w:rPr>
          <w:rFonts w:hint="eastAsia"/>
          <w:bCs/>
          <w:sz w:val="24"/>
        </w:rPr>
        <w:t>、登记机构：指办理登记业务的机构。基金的登记机构为交银施罗德基金管理有限公司或接受交银施罗德基金管理有限公司委托代为办理登记业务的机构</w:t>
      </w:r>
    </w:p>
    <w:p>
      <w:pPr>
        <w:adjustRightInd w:val="0"/>
        <w:snapToGrid w:val="0"/>
        <w:spacing w:line="360" w:lineRule="auto"/>
        <w:ind w:firstLine="480" w:firstLineChars="200"/>
        <w:rPr>
          <w:bCs/>
          <w:sz w:val="24"/>
        </w:rPr>
      </w:pPr>
      <w:r>
        <w:rPr>
          <w:bCs/>
          <w:sz w:val="24"/>
        </w:rPr>
        <w:t>27</w:t>
      </w:r>
      <w:r>
        <w:rPr>
          <w:rFonts w:hint="eastAsia"/>
          <w:bCs/>
          <w:sz w:val="24"/>
        </w:rPr>
        <w:t>、基金账户：指登记机构为投资人开立的、记录其持有的、基金管理人所管理的基金份额余额及其变动情况的账户</w:t>
      </w:r>
    </w:p>
    <w:p>
      <w:pPr>
        <w:adjustRightInd w:val="0"/>
        <w:snapToGrid w:val="0"/>
        <w:spacing w:line="360" w:lineRule="auto"/>
        <w:ind w:firstLine="480" w:firstLineChars="200"/>
        <w:rPr>
          <w:bCs/>
          <w:sz w:val="24"/>
        </w:rPr>
      </w:pPr>
      <w:r>
        <w:rPr>
          <w:bCs/>
          <w:sz w:val="24"/>
        </w:rPr>
        <w:t>28</w:t>
      </w:r>
      <w:r>
        <w:rPr>
          <w:rFonts w:hint="eastAsia"/>
          <w:bCs/>
          <w:sz w:val="24"/>
        </w:rPr>
        <w:t>、基金交易账户：指销售机构为投资人开立的、记录投资人通过该销售机构办理认购、申购、赎回、转换及转托管等业务而引起的基金份额变动及结余情况的账户</w:t>
      </w:r>
    </w:p>
    <w:p>
      <w:pPr>
        <w:adjustRightInd w:val="0"/>
        <w:snapToGrid w:val="0"/>
        <w:spacing w:line="360" w:lineRule="auto"/>
        <w:ind w:firstLine="480" w:firstLineChars="200"/>
        <w:rPr>
          <w:bCs/>
          <w:sz w:val="24"/>
        </w:rPr>
      </w:pPr>
      <w:r>
        <w:rPr>
          <w:bCs/>
          <w:sz w:val="24"/>
        </w:rPr>
        <w:t>29</w:t>
      </w:r>
      <w:r>
        <w:rPr>
          <w:rFonts w:hint="eastAsia"/>
          <w:bCs/>
          <w:sz w:val="24"/>
        </w:rPr>
        <w:t>、基金合同生效日：指基金募集达到法律法规规定及基金合同规定的条件，基金管理人向中国证监会办理基金备案手续完毕，并获得中国证监会书面确认的日期</w:t>
      </w:r>
    </w:p>
    <w:p>
      <w:pPr>
        <w:adjustRightInd w:val="0"/>
        <w:snapToGrid w:val="0"/>
        <w:spacing w:line="360" w:lineRule="auto"/>
        <w:ind w:firstLine="480" w:firstLineChars="200"/>
        <w:rPr>
          <w:bCs/>
          <w:sz w:val="24"/>
        </w:rPr>
      </w:pPr>
      <w:r>
        <w:rPr>
          <w:bCs/>
          <w:sz w:val="24"/>
        </w:rPr>
        <w:t>30</w:t>
      </w:r>
      <w:r>
        <w:rPr>
          <w:rFonts w:hint="eastAsia"/>
          <w:bCs/>
          <w:sz w:val="24"/>
        </w:rPr>
        <w:t>、基金合同终止日：指基金合同规定的基金合同终止事由出现后，基金财产清算完毕，清算结果报中国证监会备案并予以公告的日期</w:t>
      </w:r>
    </w:p>
    <w:p>
      <w:pPr>
        <w:adjustRightInd w:val="0"/>
        <w:snapToGrid w:val="0"/>
        <w:spacing w:line="360" w:lineRule="auto"/>
        <w:ind w:firstLine="480" w:firstLineChars="200"/>
        <w:rPr>
          <w:bCs/>
          <w:sz w:val="24"/>
        </w:rPr>
      </w:pPr>
      <w:r>
        <w:rPr>
          <w:bCs/>
          <w:sz w:val="24"/>
        </w:rPr>
        <w:t>31</w:t>
      </w:r>
      <w:r>
        <w:rPr>
          <w:rFonts w:hint="eastAsia"/>
          <w:bCs/>
          <w:sz w:val="24"/>
        </w:rPr>
        <w:t>、基金募集期：指自基金份额发售之日起至发售结束之日止的期间，最长不得超过3个月</w:t>
      </w:r>
    </w:p>
    <w:p>
      <w:pPr>
        <w:adjustRightInd w:val="0"/>
        <w:snapToGrid w:val="0"/>
        <w:spacing w:line="360" w:lineRule="auto"/>
        <w:ind w:firstLine="480" w:firstLineChars="200"/>
        <w:rPr>
          <w:bCs/>
          <w:sz w:val="24"/>
        </w:rPr>
      </w:pPr>
      <w:r>
        <w:rPr>
          <w:bCs/>
          <w:sz w:val="24"/>
        </w:rPr>
        <w:t>32</w:t>
      </w:r>
      <w:r>
        <w:rPr>
          <w:rFonts w:hint="eastAsia"/>
          <w:bCs/>
          <w:sz w:val="24"/>
        </w:rPr>
        <w:t>、存续期：指基金合同生效至终止之间的不定期期限</w:t>
      </w:r>
    </w:p>
    <w:p>
      <w:pPr>
        <w:adjustRightInd w:val="0"/>
        <w:snapToGrid w:val="0"/>
        <w:spacing w:line="360" w:lineRule="auto"/>
        <w:ind w:firstLine="480" w:firstLineChars="200"/>
        <w:rPr>
          <w:bCs/>
          <w:sz w:val="24"/>
        </w:rPr>
      </w:pPr>
      <w:r>
        <w:rPr>
          <w:bCs/>
          <w:sz w:val="24"/>
        </w:rPr>
        <w:t>33</w:t>
      </w:r>
      <w:r>
        <w:rPr>
          <w:rFonts w:hint="eastAsia"/>
          <w:bCs/>
          <w:sz w:val="24"/>
        </w:rPr>
        <w:t>、工作日：指上海证券交易所、深圳证券交易所的正常交易日</w:t>
      </w:r>
    </w:p>
    <w:p>
      <w:pPr>
        <w:adjustRightInd w:val="0"/>
        <w:snapToGrid w:val="0"/>
        <w:spacing w:line="360" w:lineRule="auto"/>
        <w:ind w:firstLine="480" w:firstLineChars="200"/>
        <w:rPr>
          <w:bCs/>
          <w:sz w:val="24"/>
        </w:rPr>
      </w:pPr>
      <w:r>
        <w:rPr>
          <w:bCs/>
          <w:sz w:val="24"/>
        </w:rPr>
        <w:t>34</w:t>
      </w:r>
      <w:r>
        <w:rPr>
          <w:rFonts w:hint="eastAsia"/>
          <w:bCs/>
          <w:sz w:val="24"/>
        </w:rPr>
        <w:t>、T日：指销售机构在规定时间受理投资人申购、赎回或其他业务申请的开放日</w:t>
      </w:r>
    </w:p>
    <w:p>
      <w:pPr>
        <w:adjustRightInd w:val="0"/>
        <w:snapToGrid w:val="0"/>
        <w:spacing w:line="360" w:lineRule="auto"/>
        <w:ind w:firstLine="480" w:firstLineChars="200"/>
        <w:rPr>
          <w:bCs/>
          <w:sz w:val="24"/>
        </w:rPr>
      </w:pPr>
      <w:r>
        <w:rPr>
          <w:bCs/>
          <w:sz w:val="24"/>
        </w:rPr>
        <w:t>35</w:t>
      </w:r>
      <w:r>
        <w:rPr>
          <w:rFonts w:hint="eastAsia"/>
          <w:bCs/>
          <w:sz w:val="24"/>
        </w:rPr>
        <w:t>、T+n日：指自T日起第n个工作日（不包含T日）</w:t>
      </w:r>
    </w:p>
    <w:p>
      <w:pPr>
        <w:adjustRightInd w:val="0"/>
        <w:snapToGrid w:val="0"/>
        <w:spacing w:line="360" w:lineRule="auto"/>
        <w:ind w:firstLine="480" w:firstLineChars="200"/>
        <w:rPr>
          <w:bCs/>
          <w:sz w:val="24"/>
        </w:rPr>
      </w:pPr>
      <w:r>
        <w:rPr>
          <w:bCs/>
          <w:sz w:val="24"/>
        </w:rPr>
        <w:t>36</w:t>
      </w:r>
      <w:r>
        <w:rPr>
          <w:rFonts w:hint="eastAsia"/>
          <w:bCs/>
          <w:sz w:val="24"/>
        </w:rPr>
        <w:t>、开放日：指为投资人办理基金份额申购、赎回或其他业务的工作日（若该工作日为非港股通交易日，则本基金可不开放）</w:t>
      </w:r>
    </w:p>
    <w:p>
      <w:pPr>
        <w:adjustRightInd w:val="0"/>
        <w:snapToGrid w:val="0"/>
        <w:spacing w:line="360" w:lineRule="auto"/>
        <w:ind w:firstLine="480" w:firstLineChars="200"/>
        <w:rPr>
          <w:bCs/>
          <w:sz w:val="24"/>
        </w:rPr>
      </w:pPr>
      <w:r>
        <w:rPr>
          <w:bCs/>
          <w:sz w:val="24"/>
        </w:rPr>
        <w:t>37</w:t>
      </w:r>
      <w:r>
        <w:rPr>
          <w:rFonts w:hint="eastAsia"/>
          <w:bCs/>
          <w:sz w:val="24"/>
        </w:rPr>
        <w:t>、开放时间：指开放日基金接受申购、赎回或其他交易的时间段</w:t>
      </w:r>
    </w:p>
    <w:p>
      <w:pPr>
        <w:adjustRightInd w:val="0"/>
        <w:snapToGrid w:val="0"/>
        <w:spacing w:line="360" w:lineRule="auto"/>
        <w:ind w:firstLine="480" w:firstLineChars="200"/>
        <w:rPr>
          <w:bCs/>
          <w:sz w:val="24"/>
        </w:rPr>
      </w:pPr>
      <w:r>
        <w:rPr>
          <w:bCs/>
          <w:sz w:val="24"/>
        </w:rPr>
        <w:t>38</w:t>
      </w:r>
      <w:r>
        <w:rPr>
          <w:rFonts w:hint="eastAsia"/>
          <w:bCs/>
          <w:sz w:val="24"/>
        </w:rPr>
        <w:t>、《业务规则》：指《交银施罗德基金管理有限公司开放式基金业务规则》，是规范基金管理人所管理的开放式证券投资基金登记方面的业务规则，由基金管理人和投资人共同遵守</w:t>
      </w:r>
    </w:p>
    <w:p>
      <w:pPr>
        <w:adjustRightInd w:val="0"/>
        <w:snapToGrid w:val="0"/>
        <w:spacing w:line="360" w:lineRule="auto"/>
        <w:ind w:firstLine="480" w:firstLineChars="200"/>
        <w:rPr>
          <w:bCs/>
          <w:sz w:val="24"/>
        </w:rPr>
      </w:pPr>
      <w:r>
        <w:rPr>
          <w:bCs/>
          <w:sz w:val="24"/>
        </w:rPr>
        <w:t>39</w:t>
      </w:r>
      <w:r>
        <w:rPr>
          <w:rFonts w:hint="eastAsia"/>
          <w:bCs/>
          <w:sz w:val="24"/>
        </w:rPr>
        <w:t>、认购：指在基金募集期内，投资人根据基金合同和招募说明书的规定申请购买基金份额的行为</w:t>
      </w:r>
    </w:p>
    <w:p>
      <w:pPr>
        <w:adjustRightInd w:val="0"/>
        <w:snapToGrid w:val="0"/>
        <w:spacing w:line="360" w:lineRule="auto"/>
        <w:ind w:firstLine="480" w:firstLineChars="200"/>
        <w:rPr>
          <w:bCs/>
          <w:sz w:val="24"/>
        </w:rPr>
      </w:pPr>
      <w:r>
        <w:rPr>
          <w:bCs/>
          <w:sz w:val="24"/>
        </w:rPr>
        <w:t>40</w:t>
      </w:r>
      <w:r>
        <w:rPr>
          <w:rFonts w:hint="eastAsia"/>
          <w:bCs/>
          <w:sz w:val="24"/>
        </w:rPr>
        <w:t>、申购：指基金合同生效后，投资人根据基金合同和招募说明书的规定申请购买基金份额的行为</w:t>
      </w:r>
    </w:p>
    <w:p>
      <w:pPr>
        <w:adjustRightInd w:val="0"/>
        <w:snapToGrid w:val="0"/>
        <w:spacing w:line="360" w:lineRule="auto"/>
        <w:ind w:firstLine="480" w:firstLineChars="200"/>
        <w:rPr>
          <w:bCs/>
          <w:sz w:val="24"/>
        </w:rPr>
      </w:pPr>
      <w:r>
        <w:rPr>
          <w:bCs/>
          <w:sz w:val="24"/>
        </w:rPr>
        <w:t>41</w:t>
      </w:r>
      <w:r>
        <w:rPr>
          <w:rFonts w:hint="eastAsia"/>
          <w:bCs/>
          <w:sz w:val="24"/>
        </w:rPr>
        <w:t>、赎回：指基金合同生效后，基金份额持有人按基金合同和招募说明书规定的条件要求将基金份额兑换为现金的行为</w:t>
      </w:r>
    </w:p>
    <w:p>
      <w:pPr>
        <w:adjustRightInd w:val="0"/>
        <w:snapToGrid w:val="0"/>
        <w:spacing w:line="360" w:lineRule="auto"/>
        <w:ind w:firstLine="480" w:firstLineChars="200"/>
        <w:rPr>
          <w:bCs/>
          <w:sz w:val="24"/>
        </w:rPr>
      </w:pPr>
      <w:r>
        <w:rPr>
          <w:bCs/>
          <w:sz w:val="24"/>
        </w:rPr>
        <w:t>42</w:t>
      </w:r>
      <w:r>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pPr>
        <w:adjustRightInd w:val="0"/>
        <w:snapToGrid w:val="0"/>
        <w:spacing w:line="360" w:lineRule="auto"/>
        <w:ind w:firstLine="480" w:firstLineChars="200"/>
        <w:rPr>
          <w:bCs/>
          <w:sz w:val="24"/>
        </w:rPr>
      </w:pPr>
      <w:r>
        <w:rPr>
          <w:bCs/>
          <w:sz w:val="24"/>
        </w:rPr>
        <w:t>43</w:t>
      </w:r>
      <w:r>
        <w:rPr>
          <w:rFonts w:hint="eastAsia"/>
          <w:bCs/>
          <w:sz w:val="24"/>
        </w:rPr>
        <w:t>、转托管：指基金份额持有人在本基金的不同销售机构之间实施的变更所持基金份额销售机构的操作</w:t>
      </w:r>
    </w:p>
    <w:p>
      <w:pPr>
        <w:adjustRightInd w:val="0"/>
        <w:snapToGrid w:val="0"/>
        <w:spacing w:line="360" w:lineRule="auto"/>
        <w:ind w:firstLine="480" w:firstLineChars="200"/>
        <w:rPr>
          <w:bCs/>
          <w:sz w:val="24"/>
        </w:rPr>
      </w:pPr>
      <w:r>
        <w:rPr>
          <w:bCs/>
          <w:sz w:val="24"/>
        </w:rPr>
        <w:t>44</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pPr>
        <w:adjustRightInd w:val="0"/>
        <w:snapToGrid w:val="0"/>
        <w:spacing w:line="360" w:lineRule="auto"/>
        <w:ind w:firstLine="480" w:firstLineChars="200"/>
        <w:rPr>
          <w:bCs/>
          <w:sz w:val="24"/>
        </w:rPr>
      </w:pPr>
      <w:r>
        <w:rPr>
          <w:bCs/>
          <w:sz w:val="24"/>
        </w:rPr>
        <w:t>45</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10%的情形</w:t>
      </w:r>
    </w:p>
    <w:p>
      <w:pPr>
        <w:adjustRightInd w:val="0"/>
        <w:snapToGrid w:val="0"/>
        <w:spacing w:line="360" w:lineRule="auto"/>
        <w:ind w:firstLine="480" w:firstLineChars="200"/>
        <w:rPr>
          <w:bCs/>
          <w:sz w:val="24"/>
        </w:rPr>
      </w:pPr>
      <w:r>
        <w:rPr>
          <w:bCs/>
          <w:sz w:val="24"/>
        </w:rPr>
        <w:t>46</w:t>
      </w:r>
      <w:r>
        <w:rPr>
          <w:rFonts w:hint="eastAsia"/>
          <w:bCs/>
          <w:sz w:val="24"/>
        </w:rPr>
        <w:t>、元：指人民币元</w:t>
      </w:r>
    </w:p>
    <w:p>
      <w:pPr>
        <w:adjustRightInd w:val="0"/>
        <w:snapToGrid w:val="0"/>
        <w:spacing w:line="360" w:lineRule="auto"/>
        <w:ind w:firstLine="480" w:firstLineChars="200"/>
        <w:rPr>
          <w:bCs/>
          <w:sz w:val="24"/>
        </w:rPr>
      </w:pPr>
      <w:r>
        <w:rPr>
          <w:bCs/>
          <w:sz w:val="24"/>
        </w:rPr>
        <w:t>47</w:t>
      </w:r>
      <w:r>
        <w:rPr>
          <w:rFonts w:hint="eastAsia"/>
          <w:bCs/>
          <w:sz w:val="24"/>
        </w:rPr>
        <w:t>、基金收益：指基金投资所得红利、股息、债券利息、买卖证券价差、银行存款利息、已实现的其他合法收入及因运用基金财产带来的成本和费用的节约</w:t>
      </w:r>
    </w:p>
    <w:p>
      <w:pPr>
        <w:adjustRightInd w:val="0"/>
        <w:snapToGrid w:val="0"/>
        <w:spacing w:line="360" w:lineRule="auto"/>
        <w:ind w:firstLine="480" w:firstLineChars="200"/>
        <w:rPr>
          <w:bCs/>
          <w:sz w:val="24"/>
        </w:rPr>
      </w:pPr>
      <w:r>
        <w:rPr>
          <w:bCs/>
          <w:sz w:val="24"/>
        </w:rPr>
        <w:t>48</w:t>
      </w:r>
      <w:r>
        <w:rPr>
          <w:rFonts w:hint="eastAsia"/>
          <w:bCs/>
          <w:sz w:val="24"/>
        </w:rPr>
        <w:t>、基金资产总值：指基金拥有的各类有价证券、股指期货合约、银行存款本息、基金应收款项及其他资产的价值总和</w:t>
      </w:r>
    </w:p>
    <w:p>
      <w:pPr>
        <w:adjustRightInd w:val="0"/>
        <w:snapToGrid w:val="0"/>
        <w:spacing w:line="360" w:lineRule="auto"/>
        <w:ind w:firstLine="480" w:firstLineChars="200"/>
        <w:rPr>
          <w:bCs/>
          <w:sz w:val="24"/>
        </w:rPr>
      </w:pPr>
      <w:r>
        <w:rPr>
          <w:bCs/>
          <w:sz w:val="24"/>
        </w:rPr>
        <w:t>49</w:t>
      </w:r>
      <w:r>
        <w:rPr>
          <w:rFonts w:hint="eastAsia"/>
          <w:bCs/>
          <w:sz w:val="24"/>
        </w:rPr>
        <w:t>、基金资产净值：指基金资产总值减去基金负债后的价值</w:t>
      </w:r>
    </w:p>
    <w:p>
      <w:pPr>
        <w:adjustRightInd w:val="0"/>
        <w:snapToGrid w:val="0"/>
        <w:spacing w:line="360" w:lineRule="auto"/>
        <w:ind w:firstLine="480" w:firstLineChars="200"/>
        <w:rPr>
          <w:bCs/>
          <w:sz w:val="24"/>
        </w:rPr>
      </w:pPr>
      <w:r>
        <w:rPr>
          <w:bCs/>
          <w:sz w:val="24"/>
        </w:rPr>
        <w:t>50</w:t>
      </w:r>
      <w:r>
        <w:rPr>
          <w:rFonts w:hint="eastAsia"/>
          <w:bCs/>
          <w:sz w:val="24"/>
        </w:rPr>
        <w:t>、基金份额净值：指计算日基金资产净值除以计算日基金份额总数</w:t>
      </w:r>
    </w:p>
    <w:p>
      <w:pPr>
        <w:adjustRightInd w:val="0"/>
        <w:snapToGrid w:val="0"/>
        <w:spacing w:line="360" w:lineRule="auto"/>
        <w:ind w:firstLine="480" w:firstLineChars="200"/>
        <w:rPr>
          <w:bCs/>
          <w:sz w:val="24"/>
        </w:rPr>
      </w:pPr>
      <w:r>
        <w:rPr>
          <w:bCs/>
          <w:sz w:val="24"/>
        </w:rPr>
        <w:t>51</w:t>
      </w:r>
      <w:r>
        <w:rPr>
          <w:rFonts w:hint="eastAsia"/>
          <w:bCs/>
          <w:sz w:val="24"/>
        </w:rPr>
        <w:t>、基金资产估值：指计算评估基金资产和负债的价值，以确定基金资产净值和基金份额净值的过程</w:t>
      </w:r>
    </w:p>
    <w:p>
      <w:pPr>
        <w:adjustRightInd w:val="0"/>
        <w:snapToGrid w:val="0"/>
        <w:spacing w:line="360" w:lineRule="auto"/>
        <w:ind w:firstLine="480" w:firstLineChars="200"/>
        <w:rPr>
          <w:bCs/>
          <w:sz w:val="24"/>
        </w:rPr>
      </w:pPr>
      <w:r>
        <w:rPr>
          <w:bCs/>
          <w:sz w:val="24"/>
        </w:rPr>
        <w:t>52</w:t>
      </w:r>
      <w:r>
        <w:rPr>
          <w:rFonts w:hint="eastAsia"/>
          <w:bCs/>
          <w:sz w:val="24"/>
        </w:rPr>
        <w:t>、港股通标的股票：指内地投资者委托内地证券公司，经由内地证券交易所在香港设立的证券交易服务公司，向香港联合交易所进行申报，买卖规定范围内的香港联合交易所上市的股票</w:t>
      </w:r>
    </w:p>
    <w:p>
      <w:pPr>
        <w:adjustRightInd w:val="0"/>
        <w:snapToGrid w:val="0"/>
        <w:spacing w:line="360" w:lineRule="auto"/>
        <w:ind w:firstLine="480" w:firstLineChars="200"/>
        <w:rPr>
          <w:bCs/>
          <w:sz w:val="24"/>
        </w:rPr>
      </w:pPr>
      <w:r>
        <w:rPr>
          <w:bCs/>
          <w:sz w:val="24"/>
        </w:rPr>
        <w:t>5</w:t>
      </w:r>
      <w:r>
        <w:rPr>
          <w:rFonts w:hint="eastAsia"/>
          <w:bCs/>
          <w:sz w:val="24"/>
        </w:rPr>
        <w:t>3、规定媒介：指符合中国证监会规定条件的用以进行信息披露的全国性报刊及《信息披露办法》规定的互联网网站（包括基金管理人网站、基金托管人网站、中国证监会基金电子披露网站）等媒介</w:t>
      </w:r>
    </w:p>
    <w:p>
      <w:pPr>
        <w:adjustRightInd w:val="0"/>
        <w:snapToGrid w:val="0"/>
        <w:spacing w:line="360" w:lineRule="auto"/>
        <w:ind w:firstLine="480" w:firstLineChars="200"/>
        <w:rPr>
          <w:bCs/>
          <w:sz w:val="24"/>
        </w:rPr>
      </w:pPr>
      <w:r>
        <w:rPr>
          <w:bCs/>
          <w:sz w:val="24"/>
        </w:rPr>
        <w:t>5</w:t>
      </w:r>
      <w:r>
        <w:rPr>
          <w:rFonts w:hint="eastAsia"/>
          <w:bCs/>
          <w:sz w:val="24"/>
        </w:rPr>
        <w:t>4、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djustRightInd w:val="0"/>
        <w:snapToGrid w:val="0"/>
        <w:spacing w:line="360" w:lineRule="auto"/>
        <w:ind w:firstLine="480" w:firstLineChars="200"/>
        <w:rPr>
          <w:bCs/>
          <w:sz w:val="24"/>
        </w:rPr>
      </w:pPr>
      <w:r>
        <w:rPr>
          <w:bCs/>
          <w:sz w:val="24"/>
        </w:rPr>
        <w:t>5</w:t>
      </w:r>
      <w:r>
        <w:rPr>
          <w:rFonts w:hint="eastAsia"/>
          <w:bCs/>
          <w:sz w:val="24"/>
        </w:rPr>
        <w:t>5、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adjustRightInd w:val="0"/>
        <w:snapToGrid w:val="0"/>
        <w:spacing w:line="360" w:lineRule="auto"/>
        <w:ind w:firstLine="480" w:firstLineChars="200"/>
        <w:rPr>
          <w:bCs/>
          <w:sz w:val="24"/>
        </w:rPr>
      </w:pPr>
      <w:r>
        <w:rPr>
          <w:bCs/>
          <w:sz w:val="24"/>
        </w:rPr>
        <w:t>5</w:t>
      </w:r>
      <w:r>
        <w:rPr>
          <w:rFonts w:hint="eastAsia"/>
          <w:bCs/>
          <w:sz w:val="24"/>
        </w:rPr>
        <w:t>6、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adjustRightInd w:val="0"/>
        <w:snapToGrid w:val="0"/>
        <w:spacing w:line="360" w:lineRule="auto"/>
        <w:ind w:firstLine="480" w:firstLineChars="200"/>
        <w:rPr>
          <w:bCs/>
          <w:sz w:val="24"/>
        </w:rPr>
      </w:pPr>
      <w:r>
        <w:rPr>
          <w:rFonts w:hint="eastAsia"/>
          <w:bCs/>
          <w:sz w:val="24"/>
        </w:rPr>
        <w:t>57、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adjustRightInd w:val="0"/>
        <w:snapToGrid w:val="0"/>
        <w:spacing w:line="360" w:lineRule="auto"/>
        <w:ind w:firstLine="480" w:firstLineChars="200"/>
        <w:rPr>
          <w:rFonts w:ascii="宋体" w:hAnsi="宋体"/>
          <w:sz w:val="24"/>
        </w:rPr>
      </w:pPr>
      <w:r>
        <w:rPr>
          <w:rFonts w:hint="eastAsia"/>
          <w:bCs/>
          <w:sz w:val="24"/>
        </w:rPr>
        <w:t>58、不可抗力：指基金合同当事人不能预见、不能避免且不能克服的客观事件</w:t>
      </w:r>
      <w:bookmarkEnd w:id="4"/>
    </w:p>
    <w:p>
      <w:pPr>
        <w:spacing w:line="360" w:lineRule="auto"/>
        <w:jc w:val="center"/>
        <w:outlineLvl w:val="0"/>
        <w:rPr>
          <w:rFonts w:ascii="宋体" w:hAnsi="宋体"/>
          <w:b/>
          <w:kern w:val="0"/>
          <w:sz w:val="30"/>
        </w:rPr>
      </w:pPr>
      <w:bookmarkStart w:id="5" w:name="_Hlt80961854"/>
      <w:bookmarkEnd w:id="5"/>
      <w:bookmarkStart w:id="6" w:name="_Hlt81034163"/>
      <w:bookmarkEnd w:id="6"/>
      <w:bookmarkStart w:id="7" w:name="_Toc109537381"/>
      <w:r>
        <w:rPr>
          <w:rFonts w:ascii="宋体" w:hAnsi="宋体"/>
          <w:b/>
          <w:kern w:val="0"/>
          <w:sz w:val="30"/>
        </w:rPr>
        <w:br w:type="page"/>
      </w:r>
      <w:bookmarkStart w:id="8" w:name="_Toc48122004"/>
      <w:bookmarkStart w:id="9" w:name="_Hlk126159981"/>
      <w:r>
        <w:rPr>
          <w:rFonts w:hint="eastAsia" w:ascii="宋体" w:hAnsi="宋体"/>
          <w:b/>
          <w:kern w:val="0"/>
          <w:sz w:val="30"/>
        </w:rPr>
        <w:t>三、基金管理人</w:t>
      </w:r>
      <w:bookmarkEnd w:id="7"/>
      <w:bookmarkEnd w:id="8"/>
    </w:p>
    <w:p>
      <w:pPr>
        <w:widowControl/>
        <w:adjustRightInd w:val="0"/>
        <w:snapToGrid w:val="0"/>
        <w:spacing w:line="360" w:lineRule="auto"/>
        <w:ind w:firstLine="482" w:firstLineChars="200"/>
        <w:outlineLvl w:val="1"/>
        <w:rPr>
          <w:rFonts w:hAnsi="宋体"/>
          <w:b/>
          <w:kern w:val="0"/>
          <w:sz w:val="24"/>
        </w:rPr>
      </w:pPr>
      <w:r>
        <w:rPr>
          <w:rFonts w:hAnsi="宋体"/>
          <w:b/>
          <w:kern w:val="0"/>
          <w:sz w:val="24"/>
        </w:rPr>
        <w:t>（一）基金管理人概况</w:t>
      </w:r>
    </w:p>
    <w:p>
      <w:pPr>
        <w:widowControl/>
        <w:adjustRightInd w:val="0"/>
        <w:snapToGrid w:val="0"/>
        <w:spacing w:line="360" w:lineRule="auto"/>
        <w:ind w:firstLine="480" w:firstLineChars="200"/>
        <w:rPr>
          <w:kern w:val="0"/>
          <w:sz w:val="24"/>
        </w:rPr>
      </w:pPr>
      <w:r>
        <w:rPr>
          <w:rFonts w:hAnsi="宋体"/>
          <w:kern w:val="0"/>
          <w:sz w:val="24"/>
        </w:rPr>
        <w:t>名称：交银施罗德基金管理有限公司</w:t>
      </w:r>
    </w:p>
    <w:p>
      <w:pPr>
        <w:widowControl/>
        <w:adjustRightInd w:val="0"/>
        <w:snapToGrid w:val="0"/>
        <w:spacing w:line="360" w:lineRule="auto"/>
        <w:ind w:firstLine="480" w:firstLineChars="200"/>
        <w:rPr>
          <w:kern w:val="0"/>
          <w:sz w:val="24"/>
        </w:rPr>
      </w:pPr>
      <w:r>
        <w:rPr>
          <w:rFonts w:hAnsi="宋体"/>
          <w:kern w:val="0"/>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pPr>
        <w:widowControl/>
        <w:adjustRightInd w:val="0"/>
        <w:snapToGrid w:val="0"/>
        <w:spacing w:line="360" w:lineRule="auto"/>
        <w:ind w:firstLine="480" w:firstLineChars="200"/>
        <w:rPr>
          <w:kern w:val="0"/>
          <w:sz w:val="24"/>
        </w:rPr>
      </w:pPr>
      <w:r>
        <w:rPr>
          <w:rFonts w:hAnsi="宋体"/>
          <w:kern w:val="0"/>
          <w:sz w:val="24"/>
        </w:rPr>
        <w:t>办公地址：</w:t>
      </w:r>
      <w:r>
        <w:rPr>
          <w:rFonts w:hint="eastAsia" w:ascii="宋体" w:hAnsi="宋体" w:cs="宋体"/>
          <w:kern w:val="0"/>
          <w:sz w:val="24"/>
        </w:rPr>
        <w:t>上海市浦东</w:t>
      </w:r>
      <w:r>
        <w:rPr>
          <w:rFonts w:ascii="宋体" w:hAnsi="宋体" w:cs="宋体"/>
          <w:kern w:val="0"/>
          <w:sz w:val="24"/>
        </w:rPr>
        <w:t>新区</w:t>
      </w:r>
      <w:r>
        <w:rPr>
          <w:rFonts w:hint="eastAsia" w:ascii="宋体" w:hAnsi="宋体" w:cs="宋体"/>
          <w:kern w:val="0"/>
          <w:sz w:val="24"/>
        </w:rPr>
        <w:t>世纪大道8号国金中心二期21-22楼</w:t>
      </w:r>
    </w:p>
    <w:p>
      <w:pPr>
        <w:widowControl/>
        <w:adjustRightInd w:val="0"/>
        <w:snapToGrid w:val="0"/>
        <w:spacing w:line="360" w:lineRule="auto"/>
        <w:ind w:firstLine="480" w:firstLineChars="200"/>
        <w:rPr>
          <w:kern w:val="0"/>
          <w:sz w:val="24"/>
        </w:rPr>
      </w:pPr>
      <w:r>
        <w:rPr>
          <w:rFonts w:hAnsi="宋体"/>
          <w:sz w:val="24"/>
        </w:rPr>
        <w:t>邮政编码：</w:t>
      </w:r>
      <w:r>
        <w:rPr>
          <w:sz w:val="24"/>
        </w:rPr>
        <w:t>200120</w:t>
      </w:r>
    </w:p>
    <w:p>
      <w:pPr>
        <w:widowControl/>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张宏良</w:t>
      </w:r>
    </w:p>
    <w:p>
      <w:pPr>
        <w:widowControl/>
        <w:adjustRightInd w:val="0"/>
        <w:snapToGrid w:val="0"/>
        <w:spacing w:line="360" w:lineRule="auto"/>
        <w:ind w:firstLine="480" w:firstLineChars="20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pPr>
        <w:widowControl/>
        <w:adjustRightInd w:val="0"/>
        <w:snapToGrid w:val="0"/>
        <w:spacing w:line="360" w:lineRule="auto"/>
        <w:ind w:firstLine="480" w:firstLineChars="200"/>
        <w:rPr>
          <w:kern w:val="0"/>
          <w:sz w:val="24"/>
        </w:rPr>
      </w:pPr>
      <w:r>
        <w:rPr>
          <w:rFonts w:hAnsi="宋体"/>
          <w:kern w:val="0"/>
          <w:sz w:val="24"/>
        </w:rPr>
        <w:t>注册资本：</w:t>
      </w:r>
      <w:r>
        <w:rPr>
          <w:kern w:val="0"/>
          <w:sz w:val="24"/>
        </w:rPr>
        <w:t>2</w:t>
      </w:r>
      <w:r>
        <w:rPr>
          <w:rFonts w:hAnsi="宋体"/>
          <w:kern w:val="0"/>
          <w:sz w:val="24"/>
        </w:rPr>
        <w:t>亿元人民币</w:t>
      </w:r>
    </w:p>
    <w:p>
      <w:pPr>
        <w:widowControl/>
        <w:adjustRightInd w:val="0"/>
        <w:snapToGrid w:val="0"/>
        <w:spacing w:line="360" w:lineRule="auto"/>
        <w:ind w:firstLine="480" w:firstLineChars="200"/>
        <w:rPr>
          <w:kern w:val="0"/>
          <w:sz w:val="24"/>
        </w:rPr>
      </w:pPr>
      <w:r>
        <w:rPr>
          <w:rFonts w:hAnsi="宋体"/>
          <w:kern w:val="0"/>
          <w:sz w:val="24"/>
        </w:rPr>
        <w:t>存续期间：持续经营</w:t>
      </w:r>
    </w:p>
    <w:p>
      <w:pPr>
        <w:widowControl/>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何佳妮</w:t>
      </w:r>
    </w:p>
    <w:p>
      <w:pPr>
        <w:widowControl/>
        <w:adjustRightInd w:val="0"/>
        <w:snapToGrid w:val="0"/>
        <w:spacing w:line="360" w:lineRule="auto"/>
        <w:ind w:firstLine="480" w:firstLineChars="200"/>
        <w:rPr>
          <w:kern w:val="0"/>
          <w:sz w:val="24"/>
        </w:rPr>
      </w:pPr>
      <w:r>
        <w:rPr>
          <w:rFonts w:hAnsi="宋体"/>
          <w:kern w:val="0"/>
          <w:sz w:val="24"/>
        </w:rPr>
        <w:t>电话：</w:t>
      </w:r>
      <w:r>
        <w:rPr>
          <w:rFonts w:hint="eastAsia" w:hAnsi="宋体"/>
          <w:kern w:val="0"/>
          <w:sz w:val="24"/>
        </w:rPr>
        <w:t>（</w:t>
      </w:r>
      <w:r>
        <w:rPr>
          <w:kern w:val="0"/>
          <w:sz w:val="24"/>
        </w:rPr>
        <w:t>021</w:t>
      </w:r>
      <w:r>
        <w:rPr>
          <w:rFonts w:hint="eastAsia"/>
          <w:kern w:val="0"/>
          <w:sz w:val="24"/>
        </w:rPr>
        <w:t>）</w:t>
      </w:r>
      <w:r>
        <w:rPr>
          <w:kern w:val="0"/>
          <w:sz w:val="24"/>
        </w:rPr>
        <w:t>61055050</w:t>
      </w:r>
    </w:p>
    <w:p>
      <w:pPr>
        <w:widowControl/>
        <w:adjustRightInd w:val="0"/>
        <w:snapToGrid w:val="0"/>
        <w:spacing w:line="360" w:lineRule="auto"/>
        <w:ind w:firstLine="480" w:firstLineChars="200"/>
        <w:rPr>
          <w:kern w:val="0"/>
          <w:sz w:val="24"/>
        </w:rPr>
      </w:pPr>
      <w:r>
        <w:rPr>
          <w:rFonts w:hAnsi="宋体"/>
          <w:kern w:val="0"/>
          <w:sz w:val="24"/>
        </w:rPr>
        <w:t>传真：</w:t>
      </w:r>
      <w:r>
        <w:rPr>
          <w:rFonts w:hint="eastAsia" w:hAnsi="宋体"/>
          <w:kern w:val="0"/>
          <w:sz w:val="24"/>
        </w:rPr>
        <w:t>（</w:t>
      </w:r>
      <w:r>
        <w:rPr>
          <w:kern w:val="0"/>
          <w:sz w:val="24"/>
        </w:rPr>
        <w:t>021</w:t>
      </w:r>
      <w:r>
        <w:rPr>
          <w:rFonts w:hint="eastAsia"/>
          <w:kern w:val="0"/>
          <w:sz w:val="24"/>
        </w:rPr>
        <w:t>）</w:t>
      </w:r>
      <w:r>
        <w:rPr>
          <w:kern w:val="0"/>
          <w:sz w:val="24"/>
        </w:rPr>
        <w:t>61055034</w:t>
      </w:r>
    </w:p>
    <w:p>
      <w:pPr>
        <w:widowControl/>
        <w:adjustRightInd w:val="0"/>
        <w:snapToGrid w:val="0"/>
        <w:spacing w:line="360" w:lineRule="auto"/>
        <w:ind w:firstLine="480" w:firstLineChars="20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0" w:type="dxa"/>
          </w:tcPr>
          <w:p>
            <w:pPr>
              <w:widowControl/>
              <w:jc w:val="center"/>
              <w:rPr>
                <w:kern w:val="0"/>
                <w:sz w:val="24"/>
              </w:rPr>
            </w:pPr>
            <w:r>
              <w:rPr>
                <w:rFonts w:hAnsi="宋体"/>
                <w:kern w:val="0"/>
                <w:sz w:val="24"/>
              </w:rPr>
              <w:t>股东名称</w:t>
            </w:r>
          </w:p>
        </w:tc>
        <w:tc>
          <w:tcPr>
            <w:tcW w:w="3060" w:type="dxa"/>
          </w:tcPr>
          <w:p>
            <w:pPr>
              <w:widowControl/>
              <w:jc w:val="center"/>
              <w:rPr>
                <w:kern w:val="0"/>
                <w:sz w:val="24"/>
              </w:rPr>
            </w:pPr>
            <w:r>
              <w:rPr>
                <w:rFonts w:hAnsi="宋体"/>
                <w:kern w:val="0"/>
                <w:sz w:val="24"/>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0" w:type="dxa"/>
          </w:tcPr>
          <w:p>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pPr>
              <w:widowControl/>
              <w:jc w:val="center"/>
              <w:rPr>
                <w:kern w:val="0"/>
                <w:sz w:val="24"/>
              </w:rPr>
            </w:pPr>
            <w:r>
              <w:rPr>
                <w:kern w:val="0"/>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widowControl/>
              <w:rPr>
                <w:kern w:val="0"/>
                <w:sz w:val="24"/>
              </w:rPr>
            </w:pPr>
            <w:r>
              <w:rPr>
                <w:rFonts w:hAnsi="宋体"/>
                <w:kern w:val="0"/>
                <w:sz w:val="24"/>
              </w:rPr>
              <w:t>施罗德投资管理有限公司</w:t>
            </w:r>
          </w:p>
        </w:tc>
        <w:tc>
          <w:tcPr>
            <w:tcW w:w="3060" w:type="dxa"/>
            <w:vAlign w:val="center"/>
          </w:tcPr>
          <w:p>
            <w:pPr>
              <w:widowControl/>
              <w:jc w:val="center"/>
              <w:rPr>
                <w:kern w:val="0"/>
                <w:sz w:val="24"/>
              </w:rPr>
            </w:pPr>
            <w:r>
              <w:rPr>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400" w:type="dxa"/>
          </w:tcPr>
          <w:p>
            <w:pPr>
              <w:widowControl/>
              <w:rPr>
                <w:kern w:val="0"/>
                <w:sz w:val="24"/>
              </w:rPr>
            </w:pPr>
            <w:r>
              <w:rPr>
                <w:rFonts w:hAnsi="宋体"/>
                <w:kern w:val="0"/>
                <w:sz w:val="24"/>
              </w:rPr>
              <w:t>中国国际海运集装箱（集团）股份有限公司</w:t>
            </w:r>
          </w:p>
        </w:tc>
        <w:tc>
          <w:tcPr>
            <w:tcW w:w="3060" w:type="dxa"/>
            <w:vAlign w:val="center"/>
          </w:tcPr>
          <w:p>
            <w:pPr>
              <w:widowControl/>
              <w:jc w:val="center"/>
              <w:rPr>
                <w:kern w:val="0"/>
                <w:sz w:val="24"/>
              </w:rPr>
            </w:pPr>
            <w:r>
              <w:rPr>
                <w:kern w:val="0"/>
                <w:sz w:val="24"/>
              </w:rPr>
              <w:t>5%</w:t>
            </w:r>
          </w:p>
        </w:tc>
      </w:tr>
    </w:tbl>
    <w:p>
      <w:pPr>
        <w:adjustRightInd w:val="0"/>
        <w:snapToGrid w:val="0"/>
        <w:spacing w:line="360" w:lineRule="auto"/>
        <w:ind w:firstLine="480" w:firstLineChars="200"/>
        <w:rPr>
          <w:rFonts w:hAnsi="宋体"/>
          <w:kern w:val="0"/>
          <w:sz w:val="24"/>
        </w:rPr>
      </w:pPr>
    </w:p>
    <w:p>
      <w:pPr>
        <w:widowControl/>
        <w:adjustRightInd w:val="0"/>
        <w:snapToGrid w:val="0"/>
        <w:spacing w:line="360" w:lineRule="auto"/>
        <w:ind w:firstLine="482" w:firstLineChars="200"/>
        <w:outlineLvl w:val="1"/>
        <w:rPr>
          <w:rFonts w:hAnsi="宋体"/>
          <w:b/>
          <w:kern w:val="0"/>
          <w:sz w:val="24"/>
        </w:rPr>
      </w:pPr>
      <w:r>
        <w:rPr>
          <w:rFonts w:hAnsi="宋体"/>
          <w:b/>
          <w:kern w:val="0"/>
          <w:sz w:val="24"/>
        </w:rPr>
        <w:t>（二）主要成员情况</w:t>
      </w:r>
    </w:p>
    <w:p>
      <w:pPr>
        <w:widowControl/>
        <w:adjustRightInd w:val="0"/>
        <w:snapToGrid w:val="0"/>
        <w:spacing w:line="360" w:lineRule="auto"/>
        <w:ind w:firstLine="480" w:firstLineChars="200"/>
        <w:outlineLvl w:val="9"/>
        <w:rPr>
          <w:rFonts w:hint="eastAsia" w:hAnsi="宋体"/>
          <w:kern w:val="0"/>
          <w:sz w:val="24"/>
        </w:rPr>
      </w:pPr>
      <w:r>
        <w:rPr>
          <w:rFonts w:hint="eastAsia" w:hAnsi="宋体"/>
          <w:kern w:val="0"/>
          <w:sz w:val="24"/>
        </w:rPr>
        <w:t>1、基金管理人董事会成员</w:t>
      </w:r>
    </w:p>
    <w:p>
      <w:pPr>
        <w:widowControl/>
        <w:adjustRightInd w:val="0"/>
        <w:snapToGrid w:val="0"/>
        <w:spacing w:line="360" w:lineRule="auto"/>
        <w:ind w:firstLine="480" w:firstLineChars="200"/>
        <w:outlineLvl w:val="9"/>
        <w:rPr>
          <w:rFonts w:hint="eastAsia" w:hAnsi="宋体"/>
          <w:kern w:val="0"/>
          <w:sz w:val="24"/>
        </w:rPr>
      </w:pPr>
      <w:r>
        <w:rPr>
          <w:rFonts w:hint="eastAsia" w:hAnsi="宋体"/>
          <w:kern w:val="0"/>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pPr>
        <w:widowControl/>
        <w:adjustRightInd w:val="0"/>
        <w:snapToGrid w:val="0"/>
        <w:spacing w:line="360" w:lineRule="auto"/>
        <w:ind w:firstLine="480" w:firstLineChars="200"/>
        <w:outlineLvl w:val="9"/>
        <w:rPr>
          <w:rFonts w:hint="eastAsia" w:hAnsi="宋体"/>
          <w:kern w:val="0"/>
          <w:sz w:val="24"/>
        </w:rPr>
      </w:pPr>
      <w:r>
        <w:rPr>
          <w:rFonts w:hint="eastAsia" w:hAnsi="宋体"/>
          <w:kern w:val="0"/>
          <w:sz w:val="24"/>
        </w:rPr>
        <w:t>袁庆伟女士，董事，总经理，硕士。历任交通银行乌鲁木齐分行财务会计处副处长、会计结算部高级经理，交通银行总行资产托管业务中心（资产托管部）副总裁、总裁，交通银行总行金融机构部总经理、资产管理业务中心总裁等职务。</w:t>
      </w:r>
    </w:p>
    <w:p>
      <w:pPr>
        <w:widowControl/>
        <w:adjustRightInd w:val="0"/>
        <w:snapToGrid w:val="0"/>
        <w:spacing w:line="360" w:lineRule="auto"/>
        <w:ind w:firstLine="480" w:firstLineChars="200"/>
        <w:outlineLvl w:val="9"/>
        <w:rPr>
          <w:rFonts w:hint="eastAsia" w:hAnsi="宋体"/>
          <w:kern w:val="0"/>
          <w:sz w:val="24"/>
        </w:rPr>
      </w:pPr>
      <w:r>
        <w:rPr>
          <w:rFonts w:hint="eastAsia" w:hAnsi="宋体"/>
          <w:kern w:val="0"/>
          <w:sz w:val="24"/>
        </w:rPr>
        <w:t>夏华龙先生，董事，博士，现任交通银行选派子公司股权董事，历任交通银行总行托管部基金业务部内控综合处副处长、资产委托高级经理、保险及养老金高级经理、资产托管部副总经理，交银施罗德基金管理有限公司党委委员、副总经理、首席信息官，交通银行总行养老金融部总经理。</w:t>
      </w:r>
    </w:p>
    <w:p>
      <w:pPr>
        <w:widowControl/>
        <w:adjustRightInd w:val="0"/>
        <w:snapToGrid w:val="0"/>
        <w:spacing w:line="360" w:lineRule="auto"/>
        <w:ind w:firstLine="480" w:firstLineChars="200"/>
        <w:outlineLvl w:val="9"/>
        <w:rPr>
          <w:rFonts w:hint="eastAsia" w:hAnsi="宋体"/>
          <w:kern w:val="0"/>
          <w:sz w:val="24"/>
        </w:rPr>
      </w:pPr>
      <w:r>
        <w:rPr>
          <w:rFonts w:hint="eastAsia" w:hAnsi="宋体"/>
          <w:kern w:val="0"/>
          <w:sz w:val="24"/>
        </w:rPr>
        <w:t>胡晓晖女士，董事，学士，现任交通银行总行董事会办公室资深专家，历任交通银行总行授信管理部副处长、处长，苏州分行副行长、高级信贷执行官，总行授信管理部副总经理，监事会办公室副主任、资深专家。</w:t>
      </w:r>
    </w:p>
    <w:p>
      <w:pPr>
        <w:widowControl/>
        <w:adjustRightInd w:val="0"/>
        <w:snapToGrid w:val="0"/>
        <w:spacing w:line="360" w:lineRule="auto"/>
        <w:ind w:firstLine="480" w:firstLineChars="200"/>
        <w:outlineLvl w:val="9"/>
        <w:rPr>
          <w:rFonts w:hint="eastAsia" w:hAnsi="宋体"/>
          <w:kern w:val="0"/>
          <w:sz w:val="24"/>
        </w:rPr>
      </w:pPr>
      <w:r>
        <w:rPr>
          <w:rFonts w:hint="eastAsia" w:hAnsi="宋体"/>
          <w:kern w:val="0"/>
          <w:sz w:val="24"/>
        </w:rPr>
        <w:t>杜伟麒（Chris Durack）先生，董事，硕士。现任施罗德投资亚太区行政总裁。历任施罗德投资澳大利亚董事兼产品及分销主管、香港行政总裁兼亚太区机构业务主管、澳大利亚行政总裁兼亚太区联席主管等职。</w:t>
      </w:r>
    </w:p>
    <w:p>
      <w:pPr>
        <w:widowControl/>
        <w:adjustRightInd w:val="0"/>
        <w:snapToGrid w:val="0"/>
        <w:spacing w:line="360" w:lineRule="auto"/>
        <w:ind w:firstLine="480" w:firstLineChars="200"/>
        <w:outlineLvl w:val="9"/>
        <w:rPr>
          <w:rFonts w:hint="eastAsia" w:hAnsi="宋体"/>
          <w:kern w:val="0"/>
          <w:sz w:val="24"/>
        </w:rPr>
      </w:pPr>
      <w:r>
        <w:rPr>
          <w:rFonts w:hint="eastAsia" w:hAnsi="宋体"/>
          <w:kern w:val="0"/>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pPr>
        <w:widowControl/>
        <w:adjustRightInd w:val="0"/>
        <w:snapToGrid w:val="0"/>
        <w:spacing w:line="360" w:lineRule="auto"/>
        <w:ind w:firstLine="480" w:firstLineChars="200"/>
        <w:outlineLvl w:val="9"/>
        <w:rPr>
          <w:rFonts w:hint="eastAsia" w:hAnsi="宋体"/>
          <w:kern w:val="0"/>
          <w:sz w:val="24"/>
        </w:rPr>
      </w:pPr>
      <w:r>
        <w:rPr>
          <w:rFonts w:hint="eastAsia" w:hAnsi="宋体"/>
          <w:kern w:val="0"/>
          <w:sz w:val="24"/>
        </w:rPr>
        <w:t>郝爱群女士，独立董事，学士。历任人民银行稽核司副处长、处长，合作司调研员，非银司副巡视员、副司长，银监会非银部副主任，银行监管一部副主任、巡视员，汇金公司派出董事。</w:t>
      </w:r>
    </w:p>
    <w:p>
      <w:pPr>
        <w:widowControl/>
        <w:adjustRightInd w:val="0"/>
        <w:snapToGrid w:val="0"/>
        <w:spacing w:line="360" w:lineRule="auto"/>
        <w:ind w:firstLine="480" w:firstLineChars="200"/>
        <w:outlineLvl w:val="9"/>
        <w:rPr>
          <w:rFonts w:hint="eastAsia" w:hAnsi="宋体"/>
          <w:kern w:val="0"/>
          <w:sz w:val="24"/>
        </w:rPr>
      </w:pPr>
      <w:r>
        <w:rPr>
          <w:rFonts w:hint="eastAsia" w:hAnsi="宋体"/>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widowControl/>
        <w:adjustRightInd w:val="0"/>
        <w:snapToGrid w:val="0"/>
        <w:spacing w:line="360" w:lineRule="auto"/>
        <w:ind w:firstLine="480" w:firstLineChars="200"/>
        <w:outlineLvl w:val="9"/>
        <w:rPr>
          <w:rFonts w:hint="eastAsia" w:hAnsi="宋体"/>
          <w:kern w:val="0"/>
          <w:sz w:val="24"/>
        </w:rPr>
      </w:pPr>
      <w:r>
        <w:rPr>
          <w:rFonts w:hint="eastAsia" w:hAnsi="宋体"/>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widowControl/>
        <w:adjustRightInd w:val="0"/>
        <w:snapToGrid w:val="0"/>
        <w:spacing w:line="360" w:lineRule="auto"/>
        <w:ind w:firstLine="480" w:firstLineChars="200"/>
        <w:outlineLvl w:val="9"/>
        <w:rPr>
          <w:rFonts w:hint="eastAsia" w:hAnsi="宋体"/>
          <w:kern w:val="0"/>
          <w:sz w:val="24"/>
        </w:rPr>
      </w:pPr>
      <w:r>
        <w:rPr>
          <w:rFonts w:hint="eastAsia" w:hAnsi="宋体"/>
          <w:kern w:val="0"/>
          <w:sz w:val="24"/>
        </w:rPr>
        <w:t>2、基金管理人高级管理人员</w:t>
      </w:r>
    </w:p>
    <w:p>
      <w:pPr>
        <w:widowControl/>
        <w:adjustRightInd w:val="0"/>
        <w:snapToGrid w:val="0"/>
        <w:spacing w:line="360" w:lineRule="auto"/>
        <w:ind w:firstLine="480" w:firstLineChars="200"/>
        <w:outlineLvl w:val="9"/>
        <w:rPr>
          <w:rFonts w:hint="eastAsia" w:hAnsi="宋体"/>
          <w:kern w:val="0"/>
          <w:sz w:val="24"/>
        </w:rPr>
      </w:pPr>
      <w:r>
        <w:rPr>
          <w:rFonts w:hint="eastAsia" w:hAnsi="宋体"/>
          <w:kern w:val="0"/>
          <w:sz w:val="24"/>
        </w:rPr>
        <w:t>袁庆伟女士，总经理。简历同上。</w:t>
      </w:r>
    </w:p>
    <w:p>
      <w:pPr>
        <w:widowControl/>
        <w:adjustRightInd w:val="0"/>
        <w:snapToGrid w:val="0"/>
        <w:spacing w:line="360" w:lineRule="auto"/>
        <w:ind w:firstLine="480" w:firstLineChars="200"/>
        <w:outlineLvl w:val="9"/>
        <w:rPr>
          <w:rFonts w:hint="eastAsia" w:hAnsi="宋体"/>
          <w:kern w:val="0"/>
          <w:sz w:val="24"/>
        </w:rPr>
      </w:pPr>
      <w:r>
        <w:rPr>
          <w:rFonts w:hint="eastAsia" w:hAnsi="宋体"/>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widowControl/>
        <w:adjustRightInd w:val="0"/>
        <w:snapToGrid w:val="0"/>
        <w:spacing w:line="360" w:lineRule="auto"/>
        <w:ind w:firstLine="480" w:firstLineChars="200"/>
        <w:outlineLvl w:val="9"/>
        <w:rPr>
          <w:rFonts w:hint="eastAsia" w:hAnsi="宋体"/>
          <w:kern w:val="0"/>
          <w:sz w:val="24"/>
        </w:rPr>
      </w:pPr>
      <w:r>
        <w:rPr>
          <w:rFonts w:hint="eastAsia" w:hAnsi="宋体"/>
          <w:kern w:val="0"/>
          <w:sz w:val="24"/>
        </w:rPr>
        <w:t>马俊先生，副总经理，硕士。历任交通银行总行投资管理部高级投资分析、副高级经理，交银施罗德基金管理有限公司总裁办公室总经理、研究部副总经理、研究总监、综合管理部总经理。</w:t>
      </w:r>
    </w:p>
    <w:p>
      <w:pPr>
        <w:widowControl/>
        <w:adjustRightInd w:val="0"/>
        <w:snapToGrid w:val="0"/>
        <w:spacing w:line="360" w:lineRule="auto"/>
        <w:ind w:firstLine="480" w:firstLineChars="200"/>
        <w:rPr>
          <w:rFonts w:hAnsi="宋体"/>
          <w:kern w:val="0"/>
          <w:sz w:val="24"/>
        </w:rPr>
      </w:pPr>
      <w:r>
        <w:rPr>
          <w:rFonts w:hint="eastAsia" w:hAnsi="宋体"/>
          <w:kern w:val="0"/>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pPr>
        <w:widowControl/>
        <w:adjustRightInd w:val="0"/>
        <w:snapToGrid w:val="0"/>
        <w:spacing w:line="360" w:lineRule="auto"/>
        <w:ind w:firstLine="480" w:firstLineChars="200"/>
        <w:rPr>
          <w:rFonts w:hAnsi="宋体"/>
          <w:kern w:val="0"/>
          <w:sz w:val="24"/>
        </w:rPr>
      </w:pPr>
      <w:r>
        <w:rPr>
          <w:rFonts w:hint="eastAsia" w:hAnsi="宋体"/>
          <w:kern w:val="0"/>
          <w:sz w:val="24"/>
          <w:lang w:val="en-US" w:eastAsia="zh-CN"/>
        </w:rPr>
        <w:t>3</w:t>
      </w:r>
      <w:r>
        <w:rPr>
          <w:rFonts w:hAnsi="宋体"/>
          <w:kern w:val="0"/>
          <w:sz w:val="24"/>
        </w:rPr>
        <w:t>、本基金基金经理</w:t>
      </w:r>
    </w:p>
    <w:p>
      <w:pPr>
        <w:widowControl/>
        <w:adjustRightInd w:val="0"/>
        <w:snapToGrid w:val="0"/>
        <w:spacing w:line="360" w:lineRule="auto"/>
        <w:ind w:firstLine="480" w:firstLineChars="200"/>
        <w:rPr>
          <w:rFonts w:hAnsi="宋体"/>
          <w:kern w:val="0"/>
          <w:sz w:val="24"/>
        </w:rPr>
      </w:pPr>
      <w:r>
        <w:rPr>
          <w:rFonts w:hint="eastAsia" w:hAnsi="宋体"/>
          <w:kern w:val="0"/>
          <w:sz w:val="24"/>
        </w:rPr>
        <w:t>朱维缜女士：基金经理。同济大学产业经济学硕士、暨南大学金融学学士。9年证券投资行业从业经验。2016 年加入交银施罗德基金管理有限公司，曾任行业分析师。现任交银施罗德产业机遇混合型证券投资基金（2024年06月22日至今）的基金经理。</w:t>
      </w:r>
    </w:p>
    <w:p>
      <w:pPr>
        <w:widowControl/>
        <w:adjustRightInd w:val="0"/>
        <w:snapToGrid w:val="0"/>
        <w:spacing w:line="360" w:lineRule="auto"/>
        <w:ind w:firstLine="480" w:firstLineChars="200"/>
        <w:rPr>
          <w:rFonts w:hAnsi="宋体"/>
          <w:kern w:val="0"/>
          <w:sz w:val="24"/>
        </w:rPr>
      </w:pPr>
      <w:r>
        <w:rPr>
          <w:rFonts w:hint="eastAsia" w:hAnsi="宋体"/>
          <w:kern w:val="0"/>
          <w:sz w:val="24"/>
          <w:lang w:val="en-US" w:eastAsia="zh-CN"/>
        </w:rPr>
        <w:t>4</w:t>
      </w:r>
      <w:r>
        <w:rPr>
          <w:rFonts w:hAnsi="宋体"/>
          <w:kern w:val="0"/>
          <w:sz w:val="24"/>
        </w:rPr>
        <w:t>、投资决策委员会成员</w:t>
      </w:r>
    </w:p>
    <w:p>
      <w:pPr>
        <w:widowControl/>
        <w:adjustRightInd w:val="0"/>
        <w:snapToGrid w:val="0"/>
        <w:spacing w:line="360" w:lineRule="auto"/>
        <w:ind w:firstLine="480" w:firstLineChars="200"/>
        <w:rPr>
          <w:rFonts w:hAnsi="宋体"/>
          <w:kern w:val="0"/>
          <w:sz w:val="24"/>
        </w:rPr>
      </w:pPr>
      <w:r>
        <w:rPr>
          <w:rFonts w:hint="eastAsia" w:hAnsi="宋体"/>
          <w:kern w:val="0"/>
          <w:sz w:val="24"/>
        </w:rPr>
        <w:t>委员：袁庆伟（总经理）</w:t>
      </w:r>
    </w:p>
    <w:p>
      <w:pPr>
        <w:widowControl/>
        <w:adjustRightInd w:val="0"/>
        <w:snapToGrid w:val="0"/>
        <w:spacing w:line="360" w:lineRule="auto"/>
        <w:ind w:firstLine="1200" w:firstLineChars="500"/>
        <w:rPr>
          <w:rFonts w:hAnsi="宋体"/>
          <w:kern w:val="0"/>
          <w:sz w:val="24"/>
        </w:rPr>
      </w:pPr>
      <w:r>
        <w:rPr>
          <w:rFonts w:hint="eastAsia" w:hAnsi="宋体"/>
          <w:kern w:val="0"/>
          <w:sz w:val="24"/>
        </w:rPr>
        <w:t>马俊（副总经理）</w:t>
      </w:r>
    </w:p>
    <w:p>
      <w:pPr>
        <w:widowControl/>
        <w:adjustRightInd w:val="0"/>
        <w:snapToGrid w:val="0"/>
        <w:spacing w:line="360" w:lineRule="auto"/>
        <w:ind w:firstLine="1200" w:firstLineChars="500"/>
        <w:rPr>
          <w:rFonts w:hAnsi="宋体"/>
          <w:kern w:val="0"/>
          <w:sz w:val="24"/>
        </w:rPr>
      </w:pPr>
      <w:r>
        <w:rPr>
          <w:rFonts w:hint="eastAsia" w:hAnsi="宋体"/>
          <w:kern w:val="0"/>
          <w:sz w:val="24"/>
        </w:rPr>
        <w:t>于海颖（混合资产投资总监兼多元资产管理总监、基金经理）</w:t>
      </w:r>
    </w:p>
    <w:p>
      <w:pPr>
        <w:widowControl/>
        <w:adjustRightInd w:val="0"/>
        <w:snapToGrid w:val="0"/>
        <w:spacing w:line="360" w:lineRule="auto"/>
        <w:ind w:firstLine="1200" w:firstLineChars="500"/>
        <w:rPr>
          <w:rFonts w:hAnsi="宋体"/>
          <w:kern w:val="0"/>
          <w:sz w:val="24"/>
        </w:rPr>
      </w:pPr>
      <w:r>
        <w:rPr>
          <w:rFonts w:hint="eastAsia" w:hAnsi="宋体"/>
          <w:kern w:val="0"/>
          <w:sz w:val="24"/>
        </w:rPr>
        <w:t>王崇（权益投资副总监、权益部一级专家、基金经理）</w:t>
      </w:r>
    </w:p>
    <w:p>
      <w:pPr>
        <w:widowControl/>
        <w:adjustRightInd w:val="0"/>
        <w:snapToGrid w:val="0"/>
        <w:spacing w:line="360" w:lineRule="auto"/>
        <w:ind w:firstLine="1200" w:firstLineChars="500"/>
        <w:rPr>
          <w:rFonts w:hAnsi="宋体"/>
          <w:kern w:val="0"/>
          <w:sz w:val="24"/>
        </w:rPr>
      </w:pPr>
      <w:r>
        <w:rPr>
          <w:rFonts w:hint="eastAsia" w:hAnsi="宋体"/>
          <w:kern w:val="0"/>
          <w:sz w:val="24"/>
        </w:rPr>
        <w:t>马韬（研究总监）</w:t>
      </w:r>
    </w:p>
    <w:p>
      <w:pPr>
        <w:widowControl/>
        <w:adjustRightInd w:val="0"/>
        <w:snapToGrid w:val="0"/>
        <w:spacing w:line="360" w:lineRule="auto"/>
        <w:ind w:firstLine="480" w:firstLineChars="200"/>
        <w:rPr>
          <w:rFonts w:ascii="宋体" w:hAnsi="宋体"/>
          <w:kern w:val="0"/>
          <w:sz w:val="24"/>
        </w:rPr>
      </w:pPr>
      <w:r>
        <w:rPr>
          <w:rFonts w:hAnsi="宋体"/>
          <w:kern w:val="0"/>
          <w:sz w:val="24"/>
        </w:rPr>
        <w:t>上述人员之间不存在近亲属关系。</w:t>
      </w:r>
    </w:p>
    <w:p>
      <w:pPr>
        <w:widowControl/>
        <w:adjustRightInd w:val="0"/>
        <w:snapToGrid w:val="0"/>
        <w:spacing w:line="360" w:lineRule="auto"/>
        <w:ind w:firstLine="482" w:firstLineChars="200"/>
        <w:outlineLvl w:val="1"/>
        <w:rPr>
          <w:b/>
          <w:kern w:val="0"/>
          <w:sz w:val="24"/>
        </w:rPr>
      </w:pPr>
      <w:r>
        <w:rPr>
          <w:rFonts w:hAnsi="宋体"/>
          <w:b/>
          <w:kern w:val="0"/>
          <w:sz w:val="24"/>
        </w:rPr>
        <w:t>（三）基金管理人的职责</w:t>
      </w:r>
    </w:p>
    <w:p>
      <w:pPr>
        <w:adjustRightInd w:val="0"/>
        <w:snapToGrid w:val="0"/>
        <w:spacing w:line="360" w:lineRule="auto"/>
        <w:ind w:firstLine="480" w:firstLineChars="200"/>
        <w:rPr>
          <w:sz w:val="24"/>
          <w:szCs w:val="24"/>
        </w:rPr>
      </w:pPr>
      <w:r>
        <w:rPr>
          <w:sz w:val="24"/>
          <w:szCs w:val="24"/>
        </w:rPr>
        <w:t>1、依法募集资金，办理或者委托经中国证监会认定的其他机构办理基金份额的发售、申购、赎回和登记事宜；</w:t>
      </w:r>
    </w:p>
    <w:p>
      <w:pPr>
        <w:adjustRightInd w:val="0"/>
        <w:snapToGrid w:val="0"/>
        <w:spacing w:line="360" w:lineRule="auto"/>
        <w:ind w:firstLine="480" w:firstLineChars="200"/>
        <w:rPr>
          <w:sz w:val="24"/>
          <w:szCs w:val="24"/>
        </w:rPr>
      </w:pPr>
      <w:r>
        <w:rPr>
          <w:sz w:val="24"/>
          <w:szCs w:val="24"/>
        </w:rPr>
        <w:t>2、办理基金备案手续；</w:t>
      </w:r>
    </w:p>
    <w:p>
      <w:pPr>
        <w:adjustRightInd w:val="0"/>
        <w:snapToGrid w:val="0"/>
        <w:spacing w:line="360" w:lineRule="auto"/>
        <w:ind w:firstLine="480" w:firstLineChars="200"/>
        <w:rPr>
          <w:sz w:val="24"/>
          <w:szCs w:val="24"/>
        </w:rPr>
      </w:pPr>
      <w:r>
        <w:rPr>
          <w:sz w:val="24"/>
          <w:szCs w:val="24"/>
        </w:rPr>
        <w:t>3、对所管理的不同基金财产分别管理、分别记账，进行证券投资；</w:t>
      </w:r>
    </w:p>
    <w:p>
      <w:pPr>
        <w:adjustRightInd w:val="0"/>
        <w:snapToGrid w:val="0"/>
        <w:spacing w:line="360" w:lineRule="auto"/>
        <w:ind w:firstLine="480" w:firstLineChars="200"/>
        <w:rPr>
          <w:sz w:val="24"/>
          <w:szCs w:val="24"/>
        </w:rPr>
      </w:pPr>
      <w:r>
        <w:rPr>
          <w:sz w:val="24"/>
          <w:szCs w:val="24"/>
        </w:rPr>
        <w:t>4、按照基金合同的约定确定基金收益分配方案，及时向基金份额持有人分配收益；</w:t>
      </w:r>
    </w:p>
    <w:p>
      <w:pPr>
        <w:adjustRightInd w:val="0"/>
        <w:snapToGrid w:val="0"/>
        <w:spacing w:line="360" w:lineRule="auto"/>
        <w:ind w:firstLine="480" w:firstLineChars="200"/>
        <w:rPr>
          <w:sz w:val="24"/>
          <w:szCs w:val="24"/>
        </w:rPr>
      </w:pPr>
      <w:r>
        <w:rPr>
          <w:sz w:val="24"/>
          <w:szCs w:val="24"/>
        </w:rPr>
        <w:t>5、进行基金会计核算并编制基金财务会计报告；</w:t>
      </w:r>
    </w:p>
    <w:p>
      <w:pPr>
        <w:adjustRightInd w:val="0"/>
        <w:snapToGrid w:val="0"/>
        <w:spacing w:line="360" w:lineRule="auto"/>
        <w:ind w:firstLine="480" w:firstLineChars="200"/>
        <w:rPr>
          <w:sz w:val="24"/>
          <w:szCs w:val="24"/>
        </w:rPr>
      </w:pPr>
      <w:r>
        <w:rPr>
          <w:sz w:val="24"/>
          <w:szCs w:val="24"/>
        </w:rPr>
        <w:t>6、编制季度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pPr>
        <w:adjustRightInd w:val="0"/>
        <w:snapToGrid w:val="0"/>
        <w:spacing w:line="360" w:lineRule="auto"/>
        <w:ind w:firstLine="480" w:firstLineChars="200"/>
        <w:rPr>
          <w:sz w:val="24"/>
          <w:szCs w:val="24"/>
        </w:rPr>
      </w:pPr>
      <w:r>
        <w:rPr>
          <w:sz w:val="24"/>
          <w:szCs w:val="24"/>
        </w:rPr>
        <w:t>7、计算并公告基金</w:t>
      </w:r>
      <w:r>
        <w:rPr>
          <w:rFonts w:hint="eastAsia"/>
          <w:bCs/>
          <w:sz w:val="24"/>
        </w:rPr>
        <w:t>净值信息</w:t>
      </w:r>
      <w:r>
        <w:rPr>
          <w:sz w:val="24"/>
          <w:szCs w:val="24"/>
        </w:rPr>
        <w:t>，确定基金份额申购、赎回价格；</w:t>
      </w:r>
    </w:p>
    <w:p>
      <w:pPr>
        <w:adjustRightInd w:val="0"/>
        <w:snapToGrid w:val="0"/>
        <w:spacing w:line="360" w:lineRule="auto"/>
        <w:ind w:firstLine="480" w:firstLineChars="200"/>
        <w:rPr>
          <w:sz w:val="24"/>
          <w:szCs w:val="24"/>
        </w:rPr>
      </w:pPr>
      <w:r>
        <w:rPr>
          <w:sz w:val="24"/>
          <w:szCs w:val="24"/>
        </w:rPr>
        <w:t>8、办理与基金财产管理业务活动有关的信息披露事项；</w:t>
      </w:r>
    </w:p>
    <w:p>
      <w:pPr>
        <w:adjustRightInd w:val="0"/>
        <w:snapToGrid w:val="0"/>
        <w:spacing w:line="360" w:lineRule="auto"/>
        <w:ind w:firstLine="480" w:firstLineChars="200"/>
        <w:rPr>
          <w:sz w:val="24"/>
          <w:szCs w:val="24"/>
        </w:rPr>
      </w:pPr>
      <w:r>
        <w:rPr>
          <w:sz w:val="24"/>
          <w:szCs w:val="24"/>
        </w:rPr>
        <w:t>9、按照规定召集基金份额持有人大会；</w:t>
      </w:r>
    </w:p>
    <w:p>
      <w:pPr>
        <w:adjustRightInd w:val="0"/>
        <w:snapToGrid w:val="0"/>
        <w:spacing w:line="360" w:lineRule="auto"/>
        <w:ind w:firstLine="480" w:firstLineChars="200"/>
        <w:rPr>
          <w:sz w:val="24"/>
          <w:szCs w:val="24"/>
        </w:rPr>
      </w:pPr>
      <w:r>
        <w:rPr>
          <w:sz w:val="24"/>
          <w:szCs w:val="24"/>
        </w:rPr>
        <w:t>10、保存基金财产管理业务活动的记录、账册、报表和其他相关资料；</w:t>
      </w:r>
    </w:p>
    <w:p>
      <w:pPr>
        <w:adjustRightInd w:val="0"/>
        <w:snapToGrid w:val="0"/>
        <w:spacing w:line="360" w:lineRule="auto"/>
        <w:ind w:firstLine="480" w:firstLineChars="200"/>
        <w:rPr>
          <w:sz w:val="24"/>
          <w:szCs w:val="24"/>
        </w:rPr>
      </w:pPr>
      <w:r>
        <w:rPr>
          <w:sz w:val="24"/>
          <w:szCs w:val="24"/>
        </w:rPr>
        <w:t>11、以基金管理人名义，代表基金份额持有人利益行使诉讼权利或者实施其他法律行为；</w:t>
      </w:r>
    </w:p>
    <w:p>
      <w:pPr>
        <w:adjustRightInd w:val="0"/>
        <w:snapToGrid w:val="0"/>
        <w:spacing w:line="360" w:lineRule="auto"/>
        <w:ind w:firstLine="480" w:firstLineChars="200"/>
        <w:rPr>
          <w:sz w:val="24"/>
          <w:szCs w:val="24"/>
        </w:rPr>
      </w:pPr>
      <w:r>
        <w:rPr>
          <w:sz w:val="24"/>
          <w:szCs w:val="24"/>
        </w:rPr>
        <w:t>12、有关法律法规和中国证监会规定的其他职责。</w:t>
      </w:r>
    </w:p>
    <w:p>
      <w:pPr>
        <w:widowControl/>
        <w:adjustRightInd w:val="0"/>
        <w:snapToGrid w:val="0"/>
        <w:spacing w:line="360" w:lineRule="auto"/>
        <w:ind w:firstLine="482" w:firstLineChars="200"/>
        <w:jc w:val="left"/>
        <w:outlineLvl w:val="1"/>
        <w:rPr>
          <w:b/>
          <w:kern w:val="0"/>
          <w:sz w:val="24"/>
        </w:rPr>
      </w:pPr>
      <w:r>
        <w:rPr>
          <w:rFonts w:hAnsi="宋体"/>
          <w:b/>
          <w:kern w:val="0"/>
          <w:sz w:val="24"/>
        </w:rPr>
        <w:t>（四）基金管理人的承诺</w:t>
      </w:r>
    </w:p>
    <w:p>
      <w:pPr>
        <w:adjustRightInd w:val="0"/>
        <w:snapToGrid w:val="0"/>
        <w:spacing w:line="360" w:lineRule="auto"/>
        <w:ind w:firstLine="480" w:firstLineChars="200"/>
        <w:rPr>
          <w:sz w:val="24"/>
          <w:szCs w:val="24"/>
        </w:rPr>
      </w:pPr>
      <w:r>
        <w:rPr>
          <w:sz w:val="24"/>
          <w:szCs w:val="24"/>
        </w:rPr>
        <w:t>1、基金管理人承诺不从事违反《中华人民共和国证券法》的行为，并承诺建立健全内部控制制度，采取有效措施，防止违反《中华人民共和国证券法》行为的发生；</w:t>
      </w:r>
    </w:p>
    <w:p>
      <w:pPr>
        <w:adjustRightInd w:val="0"/>
        <w:snapToGrid w:val="0"/>
        <w:spacing w:line="360" w:lineRule="auto"/>
        <w:ind w:firstLine="480" w:firstLineChars="200"/>
        <w:rPr>
          <w:sz w:val="24"/>
          <w:szCs w:val="24"/>
        </w:rPr>
      </w:pPr>
      <w:r>
        <w:rPr>
          <w:sz w:val="24"/>
          <w:szCs w:val="24"/>
        </w:rPr>
        <w:t>2、基金管理人承诺不从事违反《基金法》的行为，并承诺建立健全内部风险控制制度，采取有效措施，防止下列行为的发生：</w:t>
      </w:r>
    </w:p>
    <w:p>
      <w:pPr>
        <w:adjustRightInd w:val="0"/>
        <w:snapToGrid w:val="0"/>
        <w:spacing w:line="360" w:lineRule="auto"/>
        <w:ind w:firstLine="480" w:firstLineChars="200"/>
        <w:rPr>
          <w:sz w:val="24"/>
          <w:szCs w:val="24"/>
        </w:rPr>
      </w:pPr>
      <w:r>
        <w:rPr>
          <w:sz w:val="24"/>
          <w:szCs w:val="24"/>
        </w:rPr>
        <w:t>（1）将基金管理人固有财产或者他人财产混同于基金财产从事证券投资；</w:t>
      </w:r>
    </w:p>
    <w:p>
      <w:pPr>
        <w:adjustRightInd w:val="0"/>
        <w:snapToGrid w:val="0"/>
        <w:spacing w:line="360" w:lineRule="auto"/>
        <w:ind w:firstLine="480" w:firstLineChars="200"/>
        <w:rPr>
          <w:sz w:val="24"/>
          <w:szCs w:val="24"/>
        </w:rPr>
      </w:pPr>
      <w:r>
        <w:rPr>
          <w:sz w:val="24"/>
          <w:szCs w:val="24"/>
        </w:rPr>
        <w:t>（2）不公平地对待管理的不同基金财产；</w:t>
      </w:r>
    </w:p>
    <w:p>
      <w:pPr>
        <w:adjustRightInd w:val="0"/>
        <w:snapToGrid w:val="0"/>
        <w:spacing w:line="360" w:lineRule="auto"/>
        <w:ind w:firstLine="480" w:firstLineChars="200"/>
        <w:rPr>
          <w:sz w:val="24"/>
          <w:szCs w:val="24"/>
        </w:rPr>
      </w:pPr>
      <w:r>
        <w:rPr>
          <w:sz w:val="24"/>
          <w:szCs w:val="24"/>
        </w:rPr>
        <w:t>（3）利用基金财产为基金份额持有人以外的第三人牟取利益；</w:t>
      </w:r>
    </w:p>
    <w:p>
      <w:pPr>
        <w:adjustRightInd w:val="0"/>
        <w:snapToGrid w:val="0"/>
        <w:spacing w:line="360" w:lineRule="auto"/>
        <w:ind w:firstLine="480" w:firstLineChars="200"/>
        <w:rPr>
          <w:sz w:val="24"/>
          <w:szCs w:val="24"/>
        </w:rPr>
      </w:pPr>
      <w:r>
        <w:rPr>
          <w:sz w:val="24"/>
          <w:szCs w:val="24"/>
        </w:rPr>
        <w:t>（4）向基金份额持有人违规承诺收益或者承担损失；</w:t>
      </w:r>
    </w:p>
    <w:p>
      <w:pPr>
        <w:adjustRightInd w:val="0"/>
        <w:snapToGrid w:val="0"/>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）侵占、挪用基金财产；</w:t>
      </w:r>
    </w:p>
    <w:p>
      <w:pPr>
        <w:adjustRightInd w:val="0"/>
        <w:snapToGrid w:val="0"/>
        <w:spacing w:line="360" w:lineRule="auto"/>
        <w:ind w:firstLine="480" w:firstLineChars="200"/>
        <w:rPr>
          <w:sz w:val="24"/>
          <w:szCs w:val="24"/>
        </w:rPr>
      </w:pPr>
      <w:r>
        <w:rPr>
          <w:sz w:val="24"/>
          <w:szCs w:val="24"/>
        </w:rPr>
        <w:t>（6）法律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pPr>
        <w:adjustRightInd w:val="0"/>
        <w:snapToGrid w:val="0"/>
        <w:spacing w:line="360" w:lineRule="auto"/>
        <w:ind w:firstLine="480" w:firstLineChars="200"/>
        <w:rPr>
          <w:sz w:val="24"/>
          <w:szCs w:val="24"/>
        </w:rPr>
      </w:pPr>
      <w:r>
        <w:rPr>
          <w:sz w:val="24"/>
          <w:szCs w:val="24"/>
        </w:rPr>
        <w:t>3、基金管理人承诺严格遵守基金合同，并承诺建立健全内部控制制度，采取有效措施，防止违反基金合同行为的发生；</w:t>
      </w:r>
    </w:p>
    <w:p>
      <w:pPr>
        <w:adjustRightInd w:val="0"/>
        <w:snapToGrid w:val="0"/>
        <w:spacing w:line="360" w:lineRule="auto"/>
        <w:ind w:firstLine="480" w:firstLineChars="200"/>
        <w:rPr>
          <w:sz w:val="24"/>
          <w:szCs w:val="24"/>
        </w:rPr>
      </w:pPr>
      <w:r>
        <w:rPr>
          <w:sz w:val="24"/>
          <w:szCs w:val="24"/>
        </w:rPr>
        <w:t>4、基金管理人承诺加强人员管理，强化职业操守，督促和约束员工遵守国家有关法律法规及行业规范，诚实信用、勤勉尽责；</w:t>
      </w:r>
    </w:p>
    <w:p>
      <w:pPr>
        <w:adjustRightInd w:val="0"/>
        <w:snapToGrid w:val="0"/>
        <w:spacing w:line="360" w:lineRule="auto"/>
        <w:ind w:firstLine="480" w:firstLineChars="200"/>
        <w:rPr>
          <w:sz w:val="24"/>
          <w:szCs w:val="24"/>
        </w:rPr>
      </w:pPr>
      <w:r>
        <w:rPr>
          <w:sz w:val="24"/>
          <w:szCs w:val="24"/>
        </w:rPr>
        <w:t>5、基金管理人承诺不从事其他法规规定禁止从事的行为。</w:t>
      </w:r>
    </w:p>
    <w:p>
      <w:pPr>
        <w:widowControl/>
        <w:adjustRightInd w:val="0"/>
        <w:snapToGrid w:val="0"/>
        <w:spacing w:line="360" w:lineRule="auto"/>
        <w:ind w:firstLine="482" w:firstLineChars="200"/>
        <w:jc w:val="left"/>
        <w:outlineLvl w:val="1"/>
        <w:rPr>
          <w:b/>
          <w:kern w:val="0"/>
          <w:sz w:val="24"/>
        </w:rPr>
      </w:pPr>
      <w:r>
        <w:rPr>
          <w:rFonts w:hAnsi="宋体"/>
          <w:b/>
          <w:kern w:val="0"/>
          <w:sz w:val="24"/>
        </w:rPr>
        <w:t>（五）基金经理承诺</w:t>
      </w:r>
    </w:p>
    <w:p>
      <w:pPr>
        <w:adjustRightInd w:val="0"/>
        <w:snapToGrid w:val="0"/>
        <w:spacing w:line="360" w:lineRule="auto"/>
        <w:ind w:firstLine="480" w:firstLineChars="200"/>
        <w:rPr>
          <w:sz w:val="24"/>
          <w:szCs w:val="24"/>
        </w:rPr>
      </w:pPr>
      <w:r>
        <w:rPr>
          <w:sz w:val="24"/>
          <w:szCs w:val="24"/>
        </w:rPr>
        <w:t>1、依照有关法律法规和基金合同的规定，本着谨慎的原则为基金份额持有人谋取最大利益；</w:t>
      </w:r>
    </w:p>
    <w:p>
      <w:pPr>
        <w:adjustRightInd w:val="0"/>
        <w:snapToGrid w:val="0"/>
        <w:spacing w:line="360" w:lineRule="auto"/>
        <w:ind w:firstLine="480" w:firstLineChars="200"/>
        <w:rPr>
          <w:sz w:val="24"/>
          <w:szCs w:val="24"/>
        </w:rPr>
      </w:pPr>
      <w:r>
        <w:rPr>
          <w:sz w:val="24"/>
          <w:szCs w:val="24"/>
        </w:rPr>
        <w:t>2、不利用职务之便为自己、受雇人或任何第三者谋取利益；</w:t>
      </w:r>
    </w:p>
    <w:p>
      <w:pPr>
        <w:widowControl/>
        <w:adjustRightInd w:val="0"/>
        <w:snapToGrid w:val="0"/>
        <w:spacing w:line="360" w:lineRule="auto"/>
        <w:ind w:firstLine="480" w:firstLineChars="200"/>
        <w:rPr>
          <w:sz w:val="24"/>
          <w:szCs w:val="24"/>
        </w:rPr>
      </w:pPr>
      <w:r>
        <w:rPr>
          <w:sz w:val="24"/>
          <w:szCs w:val="24"/>
        </w:rPr>
        <w:t>3、不泄露在任职期间知悉的有关证券、基金的商业秘密，尚未依法公开的基金投资内容、基金投资计划等信息，或利用该信息从事或者明示、暗示他人从事相关的交易活动；</w:t>
      </w:r>
    </w:p>
    <w:p>
      <w:pPr>
        <w:widowControl/>
        <w:adjustRightInd w:val="0"/>
        <w:snapToGrid w:val="0"/>
        <w:spacing w:line="360" w:lineRule="auto"/>
        <w:ind w:firstLine="480" w:firstLineChars="200"/>
        <w:rPr>
          <w:kern w:val="0"/>
          <w:sz w:val="24"/>
          <w:szCs w:val="24"/>
        </w:rPr>
      </w:pPr>
      <w:r>
        <w:rPr>
          <w:sz w:val="24"/>
          <w:szCs w:val="24"/>
        </w:rPr>
        <w:t>4、不以任何形式为其他组织或个人进行证券交易。</w:t>
      </w:r>
    </w:p>
    <w:p>
      <w:pPr>
        <w:widowControl/>
        <w:adjustRightInd w:val="0"/>
        <w:snapToGrid w:val="0"/>
        <w:spacing w:line="360" w:lineRule="auto"/>
        <w:ind w:firstLine="482" w:firstLineChars="200"/>
        <w:outlineLvl w:val="1"/>
        <w:rPr>
          <w:b/>
          <w:kern w:val="0"/>
          <w:sz w:val="24"/>
        </w:rPr>
      </w:pPr>
      <w:r>
        <w:rPr>
          <w:rFonts w:hAnsi="宋体"/>
          <w:b/>
          <w:kern w:val="0"/>
          <w:sz w:val="24"/>
        </w:rPr>
        <w:t>（六）基金管理人的内部控制制度</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1、内部控制的原则</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（1）健全性原则</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内部控制应当包括公司的各项业务、各个部门或机构和各级人员, 并涵盖到决策、执行、监督、反馈等各个环节。</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（2）有效性原则</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通过科学的内控手段和方法，建立合理的内控程序，维护内控制度的有效执行。</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（3）独立性原则</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公司各机构、部门和岗位职责应当保持相对独立，除非法律法规另有规定，公司基金资产、自有资产、其他资产的运作应当分离。</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（4）相互制约原则</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公司内部部门和岗位的设置应当体现权责分明、相互制衡。</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（5）成本效益原则</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公司运用科学化的经营管理方法降低运作成本，提高经济效益，力争以合理的控制成本达到最佳的内部控制效果。</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2、风险管理和内部风险控制体系结构</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公司的风险管理体系结构是一个分工明确、相互牵制的组织结构，由董事会对风险管理负最终责任，各个业务部门负责本部门的风险评估和监控，风险管理部负责监察公司的风险管理措施的执行。具体而言，包括如下组成部分：</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（1）董事会</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负责制定公司风险偏好（含风险容忍度）、风险管理和内部控制政策，审议并通过与公司内部风险管理和合规有关的重大事项。</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（2）合规风险及审计委员会</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作为董事会下的专业委员会之一，负责对公司在经营管理和基金业务运作的合法性、合规性和风险状况进行检查和评估，对公司监察稽核制度的有效性进行评价，监督检查公司财务状况，审计公司的财务报表，评估公司的财务表现，保证公司的财务运作符合法律的要求和通行的会计标准。</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（3）风险控制委员会</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作为总经理下设的专业委员会之一，风险控制委员会负责评估与公司战略发展和经营运作相关的主要风险；评估公司各方面运行状况是否合规有序，审查有无存在与公司业务有关的重大风险；审议或听取由公司制度规定的需要向风险控制委员会报告的其他情形等。</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（4）督察长</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独立行使督察权利；直接对董事会负责；就内部控制制度和执行情况独立地履行检查、评价、报告、建议职能；定期和不定期地向董事会报告公司内部控制执行情况。</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（5）风险管理部</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风险管理部负责制定公司风险管理政策和防范及控制措施，汇总公司业务所有的风险信息，独立识别、评估各类风险，提出风险控制建议，使公司在一种风险管理和控制的环境中实现业务目标。</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（6）审计部</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（7）内控合规及法律事务部</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内控合规及法律事务部负责公司的法律、内控合规事务及协调实施信息披露事务，依法维护公司合法权益，评估并处理公司运营中发生的法律、内控合规及信息披露相关问题，及时向公司管理层及全体员工传达法规及监管要求。</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（8）业务部门</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风险管理是每一个业务部门首要的责任。部门负责人对本部门的风险负全部责任，负责履行公司的风险管理程序，负责本部门的风险管理系统的开发、执行和维护，用于识别、监控和降低风险。</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3、风险管理和内部风险控制的措施</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（1）建立内控体系，完善内控制度</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公司建立、健全了内控体系，通过高管人员关于内控的明确分工，确保各项业务活动有恰当的组织和授权，确保监察活动独立，并得到高管人员的支持，同时置备操作手册，并定期更新。</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（2）建立相互分离、相互制衡的内控机制</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建立、健全了各项制度，做到基金经理分开，投资决策分开，基金交易集中，形成不同部门、不同岗位之间的制衡机制，从制度上减少和防范风险。</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（3）建立、健全岗位责任制</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建立、健全了岗位责任制，使每个员工都明确自己的任务、职责，并及时将各自工作领域中的风险隐患上报，以防范和减少风险。</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（4）建立风险分类、识别、评估、报告、提示程序</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（5）建立有效的内部监控系统</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建立了足够、有效的内部监控系统，对可能出现的各种风险进行全面和实时的监控。</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（6）使用数量化的风险管理手段</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采取数量化、技术化的风险控制手段，建立数量化的风险管理模型，用以提示指数趋势、行业及个券的风险，以便公司及时采取有效的措施，对风险进行分散、控制和规避，尽可能地减少损失。</w:t>
      </w:r>
    </w:p>
    <w:p>
      <w:pPr>
        <w:widowControl/>
        <w:adjustRightInd w:val="0"/>
        <w:snapToGrid w:val="0"/>
        <w:spacing w:line="360" w:lineRule="auto"/>
        <w:ind w:firstLine="480" w:firstLineChars="200"/>
        <w:outlineLvl w:val="9"/>
        <w:rPr>
          <w:rFonts w:hint="eastAsia"/>
          <w:kern w:val="0"/>
          <w:sz w:val="24"/>
          <w:szCs w:val="24"/>
        </w:rPr>
      </w:pPr>
      <w:r>
        <w:rPr>
          <w:rFonts w:hint="eastAsia"/>
          <w:kern w:val="0"/>
          <w:sz w:val="24"/>
          <w:szCs w:val="24"/>
        </w:rPr>
        <w:t>（7）提供足够的培训</w:t>
      </w:r>
    </w:p>
    <w:p>
      <w:pPr>
        <w:widowControl/>
        <w:adjustRightInd w:val="0"/>
        <w:snapToGrid w:val="0"/>
        <w:spacing w:line="360" w:lineRule="auto"/>
        <w:ind w:firstLine="480" w:firstLineChars="200"/>
        <w:rPr>
          <w:kern w:val="0"/>
          <w:sz w:val="24"/>
          <w:szCs w:val="24"/>
        </w:rPr>
      </w:pPr>
      <w:r>
        <w:rPr>
          <w:rFonts w:hint="eastAsia"/>
          <w:kern w:val="0"/>
          <w:sz w:val="24"/>
          <w:szCs w:val="24"/>
        </w:rPr>
        <w:t>制定了完整的培训计划，为所有员工提供足够和适当的培训，使员工明确其职责所在，控制风险。</w:t>
      </w:r>
      <w:bookmarkStart w:id="10" w:name="_Toc109537382"/>
    </w:p>
    <w:p>
      <w:pPr>
        <w:spacing w:line="360" w:lineRule="auto"/>
        <w:jc w:val="center"/>
        <w:outlineLvl w:val="0"/>
        <w:rPr>
          <w:rFonts w:ascii="宋体" w:hAnsi="宋体"/>
          <w:b/>
          <w:kern w:val="0"/>
          <w:sz w:val="30"/>
        </w:rPr>
      </w:pPr>
      <w:r>
        <w:rPr>
          <w:rFonts w:ascii="宋体" w:hAnsi="宋体"/>
          <w:sz w:val="30"/>
        </w:rPr>
        <w:br w:type="page"/>
      </w:r>
      <w:bookmarkEnd w:id="9"/>
      <w:bookmarkStart w:id="11" w:name="_Toc48122005"/>
      <w:bookmarkStart w:id="12" w:name="_Hlk126160221"/>
      <w:r>
        <w:rPr>
          <w:rFonts w:hint="eastAsia" w:ascii="宋体" w:hAnsi="宋体"/>
          <w:b/>
          <w:kern w:val="0"/>
          <w:sz w:val="30"/>
        </w:rPr>
        <w:t>四、基金托管人</w:t>
      </w:r>
      <w:bookmarkEnd w:id="10"/>
      <w:bookmarkEnd w:id="11"/>
    </w:p>
    <w:p>
      <w:pPr>
        <w:adjustRightInd w:val="0"/>
        <w:snapToGrid w:val="0"/>
        <w:spacing w:line="360" w:lineRule="auto"/>
        <w:ind w:firstLine="482" w:firstLineChars="200"/>
        <w:outlineLvl w:val="1"/>
        <w:rPr>
          <w:b/>
          <w:color w:val="000000"/>
          <w:sz w:val="24"/>
          <w:szCs w:val="24"/>
        </w:rPr>
      </w:pPr>
      <w:r>
        <w:rPr>
          <w:rFonts w:hint="eastAsia"/>
          <w:b/>
          <w:color w:val="000000"/>
          <w:sz w:val="24"/>
          <w:szCs w:val="24"/>
        </w:rPr>
        <w:t>（</w:t>
      </w:r>
      <w:r>
        <w:rPr>
          <w:rFonts w:hAnsi="宋体"/>
          <w:b/>
          <w:color w:val="000000"/>
          <w:sz w:val="24"/>
          <w:szCs w:val="24"/>
        </w:rPr>
        <w:t>一</w:t>
      </w:r>
      <w:r>
        <w:rPr>
          <w:rFonts w:hint="eastAsia"/>
          <w:b/>
          <w:color w:val="000000"/>
          <w:sz w:val="24"/>
          <w:szCs w:val="24"/>
        </w:rPr>
        <w:t>）</w:t>
      </w:r>
      <w:r>
        <w:rPr>
          <w:rFonts w:hAnsi="宋体"/>
          <w:b/>
          <w:color w:val="000000"/>
          <w:sz w:val="24"/>
          <w:szCs w:val="24"/>
        </w:rPr>
        <w:t>基金托管人情况</w:t>
      </w:r>
    </w:p>
    <w:p>
      <w:pPr>
        <w:adjustRightInd w:val="0"/>
        <w:snapToGrid w:val="0"/>
        <w:spacing w:line="360" w:lineRule="auto"/>
        <w:ind w:firstLine="480" w:firstLineChars="200"/>
        <w:outlineLvl w:val="2"/>
        <w:rPr>
          <w:sz w:val="24"/>
        </w:rPr>
      </w:pPr>
      <w:r>
        <w:rPr>
          <w:rFonts w:hint="eastAsia"/>
          <w:sz w:val="24"/>
        </w:rPr>
        <w:t>1、基本情况</w:t>
      </w:r>
    </w:p>
    <w:p>
      <w:pPr>
        <w:adjustRightInd w:val="0"/>
        <w:snapToGrid w:val="0"/>
        <w:spacing w:line="360" w:lineRule="auto"/>
        <w:ind w:firstLine="480" w:firstLineChars="200"/>
        <w:rPr>
          <w:sz w:val="24"/>
        </w:rPr>
      </w:pPr>
      <w:r>
        <w:rPr>
          <w:rFonts w:hint="eastAsia"/>
          <w:sz w:val="24"/>
        </w:rPr>
        <w:t>名称：招商银行股份有限公司（以下简称“招商银行”）</w:t>
      </w:r>
    </w:p>
    <w:p>
      <w:pPr>
        <w:adjustRightInd w:val="0"/>
        <w:snapToGrid w:val="0"/>
        <w:spacing w:line="360" w:lineRule="auto"/>
        <w:ind w:firstLine="480" w:firstLineChars="200"/>
        <w:rPr>
          <w:sz w:val="24"/>
        </w:rPr>
      </w:pPr>
      <w:r>
        <w:rPr>
          <w:rFonts w:hint="eastAsia"/>
          <w:sz w:val="24"/>
        </w:rPr>
        <w:t>设立日期：1987年4月8日</w:t>
      </w:r>
    </w:p>
    <w:p>
      <w:pPr>
        <w:adjustRightInd w:val="0"/>
        <w:snapToGrid w:val="0"/>
        <w:spacing w:line="360" w:lineRule="auto"/>
        <w:ind w:firstLine="480" w:firstLineChars="200"/>
        <w:rPr>
          <w:sz w:val="24"/>
        </w:rPr>
      </w:pPr>
      <w:r>
        <w:rPr>
          <w:rFonts w:hint="eastAsia"/>
          <w:sz w:val="24"/>
        </w:rPr>
        <w:t>注册地址：深圳市深南大道7088号招商银行大厦</w:t>
      </w:r>
    </w:p>
    <w:p>
      <w:pPr>
        <w:adjustRightInd w:val="0"/>
        <w:snapToGrid w:val="0"/>
        <w:spacing w:line="360" w:lineRule="auto"/>
        <w:ind w:firstLine="480" w:firstLineChars="200"/>
        <w:rPr>
          <w:sz w:val="24"/>
        </w:rPr>
      </w:pPr>
      <w:r>
        <w:rPr>
          <w:rFonts w:hint="eastAsia"/>
          <w:sz w:val="24"/>
        </w:rPr>
        <w:t>办公地址：深圳市深南大道7088号招商银行大厦</w:t>
      </w:r>
    </w:p>
    <w:p>
      <w:pPr>
        <w:adjustRightInd w:val="0"/>
        <w:snapToGrid w:val="0"/>
        <w:spacing w:line="360" w:lineRule="auto"/>
        <w:ind w:firstLine="480" w:firstLineChars="200"/>
        <w:rPr>
          <w:sz w:val="24"/>
        </w:rPr>
      </w:pPr>
      <w:r>
        <w:rPr>
          <w:rFonts w:hint="eastAsia"/>
          <w:sz w:val="24"/>
        </w:rPr>
        <w:t>注册资本：252.20亿元</w:t>
      </w:r>
    </w:p>
    <w:p>
      <w:pPr>
        <w:adjustRightInd w:val="0"/>
        <w:snapToGrid w:val="0"/>
        <w:spacing w:line="360" w:lineRule="auto"/>
        <w:ind w:firstLine="480" w:firstLineChars="200"/>
        <w:rPr>
          <w:sz w:val="24"/>
        </w:rPr>
      </w:pPr>
      <w:r>
        <w:rPr>
          <w:rFonts w:hint="eastAsia"/>
          <w:sz w:val="24"/>
        </w:rPr>
        <w:t>法定代表人：缪建民</w:t>
      </w:r>
    </w:p>
    <w:p>
      <w:pPr>
        <w:adjustRightInd w:val="0"/>
        <w:snapToGrid w:val="0"/>
        <w:spacing w:line="360" w:lineRule="auto"/>
        <w:ind w:firstLine="480" w:firstLineChars="200"/>
        <w:rPr>
          <w:sz w:val="24"/>
        </w:rPr>
      </w:pPr>
      <w:r>
        <w:rPr>
          <w:rFonts w:hint="eastAsia"/>
          <w:sz w:val="24"/>
        </w:rPr>
        <w:t>行长：王良</w:t>
      </w:r>
    </w:p>
    <w:p>
      <w:pPr>
        <w:adjustRightInd w:val="0"/>
        <w:snapToGrid w:val="0"/>
        <w:spacing w:line="360" w:lineRule="auto"/>
        <w:ind w:firstLine="480" w:firstLineChars="200"/>
        <w:rPr>
          <w:sz w:val="24"/>
        </w:rPr>
      </w:pPr>
      <w:r>
        <w:rPr>
          <w:rFonts w:hint="eastAsia"/>
          <w:sz w:val="24"/>
        </w:rPr>
        <w:t>资产托管业务批准文号：证监基金字[2002]83号</w:t>
      </w:r>
    </w:p>
    <w:p>
      <w:pPr>
        <w:adjustRightInd w:val="0"/>
        <w:snapToGrid w:val="0"/>
        <w:spacing w:line="360" w:lineRule="auto"/>
        <w:ind w:firstLine="480" w:firstLineChars="200"/>
        <w:rPr>
          <w:sz w:val="24"/>
        </w:rPr>
      </w:pPr>
      <w:r>
        <w:rPr>
          <w:rFonts w:hint="eastAsia"/>
          <w:sz w:val="24"/>
        </w:rPr>
        <w:t>电话：4006195555</w:t>
      </w:r>
    </w:p>
    <w:p>
      <w:pPr>
        <w:adjustRightInd w:val="0"/>
        <w:snapToGrid w:val="0"/>
        <w:spacing w:line="360" w:lineRule="auto"/>
        <w:ind w:firstLine="480" w:firstLineChars="200"/>
        <w:rPr>
          <w:sz w:val="24"/>
        </w:rPr>
      </w:pPr>
      <w:r>
        <w:rPr>
          <w:rFonts w:hint="eastAsia"/>
          <w:sz w:val="24"/>
        </w:rPr>
        <w:t>传真：0755-83195201</w:t>
      </w:r>
    </w:p>
    <w:p>
      <w:pPr>
        <w:adjustRightInd w:val="0"/>
        <w:snapToGrid w:val="0"/>
        <w:spacing w:line="360" w:lineRule="auto"/>
        <w:ind w:firstLine="480" w:firstLineChars="200"/>
        <w:outlineLvl w:val="2"/>
        <w:rPr>
          <w:sz w:val="24"/>
        </w:rPr>
      </w:pPr>
      <w:r>
        <w:rPr>
          <w:rFonts w:hint="eastAsia"/>
          <w:sz w:val="24"/>
        </w:rPr>
        <w:t>资产托管部信息披露负责人：张姗</w:t>
      </w:r>
    </w:p>
    <w:p>
      <w:pPr>
        <w:adjustRightInd w:val="0"/>
        <w:snapToGrid w:val="0"/>
        <w:spacing w:line="360" w:lineRule="auto"/>
        <w:ind w:firstLine="480" w:firstLineChars="200"/>
        <w:outlineLvl w:val="2"/>
        <w:rPr>
          <w:sz w:val="24"/>
        </w:rPr>
      </w:pPr>
      <w:r>
        <w:rPr>
          <w:rFonts w:hint="eastAsia"/>
          <w:sz w:val="24"/>
        </w:rPr>
        <w:t xml:space="preserve">2、发展概况   </w:t>
      </w:r>
    </w:p>
    <w:p>
      <w:pPr>
        <w:adjustRightInd w:val="0"/>
        <w:snapToGrid w:val="0"/>
        <w:spacing w:line="360" w:lineRule="auto"/>
        <w:ind w:firstLine="480" w:firstLineChars="200"/>
        <w:rPr>
          <w:sz w:val="24"/>
        </w:rPr>
      </w:pPr>
      <w:r>
        <w:rPr>
          <w:rFonts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2024年6月30日，本集团总资产115，747.83亿元人民币，高级法下资本充足率17.95%，权重法下资本充足率14.60%。</w:t>
      </w:r>
    </w:p>
    <w:p>
      <w:pPr>
        <w:adjustRightInd w:val="0"/>
        <w:snapToGrid w:val="0"/>
        <w:spacing w:line="360" w:lineRule="auto"/>
        <w:ind w:firstLine="480" w:firstLineChars="200"/>
        <w:rPr>
          <w:sz w:val="24"/>
        </w:rPr>
      </w:pPr>
      <w:r>
        <w:rPr>
          <w:rFonts w:hint="eastAsia"/>
          <w:sz w:val="24"/>
        </w:rPr>
        <w:t>2002年8月，招商银行成立基金托管部；2005年8月，经报中国证监会同意，更名为资产托管部，现下设基金券商团队、银保信托团队、养老金团队、业务管理团队、产品研发团队、风险管理团队、系统与数据团队、项目支持团队、运营管理团队、基金外包业务团队10个职能团队，现有员工228人。2002年11月，经中国人民银行和中国证监会批准获得证券投资基金托管业务资格，成为国内第一家获得该项业务资格上市银行；2003年4月，正式办理基金托管业务。招商银行作为托管业务资质最全的商业银行之一，拥有证券投资基金托管资格、基本养老保险基金托管机构资格、受托投资管理托管业务托管资格、保险资金托管业务资格、企业年金基金托管业务资格、合格境外机构投资者托管（QFII）资格、合格境内机构投资者托管（QDII）资格、私募基金业务外包服务资格、存托凭证试点存托业务等业务资格。</w:t>
      </w:r>
    </w:p>
    <w:p>
      <w:pPr>
        <w:adjustRightInd w:val="0"/>
        <w:snapToGrid w:val="0"/>
        <w:spacing w:line="360" w:lineRule="auto"/>
        <w:ind w:firstLine="480" w:firstLineChars="200"/>
        <w:rPr>
          <w:sz w:val="24"/>
        </w:rPr>
      </w:pPr>
      <w:r>
        <w:rPr>
          <w:rFonts w:hint="eastAsia"/>
          <w:sz w:val="24"/>
        </w:rPr>
        <w:t>招商银行资产托管部结合自身在托管行业深耕22年的专业能力和创新精神，推出“招商银行托管+”服务品牌，以“践行价值银行战略，致力于成为服务更佳、科技更强、协同更好的客户首选全球托管银行”品牌愿景为指引，以“值得信赖的专家、贴心服务的管家、让价值持续增加、客户的体验更佳”的“4+目标”，以创新的“服务产品化”为方法论，全方位助力资管机构实现可持续的高质量发展。招商银行资产托管部围绕资管全场景，打造了“如风运营”“大观投研”“见微数据”三个服务子品牌，不断创新托管系统、服务和产品：在业内率先推出“网上托管银行系统”、托管业务综合系统和“6S”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pPr>
        <w:adjustRightInd w:val="0"/>
        <w:snapToGrid w:val="0"/>
        <w:spacing w:line="360" w:lineRule="auto"/>
        <w:ind w:firstLine="480" w:firstLineChars="200"/>
        <w:outlineLvl w:val="1"/>
        <w:rPr>
          <w:b/>
          <w:sz w:val="24"/>
        </w:rPr>
      </w:pPr>
      <w:r>
        <w:rPr>
          <w:rFonts w:hint="eastAsia"/>
          <w:sz w:val="24"/>
        </w:rPr>
        <w:t>招商银行资产托管业务持续稳健发展，社会影响力不断提升,近年来获得业内各类奖项荣誉。2016年5月 “托管通”荣获《银行家》2016中国金融创新 “十佳金融产品创新奖”； 6月荣获《财资》“中国最佳托管银行奖”，成为国内唯一获得该奖项的托管银行；7月荣获中国资产管理“金贝奖”“最佳资产托管银行”、《21世纪经济报道》“2016最佳资产托管银行”。2017年5月荣获《亚洲银行家》“中国年度托管银行奖”；6月荣获《财资》“中国最佳托管银行奖”；“全功能网上托管银行2.0”荣获《银行家》2017中国金融创新“十佳金融产品创新奖”。2018年1月荣获中央国债登记结算有限责任公司“2017年度优秀资产托管机构”奖；同月，托管大数据平台风险管理系统荣获2016-2017年度银监会系统“金点子”方案一等奖，以及中央金融团工委、全国金融青联第五届“双提升”金点子方案二等奖；3月荣获《中国基金报》 “最佳基金托管银行”奖；5月荣获国际财经权威媒体《亚洲银行家》“中国年度托管银行奖”；12月荣获2018东方财富风云榜“2018年度最佳托管银行”、“20年最值得信赖托管银行”奖。2019年3月荣获《中国基金报》“2018年度最佳基金托管银行”奖；6月荣获《财资》“中国最佳托管机构”“中国最佳养老金托管机构”“中国最佳零售基金行政外包”三项大奖；12月荣获2019东方财富风云榜“2019年度最佳托管银行”奖。2020年1月，荣获中央国债登记结算有限责任公司“2019年度优秀资产托管机构”奖项；6月荣获《财资》“中国境内最佳托管机构”“最佳公募基金托管机构”“最佳公募基金行政外包机构”三项大奖；10月荣获《中国基金报》第二届中国公募基金英华奖“2019年度最佳基金托管银行”奖。2021年1月，荣获中央国债登记结算有限责任公司“2020年度优秀资产托管机构”奖项；同月荣获2020东方财富风云榜“2020年度最受欢迎托管银行”奖项；2021年10月，《证券时报》“2021年度杰出资产托管银行天玑奖”；2021年12月，荣获《中国基金报》第三届中国公募基金英华奖“2020年度最佳基金托管银行”；2022年1月荣获中央国债登记结算有限责任公司“2021年度优秀资产托管机构、估值业务杰出机构”奖项；9月荣获《财资》“中国最佳托管银行”“最佳公募基金托管银行”“最佳理财托管银行”三项大奖；12月荣获《证券时报》“2022年度杰出资产托管银行天玑奖”；2023年1月荣获中央国债登记结算有限责任公司“2022年度优秀资产托管机构”、银行间市场清算所股份有限公司“2022年度优秀托管机构”、全国银行间同业拆借中心“2022年度银行间本币市场托管业务市场创新奖”三项大奖；2023年4月，荣获《中国基金报》第二届中国基金业创新英华奖“托管创新奖”；2023年9月，荣获《中国基金报》中国基金业英华奖“公募基金25年基金托管示范银行（全国性股份行）”；2023年12月，荣获《东方财富风云榜》“2023年度托管银行风云奖”。2024年1月，荣获中央国债登记结算有限责任公司“2023年度优秀资产托管机构”、“2023年度估值业务杰出机构”、“2023年度债市领军机构”、“2023年度中债绿债指数优秀承销机构”四项大奖；2024年2月，荣获泰康养老保险股份有限公司“2023年度最佳年金托管合作伙伴”奖。2024年4月，荣获中国基金报“中国基金业英华奖-ETF20周年特别评选“优秀ETF托管人””奖。2024年6月，荣获上海清算所“2023年度优秀托管机构”奖。2024年8月，在《21世纪经济报道》主办的2024资产管理年会暨十七届21世纪【金贝】资产管理竞争力研究案例发布盛典上，“招商银行托管+”荣获“2024卓越影响力品牌”奖项；2024年9月，在2024财联社中国金融业“拓扑奖”评选中，荣获银行业务类奖项“2024年资产托管银行‘拓扑奖’”；2024年12月，荣获《中国证券报》“ETF金牛生态圈卓越托管机构（银行）奖”；2024年12月荣获《2024东方财富风云际会》“年度托管银行风云奖”。2025年1月，荣获中央国债登记结算有限责任公司“2024年度优秀资产托管机构”奖项、上海清算所“2024年度优秀托管机构”奖项；2025年2月，荣获全国银行间同业拆借中心“2024年度市场创新业务机构”奖项；2025年3月，荣获《中国基金报》2025年指数生态圈英华典型案例“指数产品托管机构”奖项。</w:t>
      </w:r>
    </w:p>
    <w:p>
      <w:pPr>
        <w:adjustRightInd w:val="0"/>
        <w:snapToGrid w:val="0"/>
        <w:spacing w:line="360" w:lineRule="auto"/>
        <w:ind w:firstLine="482" w:firstLineChars="200"/>
        <w:outlineLvl w:val="1"/>
        <w:rPr>
          <w:b/>
          <w:sz w:val="24"/>
        </w:rPr>
      </w:pPr>
      <w:r>
        <w:rPr>
          <w:rFonts w:hint="eastAsia"/>
          <w:b/>
          <w:sz w:val="24"/>
        </w:rPr>
        <w:t>（二）主要人员情况</w:t>
      </w:r>
    </w:p>
    <w:p>
      <w:pPr>
        <w:adjustRightInd w:val="0"/>
        <w:snapToGrid w:val="0"/>
        <w:spacing w:line="360" w:lineRule="auto"/>
        <w:ind w:firstLine="480" w:firstLineChars="200"/>
        <w:rPr>
          <w:rFonts w:hint="eastAsia"/>
          <w:sz w:val="24"/>
        </w:rPr>
      </w:pPr>
      <w:r>
        <w:rPr>
          <w:rFonts w:hint="eastAsia"/>
          <w:sz w:val="24"/>
        </w:rPr>
        <w:t>缪建民先生，</w:t>
      </w:r>
      <w:r>
        <w:rPr>
          <w:rFonts w:hint="eastAsia"/>
          <w:sz w:val="24"/>
          <w:lang w:eastAsia="zh-CN"/>
        </w:rPr>
        <w:t>招商银行</w:t>
      </w:r>
      <w:r>
        <w:rPr>
          <w:rFonts w:hint="eastAsia"/>
          <w:sz w:val="24"/>
        </w:rPr>
        <w:t>董事长、非执行董事，2020年9月起担任</w:t>
      </w:r>
      <w:r>
        <w:rPr>
          <w:rFonts w:hint="eastAsia"/>
          <w:sz w:val="24"/>
          <w:lang w:eastAsia="zh-CN"/>
        </w:rPr>
        <w:t>招商银行</w:t>
      </w:r>
      <w:r>
        <w:rPr>
          <w:rFonts w:hint="eastAsia"/>
          <w:sz w:val="24"/>
        </w:rPr>
        <w:t>董事、董事长。中央财经大学经济学博士，高级经济师。中国共产党第十九届、二十届中央委员会候补委员。招商局集团有限公司董事长。曾任中国人寿保险（集团）公司副董事长、总裁，中国人民保险 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pPr>
        <w:adjustRightInd w:val="0"/>
        <w:snapToGrid w:val="0"/>
        <w:spacing w:line="360" w:lineRule="auto"/>
        <w:ind w:firstLine="480" w:firstLineChars="200"/>
        <w:rPr>
          <w:rFonts w:hint="eastAsia"/>
          <w:sz w:val="24"/>
        </w:rPr>
      </w:pPr>
      <w:r>
        <w:rPr>
          <w:rFonts w:hint="eastAsia"/>
          <w:sz w:val="24"/>
        </w:rPr>
        <w:t>王良先生，</w:t>
      </w:r>
      <w:r>
        <w:rPr>
          <w:rFonts w:hint="eastAsia"/>
          <w:sz w:val="24"/>
          <w:lang w:eastAsia="zh-CN"/>
        </w:rPr>
        <w:t>招商银行</w:t>
      </w:r>
      <w:r>
        <w:rPr>
          <w:rFonts w:hint="eastAsia"/>
          <w:sz w:val="24"/>
        </w:rPr>
        <w:t>党委书记、执行董事、行长。中国人民大学经济学硕士，高级经济师。1995年6月加入</w:t>
      </w:r>
      <w:r>
        <w:rPr>
          <w:rFonts w:hint="eastAsia"/>
          <w:sz w:val="24"/>
          <w:lang w:eastAsia="zh-CN"/>
        </w:rPr>
        <w:t>招商银行</w:t>
      </w:r>
      <w:r>
        <w:rPr>
          <w:rFonts w:hint="eastAsia"/>
          <w:sz w:val="24"/>
        </w:rPr>
        <w:t>，历任</w:t>
      </w:r>
      <w:r>
        <w:rPr>
          <w:rFonts w:hint="eastAsia"/>
          <w:sz w:val="24"/>
          <w:lang w:eastAsia="zh-CN"/>
        </w:rPr>
        <w:t>招商银行</w:t>
      </w:r>
      <w:r>
        <w:rPr>
          <w:rFonts w:hint="eastAsia"/>
          <w:sz w:val="24"/>
        </w:rPr>
        <w:t>北京分行行长助理、副行长、行长，2012年6月起历任</w:t>
      </w:r>
      <w:r>
        <w:rPr>
          <w:rFonts w:hint="eastAsia"/>
          <w:sz w:val="24"/>
          <w:lang w:eastAsia="zh-CN"/>
        </w:rPr>
        <w:t>招商银行</w:t>
      </w:r>
      <w:r>
        <w:rPr>
          <w:rFonts w:hint="eastAsia"/>
          <w:sz w:val="24"/>
        </w:rPr>
        <w:t>行长助理、副行长、常务副行长，2022年5月起任</w:t>
      </w:r>
      <w:r>
        <w:rPr>
          <w:rFonts w:hint="eastAsia"/>
          <w:sz w:val="24"/>
          <w:lang w:eastAsia="zh-CN"/>
        </w:rPr>
        <w:t>招商银行</w:t>
      </w:r>
      <w:r>
        <w:rPr>
          <w:rFonts w:hint="eastAsia"/>
          <w:sz w:val="24"/>
        </w:rPr>
        <w:t>党委书记，2022年6月起任</w:t>
      </w:r>
      <w:r>
        <w:rPr>
          <w:rFonts w:hint="eastAsia"/>
          <w:sz w:val="24"/>
          <w:lang w:eastAsia="zh-CN"/>
        </w:rPr>
        <w:t>招商银行</w:t>
      </w:r>
      <w:r>
        <w:rPr>
          <w:rFonts w:hint="eastAsia"/>
          <w:sz w:val="24"/>
        </w:rPr>
        <w:t>行长。兼任</w:t>
      </w:r>
      <w:r>
        <w:rPr>
          <w:rFonts w:hint="eastAsia"/>
          <w:sz w:val="24"/>
          <w:lang w:eastAsia="zh-CN"/>
        </w:rPr>
        <w:t>招商银行</w:t>
      </w:r>
      <w:r>
        <w:rPr>
          <w:rFonts w:hint="eastAsia"/>
          <w:sz w:val="24"/>
        </w:rPr>
        <w:t>香港上市相关事宜之授权代表、招银国际金融控股有限公司董事长、招银国际金融有限公司董事长、招商永隆银行董事长、招联消费金融有限公司副董事长、招商局金融控股有限公司董事、中国银行业协会中间业务专业委员会第四届主任、中国金融会计学会第六届常务理事、广东省第十四届人大代表。</w:t>
      </w:r>
    </w:p>
    <w:p>
      <w:pPr>
        <w:adjustRightInd w:val="0"/>
        <w:snapToGrid w:val="0"/>
        <w:spacing w:line="360" w:lineRule="auto"/>
        <w:ind w:firstLine="480" w:firstLineChars="200"/>
        <w:rPr>
          <w:rFonts w:hint="eastAsia"/>
          <w:sz w:val="24"/>
        </w:rPr>
      </w:pPr>
      <w:r>
        <w:rPr>
          <w:rFonts w:hint="eastAsia"/>
          <w:sz w:val="24"/>
        </w:rPr>
        <w:t>王颖女士，</w:t>
      </w:r>
      <w:r>
        <w:rPr>
          <w:rFonts w:hint="eastAsia"/>
          <w:sz w:val="24"/>
          <w:lang w:eastAsia="zh-CN"/>
        </w:rPr>
        <w:t>招商银行</w:t>
      </w:r>
      <w:r>
        <w:rPr>
          <w:rFonts w:hint="eastAsia"/>
          <w:sz w:val="24"/>
        </w:rPr>
        <w:t>副行长，南京大学政治经济学专业硕士，经济师。王颖女士1997年1月加入</w:t>
      </w:r>
      <w:r>
        <w:rPr>
          <w:rFonts w:hint="eastAsia"/>
          <w:sz w:val="24"/>
          <w:lang w:eastAsia="zh-CN"/>
        </w:rPr>
        <w:t>招商银行</w:t>
      </w:r>
      <w:r>
        <w:rPr>
          <w:rFonts w:hint="eastAsia"/>
          <w:sz w:val="24"/>
        </w:rPr>
        <w:t>，历任</w:t>
      </w:r>
      <w:r>
        <w:rPr>
          <w:rFonts w:hint="eastAsia"/>
          <w:sz w:val="24"/>
          <w:lang w:eastAsia="zh-CN"/>
        </w:rPr>
        <w:t>招商银行</w:t>
      </w:r>
      <w:r>
        <w:rPr>
          <w:rFonts w:hint="eastAsia"/>
          <w:sz w:val="24"/>
        </w:rPr>
        <w:t>北京分行行长助理、副行长，天津分行行长，深圳分行行长，</w:t>
      </w:r>
      <w:r>
        <w:rPr>
          <w:rFonts w:hint="eastAsia"/>
          <w:sz w:val="24"/>
          <w:lang w:eastAsia="zh-CN"/>
        </w:rPr>
        <w:t>招商银行</w:t>
      </w:r>
      <w:r>
        <w:rPr>
          <w:rFonts w:hint="eastAsia"/>
          <w:sz w:val="24"/>
        </w:rPr>
        <w:t>行长助理。2023年11月起任</w:t>
      </w:r>
      <w:r>
        <w:rPr>
          <w:rFonts w:hint="eastAsia"/>
          <w:sz w:val="24"/>
          <w:lang w:eastAsia="zh-CN"/>
        </w:rPr>
        <w:t>招商银行</w:t>
      </w:r>
      <w:r>
        <w:rPr>
          <w:rFonts w:hint="eastAsia"/>
          <w:sz w:val="24"/>
        </w:rPr>
        <w:t>副行长。</w:t>
      </w:r>
    </w:p>
    <w:p>
      <w:pPr>
        <w:adjustRightInd w:val="0"/>
        <w:snapToGrid w:val="0"/>
        <w:spacing w:line="360" w:lineRule="auto"/>
        <w:ind w:firstLine="480" w:firstLineChars="200"/>
        <w:rPr>
          <w:rFonts w:hint="eastAsia" w:eastAsia="宋体"/>
          <w:sz w:val="24"/>
          <w:lang w:val="en-US" w:eastAsia="zh-CN"/>
        </w:rPr>
      </w:pPr>
      <w:r>
        <w:rPr>
          <w:rFonts w:hint="eastAsia"/>
          <w:sz w:val="24"/>
        </w:rPr>
        <w:t>孙乐女士，</w:t>
      </w:r>
      <w:r>
        <w:rPr>
          <w:rFonts w:hint="eastAsia"/>
          <w:sz w:val="24"/>
          <w:lang w:eastAsia="zh-CN"/>
        </w:rPr>
        <w:t>招商银行</w:t>
      </w:r>
      <w:r>
        <w:rPr>
          <w:rFonts w:hint="eastAsia"/>
          <w:sz w:val="24"/>
        </w:rPr>
        <w:t>资产托管部总经理，硕士研究生毕业，2001年8月加入</w:t>
      </w:r>
      <w:r>
        <w:rPr>
          <w:rFonts w:hint="eastAsia"/>
          <w:sz w:val="24"/>
          <w:lang w:eastAsia="zh-CN"/>
        </w:rPr>
        <w:t>招商银行</w:t>
      </w:r>
      <w:r>
        <w:rPr>
          <w:rFonts w:hint="eastAsia"/>
          <w:sz w:val="24"/>
        </w:rPr>
        <w:t>至今，历任</w:t>
      </w:r>
      <w:r>
        <w:rPr>
          <w:rFonts w:hint="eastAsia"/>
          <w:sz w:val="24"/>
          <w:lang w:eastAsia="zh-CN"/>
        </w:rPr>
        <w:t>招商银行</w:t>
      </w:r>
      <w:r>
        <w:rPr>
          <w:rFonts w:hint="eastAsia"/>
          <w:sz w:val="24"/>
        </w:rPr>
        <w:t>合肥分行风险控制部副经理、经理、信贷管理部总经理助理、副总经理、总经理、公司银行部总经理、中小企业金融部总经理、投行与金融市场部总经理；无锡分行行长助理、副行长；南京分行副行长，具有20余年银行从业经验，在风险管理、信贷管理、公司金融、资产托管等领域有深入的研究和丰富的实务经</w:t>
      </w:r>
      <w:r>
        <w:rPr>
          <w:rFonts w:hint="eastAsia"/>
          <w:sz w:val="24"/>
          <w:lang w:val="en-US" w:eastAsia="zh-CN"/>
        </w:rPr>
        <w:t>验。</w:t>
      </w:r>
    </w:p>
    <w:p>
      <w:pPr>
        <w:adjustRightInd w:val="0"/>
        <w:snapToGrid w:val="0"/>
        <w:spacing w:line="360" w:lineRule="auto"/>
        <w:ind w:firstLine="482" w:firstLineChars="200"/>
        <w:outlineLvl w:val="1"/>
        <w:rPr>
          <w:b/>
          <w:sz w:val="24"/>
        </w:rPr>
      </w:pPr>
      <w:r>
        <w:rPr>
          <w:rFonts w:hint="eastAsia"/>
          <w:b/>
          <w:sz w:val="24"/>
        </w:rPr>
        <w:t>（三）基金托管业务经营情况</w:t>
      </w:r>
    </w:p>
    <w:p>
      <w:pPr>
        <w:adjustRightInd w:val="0"/>
        <w:snapToGrid w:val="0"/>
        <w:spacing w:line="360" w:lineRule="auto"/>
        <w:ind w:left="0" w:leftChars="0" w:firstLine="480" w:firstLineChars="200"/>
        <w:outlineLvl w:val="9"/>
        <w:rPr>
          <w:sz w:val="24"/>
        </w:rPr>
      </w:pPr>
      <w:r>
        <w:rPr>
          <w:rFonts w:hint="eastAsia"/>
          <w:sz w:val="24"/>
        </w:rPr>
        <w:t>截至2025年3月31日，招商银行股份有限公司累计托管</w:t>
      </w:r>
      <w:r>
        <w:rPr>
          <w:rFonts w:hint="eastAsia"/>
          <w:sz w:val="24"/>
          <w:lang w:val="en-US" w:eastAsia="zh-CN"/>
        </w:rPr>
        <w:t>1598</w:t>
      </w:r>
      <w:r>
        <w:rPr>
          <w:rFonts w:hint="eastAsia"/>
          <w:sz w:val="24"/>
        </w:rPr>
        <w:t>只证券投资基金。</w:t>
      </w:r>
    </w:p>
    <w:p>
      <w:pPr>
        <w:adjustRightInd w:val="0"/>
        <w:snapToGrid w:val="0"/>
        <w:spacing w:line="360" w:lineRule="auto"/>
        <w:ind w:left="479" w:leftChars="228"/>
        <w:outlineLvl w:val="1"/>
        <w:rPr>
          <w:b/>
          <w:sz w:val="24"/>
        </w:rPr>
      </w:pPr>
      <w:r>
        <w:rPr>
          <w:rFonts w:hint="eastAsia"/>
          <w:b/>
          <w:sz w:val="24"/>
        </w:rPr>
        <w:t>（四）基金托管人的内部控制制度</w:t>
      </w:r>
    </w:p>
    <w:p>
      <w:pPr>
        <w:adjustRightInd w:val="0"/>
        <w:snapToGrid w:val="0"/>
        <w:spacing w:line="360" w:lineRule="auto"/>
        <w:ind w:firstLine="480" w:firstLineChars="200"/>
        <w:rPr>
          <w:sz w:val="24"/>
        </w:rPr>
      </w:pPr>
      <w:r>
        <w:rPr>
          <w:rFonts w:hint="eastAsia"/>
          <w:sz w:val="24"/>
        </w:rPr>
        <w:t>1、 内部控制目标</w:t>
      </w:r>
    </w:p>
    <w:p>
      <w:pPr>
        <w:adjustRightInd w:val="0"/>
        <w:snapToGrid w:val="0"/>
        <w:spacing w:line="360" w:lineRule="auto"/>
        <w:ind w:firstLine="480" w:firstLineChars="200"/>
        <w:rPr>
          <w:sz w:val="24"/>
        </w:rPr>
      </w:pPr>
      <w:r>
        <w:rPr>
          <w:rFonts w:hint="eastAsia"/>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pPr>
        <w:adjustRightInd w:val="0"/>
        <w:snapToGrid w:val="0"/>
        <w:spacing w:line="360" w:lineRule="auto"/>
        <w:ind w:firstLine="480" w:firstLineChars="200"/>
        <w:rPr>
          <w:sz w:val="24"/>
        </w:rPr>
      </w:pPr>
      <w:r>
        <w:rPr>
          <w:rFonts w:hint="eastAsia"/>
          <w:sz w:val="24"/>
        </w:rPr>
        <w:t>2、 内部控制组织结构</w:t>
      </w:r>
    </w:p>
    <w:p>
      <w:pPr>
        <w:adjustRightInd w:val="0"/>
        <w:snapToGrid w:val="0"/>
        <w:spacing w:line="360" w:lineRule="auto"/>
        <w:ind w:firstLine="480" w:firstLineChars="200"/>
        <w:rPr>
          <w:sz w:val="24"/>
        </w:rPr>
      </w:pPr>
      <w:r>
        <w:rPr>
          <w:rFonts w:hint="eastAsia"/>
          <w:sz w:val="24"/>
        </w:rPr>
        <w:t>招商银行资产托管业务建立三级内部控制及风险防范体系：</w:t>
      </w:r>
    </w:p>
    <w:p>
      <w:pPr>
        <w:adjustRightInd w:val="0"/>
        <w:snapToGrid w:val="0"/>
        <w:spacing w:line="360" w:lineRule="auto"/>
        <w:ind w:firstLine="480" w:firstLineChars="200"/>
        <w:rPr>
          <w:sz w:val="24"/>
        </w:rPr>
      </w:pPr>
      <w:r>
        <w:rPr>
          <w:rFonts w:hint="eastAsia"/>
          <w:sz w:val="24"/>
        </w:rPr>
        <w:t>一级内部控制及风险防范是在招商银行总行风险管控层面对风险进行预防和控制；总行风险管理部、法律合规部、审计部独立对资产托管业务进行评估监督，并提出内控提升管理建议。</w:t>
      </w:r>
    </w:p>
    <w:p>
      <w:pPr>
        <w:adjustRightInd w:val="0"/>
        <w:snapToGrid w:val="0"/>
        <w:spacing w:line="360" w:lineRule="auto"/>
        <w:ind w:firstLine="480" w:firstLineChars="200"/>
        <w:rPr>
          <w:sz w:val="24"/>
        </w:rPr>
      </w:pPr>
      <w:r>
        <w:rPr>
          <w:rFonts w:hint="eastAsia"/>
          <w:sz w:val="24"/>
        </w:rPr>
        <w:t>二级内部控制及风险防范是招商银行资产托管部设立风险合规管理相关团队，负责部门内部风险预防和控制，及时发现内部控制缺陷，提出整改方案，跟踪整改情况，并直接向部门总经理室报告。</w:t>
      </w:r>
    </w:p>
    <w:p>
      <w:pPr>
        <w:adjustRightInd w:val="0"/>
        <w:snapToGrid w:val="0"/>
        <w:spacing w:line="360" w:lineRule="auto"/>
        <w:ind w:firstLine="480" w:firstLineChars="200"/>
        <w:rPr>
          <w:sz w:val="24"/>
        </w:rPr>
      </w:pPr>
      <w:r>
        <w:rPr>
          <w:rFonts w:hint="eastAsia"/>
          <w:sz w:val="24"/>
        </w:rPr>
        <w:t>三级内部控制及风险防范是招商银行资产托管部在设置专业岗位时，遵循内控制衡原则，视业务的风险程度制定相应监督制衡机制。</w:t>
      </w:r>
    </w:p>
    <w:p>
      <w:pPr>
        <w:adjustRightInd w:val="0"/>
        <w:snapToGrid w:val="0"/>
        <w:spacing w:line="360" w:lineRule="auto"/>
        <w:ind w:firstLine="480" w:firstLineChars="200"/>
        <w:rPr>
          <w:sz w:val="24"/>
        </w:rPr>
      </w:pPr>
      <w:r>
        <w:rPr>
          <w:rFonts w:hint="eastAsia"/>
          <w:sz w:val="24"/>
        </w:rPr>
        <w:t>3、 内部控制原则</w:t>
      </w:r>
    </w:p>
    <w:p>
      <w:pPr>
        <w:adjustRightInd w:val="0"/>
        <w:snapToGrid w:val="0"/>
        <w:spacing w:line="360" w:lineRule="auto"/>
        <w:ind w:firstLine="480" w:firstLineChars="200"/>
        <w:rPr>
          <w:sz w:val="24"/>
        </w:rPr>
      </w:pPr>
      <w:r>
        <w:rPr>
          <w:rFonts w:hint="eastAsia"/>
          <w:sz w:val="24"/>
        </w:rPr>
        <w:t>（1）全面性原则。内部控制覆盖各项业务过程和操作环节、覆盖所有团队和岗位，并由全部人员参与。</w:t>
      </w:r>
    </w:p>
    <w:p>
      <w:pPr>
        <w:adjustRightInd w:val="0"/>
        <w:snapToGrid w:val="0"/>
        <w:spacing w:line="360" w:lineRule="auto"/>
        <w:ind w:firstLine="480" w:firstLineChars="200"/>
        <w:rPr>
          <w:sz w:val="24"/>
        </w:rPr>
      </w:pPr>
      <w:r>
        <w:rPr>
          <w:rFonts w:hint="eastAsia"/>
          <w:sz w:val="24"/>
        </w:rPr>
        <w:t>（2）审慎性原则。托管组织体系的构成、内部管理制度的建立均以防范风险、审慎经营为出发点，体现“内控优先”的要求。</w:t>
      </w:r>
    </w:p>
    <w:p>
      <w:pPr>
        <w:adjustRightInd w:val="0"/>
        <w:snapToGrid w:val="0"/>
        <w:spacing w:line="360" w:lineRule="auto"/>
        <w:ind w:firstLine="480" w:firstLineChars="200"/>
        <w:rPr>
          <w:sz w:val="24"/>
        </w:rPr>
      </w:pPr>
      <w:r>
        <w:rPr>
          <w:rFonts w:hint="eastAsia"/>
          <w:sz w:val="24"/>
        </w:rPr>
        <w:t>（3）独立性原则。招商银行资产托管部各团队、各岗位职责保持相对独立，不同托管资产之间、托管资产和自有资产之间相互分离。内部控制的检查、评价部门独立于内部控制的建立和执行部门。</w:t>
      </w:r>
    </w:p>
    <w:p>
      <w:pPr>
        <w:adjustRightInd w:val="0"/>
        <w:snapToGrid w:val="0"/>
        <w:spacing w:line="360" w:lineRule="auto"/>
        <w:ind w:firstLine="480" w:firstLineChars="200"/>
        <w:rPr>
          <w:sz w:val="24"/>
        </w:rPr>
      </w:pPr>
      <w:r>
        <w:rPr>
          <w:rFonts w:hint="eastAsia"/>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pPr>
        <w:adjustRightInd w:val="0"/>
        <w:snapToGrid w:val="0"/>
        <w:spacing w:line="360" w:lineRule="auto"/>
        <w:ind w:firstLine="480" w:firstLineChars="200"/>
        <w:rPr>
          <w:sz w:val="24"/>
        </w:rPr>
      </w:pPr>
      <w:r>
        <w:rPr>
          <w:rFonts w:hint="eastAsia"/>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pPr>
        <w:adjustRightInd w:val="0"/>
        <w:snapToGrid w:val="0"/>
        <w:spacing w:line="360" w:lineRule="auto"/>
        <w:ind w:firstLine="480" w:firstLineChars="200"/>
        <w:rPr>
          <w:sz w:val="24"/>
        </w:rPr>
      </w:pPr>
      <w:r>
        <w:rPr>
          <w:rFonts w:hint="eastAsia"/>
          <w:sz w:val="24"/>
        </w:rPr>
        <w:t>（6）防火墙原则。招商银行资产托管部办公场地与招商银行其他业务场地隔离，办公网和业务网物理分离，部门业务网和全行业务网防火墙策略分离，以达到风险防范的目的。</w:t>
      </w:r>
    </w:p>
    <w:p>
      <w:pPr>
        <w:adjustRightInd w:val="0"/>
        <w:snapToGrid w:val="0"/>
        <w:spacing w:line="360" w:lineRule="auto"/>
        <w:ind w:firstLine="480" w:firstLineChars="200"/>
        <w:rPr>
          <w:sz w:val="24"/>
        </w:rPr>
      </w:pPr>
      <w:r>
        <w:rPr>
          <w:rFonts w:hint="eastAsia"/>
          <w:sz w:val="24"/>
        </w:rPr>
        <w:t>（7）重要性原则。内部控制在实现全面控制的基础上，关注重要托管业务重要事项和高风险环节。</w:t>
      </w:r>
    </w:p>
    <w:p>
      <w:pPr>
        <w:adjustRightInd w:val="0"/>
        <w:snapToGrid w:val="0"/>
        <w:spacing w:line="360" w:lineRule="auto"/>
        <w:ind w:firstLine="480" w:firstLineChars="200"/>
        <w:rPr>
          <w:sz w:val="24"/>
        </w:rPr>
      </w:pPr>
      <w:r>
        <w:rPr>
          <w:rFonts w:hint="eastAsia"/>
          <w:sz w:val="24"/>
        </w:rPr>
        <w:t>（8）制衡性原则。内部控制能够实现在托管组织体系、机构设置、权责分配及业务流程等方面相互制约、相互监督，同时兼顾运营效率。</w:t>
      </w:r>
    </w:p>
    <w:p>
      <w:pPr>
        <w:adjustRightInd w:val="0"/>
        <w:snapToGrid w:val="0"/>
        <w:spacing w:line="360" w:lineRule="auto"/>
        <w:ind w:firstLine="480" w:firstLineChars="200"/>
        <w:rPr>
          <w:sz w:val="24"/>
        </w:rPr>
      </w:pPr>
      <w:r>
        <w:rPr>
          <w:rFonts w:hint="eastAsia"/>
          <w:sz w:val="24"/>
        </w:rPr>
        <w:t>4、 内部控制措施</w:t>
      </w:r>
    </w:p>
    <w:p>
      <w:pPr>
        <w:adjustRightInd w:val="0"/>
        <w:snapToGrid w:val="0"/>
        <w:spacing w:line="360" w:lineRule="auto"/>
        <w:ind w:firstLine="480" w:firstLineChars="200"/>
        <w:rPr>
          <w:sz w:val="24"/>
        </w:rPr>
      </w:pPr>
      <w:r>
        <w:rPr>
          <w:rFonts w:hint="eastAsia"/>
          <w:sz w:val="24"/>
        </w:rPr>
        <w:t>（1）完善的制度建设。招商银行资产托管部从资产托管业务内控管理、产品受理、会计核算、资金清算、岗位管理、档案管理和信息管理等方面制定一系列规章制度，建立了三层制度体系，即：基本规定、业务管理办法和业务操作规程。制度结构层次清晰、管理要求明确，满足风险管理全覆盖的要求，保证资产托管业务科学化、制度化、规范化运作。</w:t>
      </w:r>
    </w:p>
    <w:p>
      <w:pPr>
        <w:adjustRightInd w:val="0"/>
        <w:snapToGrid w:val="0"/>
        <w:spacing w:line="360" w:lineRule="auto"/>
        <w:ind w:firstLine="480" w:firstLineChars="200"/>
        <w:rPr>
          <w:sz w:val="24"/>
        </w:rPr>
      </w:pPr>
      <w:r>
        <w:rPr>
          <w:rFonts w:hint="eastAsia"/>
          <w:sz w:val="24"/>
        </w:rPr>
        <w:t>（2）业务信息风险控制。招商银行资产托管部在数据传输和保存方面有严格的加密和备份措施，采用加密、直连方式传输数据，数据执行异地实时备份，所有的业务信息须经过严格的授权方能进行访问。</w:t>
      </w:r>
    </w:p>
    <w:p>
      <w:pPr>
        <w:adjustRightInd w:val="0"/>
        <w:snapToGrid w:val="0"/>
        <w:spacing w:line="360" w:lineRule="auto"/>
        <w:ind w:firstLine="480" w:firstLineChars="200"/>
        <w:rPr>
          <w:sz w:val="24"/>
        </w:rPr>
      </w:pPr>
      <w:r>
        <w:rPr>
          <w:rFonts w:hint="eastAsia"/>
          <w:sz w:val="24"/>
        </w:rPr>
        <w:t>（3）客户资料风险控制。招商银行资产托管部对业务办理过程中获取的客户资料严格保密，除法律法规和其他有关规定、监管机构及审计要求外，不向任何机构、部门或个人泄露。</w:t>
      </w:r>
    </w:p>
    <w:p>
      <w:pPr>
        <w:adjustRightInd w:val="0"/>
        <w:snapToGrid w:val="0"/>
        <w:spacing w:line="360" w:lineRule="auto"/>
        <w:ind w:firstLine="480" w:firstLineChars="200"/>
        <w:rPr>
          <w:sz w:val="24"/>
        </w:rPr>
      </w:pPr>
      <w:r>
        <w:rPr>
          <w:rFonts w:hint="eastAsia"/>
          <w:sz w:val="24"/>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pPr>
        <w:adjustRightInd w:val="0"/>
        <w:snapToGrid w:val="0"/>
        <w:spacing w:line="360" w:lineRule="auto"/>
        <w:ind w:firstLine="480" w:firstLineChars="200"/>
        <w:rPr>
          <w:sz w:val="24"/>
        </w:rPr>
      </w:pPr>
      <w:r>
        <w:rPr>
          <w:rFonts w:hint="eastAsia"/>
          <w:sz w:val="24"/>
        </w:rPr>
        <w:t>（5）人力资源控制。招商银行资产托管部通过建立良好的企业文化和员工培训、激励机制、加强人力资源管理及建立人才梯级队伍及人才储备机制，有效地进行人力资源管理。</w:t>
      </w:r>
    </w:p>
    <w:p>
      <w:pPr>
        <w:adjustRightInd w:val="0"/>
        <w:snapToGrid w:val="0"/>
        <w:spacing w:line="360" w:lineRule="auto"/>
        <w:ind w:firstLine="482" w:firstLineChars="200"/>
        <w:outlineLvl w:val="1"/>
        <w:rPr>
          <w:b/>
          <w:sz w:val="24"/>
        </w:rPr>
      </w:pPr>
      <w:r>
        <w:rPr>
          <w:rFonts w:hint="eastAsia"/>
          <w:b/>
          <w:sz w:val="24"/>
        </w:rPr>
        <w:t>（五）基金托管人对基金管理人运作基金进行监督的方法和程序</w:t>
      </w:r>
    </w:p>
    <w:p>
      <w:pPr>
        <w:adjustRightInd w:val="0"/>
        <w:snapToGrid w:val="0"/>
        <w:spacing w:line="360" w:lineRule="auto"/>
        <w:ind w:firstLine="480" w:firstLineChars="200"/>
        <w:rPr>
          <w:sz w:val="24"/>
        </w:rPr>
      </w:pPr>
      <w:r>
        <w:rPr>
          <w:rFonts w:hint="eastAsia"/>
          <w:sz w:val="24"/>
        </w:rPr>
        <w:t>根据《基金法》、《运作办法》等有关法律法规的规定及基金合同、托管协议的约定，对基金的投资运作进行必要的监督。</w:t>
      </w:r>
    </w:p>
    <w:p>
      <w:pPr>
        <w:adjustRightInd w:val="0"/>
        <w:snapToGrid w:val="0"/>
        <w:spacing w:line="360" w:lineRule="auto"/>
        <w:ind w:firstLine="480" w:firstLineChars="200"/>
        <w:rPr>
          <w:sz w:val="24"/>
        </w:rPr>
      </w:pPr>
      <w:r>
        <w:rPr>
          <w:rFonts w:hint="eastAsia"/>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pPr>
        <w:widowControl/>
        <w:adjustRightInd w:val="0"/>
        <w:snapToGrid w:val="0"/>
        <w:spacing w:line="360" w:lineRule="auto"/>
        <w:ind w:firstLine="480" w:firstLineChars="200"/>
        <w:jc w:val="center"/>
        <w:rPr>
          <w:rFonts w:ascii="宋体" w:hAnsi="宋体"/>
          <w:b/>
          <w:kern w:val="0"/>
          <w:sz w:val="30"/>
        </w:rPr>
      </w:pPr>
      <w:r>
        <w:rPr>
          <w:rFonts w:hint="eastAsia"/>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Start w:id="13" w:name="_Toc109537383"/>
      <w:r>
        <w:rPr>
          <w:rFonts w:ascii="宋体" w:hAnsi="宋体"/>
          <w:b/>
          <w:kern w:val="0"/>
          <w:sz w:val="30"/>
        </w:rPr>
        <w:br w:type="page"/>
      </w:r>
      <w:bookmarkEnd w:id="12"/>
      <w:bookmarkStart w:id="14" w:name="_Toc48122006"/>
      <w:r>
        <w:rPr>
          <w:rFonts w:hint="eastAsia" w:ascii="宋体" w:hAnsi="宋体"/>
          <w:b/>
          <w:kern w:val="0"/>
          <w:sz w:val="30"/>
        </w:rPr>
        <w:t>五、相关服务机构</w:t>
      </w:r>
      <w:bookmarkEnd w:id="13"/>
      <w:bookmarkEnd w:id="14"/>
    </w:p>
    <w:p>
      <w:pPr>
        <w:widowControl/>
        <w:adjustRightInd w:val="0"/>
        <w:snapToGrid w:val="0"/>
        <w:spacing w:line="360" w:lineRule="auto"/>
        <w:ind w:firstLine="482" w:firstLineChars="200"/>
        <w:outlineLvl w:val="1"/>
        <w:rPr>
          <w:b/>
          <w:kern w:val="0"/>
          <w:sz w:val="24"/>
        </w:rPr>
      </w:pPr>
      <w:r>
        <w:rPr>
          <w:rFonts w:hAnsi="宋体"/>
          <w:b/>
          <w:kern w:val="0"/>
          <w:sz w:val="24"/>
        </w:rPr>
        <w:t>（一）基金份额销售机构</w:t>
      </w:r>
    </w:p>
    <w:p>
      <w:pPr>
        <w:adjustRightInd w:val="0"/>
        <w:snapToGrid w:val="0"/>
        <w:spacing w:line="360" w:lineRule="auto"/>
        <w:ind w:firstLine="465"/>
        <w:outlineLvl w:val="2"/>
        <w:rPr>
          <w:rFonts w:hAnsi="宋体"/>
          <w:sz w:val="24"/>
        </w:rPr>
      </w:pPr>
      <w:r>
        <w:rPr>
          <w:rFonts w:hAnsi="宋体"/>
          <w:sz w:val="24"/>
        </w:rPr>
        <w:t>1、直销机构</w:t>
      </w:r>
    </w:p>
    <w:p>
      <w:pPr>
        <w:adjustRightInd w:val="0"/>
        <w:snapToGrid w:val="0"/>
        <w:spacing w:line="360" w:lineRule="auto"/>
        <w:ind w:firstLine="465"/>
        <w:rPr>
          <w:rFonts w:hAnsi="宋体"/>
          <w:sz w:val="24"/>
        </w:rPr>
      </w:pPr>
      <w:r>
        <w:rPr>
          <w:rFonts w:hAnsi="宋体"/>
          <w:sz w:val="24"/>
        </w:rPr>
        <w:t>本基金直销机构为</w:t>
      </w:r>
      <w:r>
        <w:rPr>
          <w:rFonts w:hint="eastAsia" w:hAnsi="宋体"/>
          <w:sz w:val="24"/>
        </w:rPr>
        <w:t>基金管理人直销柜台</w:t>
      </w:r>
      <w:r>
        <w:rPr>
          <w:rFonts w:hAnsi="宋体"/>
          <w:sz w:val="24"/>
        </w:rPr>
        <w:t>以及</w:t>
      </w:r>
      <w:r>
        <w:rPr>
          <w:rFonts w:hint="eastAsia" w:hAnsi="宋体"/>
          <w:sz w:val="24"/>
        </w:rPr>
        <w:t>基金管理人</w:t>
      </w:r>
      <w:r>
        <w:rPr>
          <w:rFonts w:hAnsi="宋体"/>
          <w:sz w:val="24"/>
        </w:rPr>
        <w:t>的网上直销交易平台</w:t>
      </w:r>
      <w:r>
        <w:rPr>
          <w:rFonts w:hint="eastAsia" w:hAnsi="宋体"/>
          <w:sz w:val="24"/>
        </w:rPr>
        <w:t>（网站</w:t>
      </w:r>
      <w:r>
        <w:rPr>
          <w:rFonts w:hAnsi="宋体"/>
          <w:sz w:val="24"/>
        </w:rPr>
        <w:t>及手机APP，下同）。</w:t>
      </w:r>
    </w:p>
    <w:p>
      <w:pPr>
        <w:adjustRightInd w:val="0"/>
        <w:snapToGrid w:val="0"/>
        <w:spacing w:line="360" w:lineRule="auto"/>
        <w:ind w:firstLine="465"/>
        <w:rPr>
          <w:rFonts w:hAnsi="宋体"/>
          <w:sz w:val="24"/>
        </w:rPr>
      </w:pPr>
      <w:r>
        <w:rPr>
          <w:rFonts w:hAnsi="宋体"/>
          <w:sz w:val="24"/>
        </w:rPr>
        <w:t>名称：</w:t>
      </w:r>
      <w:r>
        <w:rPr>
          <w:rFonts w:hint="eastAsia" w:hAnsi="宋体"/>
          <w:sz w:val="24"/>
        </w:rPr>
        <w:t>交银施罗德基金管理有限公司</w:t>
      </w:r>
    </w:p>
    <w:p>
      <w:pPr>
        <w:adjustRightInd w:val="0"/>
        <w:snapToGrid w:val="0"/>
        <w:spacing w:line="360" w:lineRule="auto"/>
        <w:ind w:firstLine="465"/>
        <w:rPr>
          <w:rFonts w:hAnsi="宋体"/>
          <w:sz w:val="24"/>
        </w:rPr>
      </w:pPr>
      <w:r>
        <w:rPr>
          <w:rFonts w:hAnsi="宋体"/>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w:t>
      </w:r>
      <w:r>
        <w:rPr>
          <w:rFonts w:hint="eastAsia" w:hAnsi="宋体"/>
          <w:sz w:val="24"/>
        </w:rPr>
        <w:t>银城中路188号交通银行大楼二层（裙）</w:t>
      </w:r>
    </w:p>
    <w:p>
      <w:pPr>
        <w:adjustRightInd w:val="0"/>
        <w:snapToGrid w:val="0"/>
        <w:spacing w:line="360" w:lineRule="auto"/>
        <w:ind w:firstLine="465"/>
        <w:rPr>
          <w:rFonts w:hAnsi="宋体"/>
          <w:sz w:val="24"/>
        </w:rPr>
      </w:pPr>
      <w:r>
        <w:rPr>
          <w:rFonts w:hAnsi="宋体"/>
          <w:sz w:val="24"/>
        </w:rPr>
        <w:t>办公地址：</w:t>
      </w:r>
      <w:r>
        <w:rPr>
          <w:rFonts w:hint="eastAsia" w:hAnsi="宋体"/>
          <w:sz w:val="24"/>
        </w:rPr>
        <w:t>上海市浦东新区世纪大道8号国金中心二期21-22楼</w:t>
      </w:r>
    </w:p>
    <w:p>
      <w:pPr>
        <w:adjustRightInd w:val="0"/>
        <w:snapToGrid w:val="0"/>
        <w:spacing w:line="360" w:lineRule="auto"/>
        <w:ind w:firstLine="465"/>
        <w:rPr>
          <w:rFonts w:hAnsi="宋体"/>
          <w:sz w:val="24"/>
        </w:rPr>
      </w:pPr>
      <w:r>
        <w:rPr>
          <w:rFonts w:hAnsi="宋体"/>
          <w:sz w:val="24"/>
        </w:rPr>
        <w:t>法定代表人：</w:t>
      </w:r>
      <w:r>
        <w:rPr>
          <w:rFonts w:hint="eastAsia" w:hAnsi="宋体"/>
          <w:sz w:val="24"/>
        </w:rPr>
        <w:t>张宏良</w:t>
      </w:r>
    </w:p>
    <w:p>
      <w:pPr>
        <w:adjustRightInd w:val="0"/>
        <w:snapToGrid w:val="0"/>
        <w:spacing w:line="360" w:lineRule="auto"/>
        <w:ind w:firstLine="480" w:firstLineChars="200"/>
        <w:rPr>
          <w:sz w:val="24"/>
        </w:rPr>
      </w:pPr>
      <w:r>
        <w:rPr>
          <w:rFonts w:hAnsi="宋体"/>
          <w:sz w:val="24"/>
        </w:rPr>
        <w:t>成立时间：</w:t>
      </w:r>
      <w:r>
        <w:rPr>
          <w:rFonts w:hint="eastAsia" w:hAnsi="宋体"/>
          <w:sz w:val="24"/>
        </w:rPr>
        <w:t>2005年8月4日</w:t>
      </w:r>
    </w:p>
    <w:p>
      <w:pPr>
        <w:adjustRightInd w:val="0"/>
        <w:snapToGrid w:val="0"/>
        <w:spacing w:line="360" w:lineRule="auto"/>
        <w:ind w:firstLine="480" w:firstLineChars="200"/>
        <w:rPr>
          <w:sz w:val="24"/>
        </w:rPr>
      </w:pPr>
      <w:r>
        <w:rPr>
          <w:rFonts w:hAnsi="宋体"/>
          <w:sz w:val="24"/>
        </w:rPr>
        <w:t>电话：</w:t>
      </w:r>
      <w:r>
        <w:rPr>
          <w:rFonts w:hint="eastAsia" w:hAnsi="宋体"/>
          <w:sz w:val="24"/>
        </w:rPr>
        <w:t>（021）6105</w:t>
      </w:r>
      <w:r>
        <w:rPr>
          <w:rFonts w:hAnsi="宋体"/>
          <w:sz w:val="24"/>
        </w:rPr>
        <w:t>5724</w:t>
      </w:r>
    </w:p>
    <w:p>
      <w:pPr>
        <w:adjustRightInd w:val="0"/>
        <w:snapToGrid w:val="0"/>
        <w:spacing w:line="360" w:lineRule="auto"/>
        <w:ind w:firstLine="480" w:firstLineChars="200"/>
        <w:rPr>
          <w:sz w:val="24"/>
        </w:rPr>
      </w:pPr>
      <w:r>
        <w:rPr>
          <w:rFonts w:hAnsi="宋体"/>
          <w:sz w:val="24"/>
        </w:rPr>
        <w:t>传真：</w:t>
      </w:r>
      <w:r>
        <w:rPr>
          <w:rFonts w:hint="eastAsia" w:hAnsi="宋体"/>
          <w:sz w:val="24"/>
        </w:rPr>
        <w:t>（021）61055054</w:t>
      </w:r>
    </w:p>
    <w:p>
      <w:pPr>
        <w:adjustRightInd w:val="0"/>
        <w:snapToGrid w:val="0"/>
        <w:spacing w:line="360" w:lineRule="auto"/>
        <w:ind w:firstLine="480" w:firstLineChars="200"/>
        <w:rPr>
          <w:sz w:val="24"/>
        </w:rPr>
      </w:pPr>
      <w:r>
        <w:rPr>
          <w:rFonts w:hAnsi="宋体"/>
          <w:sz w:val="24"/>
        </w:rPr>
        <w:t>联系人：</w:t>
      </w:r>
      <w:r>
        <w:rPr>
          <w:rFonts w:hint="eastAsia" w:hAnsi="宋体"/>
          <w:sz w:val="24"/>
        </w:rPr>
        <w:t>傅鲸</w:t>
      </w:r>
    </w:p>
    <w:p>
      <w:pPr>
        <w:adjustRightInd w:val="0"/>
        <w:snapToGrid w:val="0"/>
        <w:spacing w:line="360" w:lineRule="auto"/>
        <w:ind w:firstLine="480" w:firstLineChars="200"/>
        <w:rPr>
          <w:sz w:val="24"/>
        </w:rPr>
      </w:pPr>
      <w:r>
        <w:rPr>
          <w:rFonts w:hAnsi="宋体"/>
          <w:sz w:val="24"/>
        </w:rPr>
        <w:t>客户服务电话：</w:t>
      </w:r>
      <w:r>
        <w:rPr>
          <w:rFonts w:hint="eastAsia" w:hAnsi="宋体"/>
          <w:sz w:val="24"/>
        </w:rPr>
        <w:t>400-700-5000（免长途话费），（021）61055000</w:t>
      </w:r>
    </w:p>
    <w:p>
      <w:pPr>
        <w:adjustRightInd w:val="0"/>
        <w:snapToGrid w:val="0"/>
        <w:spacing w:line="360" w:lineRule="auto"/>
        <w:ind w:firstLine="480" w:firstLineChars="200"/>
        <w:rPr>
          <w:rStyle w:val="31"/>
          <w:color w:val="auto"/>
          <w:sz w:val="24"/>
          <w:u w:val="none"/>
        </w:rPr>
      </w:pPr>
      <w:r>
        <w:rPr>
          <w:rFonts w:hAnsi="宋体"/>
          <w:sz w:val="24"/>
        </w:rPr>
        <w:t>网址：</w:t>
      </w:r>
      <w:r>
        <w:rPr>
          <w:rFonts w:hint="eastAsia" w:hAnsi="宋体"/>
          <w:sz w:val="24"/>
        </w:rPr>
        <w:t>www.fund001.com</w:t>
      </w:r>
    </w:p>
    <w:p>
      <w:pPr>
        <w:widowControl/>
        <w:adjustRightInd w:val="0"/>
        <w:snapToGrid w:val="0"/>
        <w:spacing w:line="360" w:lineRule="auto"/>
        <w:ind w:firstLine="480" w:firstLineChars="200"/>
        <w:rPr>
          <w:kern w:val="0"/>
          <w:sz w:val="24"/>
        </w:rPr>
      </w:pPr>
      <w:r>
        <w:rPr>
          <w:kern w:val="0"/>
          <w:sz w:val="24"/>
        </w:rPr>
        <w:t>个人投资者可以通过</w:t>
      </w:r>
      <w:r>
        <w:rPr>
          <w:rFonts w:hint="eastAsia" w:hAnsi="宋体"/>
          <w:kern w:val="0"/>
          <w:sz w:val="24"/>
          <w:szCs w:val="24"/>
        </w:rPr>
        <w:t>基金管理人</w:t>
      </w:r>
      <w:r>
        <w:rPr>
          <w:kern w:val="0"/>
          <w:sz w:val="24"/>
        </w:rPr>
        <w:t>网上直销交易平台办理开户、本基金的认购、申购、赎回等业务，具体交易细则请参阅</w:t>
      </w:r>
      <w:r>
        <w:rPr>
          <w:rFonts w:hint="eastAsia" w:hAnsi="宋体"/>
          <w:kern w:val="0"/>
          <w:sz w:val="24"/>
          <w:szCs w:val="24"/>
        </w:rPr>
        <w:t>基金管理人</w:t>
      </w:r>
      <w:r>
        <w:rPr>
          <w:kern w:val="0"/>
          <w:sz w:val="24"/>
        </w:rPr>
        <w:t>网站。</w:t>
      </w:r>
    </w:p>
    <w:p>
      <w:pPr>
        <w:widowControl/>
        <w:adjustRightInd w:val="0"/>
        <w:snapToGrid w:val="0"/>
        <w:spacing w:line="360" w:lineRule="auto"/>
        <w:ind w:firstLine="480" w:firstLineChars="200"/>
        <w:rPr>
          <w:rStyle w:val="31"/>
          <w:color w:val="auto"/>
          <w:kern w:val="0"/>
          <w:sz w:val="24"/>
          <w:u w:val="none"/>
        </w:rPr>
      </w:pPr>
      <w:r>
        <w:rPr>
          <w:kern w:val="0"/>
          <w:sz w:val="24"/>
        </w:rPr>
        <w:t>网上直销交易平台网址：</w:t>
      </w:r>
      <w:r>
        <w:fldChar w:fldCharType="begin"/>
      </w:r>
      <w:r>
        <w:instrText xml:space="preserve"> HYPERLINK "http://www.jysld.com" </w:instrText>
      </w:r>
      <w:r>
        <w:fldChar w:fldCharType="separate"/>
      </w:r>
      <w:r>
        <w:rPr>
          <w:rStyle w:val="31"/>
          <w:color w:val="auto"/>
          <w:sz w:val="24"/>
          <w:u w:val="none"/>
        </w:rPr>
        <w:t>www.fund001.com</w:t>
      </w:r>
      <w:r>
        <w:rPr>
          <w:rStyle w:val="31"/>
          <w:color w:val="auto"/>
          <w:sz w:val="24"/>
          <w:u w:val="none"/>
        </w:rPr>
        <w:fldChar w:fldCharType="end"/>
      </w:r>
      <w:r>
        <w:rPr>
          <w:rStyle w:val="31"/>
          <w:color w:val="auto"/>
          <w:sz w:val="24"/>
          <w:u w:val="none"/>
        </w:rPr>
        <w:t>。</w:t>
      </w:r>
    </w:p>
    <w:p>
      <w:pPr>
        <w:adjustRightInd w:val="0"/>
        <w:snapToGrid w:val="0"/>
        <w:spacing w:line="360" w:lineRule="auto"/>
        <w:ind w:firstLine="480" w:firstLineChars="200"/>
        <w:outlineLvl w:val="2"/>
        <w:rPr>
          <w:sz w:val="24"/>
        </w:rPr>
      </w:pPr>
      <w:r>
        <w:rPr>
          <w:rFonts w:hint="eastAsia"/>
          <w:sz w:val="24"/>
        </w:rPr>
        <w:t>2、除基金管理人之外的其他销售机构</w:t>
      </w:r>
      <w:bookmarkStart w:id="110" w:name="_GoBack"/>
      <w:bookmarkEnd w:id="110"/>
    </w:p>
    <w:p>
      <w:pPr>
        <w:adjustRightInd w:val="0"/>
        <w:snapToGrid w:val="0"/>
        <w:spacing w:line="360" w:lineRule="auto"/>
        <w:ind w:firstLine="480" w:firstLineChars="200"/>
        <w:rPr>
          <w:rFonts w:hAnsi="宋体"/>
          <w:sz w:val="24"/>
        </w:rPr>
      </w:pPr>
      <w:r>
        <w:rPr>
          <w:rFonts w:hint="eastAsia" w:hAnsi="宋体"/>
          <w:sz w:val="24"/>
        </w:rPr>
        <w:t>（1）招商银行股份有限公司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w:t>
      </w:r>
      <w:r>
        <w:rPr>
          <w:rFonts w:hint="eastAsia" w:ascii="宋体" w:hAnsi="宋体"/>
          <w:sz w:val="24"/>
        </w:rPr>
        <w:t>缪建民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电话：（0755）83198888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传真：（0755）83195109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w:t>
      </w:r>
      <w:r>
        <w:rPr>
          <w:rFonts w:hint="eastAsia" w:ascii="宋体" w:hAnsi="宋体"/>
          <w:sz w:val="24"/>
        </w:rPr>
        <w:t>季平伟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客户服务电话：95555</w:t>
      </w:r>
    </w:p>
    <w:p>
      <w:pPr>
        <w:adjustRightInd w:val="0"/>
        <w:snapToGrid w:val="0"/>
        <w:spacing w:line="360" w:lineRule="auto"/>
        <w:ind w:firstLine="480" w:firstLineChars="200"/>
        <w:rPr>
          <w:rFonts w:hAnsi="宋体"/>
          <w:sz w:val="24"/>
        </w:rPr>
      </w:pPr>
      <w:r>
        <w:rPr>
          <w:rFonts w:ascii="宋体" w:hAnsi="宋体"/>
          <w:sz w:val="24"/>
        </w:rPr>
        <w:t>网址：www.cmbchina.com</w:t>
      </w:r>
    </w:p>
    <w:p>
      <w:pPr>
        <w:adjustRightInd w:val="0"/>
        <w:snapToGrid w:val="0"/>
        <w:spacing w:line="360" w:lineRule="auto"/>
        <w:ind w:firstLine="480" w:firstLineChars="200"/>
        <w:rPr>
          <w:rFonts w:hAnsi="宋体"/>
          <w:sz w:val="24"/>
        </w:rPr>
      </w:pPr>
      <w:r>
        <w:rPr>
          <w:rFonts w:hint="eastAsia" w:hAnsi="宋体"/>
          <w:sz w:val="24"/>
        </w:rPr>
        <w:t>（2）交通银行股份有限公司</w:t>
      </w:r>
    </w:p>
    <w:p>
      <w:pPr>
        <w:adjustRightInd w:val="0"/>
        <w:snapToGrid w:val="0"/>
        <w:spacing w:line="360" w:lineRule="auto"/>
        <w:ind w:firstLine="480" w:firstLineChars="200"/>
        <w:rPr>
          <w:rFonts w:hAnsi="宋体"/>
          <w:sz w:val="24"/>
        </w:rPr>
      </w:pPr>
      <w:r>
        <w:rPr>
          <w:rFonts w:hint="eastAsia" w:hAnsi="宋体"/>
          <w:sz w:val="24"/>
        </w:rPr>
        <w:t>住所：上海市浦东新区银城中路188号</w:t>
      </w:r>
    </w:p>
    <w:p>
      <w:pPr>
        <w:adjustRightInd w:val="0"/>
        <w:snapToGrid w:val="0"/>
        <w:spacing w:line="360" w:lineRule="auto"/>
        <w:ind w:firstLine="480" w:firstLineChars="200"/>
        <w:rPr>
          <w:rFonts w:hAnsi="宋体"/>
          <w:sz w:val="24"/>
        </w:rPr>
      </w:pPr>
      <w:r>
        <w:rPr>
          <w:rFonts w:hint="eastAsia" w:hAnsi="宋体"/>
          <w:sz w:val="24"/>
        </w:rPr>
        <w:t>办公地址：上海市浦东新区银城中路188号</w:t>
      </w:r>
    </w:p>
    <w:p>
      <w:pPr>
        <w:adjustRightInd w:val="0"/>
        <w:snapToGrid w:val="0"/>
        <w:spacing w:line="360" w:lineRule="auto"/>
        <w:ind w:firstLine="480" w:firstLineChars="200"/>
        <w:rPr>
          <w:rFonts w:hAnsi="宋体"/>
          <w:sz w:val="24"/>
        </w:rPr>
      </w:pPr>
      <w:r>
        <w:rPr>
          <w:rFonts w:hint="eastAsia" w:hAnsi="宋体"/>
          <w:sz w:val="24"/>
        </w:rPr>
        <w:t>法定代表人：</w:t>
      </w:r>
      <w:r>
        <w:rPr>
          <w:rFonts w:hint="eastAsia"/>
          <w:sz w:val="24"/>
        </w:rPr>
        <w:t>任德奇</w:t>
      </w:r>
    </w:p>
    <w:p>
      <w:pPr>
        <w:adjustRightInd w:val="0"/>
        <w:snapToGrid w:val="0"/>
        <w:spacing w:line="360" w:lineRule="auto"/>
        <w:ind w:firstLine="480" w:firstLineChars="200"/>
        <w:rPr>
          <w:rFonts w:hAnsi="宋体"/>
          <w:sz w:val="24"/>
        </w:rPr>
      </w:pPr>
      <w:r>
        <w:rPr>
          <w:rFonts w:hint="eastAsia" w:hAnsi="宋体"/>
          <w:sz w:val="24"/>
        </w:rPr>
        <w:t>电话：（021）58781234</w:t>
      </w:r>
    </w:p>
    <w:p>
      <w:pPr>
        <w:adjustRightInd w:val="0"/>
        <w:snapToGrid w:val="0"/>
        <w:spacing w:line="360" w:lineRule="auto"/>
        <w:ind w:firstLine="480" w:firstLineChars="200"/>
        <w:rPr>
          <w:rFonts w:hAnsi="宋体"/>
          <w:sz w:val="24"/>
        </w:rPr>
      </w:pPr>
      <w:r>
        <w:rPr>
          <w:rFonts w:hint="eastAsia" w:hAnsi="宋体"/>
          <w:sz w:val="24"/>
        </w:rPr>
        <w:t>传真：（021）58408483</w:t>
      </w:r>
    </w:p>
    <w:p>
      <w:pPr>
        <w:adjustRightInd w:val="0"/>
        <w:snapToGrid w:val="0"/>
        <w:spacing w:line="360" w:lineRule="auto"/>
        <w:ind w:firstLine="480" w:firstLineChars="200"/>
        <w:rPr>
          <w:rFonts w:hAnsi="宋体"/>
          <w:sz w:val="24"/>
        </w:rPr>
      </w:pPr>
      <w:r>
        <w:rPr>
          <w:rFonts w:hint="eastAsia" w:hAnsi="宋体"/>
          <w:sz w:val="24"/>
        </w:rPr>
        <w:t>联系人：范瑞波</w:t>
      </w:r>
    </w:p>
    <w:p>
      <w:pPr>
        <w:adjustRightInd w:val="0"/>
        <w:snapToGrid w:val="0"/>
        <w:spacing w:line="360" w:lineRule="auto"/>
        <w:ind w:firstLine="480" w:firstLineChars="200"/>
        <w:rPr>
          <w:rFonts w:hAnsi="宋体"/>
          <w:sz w:val="24"/>
        </w:rPr>
      </w:pPr>
      <w:r>
        <w:rPr>
          <w:rFonts w:hint="eastAsia" w:hAnsi="宋体"/>
          <w:sz w:val="24"/>
        </w:rPr>
        <w:t>客户服务电话：95559</w:t>
      </w:r>
    </w:p>
    <w:p>
      <w:pPr>
        <w:adjustRightInd w:val="0"/>
        <w:snapToGrid w:val="0"/>
        <w:spacing w:line="360" w:lineRule="auto"/>
        <w:ind w:firstLine="480" w:firstLineChars="200"/>
        <w:rPr>
          <w:rFonts w:hAnsi="宋体"/>
          <w:sz w:val="24"/>
        </w:rPr>
      </w:pPr>
      <w:r>
        <w:rPr>
          <w:rFonts w:hint="eastAsia" w:hAnsi="宋体"/>
          <w:sz w:val="24"/>
        </w:rPr>
        <w:t>网址：www.bankcomm.com</w:t>
      </w:r>
    </w:p>
    <w:p>
      <w:pPr>
        <w:adjustRightInd w:val="0"/>
        <w:snapToGrid w:val="0"/>
        <w:spacing w:line="360" w:lineRule="auto"/>
        <w:ind w:firstLine="480" w:firstLineChars="200"/>
        <w:rPr>
          <w:rFonts w:hAnsi="宋体"/>
          <w:sz w:val="24"/>
        </w:rPr>
      </w:pPr>
      <w:r>
        <w:rPr>
          <w:rFonts w:hint="eastAsia" w:hAnsi="宋体"/>
          <w:sz w:val="24"/>
        </w:rPr>
        <w:t>基金管理人可根据有关法律法规的要求，选择其它符合要求的机构销售本基金，并在基金管理人网站公示。</w:t>
      </w:r>
    </w:p>
    <w:p>
      <w:pPr>
        <w:widowControl/>
        <w:adjustRightInd w:val="0"/>
        <w:snapToGrid w:val="0"/>
        <w:spacing w:line="360" w:lineRule="auto"/>
        <w:ind w:firstLine="482" w:firstLineChars="200"/>
        <w:outlineLvl w:val="1"/>
        <w:rPr>
          <w:b/>
          <w:kern w:val="0"/>
          <w:sz w:val="24"/>
        </w:rPr>
      </w:pPr>
      <w:r>
        <w:rPr>
          <w:rFonts w:hAnsi="宋体"/>
          <w:b/>
          <w:kern w:val="0"/>
          <w:sz w:val="24"/>
        </w:rPr>
        <w:t>（二）登记机构</w:t>
      </w:r>
    </w:p>
    <w:p>
      <w:pPr>
        <w:adjustRightInd w:val="0"/>
        <w:snapToGrid w:val="0"/>
        <w:spacing w:line="360" w:lineRule="auto"/>
        <w:ind w:firstLine="480" w:firstLineChars="200"/>
        <w:rPr>
          <w:rFonts w:hAnsi="宋体"/>
          <w:kern w:val="0"/>
          <w:sz w:val="24"/>
        </w:rPr>
      </w:pPr>
      <w:r>
        <w:rPr>
          <w:rFonts w:hint="eastAsia" w:hAnsi="宋体"/>
          <w:kern w:val="0"/>
          <w:sz w:val="24"/>
        </w:rPr>
        <w:t xml:space="preserve">名称：交银施罗德基金管理有限公司 </w:t>
      </w:r>
    </w:p>
    <w:p>
      <w:pPr>
        <w:adjustRightInd w:val="0"/>
        <w:snapToGrid w:val="0"/>
        <w:spacing w:line="360" w:lineRule="auto"/>
        <w:ind w:firstLine="480" w:firstLineChars="200"/>
        <w:rPr>
          <w:rFonts w:hAnsi="宋体"/>
          <w:kern w:val="0"/>
          <w:sz w:val="24"/>
        </w:rPr>
      </w:pPr>
      <w:r>
        <w:rPr>
          <w:rFonts w:hint="eastAsia" w:hAnsi="宋体"/>
          <w:kern w:val="0"/>
          <w:sz w:val="24"/>
        </w:rPr>
        <w:t>住所：中国（上海）自由贸易试验区银城中路188号交通银行大楼二层（裙）</w:t>
      </w:r>
    </w:p>
    <w:p>
      <w:pPr>
        <w:adjustRightInd w:val="0"/>
        <w:snapToGrid w:val="0"/>
        <w:spacing w:line="360" w:lineRule="auto"/>
        <w:ind w:firstLine="480" w:firstLineChars="200"/>
        <w:rPr>
          <w:rFonts w:hAnsi="宋体"/>
          <w:kern w:val="0"/>
          <w:sz w:val="24"/>
        </w:rPr>
      </w:pPr>
      <w:r>
        <w:rPr>
          <w:rFonts w:hint="eastAsia" w:hAnsi="宋体"/>
          <w:kern w:val="0"/>
          <w:sz w:val="24"/>
        </w:rPr>
        <w:t>办公地址：上海市浦东新区世纪大道8号国金中心二期21-22楼</w:t>
      </w:r>
    </w:p>
    <w:p>
      <w:pPr>
        <w:adjustRightInd w:val="0"/>
        <w:snapToGrid w:val="0"/>
        <w:spacing w:line="360" w:lineRule="auto"/>
        <w:ind w:firstLine="480" w:firstLineChars="200"/>
        <w:rPr>
          <w:rFonts w:hAnsi="宋体"/>
          <w:kern w:val="0"/>
          <w:sz w:val="24"/>
        </w:rPr>
      </w:pPr>
      <w:r>
        <w:rPr>
          <w:rFonts w:hint="eastAsia" w:hAnsi="宋体"/>
          <w:kern w:val="0"/>
          <w:sz w:val="24"/>
        </w:rPr>
        <w:t>法定代表人：张宏良</w:t>
      </w:r>
    </w:p>
    <w:p>
      <w:pPr>
        <w:adjustRightInd w:val="0"/>
        <w:snapToGrid w:val="0"/>
        <w:spacing w:line="360" w:lineRule="auto"/>
        <w:ind w:firstLine="480" w:firstLineChars="200"/>
        <w:rPr>
          <w:rFonts w:hAnsi="宋体"/>
          <w:kern w:val="0"/>
          <w:sz w:val="24"/>
        </w:rPr>
      </w:pPr>
      <w:r>
        <w:rPr>
          <w:rFonts w:hint="eastAsia" w:hAnsi="宋体"/>
          <w:kern w:val="0"/>
          <w:sz w:val="24"/>
        </w:rPr>
        <w:t>电话：（021）61055461</w:t>
      </w:r>
    </w:p>
    <w:p>
      <w:pPr>
        <w:adjustRightInd w:val="0"/>
        <w:snapToGrid w:val="0"/>
        <w:spacing w:line="360" w:lineRule="auto"/>
        <w:ind w:firstLine="480" w:firstLineChars="200"/>
        <w:rPr>
          <w:rFonts w:hAnsi="宋体"/>
          <w:kern w:val="0"/>
          <w:sz w:val="24"/>
        </w:rPr>
      </w:pPr>
      <w:r>
        <w:rPr>
          <w:rFonts w:hint="eastAsia" w:hAnsi="宋体"/>
          <w:kern w:val="0"/>
          <w:sz w:val="24"/>
        </w:rPr>
        <w:t>传真：（021）61055064</w:t>
      </w:r>
    </w:p>
    <w:p>
      <w:pPr>
        <w:widowControl/>
        <w:adjustRightInd w:val="0"/>
        <w:snapToGrid w:val="0"/>
        <w:spacing w:line="360" w:lineRule="auto"/>
        <w:ind w:firstLine="480" w:firstLineChars="200"/>
        <w:outlineLvl w:val="1"/>
        <w:rPr>
          <w:rFonts w:hAnsi="宋体"/>
          <w:b/>
          <w:kern w:val="0"/>
          <w:sz w:val="24"/>
        </w:rPr>
      </w:pPr>
      <w:r>
        <w:rPr>
          <w:rFonts w:hint="eastAsia" w:hAnsi="宋体"/>
          <w:kern w:val="0"/>
          <w:sz w:val="24"/>
        </w:rPr>
        <w:t>联系人：陈方强</w:t>
      </w:r>
    </w:p>
    <w:p>
      <w:pPr>
        <w:widowControl/>
        <w:adjustRightInd w:val="0"/>
        <w:snapToGrid w:val="0"/>
        <w:spacing w:line="360" w:lineRule="auto"/>
        <w:ind w:firstLine="482" w:firstLineChars="200"/>
        <w:outlineLvl w:val="1"/>
        <w:rPr>
          <w:b/>
          <w:kern w:val="0"/>
          <w:sz w:val="24"/>
        </w:rPr>
      </w:pPr>
      <w:r>
        <w:rPr>
          <w:rFonts w:hAnsi="宋体"/>
          <w:b/>
          <w:kern w:val="0"/>
          <w:sz w:val="24"/>
        </w:rPr>
        <w:t>（三）出具法律意见书的律师事务所</w:t>
      </w:r>
    </w:p>
    <w:p>
      <w:pPr>
        <w:widowControl/>
        <w:adjustRightInd w:val="0"/>
        <w:snapToGrid w:val="0"/>
        <w:spacing w:line="360" w:lineRule="auto"/>
        <w:ind w:firstLine="480" w:firstLineChars="200"/>
        <w:rPr>
          <w:kern w:val="0"/>
          <w:sz w:val="24"/>
        </w:rPr>
      </w:pPr>
      <w:r>
        <w:rPr>
          <w:rFonts w:hAnsi="宋体"/>
          <w:kern w:val="0"/>
          <w:sz w:val="24"/>
        </w:rPr>
        <w:t>名称：上海市通力律师事务所</w:t>
      </w:r>
    </w:p>
    <w:p>
      <w:pPr>
        <w:widowControl/>
        <w:adjustRightInd w:val="0"/>
        <w:snapToGrid w:val="0"/>
        <w:spacing w:line="360" w:lineRule="auto"/>
        <w:ind w:firstLine="480" w:firstLineChars="20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18-20</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负责人：</w:t>
      </w:r>
      <w:r>
        <w:rPr>
          <w:rFonts w:hint="eastAsia" w:hAnsi="宋体"/>
          <w:kern w:val="0"/>
          <w:sz w:val="24"/>
        </w:rPr>
        <w:t>韩炯</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pPr>
        <w:widowControl/>
        <w:adjustRightInd w:val="0"/>
        <w:snapToGrid w:val="0"/>
        <w:spacing w:line="360" w:lineRule="auto"/>
        <w:ind w:firstLine="480" w:firstLineChars="200"/>
        <w:rPr>
          <w:rFonts w:hAnsi="宋体"/>
          <w:kern w:val="0"/>
          <w:sz w:val="24"/>
        </w:rPr>
      </w:pPr>
      <w:r>
        <w:rPr>
          <w:rFonts w:hint="eastAsia" w:hAnsi="宋体"/>
          <w:kern w:val="0"/>
          <w:sz w:val="24"/>
        </w:rPr>
        <w:t>联系人：丁媛</w:t>
      </w:r>
    </w:p>
    <w:p>
      <w:pPr>
        <w:widowControl/>
        <w:adjustRightInd w:val="0"/>
        <w:snapToGrid w:val="0"/>
        <w:spacing w:line="360" w:lineRule="auto"/>
        <w:ind w:firstLine="480" w:firstLineChars="200"/>
        <w:rPr>
          <w:rFonts w:hAnsi="宋体"/>
          <w:kern w:val="0"/>
          <w:sz w:val="24"/>
        </w:rPr>
      </w:pPr>
      <w:r>
        <w:rPr>
          <w:rFonts w:hAnsi="宋体"/>
          <w:kern w:val="0"/>
          <w:sz w:val="24"/>
        </w:rPr>
        <w:t>经办律师：</w:t>
      </w:r>
      <w:r>
        <w:rPr>
          <w:rFonts w:hint="eastAsia" w:hAnsi="宋体"/>
          <w:kern w:val="0"/>
          <w:sz w:val="24"/>
        </w:rPr>
        <w:t>丁媛、李晓露</w:t>
      </w:r>
    </w:p>
    <w:p>
      <w:pPr>
        <w:widowControl/>
        <w:adjustRightInd w:val="0"/>
        <w:snapToGrid w:val="0"/>
        <w:spacing w:line="360" w:lineRule="auto"/>
        <w:ind w:firstLine="482" w:firstLineChars="200"/>
        <w:outlineLvl w:val="1"/>
        <w:rPr>
          <w:b/>
          <w:kern w:val="0"/>
          <w:sz w:val="24"/>
        </w:rPr>
      </w:pPr>
      <w:r>
        <w:rPr>
          <w:rFonts w:hAnsi="宋体"/>
          <w:b/>
          <w:kern w:val="0"/>
          <w:sz w:val="24"/>
        </w:rPr>
        <w:t>（四）审计基金财产的会计师事务所</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名称：安永华明会计师事务所（特殊普通合伙）</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住所：北京市东城区东长安街1号东方广场安永大楼17层</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办公地址：北京市东城区东长安街1号东方广场安永大楼17层</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执行事务合伙人：毛鞍宁</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电话：（010）58153000</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传真：（010）85188298</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联系人：蒋燕华</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经办注册会计师：蒋燕华、费泽旭</w:t>
      </w:r>
    </w:p>
    <w:p>
      <w:pPr>
        <w:spacing w:line="360" w:lineRule="auto"/>
        <w:jc w:val="center"/>
        <w:outlineLvl w:val="0"/>
        <w:rPr>
          <w:rFonts w:ascii="宋体" w:hAnsi="宋体"/>
          <w:b/>
          <w:kern w:val="0"/>
          <w:sz w:val="30"/>
        </w:rPr>
      </w:pPr>
      <w:r>
        <w:rPr>
          <w:rFonts w:hAnsi="宋体"/>
          <w:kern w:val="0"/>
          <w:sz w:val="24"/>
        </w:rPr>
        <w:br w:type="page"/>
      </w:r>
      <w:bookmarkStart w:id="15" w:name="_Toc48122007"/>
      <w:r>
        <w:rPr>
          <w:rFonts w:hint="eastAsia" w:ascii="宋体" w:hAnsi="宋体"/>
          <w:b/>
          <w:kern w:val="0"/>
          <w:sz w:val="30"/>
        </w:rPr>
        <w:t>六、基金的募集</w:t>
      </w:r>
      <w:bookmarkEnd w:id="15"/>
    </w:p>
    <w:p>
      <w:pPr>
        <w:adjustRightInd w:val="0"/>
        <w:snapToGrid w:val="0"/>
        <w:spacing w:line="360" w:lineRule="auto"/>
        <w:ind w:firstLine="482" w:firstLineChars="200"/>
        <w:outlineLvl w:val="1"/>
        <w:rPr>
          <w:b/>
          <w:sz w:val="24"/>
          <w:szCs w:val="24"/>
        </w:rPr>
      </w:pPr>
      <w:r>
        <w:rPr>
          <w:b/>
          <w:sz w:val="24"/>
          <w:szCs w:val="24"/>
        </w:rPr>
        <w:t>（一）基金募集的依据</w:t>
      </w:r>
    </w:p>
    <w:p>
      <w:pPr>
        <w:widowControl/>
        <w:adjustRightInd w:val="0"/>
        <w:snapToGrid w:val="0"/>
        <w:spacing w:line="360" w:lineRule="auto"/>
        <w:ind w:firstLine="480" w:firstLineChars="20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w:t>
      </w:r>
      <w:r>
        <w:rPr>
          <w:rFonts w:hint="eastAsia"/>
          <w:kern w:val="0"/>
          <w:sz w:val="24"/>
          <w:lang w:val="en-US" w:eastAsia="zh-CN"/>
        </w:rPr>
        <w:t>2025年7月10日</w:t>
      </w:r>
      <w:r>
        <w:rPr>
          <w:kern w:val="0"/>
          <w:sz w:val="24"/>
        </w:rPr>
        <w:t>证监许可</w:t>
      </w:r>
      <w:r>
        <w:rPr>
          <w:rFonts w:hint="eastAsia"/>
          <w:kern w:val="0"/>
          <w:sz w:val="24"/>
        </w:rPr>
        <w:t>【2</w:t>
      </w:r>
      <w:r>
        <w:rPr>
          <w:kern w:val="0"/>
          <w:sz w:val="24"/>
        </w:rPr>
        <w:t>0</w:t>
      </w:r>
      <w:r>
        <w:rPr>
          <w:rFonts w:hint="eastAsia"/>
          <w:kern w:val="0"/>
          <w:sz w:val="24"/>
          <w:lang w:val="en-US" w:eastAsia="zh-CN"/>
        </w:rPr>
        <w:t>25</w:t>
      </w:r>
      <w:r>
        <w:rPr>
          <w:rFonts w:hAnsi="宋体"/>
          <w:kern w:val="0"/>
          <w:sz w:val="24"/>
        </w:rPr>
        <w:t>】</w:t>
      </w:r>
      <w:r>
        <w:rPr>
          <w:rFonts w:hint="eastAsia" w:hAnsi="宋体"/>
          <w:kern w:val="0"/>
          <w:sz w:val="24"/>
          <w:lang w:val="en-US" w:eastAsia="zh-CN"/>
        </w:rPr>
        <w:t>1446</w:t>
      </w:r>
      <w:r>
        <w:rPr>
          <w:kern w:val="0"/>
          <w:sz w:val="24"/>
        </w:rPr>
        <w:t>号</w:t>
      </w:r>
      <w:r>
        <w:rPr>
          <w:rFonts w:hint="eastAsia"/>
          <w:kern w:val="0"/>
          <w:sz w:val="24"/>
        </w:rPr>
        <w:t>文准予</w:t>
      </w:r>
      <w:r>
        <w:rPr>
          <w:kern w:val="0"/>
          <w:sz w:val="24"/>
        </w:rPr>
        <w:t>募集</w:t>
      </w:r>
      <w:r>
        <w:rPr>
          <w:rFonts w:hint="eastAsia"/>
          <w:kern w:val="0"/>
          <w:sz w:val="24"/>
        </w:rPr>
        <w:t>注册</w:t>
      </w:r>
      <w:r>
        <w:rPr>
          <w:kern w:val="0"/>
          <w:sz w:val="24"/>
        </w:rPr>
        <w:t>。</w:t>
      </w:r>
    </w:p>
    <w:p>
      <w:pPr>
        <w:adjustRightInd w:val="0"/>
        <w:snapToGrid w:val="0"/>
        <w:spacing w:line="360" w:lineRule="auto"/>
        <w:ind w:firstLine="482" w:firstLineChars="200"/>
        <w:outlineLvl w:val="1"/>
        <w:rPr>
          <w:b/>
          <w:sz w:val="24"/>
          <w:szCs w:val="24"/>
        </w:rPr>
      </w:pPr>
      <w:r>
        <w:rPr>
          <w:b/>
          <w:sz w:val="24"/>
          <w:szCs w:val="24"/>
        </w:rPr>
        <w:t>（二）基金类</w:t>
      </w:r>
      <w:r>
        <w:rPr>
          <w:rFonts w:hint="eastAsia"/>
          <w:b/>
          <w:sz w:val="24"/>
          <w:szCs w:val="24"/>
        </w:rPr>
        <w:t>别</w:t>
      </w:r>
    </w:p>
    <w:p>
      <w:pPr>
        <w:widowControl/>
        <w:adjustRightInd w:val="0"/>
        <w:snapToGrid w:val="0"/>
        <w:spacing w:line="360" w:lineRule="auto"/>
        <w:ind w:firstLine="480" w:firstLineChars="200"/>
        <w:rPr>
          <w:kern w:val="0"/>
          <w:sz w:val="24"/>
        </w:rPr>
      </w:pPr>
      <w:r>
        <w:rPr>
          <w:kern w:val="0"/>
          <w:sz w:val="24"/>
        </w:rPr>
        <w:t>混合型</w:t>
      </w:r>
      <w:r>
        <w:rPr>
          <w:rFonts w:hint="eastAsia"/>
          <w:kern w:val="0"/>
          <w:sz w:val="24"/>
        </w:rPr>
        <w:t>证券投资</w:t>
      </w:r>
      <w:r>
        <w:rPr>
          <w:kern w:val="0"/>
          <w:sz w:val="24"/>
        </w:rPr>
        <w:t>基金</w:t>
      </w:r>
    </w:p>
    <w:p>
      <w:pPr>
        <w:adjustRightInd w:val="0"/>
        <w:snapToGrid w:val="0"/>
        <w:spacing w:line="360" w:lineRule="auto"/>
        <w:ind w:firstLine="482" w:firstLineChars="200"/>
        <w:outlineLvl w:val="1"/>
        <w:rPr>
          <w:b/>
          <w:sz w:val="24"/>
          <w:szCs w:val="24"/>
        </w:rPr>
      </w:pPr>
      <w:r>
        <w:rPr>
          <w:b/>
          <w:sz w:val="24"/>
          <w:szCs w:val="24"/>
        </w:rPr>
        <w:t>（三）基金运作方式</w:t>
      </w:r>
    </w:p>
    <w:p>
      <w:pPr>
        <w:adjustRightInd w:val="0"/>
        <w:snapToGrid w:val="0"/>
        <w:spacing w:line="360" w:lineRule="auto"/>
        <w:ind w:firstLine="480" w:firstLineChars="200"/>
        <w:rPr>
          <w:sz w:val="24"/>
        </w:rPr>
      </w:pPr>
      <w:r>
        <w:rPr>
          <w:sz w:val="24"/>
        </w:rPr>
        <w:t>契约型开放式</w:t>
      </w:r>
    </w:p>
    <w:p>
      <w:pPr>
        <w:adjustRightInd w:val="0"/>
        <w:snapToGrid w:val="0"/>
        <w:spacing w:line="360" w:lineRule="auto"/>
        <w:ind w:firstLine="482" w:firstLineChars="200"/>
        <w:outlineLvl w:val="1"/>
        <w:rPr>
          <w:b/>
          <w:sz w:val="24"/>
          <w:szCs w:val="24"/>
        </w:rPr>
      </w:pPr>
      <w:bookmarkStart w:id="16" w:name="_Hlk49341725"/>
      <w:r>
        <w:rPr>
          <w:b/>
          <w:sz w:val="24"/>
          <w:szCs w:val="24"/>
        </w:rPr>
        <w:t>（四）基金存续期限</w:t>
      </w:r>
    </w:p>
    <w:p>
      <w:pPr>
        <w:adjustRightInd w:val="0"/>
        <w:snapToGrid w:val="0"/>
        <w:spacing w:line="360" w:lineRule="auto"/>
        <w:ind w:firstLine="480" w:firstLineChars="200"/>
        <w:rPr>
          <w:sz w:val="24"/>
        </w:rPr>
      </w:pPr>
      <w:r>
        <w:rPr>
          <w:sz w:val="24"/>
        </w:rPr>
        <w:t>不定期</w:t>
      </w:r>
    </w:p>
    <w:p>
      <w:pPr>
        <w:adjustRightInd w:val="0"/>
        <w:snapToGrid w:val="0"/>
        <w:spacing w:line="360" w:lineRule="auto"/>
        <w:ind w:firstLine="482" w:firstLineChars="200"/>
        <w:outlineLvl w:val="1"/>
        <w:rPr>
          <w:b/>
          <w:bCs/>
          <w:sz w:val="24"/>
        </w:rPr>
      </w:pPr>
      <w:r>
        <w:rPr>
          <w:rFonts w:hint="eastAsia"/>
          <w:b/>
          <w:bCs/>
          <w:sz w:val="24"/>
        </w:rPr>
        <w:t>（五）基金份额类别</w:t>
      </w:r>
    </w:p>
    <w:p>
      <w:pPr>
        <w:adjustRightInd w:val="0"/>
        <w:snapToGrid w:val="0"/>
        <w:spacing w:line="360" w:lineRule="auto"/>
        <w:ind w:firstLine="480" w:firstLineChars="200"/>
        <w:rPr>
          <w:sz w:val="24"/>
        </w:rPr>
      </w:pPr>
      <w:r>
        <w:rPr>
          <w:rFonts w:hint="eastAsia"/>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pPr>
        <w:adjustRightInd w:val="0"/>
        <w:snapToGrid w:val="0"/>
        <w:spacing w:line="360" w:lineRule="auto"/>
        <w:ind w:firstLine="482" w:firstLineChars="200"/>
        <w:outlineLvl w:val="1"/>
        <w:rPr>
          <w:b/>
          <w:sz w:val="24"/>
          <w:szCs w:val="24"/>
        </w:rPr>
      </w:pPr>
      <w:r>
        <w:rPr>
          <w:b/>
          <w:sz w:val="24"/>
          <w:szCs w:val="24"/>
        </w:rPr>
        <w:t>（</w:t>
      </w:r>
      <w:r>
        <w:rPr>
          <w:rFonts w:hint="eastAsia"/>
          <w:b/>
          <w:sz w:val="24"/>
          <w:szCs w:val="24"/>
        </w:rPr>
        <w:t>六</w:t>
      </w:r>
      <w:r>
        <w:rPr>
          <w:b/>
          <w:sz w:val="24"/>
          <w:szCs w:val="24"/>
        </w:rPr>
        <w:t>）基金份额的认购</w:t>
      </w:r>
    </w:p>
    <w:p>
      <w:pPr>
        <w:adjustRightInd w:val="0"/>
        <w:snapToGrid w:val="0"/>
        <w:spacing w:line="360" w:lineRule="auto"/>
        <w:ind w:firstLine="480" w:firstLineChars="200"/>
        <w:rPr>
          <w:sz w:val="24"/>
        </w:rPr>
      </w:pPr>
      <w:r>
        <w:rPr>
          <w:sz w:val="24"/>
        </w:rPr>
        <w:t>基金募集期内，基金份额通过各销售机构向投资人公开发售。募集期间个人投资者可以通过</w:t>
      </w:r>
      <w:r>
        <w:rPr>
          <w:rFonts w:hint="eastAsia"/>
          <w:sz w:val="24"/>
        </w:rPr>
        <w:t>基金管理人</w:t>
      </w:r>
      <w:r>
        <w:rPr>
          <w:sz w:val="24"/>
        </w:rPr>
        <w:t>网上直销交易平台办理开户和本基金的认购业务</w:t>
      </w:r>
      <w:r>
        <w:rPr>
          <w:rFonts w:hint="eastAsia"/>
          <w:sz w:val="24"/>
        </w:rPr>
        <w:t>。</w:t>
      </w:r>
      <w:r>
        <w:rPr>
          <w:sz w:val="24"/>
        </w:rPr>
        <w:t>具体请见</w:t>
      </w:r>
      <w:r>
        <w:rPr>
          <w:bCs/>
          <w:sz w:val="24"/>
        </w:rPr>
        <w:t>基金份额发售公告以及基金管理人</w:t>
      </w:r>
      <w:r>
        <w:rPr>
          <w:rFonts w:hint="eastAsia"/>
          <w:bCs/>
          <w:sz w:val="24"/>
        </w:rPr>
        <w:t>网站。</w:t>
      </w:r>
      <w:r>
        <w:rPr>
          <w:sz w:val="24"/>
        </w:rPr>
        <w:t>除法律法规或中国证监会另有规定外，任何与基金份额发售有关的当事人不得预留和提前发售基金份额。</w:t>
      </w:r>
    </w:p>
    <w:p>
      <w:pPr>
        <w:adjustRightInd w:val="0"/>
        <w:snapToGrid w:val="0"/>
        <w:spacing w:line="360" w:lineRule="auto"/>
        <w:ind w:firstLine="480" w:firstLineChars="200"/>
        <w:outlineLvl w:val="2"/>
        <w:rPr>
          <w:sz w:val="24"/>
        </w:rPr>
      </w:pPr>
      <w:r>
        <w:rPr>
          <w:sz w:val="24"/>
        </w:rPr>
        <w:t>1、基金份额的发售时间、方式和对象</w:t>
      </w:r>
    </w:p>
    <w:p>
      <w:pPr>
        <w:adjustRightInd w:val="0"/>
        <w:snapToGrid w:val="0"/>
        <w:spacing w:line="360" w:lineRule="auto"/>
        <w:ind w:left="105" w:leftChars="50" w:firstLine="360" w:firstLineChars="150"/>
        <w:rPr>
          <w:sz w:val="24"/>
        </w:rPr>
      </w:pPr>
      <w:r>
        <w:rPr>
          <w:sz w:val="24"/>
        </w:rPr>
        <w:t>（1）募集期限：自基金份额发售之日起不超过3个月。本基金自</w:t>
      </w:r>
      <w:r>
        <w:rPr>
          <w:rFonts w:hint="eastAsia"/>
          <w:kern w:val="0"/>
          <w:sz w:val="24"/>
          <w:lang w:val="en-US" w:eastAsia="zh-CN"/>
        </w:rPr>
        <w:t>2025年8月18日</w:t>
      </w:r>
      <w:r>
        <w:rPr>
          <w:rFonts w:hint="eastAsia"/>
          <w:sz w:val="24"/>
        </w:rPr>
        <w:t>起至</w:t>
      </w:r>
      <w:r>
        <w:rPr>
          <w:rFonts w:hint="eastAsia"/>
          <w:kern w:val="0"/>
          <w:sz w:val="24"/>
          <w:lang w:val="en-US" w:eastAsia="zh-CN"/>
        </w:rPr>
        <w:t>2025年8月29日</w:t>
      </w:r>
      <w:r>
        <w:rPr>
          <w:sz w:val="24"/>
        </w:rPr>
        <w:t>止通过销售机构公开发售（详见基金份额发售公告及</w:t>
      </w:r>
      <w:r>
        <w:rPr>
          <w:rFonts w:hint="eastAsia"/>
          <w:sz w:val="24"/>
        </w:rPr>
        <w:t>销售</w:t>
      </w:r>
      <w:r>
        <w:rPr>
          <w:sz w:val="24"/>
        </w:rPr>
        <w:t>机构相关公告）。</w:t>
      </w:r>
      <w:r>
        <w:rPr>
          <w:rFonts w:hint="eastAsia"/>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pPr>
        <w:adjustRightInd w:val="0"/>
        <w:snapToGrid w:val="0"/>
        <w:spacing w:line="360" w:lineRule="auto"/>
        <w:ind w:firstLine="480" w:firstLineChars="200"/>
      </w:pPr>
      <w:r>
        <w:rPr>
          <w:sz w:val="24"/>
        </w:rPr>
        <w:t>（2）销售渠道：</w:t>
      </w:r>
      <w:r>
        <w:rPr>
          <w:rFonts w:hint="eastAsia"/>
          <w:sz w:val="24"/>
        </w:rPr>
        <w:t>销售机构</w:t>
      </w:r>
      <w:r>
        <w:rPr>
          <w:sz w:val="24"/>
        </w:rPr>
        <w:t>具体名单见基金份额发售公告</w:t>
      </w:r>
      <w:r>
        <w:rPr>
          <w:rFonts w:hint="eastAsia"/>
          <w:sz w:val="24"/>
        </w:rPr>
        <w:t>以及基金管理人网站</w:t>
      </w:r>
      <w:r>
        <w:t>。</w:t>
      </w:r>
    </w:p>
    <w:p>
      <w:pPr>
        <w:adjustRightInd w:val="0"/>
        <w:snapToGrid w:val="0"/>
        <w:spacing w:line="360" w:lineRule="auto"/>
        <w:ind w:firstLine="480" w:firstLineChars="200"/>
        <w:rPr>
          <w:sz w:val="24"/>
        </w:rPr>
      </w:pPr>
      <w:r>
        <w:rPr>
          <w:sz w:val="24"/>
        </w:rPr>
        <w:t>（3）销售对象：符合法律法规规定的可投资于证券投资基金的个人投资者、机构投资者</w:t>
      </w:r>
      <w:r>
        <w:rPr>
          <w:rFonts w:hint="eastAsia"/>
          <w:sz w:val="24"/>
        </w:rPr>
        <w:t>、</w:t>
      </w:r>
      <w:r>
        <w:rPr>
          <w:sz w:val="24"/>
        </w:rPr>
        <w:t>合格境外</w:t>
      </w:r>
      <w:r>
        <w:rPr>
          <w:rFonts w:hint="eastAsia"/>
          <w:sz w:val="24"/>
        </w:rPr>
        <w:t>投资者</w:t>
      </w:r>
      <w:r>
        <w:rPr>
          <w:sz w:val="24"/>
        </w:rPr>
        <w:t>以及法律法规或中国证监会允许购买证券投资基金的其他投资人。</w:t>
      </w:r>
    </w:p>
    <w:p>
      <w:pPr>
        <w:adjustRightInd w:val="0"/>
        <w:snapToGrid w:val="0"/>
        <w:spacing w:line="360" w:lineRule="auto"/>
        <w:ind w:firstLine="480" w:firstLineChars="200"/>
        <w:outlineLvl w:val="2"/>
        <w:rPr>
          <w:sz w:val="24"/>
        </w:rPr>
      </w:pPr>
      <w:r>
        <w:rPr>
          <w:sz w:val="24"/>
        </w:rPr>
        <w:t>2、基金份额的认购和持有限制</w:t>
      </w:r>
    </w:p>
    <w:p>
      <w:pPr>
        <w:adjustRightInd w:val="0"/>
        <w:snapToGrid w:val="0"/>
        <w:spacing w:line="360" w:lineRule="auto"/>
        <w:ind w:firstLine="480" w:firstLineChars="200"/>
        <w:rPr>
          <w:sz w:val="24"/>
        </w:rPr>
      </w:pPr>
      <w:r>
        <w:rPr>
          <w:sz w:val="24"/>
        </w:rPr>
        <w:t>（1）基金份额的认购采用金额认购方式。</w:t>
      </w:r>
    </w:p>
    <w:p>
      <w:pPr>
        <w:adjustRightInd w:val="0"/>
        <w:snapToGrid w:val="0"/>
        <w:spacing w:line="360" w:lineRule="auto"/>
        <w:ind w:firstLine="480" w:firstLineChars="200"/>
        <w:rPr>
          <w:sz w:val="24"/>
        </w:rPr>
      </w:pPr>
      <w:r>
        <w:rPr>
          <w:sz w:val="24"/>
        </w:rPr>
        <w:t>（2）投资人认购基金份额采用全额缴款的认购方式。投资人认购</w:t>
      </w:r>
      <w:r>
        <w:rPr>
          <w:rFonts w:hint="eastAsia"/>
          <w:sz w:val="24"/>
        </w:rPr>
        <w:t>时</w:t>
      </w:r>
      <w:r>
        <w:rPr>
          <w:sz w:val="24"/>
        </w:rPr>
        <w:t>，需按销售机构规定的方式备足认购的金额。</w:t>
      </w:r>
    </w:p>
    <w:p>
      <w:pPr>
        <w:adjustRightInd w:val="0"/>
        <w:snapToGrid w:val="0"/>
        <w:spacing w:line="360" w:lineRule="auto"/>
        <w:ind w:firstLine="480" w:firstLineChars="200"/>
        <w:rPr>
          <w:sz w:val="24"/>
        </w:rPr>
      </w:pPr>
      <w:r>
        <w:rPr>
          <w:sz w:val="24"/>
        </w:rPr>
        <w:t>（3）投资人在募集期内可以多次认购基金份额，认购</w:t>
      </w:r>
      <w:r>
        <w:rPr>
          <w:rFonts w:hint="eastAsia"/>
          <w:sz w:val="24"/>
        </w:rPr>
        <w:t>申请</w:t>
      </w:r>
      <w:r>
        <w:rPr>
          <w:sz w:val="24"/>
        </w:rPr>
        <w:t>一经登记机构受理不得撤销。</w:t>
      </w:r>
    </w:p>
    <w:p>
      <w:pPr>
        <w:adjustRightInd w:val="0"/>
        <w:snapToGrid w:val="0"/>
        <w:spacing w:line="360" w:lineRule="auto"/>
        <w:ind w:firstLine="480" w:firstLineChars="200"/>
        <w:rPr>
          <w:sz w:val="24"/>
        </w:rPr>
      </w:pPr>
      <w:r>
        <w:rPr>
          <w:sz w:val="24"/>
        </w:rPr>
        <w:t>（4）直销机构接受首次认购申请的最低金额为单笔100</w:t>
      </w:r>
      <w:r>
        <w:rPr>
          <w:rFonts w:hint="eastAsia"/>
          <w:sz w:val="24"/>
        </w:rPr>
        <w:t>万</w:t>
      </w:r>
      <w:r>
        <w:rPr>
          <w:sz w:val="24"/>
        </w:rPr>
        <w:t>元，追加认购的最低金额为单笔10</w:t>
      </w:r>
      <w:r>
        <w:rPr>
          <w:rFonts w:hint="eastAsia"/>
          <w:sz w:val="24"/>
        </w:rPr>
        <w:t>万</w:t>
      </w:r>
      <w:r>
        <w:rPr>
          <w:sz w:val="24"/>
        </w:rPr>
        <w:t>元；已在直销机构有认购或申购过本基金管理人管理的其他基金记录的投资人不受首次认购最低金额的限制。通过</w:t>
      </w:r>
      <w:r>
        <w:rPr>
          <w:rFonts w:hint="eastAsia"/>
          <w:sz w:val="24"/>
        </w:rPr>
        <w:t>基金管理人</w:t>
      </w:r>
      <w:r>
        <w:rPr>
          <w:sz w:val="24"/>
        </w:rPr>
        <w:t>网上直销交易平台办理本基金认购业务的不受直销机构最低认购金额的限制，认购最低金额为单笔1元。本基金直销机构单笔认购最低金额可由基金管理人酌情调整。</w:t>
      </w:r>
      <w:r>
        <w:rPr>
          <w:rFonts w:hint="eastAsia"/>
          <w:sz w:val="24"/>
        </w:rPr>
        <w:t>其他销售</w:t>
      </w:r>
      <w:r>
        <w:rPr>
          <w:sz w:val="24"/>
        </w:rPr>
        <w:t>机构接受认购申请的最低金额为单笔1元，如果</w:t>
      </w:r>
      <w:r>
        <w:rPr>
          <w:rFonts w:hint="eastAsia"/>
          <w:sz w:val="24"/>
        </w:rPr>
        <w:t>销售</w:t>
      </w:r>
      <w:r>
        <w:rPr>
          <w:sz w:val="24"/>
        </w:rPr>
        <w:t>机构业务规则规定的最低单笔认购金额高于1元，以</w:t>
      </w:r>
      <w:r>
        <w:rPr>
          <w:rFonts w:hint="eastAsia"/>
          <w:sz w:val="24"/>
        </w:rPr>
        <w:t>该销售</w:t>
      </w:r>
      <w:r>
        <w:rPr>
          <w:sz w:val="24"/>
        </w:rPr>
        <w:t>机构的规定为准。</w:t>
      </w:r>
    </w:p>
    <w:p>
      <w:pPr>
        <w:adjustRightInd w:val="0"/>
        <w:snapToGrid w:val="0"/>
        <w:spacing w:line="360" w:lineRule="auto"/>
        <w:ind w:firstLine="480" w:firstLineChars="200"/>
        <w:rPr>
          <w:sz w:val="24"/>
        </w:rPr>
      </w:pPr>
      <w:r>
        <w:rPr>
          <w:sz w:val="24"/>
        </w:rPr>
        <w:t>（5）</w:t>
      </w:r>
      <w:r>
        <w:rPr>
          <w:rFonts w:hint="eastAsia"/>
          <w:sz w:val="24"/>
        </w:rPr>
        <w:t>基金管理人可以对募集期间的单个投资人的累计认购金额进行限制，具体限制和处理方法请参看相关公告。</w:t>
      </w:r>
    </w:p>
    <w:p>
      <w:pPr>
        <w:adjustRightInd w:val="0"/>
        <w:snapToGrid w:val="0"/>
        <w:spacing w:line="360" w:lineRule="auto"/>
        <w:ind w:firstLine="480" w:firstLineChars="200"/>
        <w:rPr>
          <w:sz w:val="24"/>
        </w:rPr>
      </w:pPr>
      <w:r>
        <w:rPr>
          <w:rFonts w:hint="eastAsia"/>
          <w:sz w:val="24"/>
        </w:rPr>
        <w:t>（6）如本基金单个投资人累计认购的基金份额数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adjustRightInd w:val="0"/>
        <w:snapToGrid w:val="0"/>
        <w:spacing w:line="360" w:lineRule="auto"/>
        <w:ind w:firstLine="480" w:firstLineChars="200"/>
        <w:rPr>
          <w:sz w:val="24"/>
        </w:rPr>
      </w:pPr>
      <w:r>
        <w:rPr>
          <w:rFonts w:hint="eastAsia"/>
          <w:sz w:val="24"/>
        </w:rPr>
        <w:t>（7）</w:t>
      </w:r>
      <w:r>
        <w:rPr>
          <w:rFonts w:hint="eastAsia"/>
          <w:bCs/>
          <w:sz w:val="24"/>
        </w:rPr>
        <w:t>基金管理人可以对募集期间的本基金募集规模设置上限。募集期内超过募集规模上限时，基金管理人可以采用比例确认或其他方式进行确认，具体办法参见基金份额发售公告。</w:t>
      </w:r>
    </w:p>
    <w:p>
      <w:pPr>
        <w:adjustRightInd w:val="0"/>
        <w:snapToGrid w:val="0"/>
        <w:spacing w:line="360" w:lineRule="auto"/>
        <w:ind w:firstLine="480" w:firstLineChars="200"/>
        <w:outlineLvl w:val="2"/>
        <w:rPr>
          <w:sz w:val="24"/>
        </w:rPr>
      </w:pPr>
      <w:r>
        <w:rPr>
          <w:sz w:val="24"/>
        </w:rPr>
        <w:t>3、基金份额的</w:t>
      </w:r>
      <w:r>
        <w:rPr>
          <w:rFonts w:hint="eastAsia"/>
          <w:sz w:val="24"/>
        </w:rPr>
        <w:t>面值、</w:t>
      </w:r>
      <w:r>
        <w:rPr>
          <w:sz w:val="24"/>
        </w:rPr>
        <w:t>认购费用、认购价格及认购份额的计算公式</w:t>
      </w:r>
    </w:p>
    <w:p>
      <w:pPr>
        <w:adjustRightInd w:val="0"/>
        <w:snapToGrid w:val="0"/>
        <w:spacing w:line="360" w:lineRule="auto"/>
        <w:ind w:firstLine="480" w:firstLineChars="200"/>
        <w:rPr>
          <w:sz w:val="24"/>
        </w:rPr>
      </w:pPr>
      <w:r>
        <w:rPr>
          <w:sz w:val="24"/>
        </w:rPr>
        <w:t>（1）</w:t>
      </w:r>
      <w:r>
        <w:rPr>
          <w:rFonts w:hint="eastAsia"/>
          <w:sz w:val="24"/>
        </w:rPr>
        <w:t>面值、</w:t>
      </w:r>
      <w:r>
        <w:rPr>
          <w:sz w:val="24"/>
        </w:rPr>
        <w:t>认购价格：本基金</w:t>
      </w:r>
      <w:r>
        <w:rPr>
          <w:rFonts w:hint="eastAsia"/>
          <w:sz w:val="24"/>
        </w:rPr>
        <w:t>基金</w:t>
      </w:r>
      <w:r>
        <w:rPr>
          <w:sz w:val="24"/>
        </w:rPr>
        <w:t>份额的</w:t>
      </w:r>
      <w:r>
        <w:rPr>
          <w:rFonts w:hint="eastAsia"/>
          <w:sz w:val="24"/>
        </w:rPr>
        <w:t>初始面值、</w:t>
      </w:r>
      <w:r>
        <w:rPr>
          <w:sz w:val="24"/>
        </w:rPr>
        <w:t>认购价格为1.00元/份。</w:t>
      </w:r>
    </w:p>
    <w:p>
      <w:pPr>
        <w:adjustRightInd w:val="0"/>
        <w:snapToGrid w:val="0"/>
        <w:spacing w:line="360" w:lineRule="auto"/>
        <w:ind w:firstLine="480" w:firstLineChars="200"/>
        <w:rPr>
          <w:sz w:val="24"/>
        </w:rPr>
      </w:pPr>
      <w:r>
        <w:rPr>
          <w:sz w:val="24"/>
        </w:rPr>
        <w:t>（2）认购费率</w:t>
      </w:r>
    </w:p>
    <w:p>
      <w:pPr>
        <w:adjustRightInd w:val="0"/>
        <w:snapToGrid w:val="0"/>
        <w:spacing w:line="360" w:lineRule="auto"/>
        <w:ind w:firstLine="480" w:firstLineChars="200"/>
        <w:rPr>
          <w:sz w:val="24"/>
        </w:rPr>
      </w:pPr>
      <w:r>
        <w:rPr>
          <w:rFonts w:hint="eastAsia"/>
          <w:sz w:val="24"/>
        </w:rPr>
        <w:t>募集期内投资人可以多次认购本基金，认购费用按每笔认购申请单独计算。基金投资者认购基金份额收取认购费用，即在认购时支付认购费用。</w:t>
      </w:r>
    </w:p>
    <w:p>
      <w:pPr>
        <w:widowControl/>
        <w:adjustRightInd w:val="0"/>
        <w:snapToGrid w:val="0"/>
        <w:spacing w:line="360" w:lineRule="auto"/>
        <w:ind w:firstLine="480" w:firstLineChars="200"/>
        <w:rPr>
          <w:kern w:val="0"/>
          <w:sz w:val="24"/>
        </w:rPr>
      </w:pPr>
      <w:r>
        <w:rPr>
          <w:kern w:val="0"/>
          <w:sz w:val="24"/>
        </w:rPr>
        <w:t>本基金</w:t>
      </w:r>
      <w:r>
        <w:rPr>
          <w:rFonts w:hint="eastAsia"/>
          <w:kern w:val="0"/>
          <w:sz w:val="24"/>
        </w:rPr>
        <w:t>（非养老金客户）的</w:t>
      </w:r>
      <w:r>
        <w:rPr>
          <w:kern w:val="0"/>
          <w:sz w:val="24"/>
        </w:rPr>
        <w:t>认购费率如下表：</w:t>
      </w:r>
    </w:p>
    <w:tbl>
      <w:tblPr>
        <w:tblStyle w:val="28"/>
        <w:tblW w:w="712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528"/>
        <w:gridCol w:w="359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528" w:type="dxa"/>
            <w:shd w:val="clear" w:color="auto" w:fill="FFFFFF"/>
            <w:vAlign w:val="center"/>
          </w:tcPr>
          <w:p>
            <w:pPr>
              <w:adjustRightInd w:val="0"/>
              <w:snapToGrid w:val="0"/>
              <w:jc w:val="center"/>
              <w:rPr>
                <w:b/>
                <w:sz w:val="24"/>
              </w:rPr>
            </w:pPr>
            <w:r>
              <w:rPr>
                <w:b/>
                <w:sz w:val="24"/>
              </w:rPr>
              <w:t>认购金额（含认购费）</w:t>
            </w:r>
          </w:p>
        </w:tc>
        <w:tc>
          <w:tcPr>
            <w:tcW w:w="3598" w:type="dxa"/>
            <w:shd w:val="clear" w:color="auto" w:fill="FFFFFF"/>
            <w:vAlign w:val="center"/>
          </w:tcPr>
          <w:p>
            <w:pPr>
              <w:adjustRightInd w:val="0"/>
              <w:snapToGrid w:val="0"/>
              <w:jc w:val="center"/>
              <w:rPr>
                <w:b/>
                <w:sz w:val="24"/>
              </w:rPr>
            </w:pPr>
            <w:r>
              <w:rPr>
                <w:b/>
                <w:sz w:val="24"/>
              </w:rPr>
              <w:t>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sz w:val="24"/>
              </w:rPr>
              <w:t>1000万元以下</w:t>
            </w:r>
          </w:p>
        </w:tc>
        <w:tc>
          <w:tcPr>
            <w:tcW w:w="3598" w:type="dxa"/>
          </w:tcPr>
          <w:p>
            <w:pPr>
              <w:adjustRightInd w:val="0"/>
              <w:snapToGrid w:val="0"/>
              <w:jc w:val="center"/>
              <w:rPr>
                <w:sz w:val="24"/>
              </w:rPr>
            </w:pPr>
            <w:r>
              <w:rPr>
                <w:sz w:val="24"/>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sz w:val="24"/>
              </w:rPr>
              <w:t>1000万元以上（含1000万</w:t>
            </w:r>
            <w:r>
              <w:rPr>
                <w:rFonts w:hint="eastAsia"/>
                <w:sz w:val="24"/>
              </w:rPr>
              <w:t>元</w:t>
            </w:r>
            <w:r>
              <w:rPr>
                <w:sz w:val="24"/>
              </w:rPr>
              <w:t>）</w:t>
            </w:r>
          </w:p>
        </w:tc>
        <w:tc>
          <w:tcPr>
            <w:tcW w:w="3598" w:type="dxa"/>
          </w:tcPr>
          <w:p>
            <w:pPr>
              <w:adjustRightInd w:val="0"/>
              <w:snapToGrid w:val="0"/>
              <w:jc w:val="center"/>
              <w:rPr>
                <w:sz w:val="24"/>
              </w:rPr>
            </w:pPr>
            <w:r>
              <w:rPr>
                <w:sz w:val="24"/>
              </w:rPr>
              <w:t>每笔交易1000元</w:t>
            </w:r>
          </w:p>
        </w:tc>
      </w:tr>
    </w:tbl>
    <w:p>
      <w:pPr>
        <w:adjustRightInd w:val="0"/>
        <w:snapToGrid w:val="0"/>
        <w:spacing w:line="360" w:lineRule="auto"/>
        <w:ind w:firstLine="480" w:firstLineChars="200"/>
        <w:rPr>
          <w:sz w:val="24"/>
        </w:rPr>
      </w:pPr>
      <w:r>
        <w:rPr>
          <w:sz w:val="24"/>
        </w:rPr>
        <w:t>本基金对通过基金管理人直销柜台</w:t>
      </w:r>
      <w:r>
        <w:rPr>
          <w:rFonts w:hint="eastAsia"/>
          <w:sz w:val="24"/>
        </w:rPr>
        <w:t>认</w:t>
      </w:r>
      <w:r>
        <w:rPr>
          <w:sz w:val="24"/>
        </w:rPr>
        <w:t>购</w:t>
      </w:r>
      <w:r>
        <w:rPr>
          <w:rFonts w:hint="eastAsia"/>
          <w:sz w:val="24"/>
        </w:rPr>
        <w:t>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pPr>
        <w:adjustRightInd w:val="0"/>
        <w:snapToGrid w:val="0"/>
        <w:spacing w:line="360" w:lineRule="auto"/>
        <w:ind w:firstLine="480" w:firstLineChars="200"/>
        <w:rPr>
          <w:sz w:val="24"/>
        </w:rPr>
      </w:pPr>
      <w:r>
        <w:rPr>
          <w:sz w:val="24"/>
        </w:rPr>
        <w:t>1</w:t>
      </w:r>
      <w:r>
        <w:rPr>
          <w:rFonts w:hint="eastAsia"/>
          <w:sz w:val="24"/>
        </w:rPr>
        <w:t>）</w:t>
      </w:r>
      <w:r>
        <w:rPr>
          <w:sz w:val="24"/>
        </w:rPr>
        <w:t>全国社会保障基金；</w:t>
      </w:r>
    </w:p>
    <w:p>
      <w:pPr>
        <w:adjustRightInd w:val="0"/>
        <w:snapToGrid w:val="0"/>
        <w:spacing w:line="360" w:lineRule="auto"/>
        <w:ind w:firstLine="480" w:firstLineChars="200"/>
        <w:rPr>
          <w:sz w:val="24"/>
        </w:rPr>
      </w:pPr>
      <w:r>
        <w:rPr>
          <w:sz w:val="24"/>
        </w:rPr>
        <w:t>2</w:t>
      </w:r>
      <w:r>
        <w:rPr>
          <w:rFonts w:hint="eastAsia"/>
          <w:sz w:val="24"/>
        </w:rPr>
        <w:t>）</w:t>
      </w:r>
      <w:r>
        <w:rPr>
          <w:sz w:val="24"/>
        </w:rPr>
        <w:t>可以投资基金的地方社会保障基金；</w:t>
      </w:r>
    </w:p>
    <w:p>
      <w:pPr>
        <w:adjustRightInd w:val="0"/>
        <w:snapToGrid w:val="0"/>
        <w:spacing w:line="360" w:lineRule="auto"/>
        <w:ind w:firstLine="480" w:firstLineChars="200"/>
        <w:rPr>
          <w:sz w:val="24"/>
        </w:rPr>
      </w:pPr>
      <w:r>
        <w:rPr>
          <w:sz w:val="24"/>
        </w:rPr>
        <w:t>3</w:t>
      </w:r>
      <w:r>
        <w:rPr>
          <w:rFonts w:hint="eastAsia"/>
          <w:sz w:val="24"/>
        </w:rPr>
        <w:t>）</w:t>
      </w:r>
      <w:r>
        <w:rPr>
          <w:sz w:val="24"/>
        </w:rPr>
        <w:t>企业年金单一计划以及集合计划</w:t>
      </w:r>
      <w:r>
        <w:rPr>
          <w:rFonts w:hint="eastAsia"/>
          <w:sz w:val="24"/>
        </w:rPr>
        <w:t>；</w:t>
      </w:r>
    </w:p>
    <w:p>
      <w:pPr>
        <w:adjustRightInd w:val="0"/>
        <w:snapToGrid w:val="0"/>
        <w:spacing w:line="360" w:lineRule="auto"/>
        <w:ind w:firstLine="480" w:firstLineChars="200"/>
        <w:rPr>
          <w:sz w:val="24"/>
        </w:rPr>
      </w:pPr>
      <w:r>
        <w:rPr>
          <w:rFonts w:hint="eastAsia"/>
          <w:sz w:val="24"/>
        </w:rPr>
        <w:t>4）企业年金理事会委托的特定客户资产管理计划；</w:t>
      </w:r>
    </w:p>
    <w:p>
      <w:pPr>
        <w:adjustRightInd w:val="0"/>
        <w:snapToGrid w:val="0"/>
        <w:spacing w:line="360" w:lineRule="auto"/>
        <w:ind w:firstLine="480" w:firstLineChars="200"/>
        <w:rPr>
          <w:sz w:val="24"/>
        </w:rPr>
      </w:pPr>
      <w:r>
        <w:rPr>
          <w:rFonts w:hint="eastAsia"/>
          <w:sz w:val="24"/>
        </w:rPr>
        <w:t>5）企业年金养老金产品</w:t>
      </w:r>
      <w:r>
        <w:rPr>
          <w:sz w:val="24"/>
        </w:rPr>
        <w:t>。</w:t>
      </w:r>
    </w:p>
    <w:p>
      <w:pPr>
        <w:adjustRightInd w:val="0"/>
        <w:snapToGrid w:val="0"/>
        <w:spacing w:line="360" w:lineRule="auto"/>
        <w:ind w:firstLine="480" w:firstLineChars="20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pPr>
        <w:widowControl/>
        <w:adjustRightInd w:val="0"/>
        <w:snapToGrid w:val="0"/>
        <w:spacing w:line="360" w:lineRule="auto"/>
        <w:ind w:firstLine="480" w:firstLineChars="200"/>
        <w:rPr>
          <w:sz w:val="24"/>
          <w:szCs w:val="24"/>
        </w:rPr>
      </w:pPr>
      <w:r>
        <w:rPr>
          <w:rFonts w:hint="eastAsia"/>
          <w:sz w:val="24"/>
          <w:szCs w:val="24"/>
        </w:rPr>
        <w:t>养老金客户通过基金管理人的直销柜台认购本基金的特定认购费率如下：</w:t>
      </w:r>
    </w:p>
    <w:tbl>
      <w:tblPr>
        <w:tblStyle w:val="28"/>
        <w:tblW w:w="702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7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260" w:type="dxa"/>
            <w:shd w:val="clear" w:color="auto" w:fill="FFFFFF"/>
            <w:vAlign w:val="center"/>
          </w:tcPr>
          <w:p>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pPr>
              <w:adjustRightInd w:val="0"/>
              <w:snapToGrid w:val="0"/>
              <w:jc w:val="center"/>
              <w:rPr>
                <w:b/>
                <w:sz w:val="24"/>
              </w:rPr>
            </w:pPr>
            <w:r>
              <w:rPr>
                <w:rFonts w:hint="eastAsia"/>
                <w:b/>
                <w:sz w:val="24"/>
              </w:rPr>
              <w:t>特定认</w:t>
            </w:r>
            <w:r>
              <w:rPr>
                <w:b/>
                <w:sz w:val="24"/>
              </w:rPr>
              <w:t>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sz w:val="24"/>
              </w:rPr>
              <w:t>1000万元以下</w:t>
            </w:r>
          </w:p>
        </w:tc>
        <w:tc>
          <w:tcPr>
            <w:tcW w:w="3767" w:type="dxa"/>
          </w:tcPr>
          <w:p>
            <w:pPr>
              <w:adjustRightInd w:val="0"/>
              <w:snapToGrid w:val="0"/>
              <w:jc w:val="center"/>
              <w:rPr>
                <w:sz w:val="24"/>
              </w:rPr>
            </w:pPr>
            <w:r>
              <w:rPr>
                <w:rFonts w:hint="eastAsia" w:hAnsi="宋体"/>
                <w:sz w:val="24"/>
              </w:rPr>
              <w:t>0.</w:t>
            </w:r>
            <w:r>
              <w:rPr>
                <w:rFonts w:hAnsi="宋体"/>
                <w:sz w:val="24"/>
              </w:rPr>
              <w:t>48</w:t>
            </w:r>
            <w:r>
              <w:rPr>
                <w:rFonts w:hint="eastAsia" w:hAnsi="宋体"/>
                <w:sz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sz w:val="24"/>
              </w:rPr>
              <w:t>1000万元以上（含1000万</w:t>
            </w:r>
            <w:r>
              <w:rPr>
                <w:rFonts w:hint="eastAsia"/>
                <w:sz w:val="24"/>
              </w:rPr>
              <w:t>元</w:t>
            </w:r>
            <w:r>
              <w:rPr>
                <w:sz w:val="24"/>
              </w:rPr>
              <w:t>）</w:t>
            </w:r>
          </w:p>
        </w:tc>
        <w:tc>
          <w:tcPr>
            <w:tcW w:w="3767" w:type="dxa"/>
          </w:tcPr>
          <w:p>
            <w:pPr>
              <w:adjustRightInd w:val="0"/>
              <w:snapToGrid w:val="0"/>
              <w:jc w:val="center"/>
              <w:rPr>
                <w:rFonts w:hAnsi="宋体"/>
                <w:sz w:val="24"/>
              </w:rPr>
            </w:pPr>
            <w:r>
              <w:rPr>
                <w:rFonts w:hAnsi="宋体"/>
                <w:sz w:val="24"/>
              </w:rPr>
              <w:t>每笔交易1000元</w:t>
            </w:r>
          </w:p>
        </w:tc>
      </w:tr>
    </w:tbl>
    <w:p>
      <w:pPr>
        <w:adjustRightInd w:val="0"/>
        <w:snapToGrid w:val="0"/>
        <w:spacing w:line="360" w:lineRule="auto"/>
        <w:ind w:firstLine="480" w:firstLineChars="200"/>
        <w:rPr>
          <w:sz w:val="24"/>
        </w:rPr>
      </w:pPr>
      <w:r>
        <w:rPr>
          <w:rFonts w:hint="eastAsia"/>
          <w:sz w:val="24"/>
        </w:rPr>
        <w:t>本</w:t>
      </w:r>
      <w:r>
        <w:rPr>
          <w:sz w:val="24"/>
        </w:rPr>
        <w:t>基金</w:t>
      </w:r>
      <w:r>
        <w:rPr>
          <w:rFonts w:hint="eastAsia"/>
          <w:color w:val="000000"/>
          <w:kern w:val="0"/>
          <w:sz w:val="24"/>
        </w:rPr>
        <w:t>的</w:t>
      </w:r>
      <w:r>
        <w:rPr>
          <w:sz w:val="24"/>
        </w:rPr>
        <w:t>认购费用</w:t>
      </w:r>
      <w:r>
        <w:rPr>
          <w:rFonts w:hint="eastAsia"/>
          <w:sz w:val="24"/>
        </w:rPr>
        <w:t>由认购基金份额的投资人承担，</w:t>
      </w:r>
      <w:r>
        <w:rPr>
          <w:sz w:val="24"/>
        </w:rPr>
        <w:t>认购费用不列入基金财产，主要用于基金的市场推广、销售、登记等募集期间发生的各项费用。</w:t>
      </w:r>
    </w:p>
    <w:p>
      <w:pPr>
        <w:adjustRightInd w:val="0"/>
        <w:snapToGrid w:val="0"/>
        <w:spacing w:line="360" w:lineRule="auto"/>
        <w:ind w:firstLine="480" w:firstLineChars="200"/>
        <w:rPr>
          <w:sz w:val="24"/>
        </w:rPr>
      </w:pPr>
      <w:r>
        <w:rPr>
          <w:sz w:val="24"/>
        </w:rPr>
        <w:t>（3）认购份额的计算</w:t>
      </w:r>
    </w:p>
    <w:p>
      <w:pPr>
        <w:adjustRightInd w:val="0"/>
        <w:snapToGrid w:val="0"/>
        <w:spacing w:line="360" w:lineRule="auto"/>
        <w:ind w:firstLine="480" w:firstLineChars="200"/>
        <w:rPr>
          <w:sz w:val="24"/>
        </w:rPr>
      </w:pPr>
      <w:r>
        <w:rPr>
          <w:rFonts w:hint="eastAsia"/>
          <w:sz w:val="24"/>
        </w:rPr>
        <w:t>基金认购采用</w:t>
      </w:r>
      <w:r>
        <w:rPr>
          <w:sz w:val="24"/>
        </w:rPr>
        <w:t>金额</w:t>
      </w:r>
      <w:r>
        <w:rPr>
          <w:rFonts w:hint="eastAsia"/>
          <w:sz w:val="24"/>
        </w:rPr>
        <w:t>认购的方式。</w:t>
      </w:r>
    </w:p>
    <w:p>
      <w:pPr>
        <w:adjustRightInd w:val="0"/>
        <w:snapToGrid w:val="0"/>
        <w:spacing w:line="360" w:lineRule="auto"/>
        <w:ind w:firstLine="480" w:firstLineChars="200"/>
        <w:rPr>
          <w:sz w:val="24"/>
        </w:rPr>
      </w:pPr>
      <w:r>
        <w:rPr>
          <w:rFonts w:hint="eastAsia"/>
          <w:sz w:val="24"/>
        </w:rPr>
        <w:t>基金的认购</w:t>
      </w:r>
      <w:r>
        <w:rPr>
          <w:sz w:val="24"/>
        </w:rPr>
        <w:t>金额</w:t>
      </w:r>
      <w:r>
        <w:rPr>
          <w:rFonts w:hint="eastAsia"/>
          <w:sz w:val="24"/>
        </w:rPr>
        <w:t>包括认购费用和净认购金额。计算公式为：</w:t>
      </w:r>
    </w:p>
    <w:p>
      <w:pPr>
        <w:adjustRightInd w:val="0"/>
        <w:snapToGrid w:val="0"/>
        <w:spacing w:line="360" w:lineRule="auto"/>
        <w:ind w:firstLine="480" w:firstLineChars="200"/>
        <w:rPr>
          <w:sz w:val="24"/>
        </w:rPr>
      </w:pPr>
      <w:r>
        <w:rPr>
          <w:sz w:val="24"/>
        </w:rPr>
        <w:t>认购总金额=申请总金额</w:t>
      </w:r>
    </w:p>
    <w:p>
      <w:pPr>
        <w:adjustRightInd w:val="0"/>
        <w:snapToGrid w:val="0"/>
        <w:spacing w:line="360" w:lineRule="auto"/>
        <w:ind w:firstLine="480" w:firstLineChars="200"/>
        <w:rPr>
          <w:sz w:val="24"/>
        </w:rPr>
      </w:pPr>
      <w:r>
        <w:rPr>
          <w:sz w:val="24"/>
        </w:rPr>
        <w:t>净认购金额=认购总金额/（1+认购费率）</w:t>
      </w:r>
    </w:p>
    <w:p>
      <w:pPr>
        <w:adjustRightInd w:val="0"/>
        <w:snapToGrid w:val="0"/>
        <w:spacing w:line="360" w:lineRule="auto"/>
        <w:ind w:firstLine="480" w:firstLineChars="200"/>
        <w:rPr>
          <w:sz w:val="24"/>
        </w:rPr>
      </w:pPr>
      <w:r>
        <w:rPr>
          <w:sz w:val="24"/>
        </w:rPr>
        <w:t>（注：对于适用固定金额认购费用的认购，净认购金额＝认购总金额－固定认购费用金额）</w:t>
      </w:r>
    </w:p>
    <w:p>
      <w:pPr>
        <w:adjustRightInd w:val="0"/>
        <w:snapToGrid w:val="0"/>
        <w:spacing w:line="360" w:lineRule="auto"/>
        <w:ind w:firstLine="480" w:firstLineChars="200"/>
        <w:rPr>
          <w:sz w:val="24"/>
        </w:rPr>
      </w:pPr>
      <w:r>
        <w:rPr>
          <w:sz w:val="24"/>
        </w:rPr>
        <w:t>认购费用=认购总金额-净认购金额</w:t>
      </w:r>
    </w:p>
    <w:p>
      <w:pPr>
        <w:adjustRightInd w:val="0"/>
        <w:snapToGrid w:val="0"/>
        <w:spacing w:line="360" w:lineRule="auto"/>
        <w:ind w:firstLine="480" w:firstLineChars="200"/>
        <w:rPr>
          <w:sz w:val="24"/>
        </w:rPr>
      </w:pPr>
      <w:r>
        <w:rPr>
          <w:sz w:val="24"/>
        </w:rPr>
        <w:t>（注：对于适用固定金额认购费用的认购，认购费用＝固定认购费用金额）</w:t>
      </w:r>
    </w:p>
    <w:p>
      <w:pPr>
        <w:adjustRightInd w:val="0"/>
        <w:snapToGrid w:val="0"/>
        <w:spacing w:line="360" w:lineRule="auto"/>
        <w:ind w:firstLine="480" w:firstLineChars="200"/>
        <w:rPr>
          <w:sz w:val="24"/>
        </w:rPr>
      </w:pPr>
      <w:r>
        <w:rPr>
          <w:sz w:val="24"/>
        </w:rPr>
        <w:t>认购份额=净认购金额/基金份额初始面值+认购利息/基金份额初始面值</w:t>
      </w:r>
    </w:p>
    <w:p>
      <w:pPr>
        <w:adjustRightInd w:val="0"/>
        <w:snapToGrid w:val="0"/>
        <w:spacing w:line="360" w:lineRule="auto"/>
        <w:ind w:firstLine="480" w:firstLineChars="200"/>
        <w:rPr>
          <w:sz w:val="24"/>
        </w:rPr>
      </w:pPr>
      <w:r>
        <w:rPr>
          <w:sz w:val="24"/>
        </w:rPr>
        <w:t>认购份额的计算保留到小数点后2位，小数点2位以后的部分四舍五入，由此误差产生的收益或损失由基金财产承担。</w:t>
      </w:r>
    </w:p>
    <w:p>
      <w:pPr>
        <w:adjustRightInd w:val="0"/>
        <w:snapToGrid w:val="0"/>
        <w:spacing w:line="360" w:lineRule="auto"/>
        <w:ind w:firstLine="480" w:firstLineChars="200"/>
        <w:rPr>
          <w:sz w:val="24"/>
        </w:rPr>
      </w:pPr>
      <w:r>
        <w:rPr>
          <w:sz w:val="24"/>
        </w:rPr>
        <w:t>例一：</w:t>
      </w:r>
      <w:r>
        <w:rPr>
          <w:rFonts w:hint="eastAsia"/>
          <w:sz w:val="24"/>
        </w:rPr>
        <w:t>某投资者（非养老金客户）认购本基金100,000</w:t>
      </w:r>
      <w:r>
        <w:rPr>
          <w:sz w:val="24"/>
        </w:rPr>
        <w:t>.00</w:t>
      </w:r>
      <w:r>
        <w:rPr>
          <w:rFonts w:hint="eastAsia"/>
          <w:sz w:val="24"/>
        </w:rPr>
        <w:t>元，且该认购申请被全额确认，假定该笔认购金额产生的利息为10.00元，认购费率为</w:t>
      </w:r>
      <w:r>
        <w:rPr>
          <w:sz w:val="24"/>
        </w:rPr>
        <w:t>1.2</w:t>
      </w:r>
      <w:r>
        <w:rPr>
          <w:rFonts w:hint="eastAsia"/>
          <w:sz w:val="24"/>
        </w:rPr>
        <w:t>%，则可认购基金份额为：</w:t>
      </w:r>
    </w:p>
    <w:p>
      <w:pPr>
        <w:adjustRightInd w:val="0"/>
        <w:snapToGrid w:val="0"/>
        <w:spacing w:line="360" w:lineRule="auto"/>
        <w:ind w:firstLine="480" w:firstLineChars="200"/>
        <w:rPr>
          <w:sz w:val="24"/>
        </w:rPr>
      </w:pPr>
      <w:r>
        <w:rPr>
          <w:rFonts w:hint="eastAsia"/>
          <w:sz w:val="24"/>
        </w:rPr>
        <w:t>认购总金额=100,000</w:t>
      </w:r>
      <w:r>
        <w:rPr>
          <w:sz w:val="24"/>
        </w:rPr>
        <w:t>.00</w:t>
      </w:r>
      <w:r>
        <w:rPr>
          <w:rFonts w:hint="eastAsia"/>
          <w:sz w:val="24"/>
        </w:rPr>
        <w:t>元</w:t>
      </w:r>
    </w:p>
    <w:p>
      <w:pPr>
        <w:adjustRightInd w:val="0"/>
        <w:snapToGrid w:val="0"/>
        <w:spacing w:line="360" w:lineRule="auto"/>
        <w:ind w:firstLine="480" w:firstLineChars="200"/>
        <w:rPr>
          <w:sz w:val="24"/>
        </w:rPr>
      </w:pPr>
      <w:r>
        <w:rPr>
          <w:rFonts w:hint="eastAsia"/>
          <w:sz w:val="24"/>
        </w:rPr>
        <w:t>净</w:t>
      </w:r>
      <w:r>
        <w:rPr>
          <w:sz w:val="24"/>
        </w:rPr>
        <w:t>认购金额＝100,000.00/（1＋1.2%）＝98,814.23元</w:t>
      </w:r>
    </w:p>
    <w:p>
      <w:pPr>
        <w:adjustRightInd w:val="0"/>
        <w:snapToGrid w:val="0"/>
        <w:spacing w:line="360" w:lineRule="auto"/>
        <w:ind w:firstLine="480" w:firstLineChars="200"/>
        <w:rPr>
          <w:sz w:val="24"/>
        </w:rPr>
      </w:pPr>
      <w:r>
        <w:rPr>
          <w:sz w:val="24"/>
        </w:rPr>
        <w:t>认购费用＝100,000.00-98,814.23＝1,185.77元</w:t>
      </w:r>
    </w:p>
    <w:p>
      <w:pPr>
        <w:adjustRightInd w:val="0"/>
        <w:snapToGrid w:val="0"/>
        <w:spacing w:line="360" w:lineRule="auto"/>
        <w:ind w:firstLine="480" w:firstLineChars="200"/>
        <w:rPr>
          <w:sz w:val="24"/>
        </w:rPr>
      </w:pPr>
      <w:r>
        <w:rPr>
          <w:sz w:val="24"/>
        </w:rPr>
        <w:t>认购份额＝98,814.23/1.00＋10.00/1.00＝98,824.23份</w:t>
      </w:r>
    </w:p>
    <w:p>
      <w:pPr>
        <w:adjustRightInd w:val="0"/>
        <w:snapToGrid w:val="0"/>
        <w:spacing w:line="360" w:lineRule="auto"/>
        <w:ind w:firstLine="480" w:firstLineChars="200"/>
        <w:rPr>
          <w:sz w:val="24"/>
        </w:rPr>
      </w:pPr>
      <w:r>
        <w:rPr>
          <w:rFonts w:hint="eastAsia"/>
          <w:sz w:val="24"/>
        </w:rPr>
        <w:t>即：若该投资者（非养老金客户）认购本基金100,000</w:t>
      </w:r>
      <w:r>
        <w:rPr>
          <w:sz w:val="24"/>
        </w:rPr>
        <w:t>.00</w:t>
      </w:r>
      <w:r>
        <w:rPr>
          <w:rFonts w:hint="eastAsia"/>
          <w:sz w:val="24"/>
        </w:rPr>
        <w:t>元，且该认购申请被全额确认，假定该笔认购金额产生的利息为10.00元，可得到</w:t>
      </w:r>
      <w:r>
        <w:rPr>
          <w:sz w:val="24"/>
        </w:rPr>
        <w:t>98,824.23</w:t>
      </w:r>
      <w:r>
        <w:rPr>
          <w:rFonts w:hint="eastAsia"/>
          <w:sz w:val="24"/>
        </w:rPr>
        <w:t>份基金份额。</w:t>
      </w:r>
    </w:p>
    <w:p>
      <w:pPr>
        <w:adjustRightInd w:val="0"/>
        <w:snapToGrid w:val="0"/>
        <w:spacing w:line="360" w:lineRule="auto"/>
        <w:ind w:firstLine="480" w:firstLineChars="200"/>
        <w:rPr>
          <w:sz w:val="24"/>
        </w:rPr>
      </w:pPr>
      <w:r>
        <w:rPr>
          <w:sz w:val="24"/>
        </w:rPr>
        <w:t>例</w:t>
      </w:r>
      <w:r>
        <w:rPr>
          <w:rFonts w:hint="eastAsia"/>
          <w:sz w:val="24"/>
        </w:rPr>
        <w:t>二</w:t>
      </w:r>
      <w:r>
        <w:rPr>
          <w:sz w:val="24"/>
        </w:rPr>
        <w:t>：</w:t>
      </w:r>
      <w:r>
        <w:rPr>
          <w:rFonts w:hint="eastAsia"/>
          <w:sz w:val="24"/>
        </w:rPr>
        <w:t>某养老金客户通过基金管理人的直销柜台认购本基金1</w:t>
      </w:r>
      <w:r>
        <w:rPr>
          <w:sz w:val="24"/>
        </w:rPr>
        <w:t>,0</w:t>
      </w:r>
      <w:r>
        <w:rPr>
          <w:rFonts w:hint="eastAsia"/>
          <w:sz w:val="24"/>
        </w:rPr>
        <w:t>00,000</w:t>
      </w:r>
      <w:r>
        <w:rPr>
          <w:sz w:val="24"/>
        </w:rPr>
        <w:t>.00</w:t>
      </w:r>
      <w:r>
        <w:rPr>
          <w:rFonts w:hint="eastAsia"/>
          <w:sz w:val="24"/>
        </w:rPr>
        <w:t>元，且该认购申请被全额确认，假定该笔认购金额产生的利息为50.00元，认购费率为0.</w:t>
      </w:r>
      <w:r>
        <w:rPr>
          <w:sz w:val="24"/>
        </w:rPr>
        <w:t>48</w:t>
      </w:r>
      <w:r>
        <w:rPr>
          <w:rFonts w:hint="eastAsia"/>
          <w:sz w:val="24"/>
        </w:rPr>
        <w:t>%，则可认购基金份额为：</w:t>
      </w:r>
    </w:p>
    <w:p>
      <w:pPr>
        <w:adjustRightInd w:val="0"/>
        <w:snapToGrid w:val="0"/>
        <w:spacing w:line="360" w:lineRule="auto"/>
        <w:ind w:firstLine="480" w:firstLineChars="200"/>
        <w:rPr>
          <w:sz w:val="24"/>
        </w:rPr>
      </w:pPr>
      <w:r>
        <w:rPr>
          <w:rFonts w:hint="eastAsia"/>
          <w:sz w:val="24"/>
        </w:rPr>
        <w:t>认购总金额=1</w:t>
      </w:r>
      <w:r>
        <w:rPr>
          <w:sz w:val="24"/>
        </w:rPr>
        <w:t>,0</w:t>
      </w:r>
      <w:r>
        <w:rPr>
          <w:rFonts w:hint="eastAsia"/>
          <w:sz w:val="24"/>
        </w:rPr>
        <w:t>00,000</w:t>
      </w:r>
      <w:r>
        <w:rPr>
          <w:sz w:val="24"/>
        </w:rPr>
        <w:t>.00</w:t>
      </w:r>
      <w:r>
        <w:rPr>
          <w:rFonts w:hint="eastAsia"/>
          <w:sz w:val="24"/>
        </w:rPr>
        <w:t>元</w:t>
      </w:r>
    </w:p>
    <w:p>
      <w:pPr>
        <w:adjustRightInd w:val="0"/>
        <w:snapToGrid w:val="0"/>
        <w:spacing w:line="360" w:lineRule="auto"/>
        <w:ind w:firstLine="480" w:firstLineChars="200"/>
        <w:rPr>
          <w:sz w:val="24"/>
        </w:rPr>
      </w:pPr>
      <w:r>
        <w:rPr>
          <w:rFonts w:hint="eastAsia"/>
          <w:sz w:val="24"/>
        </w:rPr>
        <w:t>净</w:t>
      </w:r>
      <w:r>
        <w:rPr>
          <w:sz w:val="24"/>
        </w:rPr>
        <w:t>认购金额＝1,000,000.00/（1＋</w:t>
      </w:r>
      <w:r>
        <w:rPr>
          <w:rFonts w:hint="eastAsia"/>
          <w:sz w:val="24"/>
        </w:rPr>
        <w:t>0.</w:t>
      </w:r>
      <w:r>
        <w:rPr>
          <w:sz w:val="24"/>
        </w:rPr>
        <w:t>48%）＝995,222.93元</w:t>
      </w:r>
    </w:p>
    <w:p>
      <w:pPr>
        <w:adjustRightInd w:val="0"/>
        <w:snapToGrid w:val="0"/>
        <w:spacing w:line="360" w:lineRule="auto"/>
        <w:ind w:firstLine="480" w:firstLineChars="200"/>
        <w:rPr>
          <w:sz w:val="24"/>
        </w:rPr>
      </w:pPr>
      <w:r>
        <w:rPr>
          <w:sz w:val="24"/>
        </w:rPr>
        <w:t>认购费用＝</w:t>
      </w:r>
      <w:bookmarkStart w:id="17" w:name="OLE_LINK1"/>
      <w:bookmarkStart w:id="18" w:name="OLE_LINK2"/>
      <w:r>
        <w:rPr>
          <w:sz w:val="24"/>
        </w:rPr>
        <w:t>1,00</w:t>
      </w:r>
      <w:r>
        <w:rPr>
          <w:rFonts w:hint="eastAsia"/>
          <w:sz w:val="24"/>
        </w:rPr>
        <w:t>0</w:t>
      </w:r>
      <w:r>
        <w:rPr>
          <w:sz w:val="24"/>
        </w:rPr>
        <w:t>,000.00-</w:t>
      </w:r>
      <w:r>
        <w:rPr>
          <w:rFonts w:hint="eastAsia"/>
          <w:sz w:val="24"/>
        </w:rPr>
        <w:t>995,222.93</w:t>
      </w:r>
      <w:bookmarkEnd w:id="17"/>
      <w:bookmarkEnd w:id="18"/>
      <w:r>
        <w:rPr>
          <w:sz w:val="24"/>
        </w:rPr>
        <w:t>＝4,777.07元</w:t>
      </w:r>
    </w:p>
    <w:p>
      <w:pPr>
        <w:adjustRightInd w:val="0"/>
        <w:snapToGrid w:val="0"/>
        <w:spacing w:line="360" w:lineRule="auto"/>
        <w:ind w:firstLine="480" w:firstLineChars="200"/>
        <w:rPr>
          <w:sz w:val="24"/>
        </w:rPr>
      </w:pPr>
      <w:r>
        <w:rPr>
          <w:sz w:val="24"/>
        </w:rPr>
        <w:t>认购份额＝</w:t>
      </w:r>
      <w:r>
        <w:rPr>
          <w:rFonts w:hint="eastAsia"/>
          <w:sz w:val="24"/>
        </w:rPr>
        <w:t>995,222.93</w:t>
      </w:r>
      <w:r>
        <w:rPr>
          <w:sz w:val="24"/>
        </w:rPr>
        <w:t>/1.00＋</w:t>
      </w:r>
      <w:r>
        <w:rPr>
          <w:rFonts w:hint="eastAsia"/>
          <w:sz w:val="24"/>
        </w:rPr>
        <w:t>5</w:t>
      </w:r>
      <w:r>
        <w:rPr>
          <w:sz w:val="24"/>
        </w:rPr>
        <w:t>0.00/1.00＝</w:t>
      </w:r>
      <w:r>
        <w:rPr>
          <w:rFonts w:hint="eastAsia"/>
          <w:sz w:val="24"/>
        </w:rPr>
        <w:t>995,272.93</w:t>
      </w:r>
      <w:r>
        <w:rPr>
          <w:sz w:val="24"/>
        </w:rPr>
        <w:t>份</w:t>
      </w:r>
    </w:p>
    <w:p>
      <w:pPr>
        <w:adjustRightInd w:val="0"/>
        <w:snapToGrid w:val="0"/>
        <w:spacing w:line="360" w:lineRule="auto"/>
        <w:ind w:firstLine="480" w:firstLineChars="200"/>
        <w:rPr>
          <w:sz w:val="24"/>
        </w:rPr>
      </w:pPr>
      <w:r>
        <w:rPr>
          <w:rFonts w:hint="eastAsia"/>
          <w:sz w:val="24"/>
        </w:rPr>
        <w:t>即：若该养老金客户通过基金管理人的直销柜台认购本基金1,000,000</w:t>
      </w:r>
      <w:r>
        <w:rPr>
          <w:sz w:val="24"/>
        </w:rPr>
        <w:t>.00</w:t>
      </w:r>
      <w:r>
        <w:rPr>
          <w:rFonts w:hint="eastAsia"/>
          <w:sz w:val="24"/>
        </w:rPr>
        <w:t>元，且该认购申请被全额确认，假定该笔认购金额产生的利息为50.00元，可得到</w:t>
      </w:r>
      <w:r>
        <w:rPr>
          <w:sz w:val="24"/>
        </w:rPr>
        <w:t>995,272.93</w:t>
      </w:r>
      <w:r>
        <w:rPr>
          <w:rFonts w:hint="eastAsia"/>
          <w:sz w:val="24"/>
        </w:rPr>
        <w:t>份基金份额。</w:t>
      </w:r>
    </w:p>
    <w:p>
      <w:pPr>
        <w:adjustRightInd w:val="0"/>
        <w:snapToGrid w:val="0"/>
        <w:spacing w:line="360" w:lineRule="auto"/>
        <w:ind w:firstLine="480" w:firstLineChars="200"/>
        <w:outlineLvl w:val="2"/>
        <w:rPr>
          <w:sz w:val="24"/>
        </w:rPr>
      </w:pPr>
      <w:r>
        <w:rPr>
          <w:sz w:val="24"/>
        </w:rPr>
        <w:t>4、认购的程序</w:t>
      </w:r>
    </w:p>
    <w:p>
      <w:pPr>
        <w:adjustRightInd w:val="0"/>
        <w:snapToGrid w:val="0"/>
        <w:spacing w:line="360" w:lineRule="auto"/>
        <w:ind w:firstLine="480" w:firstLineChars="200"/>
        <w:rPr>
          <w:sz w:val="24"/>
        </w:rPr>
      </w:pPr>
      <w:r>
        <w:rPr>
          <w:sz w:val="24"/>
        </w:rPr>
        <w:t>（1）申请方式：书面申请或基金管理人公告的其他方式。</w:t>
      </w:r>
    </w:p>
    <w:p>
      <w:pPr>
        <w:adjustRightInd w:val="0"/>
        <w:snapToGrid w:val="0"/>
        <w:spacing w:line="360" w:lineRule="auto"/>
        <w:ind w:firstLine="480" w:firstLineChars="200"/>
        <w:rPr>
          <w:sz w:val="24"/>
        </w:rPr>
      </w:pPr>
      <w:r>
        <w:rPr>
          <w:sz w:val="24"/>
        </w:rPr>
        <w:t>（2）认购款项支付：投资人认购时，采用全额缴款方式。</w:t>
      </w:r>
    </w:p>
    <w:p>
      <w:pPr>
        <w:widowControl/>
        <w:adjustRightInd w:val="0"/>
        <w:snapToGrid w:val="0"/>
        <w:spacing w:line="360" w:lineRule="auto"/>
        <w:ind w:firstLine="480" w:firstLineChars="200"/>
        <w:outlineLvl w:val="2"/>
        <w:rPr>
          <w:sz w:val="24"/>
          <w:szCs w:val="21"/>
        </w:rPr>
      </w:pPr>
      <w:r>
        <w:rPr>
          <w:sz w:val="24"/>
          <w:szCs w:val="21"/>
        </w:rPr>
        <w:t>5、认购的确认</w:t>
      </w:r>
    </w:p>
    <w:p>
      <w:pPr>
        <w:widowControl/>
        <w:adjustRightInd w:val="0"/>
        <w:snapToGrid w:val="0"/>
        <w:spacing w:line="360" w:lineRule="auto"/>
        <w:ind w:firstLine="480" w:firstLineChars="200"/>
        <w:rPr>
          <w:sz w:val="24"/>
          <w:szCs w:val="21"/>
        </w:rPr>
      </w:pPr>
      <w:r>
        <w:rPr>
          <w:sz w:val="24"/>
          <w:szCs w:val="21"/>
        </w:rPr>
        <w:t>当日（T日）在规定时间内提交的申请，投资人通常可在T+2日后（包括该日）到</w:t>
      </w:r>
      <w:r>
        <w:rPr>
          <w:rFonts w:hint="eastAsia"/>
          <w:sz w:val="24"/>
          <w:szCs w:val="21"/>
        </w:rPr>
        <w:t>销售</w:t>
      </w:r>
      <w:r>
        <w:rPr>
          <w:sz w:val="24"/>
          <w:szCs w:val="21"/>
        </w:rPr>
        <w:t>网点查询交易情况。基金销售机构对</w:t>
      </w:r>
      <w:r>
        <w:rPr>
          <w:rFonts w:hint="eastAsia"/>
          <w:sz w:val="24"/>
          <w:szCs w:val="21"/>
        </w:rPr>
        <w:t>认购</w:t>
      </w:r>
      <w:r>
        <w:rPr>
          <w:sz w:val="24"/>
          <w:szCs w:val="21"/>
        </w:rPr>
        <w:t>申请的受理并不</w:t>
      </w:r>
      <w:r>
        <w:rPr>
          <w:rFonts w:hint="eastAsia"/>
          <w:sz w:val="24"/>
          <w:szCs w:val="21"/>
        </w:rPr>
        <w:t>代表该申请一定成功</w:t>
      </w:r>
      <w:r>
        <w:rPr>
          <w:sz w:val="24"/>
          <w:szCs w:val="21"/>
        </w:rPr>
        <w:t>，而仅代表销售机构确实接收到认购申请。申请的成功确认应以基金合同生效后、登记机构的确认登记为准。</w:t>
      </w:r>
      <w:r>
        <w:rPr>
          <w:rFonts w:hAnsi="宋体"/>
          <w:sz w:val="24"/>
        </w:rPr>
        <w:t>对于认购申请及认购份额的确认情况，投资人应及时查询。</w:t>
      </w:r>
      <w:r>
        <w:rPr>
          <w:sz w:val="24"/>
          <w:szCs w:val="21"/>
        </w:rPr>
        <w:t>投资人可以在基金合同生效后到原认购网点打印认购成交确认凭证。</w:t>
      </w:r>
    </w:p>
    <w:p>
      <w:pPr>
        <w:widowControl/>
        <w:adjustRightInd w:val="0"/>
        <w:snapToGrid w:val="0"/>
        <w:spacing w:line="360" w:lineRule="auto"/>
        <w:ind w:firstLine="480" w:firstLineChars="200"/>
        <w:rPr>
          <w:sz w:val="24"/>
          <w:szCs w:val="21"/>
        </w:rPr>
      </w:pPr>
      <w:r>
        <w:rPr>
          <w:sz w:val="24"/>
          <w:szCs w:val="21"/>
        </w:rPr>
        <w:t>投资人开户和认购所需提交的文件和办理的具体程序，请参阅基金份额发售公告。</w:t>
      </w:r>
    </w:p>
    <w:p>
      <w:pPr>
        <w:widowControl/>
        <w:adjustRightInd w:val="0"/>
        <w:snapToGrid w:val="0"/>
        <w:spacing w:line="360" w:lineRule="auto"/>
        <w:ind w:firstLine="480" w:firstLineChars="200"/>
        <w:outlineLvl w:val="2"/>
        <w:rPr>
          <w:sz w:val="24"/>
          <w:szCs w:val="21"/>
        </w:rPr>
      </w:pPr>
      <w:r>
        <w:rPr>
          <w:sz w:val="24"/>
          <w:szCs w:val="21"/>
        </w:rPr>
        <w:t>6、募集期利息的处理方式</w:t>
      </w:r>
    </w:p>
    <w:p>
      <w:pPr>
        <w:widowControl/>
        <w:adjustRightInd w:val="0"/>
        <w:snapToGrid w:val="0"/>
        <w:spacing w:line="360" w:lineRule="auto"/>
        <w:ind w:firstLine="480" w:firstLineChars="200"/>
        <w:rPr>
          <w:sz w:val="24"/>
          <w:szCs w:val="21"/>
        </w:rPr>
      </w:pPr>
      <w:r>
        <w:rPr>
          <w:sz w:val="24"/>
          <w:szCs w:val="21"/>
        </w:rPr>
        <w:t>本基金基金合同生效前，投资人的有效认购款项只能存入专门账户，任何人不得动用。有效认购款项在募集期间产生的利息将折算为基金份额归基金份额持有人所有。</w:t>
      </w:r>
    </w:p>
    <w:p>
      <w:pPr>
        <w:adjustRightInd w:val="0"/>
        <w:snapToGrid w:val="0"/>
        <w:spacing w:line="360" w:lineRule="auto"/>
        <w:ind w:firstLine="480" w:firstLineChars="200"/>
        <w:rPr>
          <w:sz w:val="24"/>
          <w:szCs w:val="21"/>
        </w:rPr>
      </w:pPr>
      <w:r>
        <w:rPr>
          <w:sz w:val="24"/>
          <w:szCs w:val="21"/>
        </w:rPr>
        <w:t>认购利息折算的基金份额精确到小数点后两位，小数点两位</w:t>
      </w:r>
      <w:r>
        <w:rPr>
          <w:rFonts w:hint="eastAsia"/>
          <w:sz w:val="24"/>
          <w:szCs w:val="21"/>
        </w:rPr>
        <w:t>以后的部分</w:t>
      </w:r>
      <w:r>
        <w:rPr>
          <w:sz w:val="24"/>
          <w:szCs w:val="21"/>
        </w:rPr>
        <w:t>截位，由此误差产生的收益或损失由基金财产承担，其中有效认购资金的利息及利息折算的基金份额以登记机构的记录为准</w:t>
      </w:r>
      <w:bookmarkStart w:id="19" w:name="_Hlt91264078"/>
      <w:bookmarkEnd w:id="19"/>
      <w:bookmarkStart w:id="20" w:name="_Hlt91264042"/>
      <w:bookmarkEnd w:id="20"/>
      <w:bookmarkStart w:id="21" w:name="_Hlt91148053"/>
      <w:bookmarkEnd w:id="21"/>
      <w:bookmarkStart w:id="22" w:name="_Hlt90455312"/>
      <w:bookmarkEnd w:id="22"/>
      <w:bookmarkStart w:id="23" w:name="_Hlt90801570"/>
      <w:bookmarkEnd w:id="23"/>
      <w:bookmarkStart w:id="24" w:name="_Toc109537384"/>
      <w:r>
        <w:rPr>
          <w:sz w:val="24"/>
          <w:szCs w:val="21"/>
        </w:rPr>
        <w:t>。</w:t>
      </w:r>
      <w:bookmarkEnd w:id="16"/>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25" w:name="_Toc48122008"/>
      <w:r>
        <w:rPr>
          <w:rFonts w:hint="eastAsia" w:ascii="宋体" w:hAnsi="宋体"/>
          <w:b/>
          <w:kern w:val="0"/>
          <w:sz w:val="30"/>
        </w:rPr>
        <w:t>七、基金合同的生效</w:t>
      </w:r>
      <w:bookmarkEnd w:id="25"/>
    </w:p>
    <w:bookmarkEnd w:id="24"/>
    <w:p>
      <w:pPr>
        <w:pStyle w:val="4"/>
        <w:autoSpaceDE w:val="0"/>
        <w:autoSpaceDN w:val="0"/>
        <w:adjustRightInd w:val="0"/>
        <w:snapToGrid w:val="0"/>
        <w:spacing w:line="360" w:lineRule="auto"/>
        <w:ind w:firstLine="482"/>
        <w:outlineLvl w:val="1"/>
        <w:rPr>
          <w:b/>
          <w:sz w:val="24"/>
        </w:rPr>
      </w:pPr>
      <w:bookmarkStart w:id="26" w:name="_Hlt88901074"/>
      <w:bookmarkEnd w:id="26"/>
      <w:bookmarkStart w:id="27" w:name="_Toc15118260"/>
      <w:bookmarkStart w:id="28" w:name="_Toc79392603"/>
      <w:bookmarkStart w:id="29" w:name="_Toc57530272"/>
      <w:bookmarkStart w:id="30" w:name="_Toc109537386"/>
      <w:r>
        <w:rPr>
          <w:rFonts w:hAnsi="宋体"/>
          <w:b/>
          <w:sz w:val="24"/>
        </w:rPr>
        <w:t>（一）基金备案的条件</w:t>
      </w:r>
    </w:p>
    <w:p>
      <w:pPr>
        <w:pStyle w:val="4"/>
        <w:autoSpaceDE w:val="0"/>
        <w:autoSpaceDN w:val="0"/>
        <w:adjustRightInd w:val="0"/>
        <w:snapToGrid w:val="0"/>
        <w:spacing w:line="360" w:lineRule="auto"/>
        <w:ind w:firstLine="480"/>
        <w:rPr>
          <w:rFonts w:hAnsi="宋体"/>
          <w:sz w:val="24"/>
        </w:rPr>
      </w:pPr>
      <w:r>
        <w:rPr>
          <w:rFonts w:hint="eastAsia" w:hAnsi="宋体"/>
          <w:sz w:val="24"/>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pPr>
        <w:adjustRightInd w:val="0"/>
        <w:snapToGrid w:val="0"/>
        <w:spacing w:line="360" w:lineRule="auto"/>
        <w:ind w:firstLine="480" w:firstLineChars="200"/>
        <w:rPr>
          <w:rFonts w:hAnsi="宋体"/>
          <w:sz w:val="24"/>
        </w:rPr>
      </w:pPr>
      <w:r>
        <w:rPr>
          <w:rFonts w:hint="eastAsia" w:hAnsi="宋体"/>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adjustRightInd w:val="0"/>
        <w:snapToGrid w:val="0"/>
        <w:spacing w:line="360" w:lineRule="auto"/>
        <w:ind w:firstLine="482" w:firstLineChars="200"/>
        <w:outlineLvl w:val="1"/>
        <w:rPr>
          <w:bCs/>
          <w:sz w:val="24"/>
        </w:rPr>
      </w:pPr>
      <w:r>
        <w:rPr>
          <w:rFonts w:hAnsi="宋体"/>
          <w:b/>
          <w:sz w:val="24"/>
        </w:rPr>
        <w:t>（二）</w:t>
      </w:r>
      <w:r>
        <w:rPr>
          <w:b/>
          <w:bCs/>
          <w:sz w:val="24"/>
        </w:rPr>
        <w:t>基金合同不能生效时募集资金的处理方式</w:t>
      </w:r>
    </w:p>
    <w:p>
      <w:pPr>
        <w:adjustRightInd w:val="0"/>
        <w:snapToGrid w:val="0"/>
        <w:spacing w:line="360" w:lineRule="auto"/>
        <w:ind w:firstLine="480" w:firstLineChars="200"/>
        <w:rPr>
          <w:rFonts w:hAnsi="宋体"/>
          <w:sz w:val="24"/>
        </w:rPr>
      </w:pPr>
      <w:r>
        <w:rPr>
          <w:rFonts w:hint="eastAsia" w:hAnsi="宋体"/>
          <w:sz w:val="24"/>
        </w:rPr>
        <w:t>如果募集期限届满，未满足基金备案条件，基金管理人应当承担下列责任：</w:t>
      </w:r>
    </w:p>
    <w:p>
      <w:pPr>
        <w:adjustRightInd w:val="0"/>
        <w:snapToGrid w:val="0"/>
        <w:spacing w:line="360" w:lineRule="auto"/>
        <w:ind w:firstLine="480" w:firstLineChars="200"/>
        <w:rPr>
          <w:rFonts w:hAnsi="宋体"/>
          <w:sz w:val="24"/>
        </w:rPr>
      </w:pPr>
      <w:r>
        <w:rPr>
          <w:rFonts w:hint="eastAsia" w:hAnsi="宋体"/>
          <w:sz w:val="24"/>
        </w:rPr>
        <w:t>1、以其固有财产承担因募集行为而产生的债务和费用；</w:t>
      </w:r>
    </w:p>
    <w:p>
      <w:pPr>
        <w:adjustRightInd w:val="0"/>
        <w:snapToGrid w:val="0"/>
        <w:spacing w:line="360" w:lineRule="auto"/>
        <w:ind w:firstLine="480" w:firstLineChars="200"/>
        <w:rPr>
          <w:rFonts w:hAnsi="宋体"/>
          <w:sz w:val="24"/>
        </w:rPr>
      </w:pPr>
      <w:r>
        <w:rPr>
          <w:rFonts w:hint="eastAsia" w:hAnsi="宋体"/>
          <w:sz w:val="24"/>
        </w:rPr>
        <w:t>2、在基金募集期限届满后30日内返还投资者已缴纳的款项，并加计银行同期活期存款利息；</w:t>
      </w:r>
    </w:p>
    <w:p>
      <w:pPr>
        <w:adjustRightInd w:val="0"/>
        <w:snapToGrid w:val="0"/>
        <w:spacing w:line="360" w:lineRule="auto"/>
        <w:ind w:firstLine="480" w:firstLineChars="200"/>
        <w:rPr>
          <w:rFonts w:hAnsi="宋体"/>
          <w:sz w:val="24"/>
        </w:rPr>
      </w:pPr>
      <w:r>
        <w:rPr>
          <w:rFonts w:hint="eastAsia" w:hAnsi="宋体"/>
          <w:sz w:val="24"/>
        </w:rPr>
        <w:t>3、如基金募集失败，基金管理人、基金托管人及销售机构不得请求报酬。基金管理人、基金托管人和销售机构为基金募集支付之一切费用应由各方各自承担。</w:t>
      </w:r>
    </w:p>
    <w:p>
      <w:pPr>
        <w:adjustRightInd w:val="0"/>
        <w:snapToGrid w:val="0"/>
        <w:spacing w:line="360" w:lineRule="auto"/>
        <w:ind w:firstLine="482" w:firstLineChars="200"/>
        <w:outlineLvl w:val="1"/>
        <w:rPr>
          <w:b/>
          <w:sz w:val="24"/>
        </w:rPr>
      </w:pPr>
      <w:r>
        <w:rPr>
          <w:rFonts w:hAnsi="宋体"/>
          <w:b/>
          <w:sz w:val="24"/>
        </w:rPr>
        <w:t>（三）基金存续期内的基金份额持有人数量和资产规模</w:t>
      </w:r>
    </w:p>
    <w:bookmarkEnd w:id="27"/>
    <w:bookmarkEnd w:id="28"/>
    <w:bookmarkEnd w:id="29"/>
    <w:p>
      <w:pPr>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pPr>
        <w:widowControl/>
        <w:adjustRightInd w:val="0"/>
        <w:snapToGrid w:val="0"/>
        <w:spacing w:line="360" w:lineRule="auto"/>
        <w:ind w:firstLine="482"/>
      </w:pPr>
      <w:r>
        <w:rPr>
          <w:rFonts w:hint="eastAsia" w:ascii="宋体" w:hAnsi="宋体"/>
          <w:kern w:val="0"/>
          <w:sz w:val="24"/>
          <w:szCs w:val="24"/>
        </w:rPr>
        <w:t>法律法规或中国证监会另有规定时，从其规定。</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31" w:name="_Toc48122009"/>
      <w:r>
        <w:rPr>
          <w:rFonts w:hint="eastAsia" w:ascii="宋体" w:hAnsi="宋体"/>
          <w:b/>
          <w:kern w:val="0"/>
          <w:sz w:val="30"/>
        </w:rPr>
        <w:t>八、基金份额的申购与赎回</w:t>
      </w:r>
      <w:bookmarkEnd w:id="30"/>
      <w:bookmarkEnd w:id="31"/>
    </w:p>
    <w:p>
      <w:pPr>
        <w:widowControl/>
        <w:adjustRightInd w:val="0"/>
        <w:snapToGrid w:val="0"/>
        <w:spacing w:line="360" w:lineRule="auto"/>
        <w:ind w:firstLine="482" w:firstLineChars="200"/>
        <w:outlineLvl w:val="1"/>
        <w:rPr>
          <w:b/>
          <w:kern w:val="0"/>
          <w:sz w:val="24"/>
          <w:szCs w:val="24"/>
        </w:rPr>
      </w:pPr>
      <w:bookmarkStart w:id="32" w:name="_Hlk49342362"/>
      <w:r>
        <w:rPr>
          <w:rFonts w:hAnsi="宋体"/>
          <w:b/>
          <w:kern w:val="0"/>
          <w:sz w:val="24"/>
          <w:szCs w:val="24"/>
        </w:rPr>
        <w:t>（一）申购和赎回的场所</w:t>
      </w:r>
    </w:p>
    <w:p>
      <w:pPr>
        <w:pStyle w:val="4"/>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pPr>
        <w:pStyle w:val="4"/>
        <w:autoSpaceDE w:val="0"/>
        <w:autoSpaceDN w:val="0"/>
        <w:adjustRightInd w:val="0"/>
        <w:snapToGrid w:val="0"/>
        <w:spacing w:line="360" w:lineRule="auto"/>
        <w:ind w:firstLine="480"/>
        <w:outlineLvl w:val="2"/>
        <w:rPr>
          <w:sz w:val="24"/>
          <w:szCs w:val="24"/>
        </w:rPr>
      </w:pPr>
      <w:r>
        <w:rPr>
          <w:sz w:val="24"/>
          <w:szCs w:val="24"/>
        </w:rPr>
        <w:t>1</w:t>
      </w:r>
      <w:r>
        <w:rPr>
          <w:rFonts w:hAnsi="宋体"/>
          <w:sz w:val="24"/>
          <w:szCs w:val="24"/>
        </w:rPr>
        <w:t>、本基金管理人的直销机构</w:t>
      </w:r>
    </w:p>
    <w:p>
      <w:pPr>
        <w:widowControl/>
        <w:adjustRightInd w:val="0"/>
        <w:snapToGrid w:val="0"/>
        <w:spacing w:line="360" w:lineRule="auto"/>
        <w:ind w:firstLine="480" w:firstLineChars="200"/>
        <w:rPr>
          <w:kern w:val="0"/>
          <w:sz w:val="24"/>
          <w:szCs w:val="24"/>
        </w:rPr>
      </w:pPr>
      <w:r>
        <w:rPr>
          <w:rFonts w:hAnsi="宋体"/>
          <w:kern w:val="0"/>
          <w:sz w:val="24"/>
          <w:szCs w:val="24"/>
        </w:rPr>
        <w:t>本基金直销机构为</w:t>
      </w:r>
      <w:r>
        <w:rPr>
          <w:rFonts w:hint="eastAsia" w:hAnsi="宋体"/>
          <w:sz w:val="24"/>
          <w:szCs w:val="24"/>
        </w:rPr>
        <w:t>基金管理人直销柜台以及基金管理人</w:t>
      </w:r>
      <w:r>
        <w:rPr>
          <w:rFonts w:hAnsi="宋体"/>
          <w:kern w:val="0"/>
          <w:sz w:val="24"/>
          <w:szCs w:val="24"/>
        </w:rPr>
        <w:t>的网上直销交易平台。</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名称：交银施罗德基金管理有限公司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住所：中国（上海）自由贸易试验区银城中路188号交通银行大楼二层（裙）</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办公地址：上海市浦东新区世纪大道8号国金中心二期21-22楼</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电话：（021）6105</w:t>
      </w:r>
      <w:r>
        <w:rPr>
          <w:rStyle w:val="31"/>
          <w:color w:val="auto"/>
          <w:sz w:val="24"/>
          <w:szCs w:val="24"/>
          <w:u w:val="none"/>
        </w:rPr>
        <w:t>5724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传真：（021）61055054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联系人：傅</w:t>
      </w:r>
      <w:r>
        <w:rPr>
          <w:rStyle w:val="31"/>
          <w:color w:val="auto"/>
          <w:sz w:val="24"/>
          <w:szCs w:val="24"/>
          <w:u w:val="none"/>
        </w:rPr>
        <w:t>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客户服务电话：400-700-5000（免长途话费），（021）61055000</w:t>
      </w:r>
    </w:p>
    <w:p>
      <w:pPr>
        <w:pStyle w:val="4"/>
        <w:autoSpaceDE w:val="0"/>
        <w:autoSpaceDN w:val="0"/>
        <w:adjustRightInd w:val="0"/>
        <w:snapToGrid w:val="0"/>
        <w:spacing w:line="360" w:lineRule="auto"/>
        <w:ind w:firstLine="480"/>
        <w:rPr>
          <w:sz w:val="24"/>
          <w:szCs w:val="24"/>
        </w:rPr>
      </w:pPr>
      <w:r>
        <w:rPr>
          <w:rStyle w:val="31"/>
          <w:rFonts w:hint="eastAsia"/>
          <w:color w:val="auto"/>
          <w:sz w:val="24"/>
          <w:szCs w:val="24"/>
          <w:u w:val="none"/>
        </w:rPr>
        <w:t>网址：www.fund001.com</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个人投资者可以通过</w:t>
      </w:r>
      <w:r>
        <w:rPr>
          <w:rFonts w:hint="eastAsia" w:hAnsi="宋体"/>
          <w:sz w:val="24"/>
          <w:szCs w:val="24"/>
        </w:rPr>
        <w:t>基金管理人</w:t>
      </w:r>
      <w:r>
        <w:rPr>
          <w:rFonts w:hAnsi="宋体"/>
          <w:kern w:val="0"/>
          <w:sz w:val="24"/>
          <w:szCs w:val="24"/>
        </w:rPr>
        <w:t>网上直销交易平台办理开户、本基金的申购、赎回等业务，具体交易细则请参阅</w:t>
      </w:r>
      <w:r>
        <w:rPr>
          <w:rFonts w:hint="eastAsia" w:hAnsi="宋体"/>
          <w:sz w:val="24"/>
          <w:szCs w:val="24"/>
        </w:rPr>
        <w:t>基金管理人</w:t>
      </w:r>
      <w:r>
        <w:rPr>
          <w:rFonts w:hAnsi="宋体"/>
          <w:kern w:val="0"/>
          <w:sz w:val="24"/>
          <w:szCs w:val="24"/>
        </w:rPr>
        <w:t>网站。</w:t>
      </w:r>
    </w:p>
    <w:p>
      <w:pPr>
        <w:pStyle w:val="4"/>
        <w:autoSpaceDE w:val="0"/>
        <w:autoSpaceDN w:val="0"/>
        <w:adjustRightInd w:val="0"/>
        <w:snapToGrid w:val="0"/>
        <w:spacing w:line="360" w:lineRule="auto"/>
        <w:ind w:firstLine="480"/>
      </w:pPr>
      <w:r>
        <w:rPr>
          <w:rFonts w:hAnsi="宋体"/>
          <w:kern w:val="0"/>
          <w:sz w:val="24"/>
          <w:szCs w:val="24"/>
        </w:rPr>
        <w:t>网上直销交易平台网址：</w:t>
      </w:r>
      <w:r>
        <w:rPr>
          <w:rStyle w:val="31"/>
          <w:color w:val="auto"/>
          <w:sz w:val="24"/>
          <w:szCs w:val="24"/>
          <w:u w:val="none"/>
        </w:rPr>
        <w:t>www.fund001.com</w:t>
      </w:r>
    </w:p>
    <w:p>
      <w:pPr>
        <w:pStyle w:val="4"/>
        <w:autoSpaceDE w:val="0"/>
        <w:autoSpaceDN w:val="0"/>
        <w:adjustRightInd w:val="0"/>
        <w:snapToGrid w:val="0"/>
        <w:spacing w:line="360" w:lineRule="auto"/>
        <w:ind w:firstLine="480"/>
        <w:outlineLvl w:val="2"/>
        <w:rPr>
          <w:kern w:val="0"/>
          <w:sz w:val="24"/>
          <w:szCs w:val="24"/>
        </w:rPr>
      </w:pPr>
      <w:r>
        <w:rPr>
          <w:kern w:val="0"/>
          <w:sz w:val="24"/>
        </w:rPr>
        <w:t>2、</w:t>
      </w:r>
      <w:r>
        <w:rPr>
          <w:rFonts w:hint="eastAsia"/>
          <w:kern w:val="0"/>
          <w:sz w:val="24"/>
        </w:rPr>
        <w:t>除基金管理人之外的其他销售</w:t>
      </w:r>
      <w:r>
        <w:rPr>
          <w:kern w:val="0"/>
          <w:sz w:val="24"/>
          <w:szCs w:val="24"/>
        </w:rPr>
        <w:t>机构</w:t>
      </w:r>
    </w:p>
    <w:p>
      <w:pPr>
        <w:adjustRightInd w:val="0"/>
        <w:snapToGrid w:val="0"/>
        <w:spacing w:line="360" w:lineRule="auto"/>
        <w:ind w:firstLine="480" w:firstLineChars="20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Pr>
          <w:rFonts w:hint="eastAsia"/>
          <w:kern w:val="0"/>
          <w:sz w:val="24"/>
          <w:szCs w:val="24"/>
        </w:rPr>
        <w:t>基金管理人</w:t>
      </w:r>
      <w:r>
        <w:rPr>
          <w:kern w:val="0"/>
          <w:sz w:val="24"/>
          <w:szCs w:val="24"/>
        </w:rPr>
        <w:t>客户服务电话进行咨询。</w:t>
      </w:r>
    </w:p>
    <w:p>
      <w:pPr>
        <w:adjustRightInd w:val="0"/>
        <w:snapToGrid w:val="0"/>
        <w:spacing w:line="360" w:lineRule="auto"/>
        <w:ind w:firstLine="480" w:firstLineChars="20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pPr>
        <w:adjustRightInd w:val="0"/>
        <w:snapToGrid w:val="0"/>
        <w:spacing w:line="360" w:lineRule="auto"/>
        <w:ind w:firstLine="480" w:firstLineChars="200"/>
        <w:rPr>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pPr>
        <w:adjustRightInd w:val="0"/>
        <w:snapToGrid w:val="0"/>
        <w:spacing w:line="360" w:lineRule="auto"/>
        <w:ind w:firstLine="482" w:firstLineChars="200"/>
        <w:outlineLvl w:val="1"/>
        <w:rPr>
          <w:sz w:val="24"/>
          <w:szCs w:val="24"/>
        </w:rPr>
      </w:pPr>
      <w:r>
        <w:rPr>
          <w:rFonts w:hAnsi="宋体"/>
          <w:b/>
          <w:kern w:val="0"/>
          <w:sz w:val="24"/>
          <w:szCs w:val="24"/>
        </w:rPr>
        <w:t>（二）申购和赎回的开放日及时间</w:t>
      </w:r>
    </w:p>
    <w:p>
      <w:pPr>
        <w:adjustRightInd w:val="0"/>
        <w:snapToGrid w:val="0"/>
        <w:spacing w:line="360" w:lineRule="auto"/>
        <w:ind w:firstLine="480" w:firstLineChars="200"/>
        <w:outlineLvl w:val="2"/>
        <w:rPr>
          <w:bCs/>
          <w:sz w:val="24"/>
          <w:szCs w:val="24"/>
        </w:rPr>
      </w:pPr>
      <w:r>
        <w:rPr>
          <w:bCs/>
          <w:sz w:val="24"/>
          <w:szCs w:val="24"/>
        </w:rPr>
        <w:t>1、开放日及开放时间</w:t>
      </w:r>
    </w:p>
    <w:p>
      <w:pPr>
        <w:adjustRightInd w:val="0"/>
        <w:snapToGrid w:val="0"/>
        <w:spacing w:line="360" w:lineRule="auto"/>
        <w:ind w:firstLine="480" w:firstLineChars="200"/>
        <w:rPr>
          <w:sz w:val="24"/>
          <w:szCs w:val="24"/>
        </w:rPr>
      </w:pPr>
      <w:r>
        <w:rPr>
          <w:rFonts w:hint="eastAsia"/>
          <w:sz w:val="24"/>
          <w:szCs w:val="24"/>
        </w:rPr>
        <w:t>投资人在开放日办理基金份额的申购和</w:t>
      </w:r>
      <w:r>
        <w:rPr>
          <w:rFonts w:hint="eastAsia"/>
          <w:bCs/>
          <w:sz w:val="24"/>
        </w:rPr>
        <w:t>赎回，</w:t>
      </w:r>
      <w:r>
        <w:rPr>
          <w:rFonts w:hint="eastAsia"/>
          <w:sz w:val="24"/>
          <w:szCs w:val="24"/>
        </w:rPr>
        <w:t>具体办理时间为上海证券交易所、深圳证券交易所的正常交易日的交易时间（若该工作日为非港股通交易日，则本基金可不开放），但基金管理人根据法律法规、中国证监会的要求或基金合同的规定公告暂停申购、赎回时除外。</w:t>
      </w:r>
    </w:p>
    <w:p>
      <w:pPr>
        <w:adjustRightInd w:val="0"/>
        <w:snapToGrid w:val="0"/>
        <w:spacing w:line="360" w:lineRule="auto"/>
        <w:ind w:firstLine="480" w:firstLineChars="200"/>
        <w:rPr>
          <w:bCs/>
          <w:sz w:val="24"/>
          <w:szCs w:val="24"/>
        </w:rPr>
      </w:pPr>
      <w:r>
        <w:rPr>
          <w:rFonts w:hint="eastAsia"/>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pPr>
        <w:adjustRightInd w:val="0"/>
        <w:snapToGrid w:val="0"/>
        <w:spacing w:line="360" w:lineRule="auto"/>
        <w:ind w:firstLine="480" w:firstLineChars="200"/>
        <w:outlineLvl w:val="2"/>
        <w:rPr>
          <w:bCs/>
          <w:sz w:val="24"/>
          <w:szCs w:val="24"/>
        </w:rPr>
      </w:pPr>
      <w:r>
        <w:rPr>
          <w:bCs/>
          <w:sz w:val="24"/>
          <w:szCs w:val="24"/>
        </w:rPr>
        <w:t>2、申购、赎回开始日及业务办理时间</w:t>
      </w:r>
    </w:p>
    <w:p>
      <w:pPr>
        <w:adjustRightInd w:val="0"/>
        <w:snapToGrid w:val="0"/>
        <w:spacing w:line="360" w:lineRule="auto"/>
        <w:ind w:firstLine="480" w:firstLineChars="200"/>
        <w:rPr>
          <w:sz w:val="24"/>
          <w:szCs w:val="24"/>
        </w:rPr>
      </w:pPr>
      <w:r>
        <w:rPr>
          <w:rFonts w:hint="eastAsia"/>
          <w:sz w:val="24"/>
          <w:szCs w:val="24"/>
        </w:rPr>
        <w:t>基金管理人</w:t>
      </w:r>
      <w:r>
        <w:rPr>
          <w:rFonts w:hint="eastAsia"/>
          <w:bCs/>
          <w:sz w:val="24"/>
        </w:rPr>
        <w:t>可</w:t>
      </w:r>
      <w:r>
        <w:rPr>
          <w:bCs/>
          <w:sz w:val="24"/>
        </w:rPr>
        <w:t>根据实际情况依法决定本基金</w:t>
      </w:r>
      <w:r>
        <w:rPr>
          <w:rFonts w:hint="eastAsia"/>
          <w:sz w:val="24"/>
          <w:szCs w:val="24"/>
        </w:rPr>
        <w:t>开始办理申购</w:t>
      </w:r>
      <w:r>
        <w:rPr>
          <w:bCs/>
          <w:sz w:val="24"/>
        </w:rPr>
        <w:t>的具体日期</w:t>
      </w:r>
      <w:r>
        <w:rPr>
          <w:rFonts w:hint="eastAsia"/>
          <w:sz w:val="24"/>
          <w:szCs w:val="24"/>
        </w:rPr>
        <w:t>，具体业务办理时间在申购开始公告中规定。</w:t>
      </w:r>
    </w:p>
    <w:p>
      <w:pPr>
        <w:adjustRightInd w:val="0"/>
        <w:snapToGrid w:val="0"/>
        <w:spacing w:line="360" w:lineRule="auto"/>
        <w:ind w:firstLine="480" w:firstLineChars="200"/>
        <w:rPr>
          <w:sz w:val="24"/>
          <w:szCs w:val="24"/>
        </w:rPr>
      </w:pPr>
      <w:r>
        <w:rPr>
          <w:rFonts w:hint="eastAsia"/>
          <w:sz w:val="24"/>
          <w:szCs w:val="24"/>
        </w:rPr>
        <w:t>基金管理人自基金合同生效之日起</w:t>
      </w:r>
      <w:r>
        <w:rPr>
          <w:bCs/>
          <w:sz w:val="24"/>
        </w:rPr>
        <w:t>不超过3</w:t>
      </w:r>
      <w:r>
        <w:rPr>
          <w:rFonts w:hint="eastAsia"/>
          <w:bCs/>
          <w:sz w:val="24"/>
        </w:rPr>
        <w:t>个</w:t>
      </w:r>
      <w:r>
        <w:rPr>
          <w:bCs/>
          <w:sz w:val="24"/>
        </w:rPr>
        <w:t>月</w:t>
      </w:r>
      <w:r>
        <w:rPr>
          <w:rFonts w:hint="eastAsia"/>
          <w:sz w:val="24"/>
          <w:szCs w:val="24"/>
        </w:rPr>
        <w:t>开始办理赎回，具体业务办理时间在赎回开始公告中规定。</w:t>
      </w:r>
    </w:p>
    <w:p>
      <w:pPr>
        <w:adjustRightInd w:val="0"/>
        <w:snapToGrid w:val="0"/>
        <w:spacing w:line="360" w:lineRule="auto"/>
        <w:ind w:firstLine="480" w:firstLineChars="20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pPr>
        <w:adjustRightInd w:val="0"/>
        <w:snapToGrid w:val="0"/>
        <w:spacing w:line="360" w:lineRule="auto"/>
        <w:ind w:firstLine="480" w:firstLineChars="20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pPr>
        <w:adjustRightInd w:val="0"/>
        <w:snapToGrid w:val="0"/>
        <w:spacing w:line="360" w:lineRule="auto"/>
        <w:ind w:firstLine="482" w:firstLineChars="200"/>
        <w:outlineLvl w:val="1"/>
        <w:rPr>
          <w:sz w:val="24"/>
          <w:szCs w:val="24"/>
        </w:rPr>
      </w:pPr>
      <w:r>
        <w:rPr>
          <w:rFonts w:hAnsi="宋体"/>
          <w:b/>
          <w:kern w:val="0"/>
          <w:sz w:val="24"/>
          <w:szCs w:val="24"/>
        </w:rPr>
        <w:t>（三）申购</w:t>
      </w:r>
      <w:r>
        <w:rPr>
          <w:rFonts w:hint="eastAsia" w:hAnsi="宋体"/>
          <w:b/>
          <w:kern w:val="0"/>
          <w:sz w:val="24"/>
          <w:szCs w:val="24"/>
        </w:rPr>
        <w:t>与</w:t>
      </w:r>
      <w:r>
        <w:rPr>
          <w:rFonts w:hAnsi="宋体"/>
          <w:b/>
          <w:kern w:val="0"/>
          <w:sz w:val="24"/>
          <w:szCs w:val="24"/>
        </w:rPr>
        <w:t>赎回的原则</w:t>
      </w:r>
    </w:p>
    <w:p>
      <w:pPr>
        <w:adjustRightInd w:val="0"/>
        <w:snapToGrid w:val="0"/>
        <w:spacing w:line="360" w:lineRule="auto"/>
        <w:ind w:firstLine="480" w:firstLineChars="200"/>
        <w:rPr>
          <w:sz w:val="24"/>
          <w:szCs w:val="24"/>
        </w:rPr>
      </w:pPr>
      <w:r>
        <w:rPr>
          <w:rFonts w:hint="eastAsia"/>
          <w:sz w:val="24"/>
          <w:szCs w:val="24"/>
        </w:rPr>
        <w:t>1、“未知价”原则，即申购、赎回价格以申请当日收市后计算的基金份额净值为基准进行计算；</w:t>
      </w:r>
    </w:p>
    <w:p>
      <w:pPr>
        <w:adjustRightInd w:val="0"/>
        <w:snapToGrid w:val="0"/>
        <w:spacing w:line="360" w:lineRule="auto"/>
        <w:ind w:firstLine="480" w:firstLineChars="200"/>
        <w:rPr>
          <w:sz w:val="24"/>
          <w:szCs w:val="24"/>
        </w:rPr>
      </w:pPr>
      <w:r>
        <w:rPr>
          <w:rFonts w:hint="eastAsia"/>
          <w:sz w:val="24"/>
          <w:szCs w:val="24"/>
        </w:rPr>
        <w:t>2、“金额申购、份额赎回”原则，即申购以金额申请，赎回以份额申请；</w:t>
      </w:r>
    </w:p>
    <w:p>
      <w:pPr>
        <w:adjustRightInd w:val="0"/>
        <w:snapToGrid w:val="0"/>
        <w:spacing w:line="360" w:lineRule="auto"/>
        <w:ind w:firstLine="480" w:firstLineChars="200"/>
        <w:rPr>
          <w:sz w:val="24"/>
          <w:szCs w:val="24"/>
        </w:rPr>
      </w:pPr>
      <w:r>
        <w:rPr>
          <w:rFonts w:hint="eastAsia"/>
          <w:sz w:val="24"/>
          <w:szCs w:val="24"/>
        </w:rPr>
        <w:t>3、当日的申购与赎回申请可以在基金管理人规定的时间以内撤销，但申请经登记机构受理的不得撤销；</w:t>
      </w:r>
    </w:p>
    <w:p>
      <w:pPr>
        <w:adjustRightInd w:val="0"/>
        <w:snapToGrid w:val="0"/>
        <w:spacing w:line="360" w:lineRule="auto"/>
        <w:ind w:firstLine="480" w:firstLineChars="200"/>
        <w:rPr>
          <w:sz w:val="24"/>
          <w:szCs w:val="24"/>
        </w:rPr>
      </w:pPr>
      <w:r>
        <w:rPr>
          <w:rFonts w:hint="eastAsia"/>
          <w:sz w:val="24"/>
          <w:szCs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adjustRightInd w:val="0"/>
        <w:snapToGrid w:val="0"/>
        <w:spacing w:line="360" w:lineRule="auto"/>
        <w:ind w:firstLine="480" w:firstLineChars="200"/>
        <w:rPr>
          <w:sz w:val="24"/>
          <w:szCs w:val="24"/>
        </w:rPr>
      </w:pPr>
      <w:r>
        <w:rPr>
          <w:rFonts w:hint="eastAsia"/>
          <w:sz w:val="24"/>
          <w:szCs w:val="24"/>
        </w:rPr>
        <w:t>5、办理申购、赎回业务时，应当遵循基金份额持有人利益优先原则，确保投资者的合法权益不受损害并得到公平对待。</w:t>
      </w:r>
    </w:p>
    <w:p>
      <w:pPr>
        <w:adjustRightInd w:val="0"/>
        <w:snapToGrid w:val="0"/>
        <w:spacing w:line="360" w:lineRule="auto"/>
        <w:ind w:firstLine="480" w:firstLineChars="20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（四）申购和赎回的数额限定</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、申购金额的限制</w:t>
      </w:r>
    </w:p>
    <w:p>
      <w:pPr>
        <w:widowControl/>
        <w:adjustRightInd w:val="0"/>
        <w:snapToGrid w:val="0"/>
        <w:spacing w:line="360" w:lineRule="auto"/>
        <w:ind w:firstLine="480" w:firstLineChars="200"/>
        <w:rPr>
          <w:rFonts w:ascii="宋体" w:hAnsi="宋体"/>
          <w:kern w:val="0"/>
          <w:sz w:val="24"/>
        </w:rPr>
      </w:pPr>
      <w:r>
        <w:rPr>
          <w:kern w:val="0"/>
          <w:sz w:val="24"/>
          <w:szCs w:val="24"/>
        </w:rPr>
        <w:t>直销机构</w:t>
      </w:r>
      <w:r>
        <w:rPr>
          <w:rFonts w:hint="eastAsia"/>
          <w:kern w:val="0"/>
          <w:sz w:val="24"/>
          <w:szCs w:val="24"/>
        </w:rPr>
        <w:t>接受</w:t>
      </w:r>
      <w:r>
        <w:rPr>
          <w:kern w:val="0"/>
          <w:sz w:val="24"/>
          <w:szCs w:val="24"/>
        </w:rPr>
        <w:t>首次申购的最低金额为单笔100</w:t>
      </w:r>
      <w:r>
        <w:rPr>
          <w:rFonts w:hint="eastAsia"/>
          <w:kern w:val="0"/>
          <w:sz w:val="24"/>
          <w:szCs w:val="24"/>
        </w:rPr>
        <w:t>万</w:t>
      </w:r>
      <w:r>
        <w:rPr>
          <w:kern w:val="0"/>
          <w:sz w:val="24"/>
          <w:szCs w:val="24"/>
        </w:rPr>
        <w:t>元，追加申购的最低金额为单笔10</w:t>
      </w:r>
      <w:r>
        <w:rPr>
          <w:rFonts w:hint="eastAsia"/>
          <w:kern w:val="0"/>
          <w:sz w:val="24"/>
          <w:szCs w:val="24"/>
        </w:rPr>
        <w:t>万</w:t>
      </w:r>
      <w:r>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w:t>
      </w:r>
      <w:r>
        <w:rPr>
          <w:rFonts w:hint="eastAsia"/>
          <w:kern w:val="0"/>
          <w:sz w:val="24"/>
          <w:szCs w:val="24"/>
        </w:rPr>
        <w:t>其他销售机构</w:t>
      </w:r>
      <w:r>
        <w:rPr>
          <w:kern w:val="0"/>
          <w:sz w:val="24"/>
          <w:szCs w:val="24"/>
        </w:rPr>
        <w:t>接受申购申请的最低金额为单笔1元，如果</w:t>
      </w:r>
      <w:r>
        <w:rPr>
          <w:rFonts w:hint="eastAsia"/>
          <w:kern w:val="0"/>
          <w:sz w:val="24"/>
          <w:szCs w:val="24"/>
        </w:rPr>
        <w:t>销售</w:t>
      </w:r>
      <w:r>
        <w:rPr>
          <w:kern w:val="0"/>
          <w:sz w:val="24"/>
          <w:szCs w:val="24"/>
        </w:rPr>
        <w:t>机构业务规则规定的最低单笔申购金额高于1元，以</w:t>
      </w:r>
      <w:r>
        <w:rPr>
          <w:rFonts w:hint="eastAsia"/>
          <w:kern w:val="0"/>
          <w:sz w:val="24"/>
          <w:szCs w:val="24"/>
        </w:rPr>
        <w:t>该销售</w:t>
      </w:r>
      <w:r>
        <w:rPr>
          <w:kern w:val="0"/>
          <w:sz w:val="24"/>
          <w:szCs w:val="24"/>
        </w:rPr>
        <w:t>机构的规定为准。</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、赎回份额的限制</w:t>
      </w:r>
    </w:p>
    <w:p>
      <w:pPr>
        <w:widowControl/>
        <w:adjustRightInd w:val="0"/>
        <w:snapToGrid w:val="0"/>
        <w:spacing w:line="360" w:lineRule="auto"/>
        <w:ind w:firstLine="480" w:firstLineChars="20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int="eastAsia" w:hAnsi="宋体"/>
          <w:kern w:val="0"/>
          <w:sz w:val="24"/>
          <w:szCs w:val="24"/>
        </w:rPr>
        <w:t>，如果销售机构业务规则规定的最低单笔赎回份额高于1份，以该销售机构的规定为准。</w:t>
      </w:r>
    </w:p>
    <w:p>
      <w:pPr>
        <w:widowControl/>
        <w:adjustRightInd w:val="0"/>
        <w:snapToGrid w:val="0"/>
        <w:spacing w:line="360" w:lineRule="auto"/>
        <w:ind w:firstLine="480" w:firstLineChars="200"/>
        <w:rPr>
          <w:kern w:val="0"/>
          <w:sz w:val="24"/>
          <w:szCs w:val="24"/>
        </w:rPr>
      </w:pPr>
      <w:bookmarkStart w:id="33" w:name="OLE_LINK6"/>
      <w:r>
        <w:rPr>
          <w:kern w:val="0"/>
          <w:sz w:val="24"/>
          <w:szCs w:val="24"/>
        </w:rPr>
        <w:t>3</w:t>
      </w:r>
      <w:r>
        <w:rPr>
          <w:rFonts w:hAnsi="宋体"/>
          <w:kern w:val="0"/>
          <w:sz w:val="24"/>
          <w:szCs w:val="24"/>
        </w:rPr>
        <w:t>、最低</w:t>
      </w:r>
      <w:r>
        <w:rPr>
          <w:rFonts w:hint="eastAsia" w:hAnsi="宋体"/>
          <w:kern w:val="0"/>
          <w:sz w:val="24"/>
          <w:szCs w:val="24"/>
        </w:rPr>
        <w:t>基金份额</w:t>
      </w:r>
      <w:r>
        <w:rPr>
          <w:rFonts w:hAnsi="宋体"/>
          <w:kern w:val="0"/>
          <w:sz w:val="24"/>
          <w:szCs w:val="24"/>
        </w:rPr>
        <w:t>余额的限制</w:t>
      </w:r>
    </w:p>
    <w:p>
      <w:pPr>
        <w:widowControl/>
        <w:adjustRightInd w:val="0"/>
        <w:snapToGrid w:val="0"/>
        <w:spacing w:line="360" w:lineRule="auto"/>
        <w:ind w:firstLine="480" w:firstLineChars="200"/>
        <w:rPr>
          <w:rFonts w:hAnsi="宋体"/>
          <w:sz w:val="24"/>
          <w:szCs w:val="24"/>
        </w:rPr>
      </w:pPr>
      <w:r>
        <w:rPr>
          <w:rFonts w:hint="eastAsia" w:hAnsi="宋体"/>
          <w:sz w:val="24"/>
          <w:szCs w:val="24"/>
        </w:rPr>
        <w:t>每个工作日投资人在单个基金交易账户保留的本基金基金份额余额少于1份时，若当日该账户同时有基金份额减少类业务（如赎回、转换出等）被确认，则基金管理人有权将投资人在该账户保留的本基金基金份额一次性全部赎回。</w:t>
      </w:r>
      <w:bookmarkEnd w:id="33"/>
    </w:p>
    <w:p>
      <w:pPr>
        <w:widowControl/>
        <w:adjustRightInd w:val="0"/>
        <w:snapToGrid w:val="0"/>
        <w:spacing w:line="360" w:lineRule="auto"/>
        <w:ind w:firstLine="480" w:firstLineChars="200"/>
        <w:rPr>
          <w:rFonts w:hAnsi="宋体"/>
          <w:sz w:val="24"/>
          <w:szCs w:val="24"/>
        </w:rPr>
      </w:pPr>
      <w:r>
        <w:rPr>
          <w:rFonts w:hAnsi="宋体"/>
          <w:sz w:val="24"/>
          <w:szCs w:val="24"/>
        </w:rPr>
        <w:t>4</w:t>
      </w:r>
      <w:r>
        <w:rPr>
          <w:rFonts w:hint="eastAsia" w:hAnsi="宋体"/>
          <w:sz w:val="24"/>
          <w:szCs w:val="24"/>
        </w:rPr>
        <w:t>、基金管理人可以规定本基金的总规模上限、单个投资人累计持有的基金份额上限，具体规定请参见相关公告。</w:t>
      </w:r>
    </w:p>
    <w:p>
      <w:pPr>
        <w:widowControl/>
        <w:adjustRightInd w:val="0"/>
        <w:snapToGrid w:val="0"/>
        <w:spacing w:line="360" w:lineRule="auto"/>
        <w:ind w:firstLine="480" w:firstLineChars="200"/>
        <w:rPr>
          <w:rFonts w:hAnsi="宋体"/>
          <w:sz w:val="24"/>
          <w:szCs w:val="24"/>
        </w:rPr>
      </w:pPr>
      <w:r>
        <w:rPr>
          <w:rFonts w:hAnsi="宋体"/>
          <w:sz w:val="24"/>
          <w:szCs w:val="24"/>
        </w:rPr>
        <w:t>5、</w:t>
      </w:r>
      <w:r>
        <w:rPr>
          <w:rFonts w:hint="eastAsia" w:hAnsi="宋体"/>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pPr>
        <w:widowControl/>
        <w:adjustRightInd w:val="0"/>
        <w:snapToGrid w:val="0"/>
        <w:spacing w:line="360" w:lineRule="auto"/>
        <w:ind w:firstLine="480" w:firstLineChars="200"/>
        <w:rPr>
          <w:kern w:val="0"/>
          <w:sz w:val="24"/>
          <w:szCs w:val="24"/>
        </w:rPr>
      </w:pPr>
      <w:r>
        <w:rPr>
          <w:kern w:val="0"/>
          <w:sz w:val="24"/>
          <w:szCs w:val="24"/>
        </w:rPr>
        <w:t>6</w:t>
      </w:r>
      <w:r>
        <w:rPr>
          <w:rFonts w:hAnsi="宋体"/>
          <w:kern w:val="0"/>
          <w:sz w:val="24"/>
          <w:szCs w:val="24"/>
        </w:rPr>
        <w:t>、</w:t>
      </w:r>
      <w:r>
        <w:rPr>
          <w:rFonts w:hint="eastAsia" w:hAnsi="宋体"/>
          <w:kern w:val="0"/>
          <w:sz w:val="24"/>
          <w:szCs w:val="24"/>
        </w:rPr>
        <w:t>基金管理人可在法律法规允许的情况下，调整上述规定申购金额和赎回份额的数量限制。</w:t>
      </w:r>
      <w:r>
        <w:rPr>
          <w:rFonts w:hAnsi="宋体"/>
          <w:kern w:val="0"/>
          <w:sz w:val="24"/>
          <w:szCs w:val="24"/>
        </w:rPr>
        <w:t>基金管理人必须在调整</w:t>
      </w:r>
      <w:r>
        <w:rPr>
          <w:rFonts w:hint="eastAsia" w:hAnsi="宋体"/>
          <w:kern w:val="0"/>
          <w:sz w:val="24"/>
          <w:szCs w:val="24"/>
        </w:rPr>
        <w:t>实施</w:t>
      </w:r>
      <w:r>
        <w:rPr>
          <w:rFonts w:hAnsi="宋体"/>
          <w:kern w:val="0"/>
          <w:sz w:val="24"/>
          <w:szCs w:val="24"/>
        </w:rPr>
        <w:t>前依照《信息披露办法》的有关规定在规定媒介上公告。</w:t>
      </w:r>
    </w:p>
    <w:p>
      <w:pPr>
        <w:adjustRightInd w:val="0"/>
        <w:snapToGrid w:val="0"/>
        <w:spacing w:line="360" w:lineRule="auto"/>
        <w:ind w:firstLine="482" w:firstLineChars="200"/>
        <w:outlineLvl w:val="1"/>
        <w:rPr>
          <w:sz w:val="24"/>
          <w:szCs w:val="24"/>
        </w:rPr>
      </w:pPr>
      <w:r>
        <w:rPr>
          <w:rFonts w:hAnsi="宋体"/>
          <w:b/>
          <w:kern w:val="0"/>
          <w:sz w:val="24"/>
          <w:szCs w:val="24"/>
        </w:rPr>
        <w:t>（五）申购和赎回的程序</w:t>
      </w:r>
    </w:p>
    <w:p>
      <w:pPr>
        <w:adjustRightInd w:val="0"/>
        <w:snapToGrid w:val="0"/>
        <w:spacing w:line="360" w:lineRule="auto"/>
        <w:ind w:firstLine="480" w:firstLineChars="200"/>
        <w:outlineLvl w:val="2"/>
        <w:rPr>
          <w:sz w:val="24"/>
          <w:szCs w:val="24"/>
        </w:rPr>
      </w:pPr>
      <w:r>
        <w:rPr>
          <w:sz w:val="24"/>
          <w:szCs w:val="24"/>
        </w:rPr>
        <w:t>1</w:t>
      </w:r>
      <w:r>
        <w:rPr>
          <w:rFonts w:hAnsi="宋体"/>
          <w:sz w:val="24"/>
          <w:szCs w:val="24"/>
        </w:rPr>
        <w:t>、申购和赎回的申请方式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申购和赎回的款项支付</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投资人申购基金份额时，必须全额交付申购款项，若申购资金在规定时间内未全额到账则申购不成立。投资人全额交付申购款项，申购成立；基金登记机构确认基金份额时，申购生效。</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基金份额持有人递交赎回申请，赎回成立；基金登记机构确认赎回时，赎回生效。投资者赎回申请生效后，基金管理人将在T</w:t>
      </w:r>
      <w:r>
        <w:rPr>
          <w:rFonts w:hAnsi="宋体"/>
          <w:kern w:val="0"/>
          <w:sz w:val="24"/>
          <w:szCs w:val="24"/>
        </w:rPr>
        <w:t>+</w:t>
      </w:r>
      <w:r>
        <w:rPr>
          <w:rFonts w:hint="eastAsia" w:hAnsi="宋体"/>
          <w:kern w:val="0"/>
          <w:sz w:val="24"/>
          <w:szCs w:val="24"/>
        </w:rPr>
        <w:t>7日（包括该日）内支付赎回款项。在发生巨额赎回或基金合同载明的其他暂停赎回或延缓支付赎回款项的情形时，款项的支付办法参照基金合同有关条款处理。</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3</w:t>
      </w:r>
      <w:r>
        <w:rPr>
          <w:rFonts w:hint="eastAsia" w:hAnsi="宋体"/>
          <w:kern w:val="0"/>
          <w:sz w:val="24"/>
          <w:szCs w:val="24"/>
        </w:rPr>
        <w:t>、</w:t>
      </w:r>
      <w:r>
        <w:rPr>
          <w:rFonts w:hAnsi="宋体"/>
          <w:kern w:val="0"/>
          <w:sz w:val="24"/>
          <w:szCs w:val="24"/>
        </w:rPr>
        <w:t>申购和赎回申请的确认</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基金管理人可在法律法规允许的范围内，依法对上述申购和赎回申请的确认时间进行调整，并必须在调整实施日前按照《信息披露办法》的有关规定在规定媒介上公告。</w:t>
      </w:r>
    </w:p>
    <w:p>
      <w:pPr>
        <w:pStyle w:val="4"/>
        <w:autoSpaceDE w:val="0"/>
        <w:autoSpaceDN w:val="0"/>
        <w:adjustRightInd w:val="0"/>
        <w:snapToGrid w:val="0"/>
        <w:spacing w:line="360" w:lineRule="auto"/>
        <w:ind w:firstLine="480"/>
        <w:rPr>
          <w:rFonts w:hAnsi="宋体"/>
          <w:kern w:val="0"/>
          <w:sz w:val="24"/>
          <w:szCs w:val="24"/>
        </w:rPr>
      </w:pPr>
      <w:r>
        <w:rPr>
          <w:rFonts w:hint="eastAsia" w:hAnsi="宋体"/>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pPr>
        <w:pStyle w:val="4"/>
        <w:autoSpaceDE w:val="0"/>
        <w:autoSpaceDN w:val="0"/>
        <w:adjustRightInd w:val="0"/>
        <w:snapToGrid w:val="0"/>
        <w:spacing w:line="360" w:lineRule="auto"/>
        <w:ind w:firstLine="480"/>
        <w:outlineLvl w:val="2"/>
        <w:rPr>
          <w:sz w:val="24"/>
          <w:szCs w:val="24"/>
        </w:rPr>
      </w:pPr>
      <w:r>
        <w:rPr>
          <w:sz w:val="24"/>
          <w:szCs w:val="24"/>
        </w:rPr>
        <w:t>4</w:t>
      </w:r>
      <w:r>
        <w:rPr>
          <w:rFonts w:hAnsi="宋体"/>
          <w:sz w:val="24"/>
          <w:szCs w:val="24"/>
        </w:rPr>
        <w:t>、申购和赎回的登记</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日为投资人增加权益并办理登记手续，投资人自</w:t>
      </w:r>
      <w:r>
        <w:rPr>
          <w:sz w:val="24"/>
          <w:szCs w:val="24"/>
        </w:rPr>
        <w:t>T</w:t>
      </w:r>
      <w:r>
        <w:rPr>
          <w:rFonts w:hAnsi="宋体"/>
          <w:sz w:val="24"/>
          <w:szCs w:val="24"/>
        </w:rPr>
        <w:t>＋</w:t>
      </w:r>
      <w:r>
        <w:rPr>
          <w:sz w:val="24"/>
          <w:szCs w:val="24"/>
        </w:rPr>
        <w:t>2</w:t>
      </w:r>
      <w:r>
        <w:rPr>
          <w:rFonts w:hAnsi="宋体"/>
          <w:sz w:val="24"/>
          <w:szCs w:val="24"/>
        </w:rPr>
        <w:t>日</w:t>
      </w:r>
      <w:r>
        <w:rPr>
          <w:rFonts w:hint="eastAsia" w:hAnsi="宋体"/>
          <w:sz w:val="24"/>
          <w:szCs w:val="24"/>
        </w:rPr>
        <w:t>起</w:t>
      </w:r>
      <w:r>
        <w:rPr>
          <w:rFonts w:hAnsi="宋体"/>
          <w:sz w:val="24"/>
          <w:szCs w:val="24"/>
        </w:rPr>
        <w:t>（包括该日）有权赎回该部分基金份额。投资人应及时查询有关申请的确认情况。</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日为投资人扣除权益并办理相应的登记手续。</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（六）基金的申购费和赎回费</w:t>
      </w:r>
    </w:p>
    <w:p>
      <w:pPr>
        <w:widowControl/>
        <w:adjustRightInd w:val="0"/>
        <w:snapToGrid w:val="0"/>
        <w:spacing w:line="360" w:lineRule="auto"/>
        <w:ind w:firstLine="480" w:firstLineChars="200"/>
        <w:rPr>
          <w:rFonts w:hAnsi="宋体"/>
          <w:sz w:val="24"/>
          <w:szCs w:val="24"/>
        </w:rPr>
      </w:pPr>
      <w:r>
        <w:rPr>
          <w:rFonts w:hAnsi="宋体"/>
          <w:sz w:val="24"/>
          <w:szCs w:val="24"/>
        </w:rPr>
        <w:t>1、申购费用</w:t>
      </w:r>
    </w:p>
    <w:p>
      <w:pPr>
        <w:widowControl/>
        <w:adjustRightInd w:val="0"/>
        <w:snapToGrid w:val="0"/>
        <w:spacing w:line="360" w:lineRule="auto"/>
        <w:ind w:firstLine="480" w:firstLineChars="200"/>
        <w:rPr>
          <w:rFonts w:hAnsi="宋体"/>
          <w:sz w:val="24"/>
          <w:szCs w:val="24"/>
        </w:rPr>
      </w:pPr>
      <w:r>
        <w:rPr>
          <w:rFonts w:hAnsi="宋体"/>
          <w:sz w:val="24"/>
          <w:szCs w:val="24"/>
        </w:rPr>
        <w:t>本基金的申购费用由</w:t>
      </w:r>
      <w:r>
        <w:rPr>
          <w:rFonts w:hint="eastAsia" w:hAnsi="宋体"/>
          <w:sz w:val="24"/>
          <w:szCs w:val="24"/>
        </w:rPr>
        <w:t>申购基金份额的投资人</w:t>
      </w:r>
      <w:r>
        <w:rPr>
          <w:rFonts w:hAnsi="宋体"/>
          <w:sz w:val="24"/>
          <w:szCs w:val="24"/>
        </w:rPr>
        <w:t>承担，不列入基金财产，主要用于本基金的市场推广、销售、登记等各项费用。</w:t>
      </w:r>
    </w:p>
    <w:p>
      <w:pPr>
        <w:widowControl/>
        <w:adjustRightInd w:val="0"/>
        <w:snapToGrid w:val="0"/>
        <w:spacing w:line="360" w:lineRule="auto"/>
        <w:ind w:firstLine="480" w:firstLineChars="200"/>
        <w:rPr>
          <w:rFonts w:hAnsi="宋体"/>
          <w:sz w:val="24"/>
          <w:szCs w:val="24"/>
        </w:rPr>
      </w:pPr>
      <w:r>
        <w:rPr>
          <w:rFonts w:hAnsi="宋体"/>
          <w:sz w:val="24"/>
          <w:szCs w:val="24"/>
        </w:rPr>
        <w:t>投资人可以多次申购本基金，申购费</w:t>
      </w:r>
      <w:r>
        <w:rPr>
          <w:rFonts w:hint="eastAsia" w:hAnsi="宋体"/>
          <w:sz w:val="24"/>
          <w:szCs w:val="24"/>
        </w:rPr>
        <w:t>用</w:t>
      </w:r>
      <w:r>
        <w:rPr>
          <w:rFonts w:hAnsi="宋体"/>
          <w:sz w:val="24"/>
          <w:szCs w:val="24"/>
        </w:rPr>
        <w:t>按每笔申购申请单独计算。</w:t>
      </w:r>
    </w:p>
    <w:p>
      <w:pPr>
        <w:widowControl/>
        <w:adjustRightInd w:val="0"/>
        <w:snapToGrid w:val="0"/>
        <w:spacing w:line="360" w:lineRule="auto"/>
        <w:ind w:firstLine="480" w:firstLineChars="200"/>
        <w:rPr>
          <w:rFonts w:hAnsi="宋体"/>
          <w:sz w:val="24"/>
          <w:szCs w:val="24"/>
        </w:rPr>
      </w:pPr>
      <w:r>
        <w:rPr>
          <w:rFonts w:hAnsi="宋体"/>
          <w:sz w:val="24"/>
          <w:szCs w:val="24"/>
        </w:rPr>
        <w:t>本基金</w:t>
      </w:r>
      <w:r>
        <w:rPr>
          <w:rFonts w:hint="eastAsia"/>
          <w:kern w:val="0"/>
          <w:sz w:val="24"/>
        </w:rPr>
        <w:t>（非养老金客户）</w:t>
      </w:r>
      <w:r>
        <w:rPr>
          <w:rFonts w:hAnsi="宋体"/>
          <w:sz w:val="24"/>
          <w:szCs w:val="24"/>
        </w:rPr>
        <w:t>的申购费率如下：</w:t>
      </w:r>
    </w:p>
    <w:tbl>
      <w:tblPr>
        <w:tblStyle w:val="28"/>
        <w:tblW w:w="7339"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407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3260" w:type="dxa"/>
            <w:shd w:val="clear" w:color="auto" w:fill="FFFFFF"/>
            <w:vAlign w:val="center"/>
          </w:tcPr>
          <w:p>
            <w:pPr>
              <w:adjustRightInd w:val="0"/>
              <w:snapToGrid w:val="0"/>
              <w:jc w:val="center"/>
              <w:rPr>
                <w:b/>
                <w:sz w:val="24"/>
              </w:rPr>
            </w:pPr>
            <w:r>
              <w:rPr>
                <w:b/>
                <w:sz w:val="24"/>
              </w:rPr>
              <w:t>申购金额（含申购费）</w:t>
            </w:r>
          </w:p>
        </w:tc>
        <w:tc>
          <w:tcPr>
            <w:tcW w:w="4079" w:type="dxa"/>
            <w:shd w:val="clear" w:color="auto" w:fill="FFFFFF"/>
            <w:vAlign w:val="center"/>
          </w:tcPr>
          <w:p>
            <w:pPr>
              <w:adjustRightInd w:val="0"/>
              <w:snapToGrid w:val="0"/>
              <w:jc w:val="center"/>
              <w:rPr>
                <w:b/>
                <w:sz w:val="24"/>
              </w:rPr>
            </w:pP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1000万元以下</w:t>
            </w:r>
          </w:p>
        </w:tc>
        <w:tc>
          <w:tcPr>
            <w:tcW w:w="4079" w:type="dxa"/>
            <w:vAlign w:val="center"/>
          </w:tcPr>
          <w:p>
            <w:pPr>
              <w:adjustRightInd w:val="0"/>
              <w:snapToGrid w:val="0"/>
              <w:jc w:val="center"/>
              <w:rPr>
                <w:sz w:val="24"/>
              </w:rPr>
            </w:pPr>
            <w:r>
              <w:rPr>
                <w:sz w:val="24"/>
              </w:rPr>
              <w:t>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1000万元以上（含1000万</w:t>
            </w:r>
            <w:r>
              <w:rPr>
                <w:rFonts w:hint="eastAsia"/>
                <w:sz w:val="24"/>
              </w:rPr>
              <w:t>元</w:t>
            </w:r>
            <w:r>
              <w:rPr>
                <w:sz w:val="24"/>
              </w:rPr>
              <w:t>）</w:t>
            </w:r>
          </w:p>
        </w:tc>
        <w:tc>
          <w:tcPr>
            <w:tcW w:w="4079" w:type="dxa"/>
          </w:tcPr>
          <w:p>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pPr>
        <w:widowControl/>
        <w:adjustRightInd w:val="0"/>
        <w:snapToGrid w:val="0"/>
        <w:spacing w:before="143" w:beforeLines="50" w:line="360" w:lineRule="auto"/>
        <w:ind w:firstLine="480" w:firstLineChars="200"/>
        <w:rPr>
          <w:sz w:val="24"/>
          <w:szCs w:val="24"/>
        </w:rPr>
      </w:pPr>
      <w:r>
        <w:rPr>
          <w:rFonts w:hint="eastAsia" w:hAnsi="宋体"/>
          <w:sz w:val="24"/>
          <w:szCs w:val="24"/>
        </w:rPr>
        <w:t>投资人因红利自动再投资而产生的基金份额，不收取相应的申购费用。</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本基金对通过基金管理人直销柜台</w:t>
      </w:r>
      <w:r>
        <w:rPr>
          <w:rFonts w:hint="eastAsia" w:hAnsi="宋体"/>
          <w:kern w:val="0"/>
          <w:sz w:val="24"/>
          <w:szCs w:val="24"/>
        </w:rPr>
        <w:t>申</w:t>
      </w:r>
      <w:r>
        <w:rPr>
          <w:rFonts w:hAnsi="宋体"/>
          <w:kern w:val="0"/>
          <w:sz w:val="24"/>
          <w:szCs w:val="24"/>
        </w:rPr>
        <w:t>购</w:t>
      </w:r>
      <w:r>
        <w:rPr>
          <w:rFonts w:hint="eastAsia" w:hAnsi="宋体"/>
          <w:kern w:val="0"/>
          <w:sz w:val="24"/>
          <w:szCs w:val="24"/>
        </w:rPr>
        <w:t>基金份额的养老金客户实施特定申购费率。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养老金客户指基本养老基金与依法成立的养老计划筹集的资金及其投资运营收益形成的补充养老基金等，具体包括：</w:t>
      </w:r>
    </w:p>
    <w:p>
      <w:pPr>
        <w:widowControl/>
        <w:adjustRightInd w:val="0"/>
        <w:snapToGrid w:val="0"/>
        <w:spacing w:line="360" w:lineRule="auto"/>
        <w:ind w:firstLine="480" w:firstLineChars="200"/>
        <w:rPr>
          <w:kern w:val="0"/>
          <w:sz w:val="24"/>
          <w:szCs w:val="24"/>
        </w:rPr>
      </w:pPr>
      <w:r>
        <w:rPr>
          <w:rFonts w:hint="eastAsia" w:hAnsi="宋体"/>
          <w:kern w:val="0"/>
          <w:sz w:val="24"/>
          <w:szCs w:val="24"/>
        </w:rPr>
        <w:t>1）</w:t>
      </w:r>
      <w:r>
        <w:rPr>
          <w:rFonts w:hAnsi="宋体"/>
          <w:kern w:val="0"/>
          <w:sz w:val="24"/>
          <w:szCs w:val="24"/>
        </w:rPr>
        <w:t>全国社会保障基金；</w:t>
      </w:r>
    </w:p>
    <w:p>
      <w:pPr>
        <w:widowControl/>
        <w:adjustRightInd w:val="0"/>
        <w:snapToGrid w:val="0"/>
        <w:spacing w:line="360" w:lineRule="auto"/>
        <w:ind w:firstLine="480" w:firstLineChars="200"/>
        <w:rPr>
          <w:kern w:val="0"/>
          <w:sz w:val="24"/>
          <w:szCs w:val="24"/>
        </w:rPr>
      </w:pPr>
      <w:r>
        <w:rPr>
          <w:kern w:val="0"/>
          <w:sz w:val="24"/>
          <w:szCs w:val="24"/>
        </w:rPr>
        <w:t>2</w:t>
      </w:r>
      <w:r>
        <w:rPr>
          <w:rFonts w:hint="eastAsia" w:hAnsi="宋体"/>
          <w:kern w:val="0"/>
          <w:sz w:val="24"/>
          <w:szCs w:val="24"/>
        </w:rPr>
        <w:t>）</w:t>
      </w:r>
      <w:r>
        <w:rPr>
          <w:rFonts w:hAnsi="宋体"/>
          <w:kern w:val="0"/>
          <w:sz w:val="24"/>
          <w:szCs w:val="24"/>
        </w:rPr>
        <w:t>可以投资基金的地方社会保障基金；</w:t>
      </w:r>
    </w:p>
    <w:p>
      <w:pPr>
        <w:widowControl/>
        <w:adjustRightInd w:val="0"/>
        <w:snapToGrid w:val="0"/>
        <w:spacing w:line="360" w:lineRule="auto"/>
        <w:ind w:firstLine="480" w:firstLineChars="200"/>
        <w:rPr>
          <w:kern w:val="0"/>
          <w:sz w:val="24"/>
          <w:szCs w:val="24"/>
        </w:rPr>
      </w:pPr>
      <w:r>
        <w:rPr>
          <w:kern w:val="0"/>
          <w:sz w:val="24"/>
          <w:szCs w:val="24"/>
        </w:rPr>
        <w:t>3</w:t>
      </w:r>
      <w:r>
        <w:rPr>
          <w:rFonts w:hint="eastAsia" w:hAnsi="宋体"/>
          <w:kern w:val="0"/>
          <w:sz w:val="24"/>
          <w:szCs w:val="24"/>
        </w:rPr>
        <w:t>）</w:t>
      </w:r>
      <w:r>
        <w:rPr>
          <w:rFonts w:hAnsi="宋体"/>
          <w:kern w:val="0"/>
          <w:sz w:val="24"/>
          <w:szCs w:val="24"/>
        </w:rPr>
        <w:t>企业年金单一计划以及集合计划</w:t>
      </w:r>
      <w:r>
        <w:rPr>
          <w:rFonts w:hint="eastAsia" w:hAnsi="宋体"/>
          <w:kern w:val="0"/>
          <w:sz w:val="24"/>
          <w:szCs w:val="24"/>
        </w:rPr>
        <w:t>；</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4）企业年金理事会委托的特定客户资产管理计划；</w:t>
      </w:r>
    </w:p>
    <w:p>
      <w:pPr>
        <w:widowControl/>
        <w:adjustRightInd w:val="0"/>
        <w:snapToGrid w:val="0"/>
        <w:spacing w:line="360" w:lineRule="auto"/>
        <w:ind w:firstLine="480" w:firstLineChars="200"/>
        <w:rPr>
          <w:kern w:val="0"/>
          <w:sz w:val="24"/>
          <w:szCs w:val="24"/>
        </w:rPr>
      </w:pPr>
      <w:r>
        <w:rPr>
          <w:rFonts w:hint="eastAsia" w:hAnsi="宋体"/>
          <w:kern w:val="0"/>
          <w:sz w:val="24"/>
          <w:szCs w:val="24"/>
        </w:rPr>
        <w:t>5）企业年金养老金产品。</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如将来出现经养老基金监管部门认可的新的养老基金类型，</w:t>
      </w:r>
      <w:r>
        <w:rPr>
          <w:rFonts w:hint="eastAsia" w:hAnsi="宋体"/>
          <w:kern w:val="0"/>
          <w:sz w:val="24"/>
          <w:szCs w:val="24"/>
        </w:rPr>
        <w:t>基金管理人可在招募说明书更新或</w:t>
      </w:r>
      <w:r>
        <w:rPr>
          <w:rFonts w:hAnsi="宋体"/>
          <w:kern w:val="0"/>
          <w:sz w:val="24"/>
          <w:szCs w:val="24"/>
        </w:rPr>
        <w:t>发布临时公告将其纳入养老金客户范围。</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通过基金管理人直销柜台申购本基金的养老金客户特定申购费率如下表：</w:t>
      </w:r>
    </w:p>
    <w:tbl>
      <w:tblPr>
        <w:tblStyle w:val="28"/>
        <w:tblW w:w="7198"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93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3260" w:type="dxa"/>
            <w:shd w:val="clear" w:color="auto" w:fill="FFFFFF"/>
            <w:vAlign w:val="center"/>
          </w:tcPr>
          <w:p>
            <w:pPr>
              <w:adjustRightInd w:val="0"/>
              <w:snapToGrid w:val="0"/>
              <w:jc w:val="center"/>
              <w:rPr>
                <w:b/>
                <w:sz w:val="24"/>
              </w:rPr>
            </w:pPr>
            <w:r>
              <w:rPr>
                <w:b/>
                <w:sz w:val="24"/>
              </w:rPr>
              <w:t>申购金额（含申购费）</w:t>
            </w:r>
          </w:p>
        </w:tc>
        <w:tc>
          <w:tcPr>
            <w:tcW w:w="3938" w:type="dxa"/>
            <w:shd w:val="clear" w:color="auto" w:fill="FFFFFF"/>
            <w:vAlign w:val="center"/>
          </w:tcPr>
          <w:p>
            <w:pPr>
              <w:adjustRightInd w:val="0"/>
              <w:snapToGrid w:val="0"/>
              <w:jc w:val="center"/>
              <w:rPr>
                <w:b/>
                <w:sz w:val="24"/>
              </w:rPr>
            </w:pPr>
            <w:r>
              <w:rPr>
                <w:rFonts w:hint="eastAsia"/>
                <w:b/>
                <w:sz w:val="24"/>
              </w:rPr>
              <w:t>特定</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1000万元以下</w:t>
            </w:r>
          </w:p>
        </w:tc>
        <w:tc>
          <w:tcPr>
            <w:tcW w:w="3938" w:type="dxa"/>
            <w:vAlign w:val="center"/>
          </w:tcPr>
          <w:p>
            <w:pPr>
              <w:adjustRightInd w:val="0"/>
              <w:snapToGrid w:val="0"/>
              <w:jc w:val="center"/>
              <w:rPr>
                <w:sz w:val="24"/>
              </w:rPr>
            </w:pPr>
            <w:r>
              <w:rPr>
                <w:kern w:val="0"/>
                <w:sz w:val="24"/>
                <w:szCs w:val="24"/>
              </w:rPr>
              <w:t>0.6%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1000万元以上（含1000万</w:t>
            </w:r>
            <w:r>
              <w:rPr>
                <w:rFonts w:hint="eastAsia"/>
                <w:sz w:val="24"/>
              </w:rPr>
              <w:t>元</w:t>
            </w:r>
            <w:r>
              <w:rPr>
                <w:sz w:val="24"/>
              </w:rPr>
              <w:t>）</w:t>
            </w:r>
          </w:p>
        </w:tc>
        <w:tc>
          <w:tcPr>
            <w:tcW w:w="3938" w:type="dxa"/>
          </w:tcPr>
          <w:p>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pPr>
        <w:widowControl/>
        <w:adjustRightInd w:val="0"/>
        <w:snapToGrid w:val="0"/>
        <w:spacing w:before="143" w:beforeLines="50" w:line="360" w:lineRule="auto"/>
        <w:ind w:firstLine="480" w:firstLineChars="200"/>
        <w:rPr>
          <w:kern w:val="0"/>
          <w:sz w:val="24"/>
          <w:szCs w:val="24"/>
        </w:rPr>
      </w:pPr>
      <w:r>
        <w:rPr>
          <w:rFonts w:hAnsi="宋体"/>
          <w:sz w:val="24"/>
          <w:szCs w:val="24"/>
        </w:rPr>
        <w:t>2、赎回费用</w:t>
      </w:r>
    </w:p>
    <w:p>
      <w:pPr>
        <w:widowControl/>
        <w:adjustRightInd w:val="0"/>
        <w:snapToGrid w:val="0"/>
        <w:spacing w:line="360" w:lineRule="auto"/>
        <w:ind w:firstLine="480" w:firstLineChars="200"/>
        <w:rPr>
          <w:sz w:val="24"/>
          <w:szCs w:val="24"/>
        </w:rPr>
      </w:pPr>
      <w:r>
        <w:rPr>
          <w:rFonts w:hint="eastAsia" w:hAnsi="宋体"/>
          <w:sz w:val="24"/>
          <w:szCs w:val="24"/>
        </w:rPr>
        <w:t>本基金的</w:t>
      </w: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int="eastAsia" w:hAnsi="宋体"/>
          <w:sz w:val="24"/>
          <w:szCs w:val="24"/>
        </w:rPr>
        <w:t>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对持续持有期大于等于6个月的投资人，将赎回费总额的</w:t>
      </w:r>
      <w:r>
        <w:rPr>
          <w:rFonts w:hAnsi="宋体"/>
          <w:sz w:val="24"/>
          <w:szCs w:val="24"/>
        </w:rPr>
        <w:t>25</w:t>
      </w:r>
      <w:r>
        <w:rPr>
          <w:rFonts w:hint="eastAsia" w:hAnsi="宋体"/>
          <w:sz w:val="24"/>
          <w:szCs w:val="24"/>
        </w:rPr>
        <w:t>%计入基金财产。上述</w:t>
      </w:r>
      <w:r>
        <w:rPr>
          <w:rFonts w:hAnsi="宋体"/>
          <w:sz w:val="24"/>
          <w:szCs w:val="24"/>
        </w:rPr>
        <w:t>“</w:t>
      </w:r>
      <w:r>
        <w:rPr>
          <w:rFonts w:hint="eastAsia" w:hAnsi="宋体"/>
          <w:sz w:val="24"/>
          <w:szCs w:val="24"/>
        </w:rPr>
        <w:t>月</w:t>
      </w:r>
      <w:r>
        <w:rPr>
          <w:rFonts w:hAnsi="宋体"/>
          <w:sz w:val="24"/>
          <w:szCs w:val="24"/>
        </w:rPr>
        <w:t>”</w:t>
      </w:r>
      <w:r>
        <w:rPr>
          <w:rFonts w:hint="eastAsia" w:hAnsi="宋体"/>
          <w:sz w:val="24"/>
          <w:szCs w:val="24"/>
        </w:rPr>
        <w:t>指</w:t>
      </w:r>
      <w:r>
        <w:rPr>
          <w:rFonts w:hAnsi="宋体"/>
          <w:sz w:val="24"/>
          <w:szCs w:val="24"/>
        </w:rPr>
        <w:t>的是</w:t>
      </w:r>
      <w:r>
        <w:rPr>
          <w:rFonts w:hint="eastAsia" w:hAnsi="宋体"/>
          <w:sz w:val="24"/>
          <w:szCs w:val="24"/>
        </w:rPr>
        <w:t>30个</w:t>
      </w:r>
      <w:r>
        <w:rPr>
          <w:rFonts w:hAnsi="宋体"/>
          <w:sz w:val="24"/>
          <w:szCs w:val="24"/>
        </w:rPr>
        <w:t>自然日</w:t>
      </w:r>
      <w:r>
        <w:rPr>
          <w:rFonts w:hint="eastAsia" w:hAnsi="宋体"/>
          <w:sz w:val="24"/>
          <w:szCs w:val="24"/>
        </w:rPr>
        <w:t>。未归入基金财产的部分</w:t>
      </w:r>
      <w:r>
        <w:rPr>
          <w:rFonts w:hAnsi="宋体"/>
          <w:sz w:val="24"/>
          <w:szCs w:val="24"/>
        </w:rPr>
        <w:t>用于支付登记费和其他必要的手续费。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本基金赎回费率如下：</w:t>
      </w:r>
    </w:p>
    <w:tbl>
      <w:tblPr>
        <w:tblStyle w:val="28"/>
        <w:tblW w:w="7118"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4212"/>
        <w:gridCol w:w="290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4212" w:type="dxa"/>
            <w:shd w:val="clear" w:color="auto" w:fill="FFFFFF"/>
            <w:vAlign w:val="center"/>
          </w:tcPr>
          <w:p>
            <w:pPr>
              <w:adjustRightInd w:val="0"/>
              <w:snapToGrid w:val="0"/>
              <w:jc w:val="center"/>
              <w:rPr>
                <w:b/>
                <w:sz w:val="24"/>
              </w:rPr>
            </w:pPr>
            <w:r>
              <w:rPr>
                <w:rFonts w:hAnsi="宋体"/>
                <w:b/>
                <w:sz w:val="24"/>
              </w:rPr>
              <w:t>持有期限</w:t>
            </w:r>
          </w:p>
        </w:tc>
        <w:tc>
          <w:tcPr>
            <w:tcW w:w="2906" w:type="dxa"/>
            <w:shd w:val="clear" w:color="auto" w:fill="FFFFFF"/>
            <w:vAlign w:val="center"/>
          </w:tcPr>
          <w:p>
            <w:pPr>
              <w:adjustRightInd w:val="0"/>
              <w:snapToGrid w:val="0"/>
              <w:jc w:val="center"/>
              <w:rPr>
                <w:b/>
                <w:sz w:val="24"/>
              </w:rPr>
            </w:pPr>
            <w:r>
              <w:rPr>
                <w:rFonts w:hAnsi="宋体"/>
                <w:b/>
                <w:sz w:val="24"/>
              </w:rPr>
              <w:t>赎回费率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4212" w:type="dxa"/>
          </w:tcPr>
          <w:p>
            <w:pPr>
              <w:adjustRightInd w:val="0"/>
              <w:snapToGrid w:val="0"/>
              <w:jc w:val="center"/>
              <w:rPr>
                <w:sz w:val="24"/>
              </w:rPr>
            </w:pPr>
            <w:r>
              <w:rPr>
                <w:rFonts w:hint="eastAsia"/>
                <w:sz w:val="24"/>
              </w:rPr>
              <w:t>7日</w:t>
            </w:r>
            <w:r>
              <w:rPr>
                <w:rFonts w:hAnsi="宋体"/>
                <w:sz w:val="24"/>
              </w:rPr>
              <w:t>以内</w:t>
            </w:r>
          </w:p>
        </w:tc>
        <w:tc>
          <w:tcPr>
            <w:tcW w:w="2906" w:type="dxa"/>
          </w:tcPr>
          <w:p>
            <w:pPr>
              <w:adjustRightInd w:val="0"/>
              <w:snapToGrid w:val="0"/>
              <w:jc w:val="center"/>
              <w:rPr>
                <w:sz w:val="24"/>
              </w:rPr>
            </w:pPr>
            <w:r>
              <w:rPr>
                <w:rFonts w:hint="eastAsia"/>
                <w:sz w:val="24"/>
              </w:rPr>
              <w:t>1</w:t>
            </w:r>
            <w:r>
              <w:rPr>
                <w:sz w:val="24"/>
              </w:rPr>
              <w:t>.5%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4212" w:type="dxa"/>
          </w:tcPr>
          <w:p>
            <w:pPr>
              <w:adjustRightInd w:val="0"/>
              <w:snapToGrid w:val="0"/>
              <w:jc w:val="center"/>
              <w:rPr>
                <w:sz w:val="24"/>
              </w:rPr>
            </w:pPr>
            <w:r>
              <w:rPr>
                <w:rFonts w:hint="eastAsia"/>
                <w:sz w:val="24"/>
              </w:rPr>
              <w:t>7日（含）—30日</w:t>
            </w:r>
          </w:p>
        </w:tc>
        <w:tc>
          <w:tcPr>
            <w:tcW w:w="2906" w:type="dxa"/>
          </w:tcPr>
          <w:p>
            <w:pPr>
              <w:adjustRightInd w:val="0"/>
              <w:snapToGrid w:val="0"/>
              <w:jc w:val="center"/>
              <w:rPr>
                <w:sz w:val="24"/>
              </w:rPr>
            </w:pPr>
            <w:r>
              <w:rPr>
                <w:rFonts w:hint="eastAsia"/>
                <w:sz w:val="24"/>
              </w:rPr>
              <w:t>0.75%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4212" w:type="dxa"/>
          </w:tcPr>
          <w:p>
            <w:pPr>
              <w:adjustRightInd w:val="0"/>
              <w:snapToGrid w:val="0"/>
              <w:jc w:val="center"/>
              <w:rPr>
                <w:sz w:val="24"/>
              </w:rPr>
            </w:pPr>
            <w:r>
              <w:rPr>
                <w:rFonts w:hint="eastAsia"/>
                <w:sz w:val="24"/>
              </w:rPr>
              <w:t>30日（含）—</w:t>
            </w:r>
            <w:r>
              <w:rPr>
                <w:sz w:val="24"/>
              </w:rPr>
              <w:t>1年</w:t>
            </w:r>
          </w:p>
        </w:tc>
        <w:tc>
          <w:tcPr>
            <w:tcW w:w="2906" w:type="dxa"/>
          </w:tcPr>
          <w:p>
            <w:pPr>
              <w:adjustRightInd w:val="0"/>
              <w:snapToGrid w:val="0"/>
              <w:jc w:val="center"/>
              <w:rPr>
                <w:sz w:val="24"/>
              </w:rPr>
            </w:pPr>
            <w:r>
              <w:rPr>
                <w:rFonts w:hint="eastAsia"/>
                <w:sz w:val="24"/>
              </w:rPr>
              <w:t>0.5%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4212" w:type="dxa"/>
          </w:tcPr>
          <w:p>
            <w:pPr>
              <w:adjustRightInd w:val="0"/>
              <w:snapToGrid w:val="0"/>
              <w:jc w:val="center"/>
              <w:rPr>
                <w:sz w:val="24"/>
              </w:rPr>
            </w:pPr>
            <w:r>
              <w:rPr>
                <w:rFonts w:hint="eastAsia"/>
                <w:sz w:val="24"/>
              </w:rPr>
              <w:t>1</w:t>
            </w:r>
            <w:r>
              <w:rPr>
                <w:rFonts w:hAnsi="宋体"/>
                <w:sz w:val="24"/>
              </w:rPr>
              <w:t>年以上</w:t>
            </w:r>
            <w:r>
              <w:rPr>
                <w:rFonts w:hint="eastAsia" w:hAnsi="宋体"/>
                <w:sz w:val="24"/>
              </w:rPr>
              <w:t>（含）</w:t>
            </w:r>
          </w:p>
        </w:tc>
        <w:tc>
          <w:tcPr>
            <w:tcW w:w="2906" w:type="dxa"/>
          </w:tcPr>
          <w:p>
            <w:pPr>
              <w:adjustRightInd w:val="0"/>
              <w:snapToGrid w:val="0"/>
              <w:jc w:val="center"/>
              <w:rPr>
                <w:sz w:val="24"/>
              </w:rPr>
            </w:pPr>
            <w:r>
              <w:rPr>
                <w:sz w:val="24"/>
              </w:rPr>
              <w:t>0</w:t>
            </w:r>
          </w:p>
        </w:tc>
      </w:tr>
    </w:tbl>
    <w:p>
      <w:pPr>
        <w:widowControl/>
        <w:adjustRightInd w:val="0"/>
        <w:snapToGrid w:val="0"/>
        <w:spacing w:before="143" w:beforeLines="50" w:line="360" w:lineRule="auto"/>
        <w:ind w:firstLine="480" w:firstLineChars="200"/>
        <w:rPr>
          <w:rFonts w:hAnsi="宋体"/>
          <w:kern w:val="0"/>
          <w:sz w:val="24"/>
          <w:szCs w:val="24"/>
        </w:rPr>
      </w:pPr>
      <w:r>
        <w:rPr>
          <w:rFonts w:hint="eastAsia" w:hAnsi="宋体"/>
          <w:kern w:val="0"/>
          <w:sz w:val="24"/>
          <w:szCs w:val="24"/>
        </w:rPr>
        <w:t>上表中的“年”指的是365个自然日。</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hAnsi="宋体"/>
          <w:bCs/>
          <w:kern w:val="0"/>
          <w:sz w:val="24"/>
          <w:szCs w:val="24"/>
        </w:rPr>
        <w:t>经与基金托管人协商一致，</w:t>
      </w:r>
      <w:r>
        <w:rPr>
          <w:rFonts w:hAnsi="宋体"/>
          <w:kern w:val="0"/>
          <w:sz w:val="24"/>
          <w:szCs w:val="24"/>
        </w:rPr>
        <w:t>基金管理人可以在基金合同约定的范围内调整费率或收费方式，并最迟应于新的费率或收费方式实施日前依照《信息披露办法》的有关规定在规定媒介上公告。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、当本基金发生大额申购或赎回情形时，基金管理人可以采用摆动定价机制，以确保基金估值的公平性。具体处理原则与操作规范遵循相关法律法规以及监管部门、自律规则的规定。</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5</w:t>
      </w:r>
      <w:r>
        <w:rPr>
          <w:rFonts w:hint="eastAsia" w:hAnsi="宋体"/>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widowControl/>
        <w:adjustRightInd w:val="0"/>
        <w:snapToGrid w:val="0"/>
        <w:spacing w:line="360" w:lineRule="auto"/>
        <w:ind w:firstLine="482" w:firstLineChars="200"/>
        <w:outlineLvl w:val="1"/>
        <w:rPr>
          <w:b/>
          <w:kern w:val="0"/>
          <w:sz w:val="24"/>
          <w:szCs w:val="24"/>
        </w:rPr>
      </w:pPr>
      <w:bookmarkStart w:id="34" w:name="_Hlt90458725"/>
      <w:bookmarkEnd w:id="34"/>
      <w:bookmarkStart w:id="35" w:name="_Hlt81024033"/>
      <w:bookmarkEnd w:id="35"/>
      <w:bookmarkStart w:id="36" w:name="_Hlt91144389"/>
      <w:bookmarkEnd w:id="36"/>
      <w:r>
        <w:rPr>
          <w:rFonts w:hAnsi="宋体"/>
          <w:b/>
          <w:kern w:val="0"/>
          <w:sz w:val="24"/>
          <w:szCs w:val="24"/>
        </w:rPr>
        <w:t>（七）申购和赎回的数额和价格</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1、申购和赎回数额、余额的处理方式</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（1）申购的有效份额为净申购金额除以当日基金份额净值，有效份额单位为份，</w:t>
      </w:r>
      <w:r>
        <w:rPr>
          <w:rFonts w:hint="eastAsia" w:hAnsi="宋体"/>
          <w:kern w:val="0"/>
          <w:sz w:val="24"/>
          <w:szCs w:val="24"/>
        </w:rPr>
        <w:t>申购份额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（2）赎回金额为按实际确认的有效赎回份额乘以当日基金份额净值并扣除相应的费用（如有），赎回金额单位为元。</w:t>
      </w:r>
      <w:r>
        <w:rPr>
          <w:rFonts w:hint="eastAsia" w:hAnsi="宋体"/>
          <w:kern w:val="0"/>
          <w:sz w:val="24"/>
          <w:szCs w:val="24"/>
        </w:rPr>
        <w:t>赎回金额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2、申购份额的计算</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本基金采用金额申购的方式。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净申购金额=申购总金额/（1+申购费率）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（注：对于适用固定金额申购费用的申购，净申购金额＝申购总金额－固定申购费用金额）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申购费用=申购总金额-净申购金额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（注：对于适用固定金额申购费用的申购，申购费用＝固定申购费用金额）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w:t>
      </w:r>
      <w:r>
        <w:rPr>
          <w:rFonts w:hint="eastAsia" w:ascii="宋体" w:hAnsi="宋体"/>
          <w:sz w:val="24"/>
        </w:rPr>
        <w:t>净申购金额</w:t>
      </w:r>
      <w:r>
        <w:rPr>
          <w:rFonts w:hint="eastAsia" w:hAnsi="宋体"/>
          <w:kern w:val="0"/>
          <w:sz w:val="24"/>
          <w:szCs w:val="24"/>
        </w:rPr>
        <w:t>/T日基金份额净值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例三：某投资者（非养老金客户）投资100,000</w:t>
      </w:r>
      <w:r>
        <w:rPr>
          <w:rFonts w:hAnsi="宋体"/>
          <w:kern w:val="0"/>
          <w:sz w:val="24"/>
          <w:szCs w:val="24"/>
        </w:rPr>
        <w:t>.00</w:t>
      </w:r>
      <w:r>
        <w:rPr>
          <w:rFonts w:hint="eastAsia" w:hAnsi="宋体"/>
          <w:kern w:val="0"/>
          <w:sz w:val="24"/>
          <w:szCs w:val="24"/>
        </w:rPr>
        <w:t>元申购本基金，假设申购当日基金份额净值为1.0400元，申购费率为1.5%，则其可得到的申购份额为：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申购总金额＝100,000</w:t>
      </w:r>
      <w:r>
        <w:rPr>
          <w:rFonts w:hAnsi="宋体"/>
          <w:kern w:val="0"/>
          <w:sz w:val="24"/>
          <w:szCs w:val="24"/>
        </w:rPr>
        <w:t>.00</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净申购金额=100,000</w:t>
      </w:r>
      <w:r>
        <w:rPr>
          <w:rFonts w:hAnsi="宋体"/>
          <w:kern w:val="0"/>
          <w:sz w:val="24"/>
          <w:szCs w:val="24"/>
        </w:rPr>
        <w:t>.00</w:t>
      </w:r>
      <w:r>
        <w:rPr>
          <w:rFonts w:hint="eastAsia" w:hAnsi="宋体"/>
          <w:kern w:val="0"/>
          <w:sz w:val="24"/>
          <w:szCs w:val="24"/>
        </w:rPr>
        <w:t>/（1+</w:t>
      </w:r>
      <w:r>
        <w:rPr>
          <w:rFonts w:hAnsi="宋体"/>
          <w:kern w:val="0"/>
          <w:sz w:val="24"/>
          <w:szCs w:val="24"/>
        </w:rPr>
        <w:t>1.5</w:t>
      </w:r>
      <w:r>
        <w:rPr>
          <w:rFonts w:hint="eastAsia" w:hAnsi="宋体"/>
          <w:kern w:val="0"/>
          <w:sz w:val="24"/>
          <w:szCs w:val="24"/>
        </w:rPr>
        <w:t>%）=9</w:t>
      </w:r>
      <w:r>
        <w:rPr>
          <w:rFonts w:hAnsi="宋体"/>
          <w:kern w:val="0"/>
          <w:sz w:val="24"/>
          <w:szCs w:val="24"/>
        </w:rPr>
        <w:t>8</w:t>
      </w:r>
      <w:r>
        <w:rPr>
          <w:rFonts w:hint="eastAsia" w:hAnsi="宋体"/>
          <w:kern w:val="0"/>
          <w:sz w:val="24"/>
          <w:szCs w:val="24"/>
        </w:rPr>
        <w:t>,</w:t>
      </w:r>
      <w:r>
        <w:rPr>
          <w:rFonts w:hAnsi="宋体"/>
          <w:kern w:val="0"/>
          <w:sz w:val="24"/>
          <w:szCs w:val="24"/>
        </w:rPr>
        <w:t>522</w:t>
      </w:r>
      <w:r>
        <w:rPr>
          <w:rFonts w:hint="eastAsia" w:hAnsi="宋体"/>
          <w:kern w:val="0"/>
          <w:sz w:val="24"/>
          <w:szCs w:val="24"/>
        </w:rPr>
        <w:t>.</w:t>
      </w:r>
      <w:r>
        <w:rPr>
          <w:rFonts w:hAnsi="宋体"/>
          <w:kern w:val="0"/>
          <w:sz w:val="24"/>
          <w:szCs w:val="24"/>
        </w:rPr>
        <w:t>17</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申购费用=100,000</w:t>
      </w:r>
      <w:r>
        <w:rPr>
          <w:rFonts w:hAnsi="宋体"/>
          <w:kern w:val="0"/>
          <w:sz w:val="24"/>
          <w:szCs w:val="24"/>
        </w:rPr>
        <w:t>.00</w:t>
      </w:r>
      <w:r>
        <w:rPr>
          <w:rFonts w:hint="eastAsia" w:hAnsi="宋体"/>
          <w:kern w:val="0"/>
          <w:sz w:val="24"/>
          <w:szCs w:val="24"/>
        </w:rPr>
        <w:t>-9</w:t>
      </w:r>
      <w:r>
        <w:rPr>
          <w:rFonts w:hAnsi="宋体"/>
          <w:kern w:val="0"/>
          <w:sz w:val="24"/>
          <w:szCs w:val="24"/>
        </w:rPr>
        <w:t>8</w:t>
      </w:r>
      <w:r>
        <w:rPr>
          <w:rFonts w:hint="eastAsia" w:hAnsi="宋体"/>
          <w:kern w:val="0"/>
          <w:sz w:val="24"/>
          <w:szCs w:val="24"/>
        </w:rPr>
        <w:t>,</w:t>
      </w:r>
      <w:r>
        <w:rPr>
          <w:rFonts w:hAnsi="宋体"/>
          <w:kern w:val="0"/>
          <w:sz w:val="24"/>
          <w:szCs w:val="24"/>
        </w:rPr>
        <w:t>522</w:t>
      </w:r>
      <w:r>
        <w:rPr>
          <w:rFonts w:hint="eastAsia" w:hAnsi="宋体"/>
          <w:kern w:val="0"/>
          <w:sz w:val="24"/>
          <w:szCs w:val="24"/>
        </w:rPr>
        <w:t>.</w:t>
      </w:r>
      <w:r>
        <w:rPr>
          <w:rFonts w:hAnsi="宋体"/>
          <w:kern w:val="0"/>
          <w:sz w:val="24"/>
          <w:szCs w:val="24"/>
        </w:rPr>
        <w:t>17</w:t>
      </w:r>
      <w:r>
        <w:rPr>
          <w:rFonts w:hint="eastAsia" w:hAnsi="宋体"/>
          <w:kern w:val="0"/>
          <w:sz w:val="24"/>
          <w:szCs w:val="24"/>
        </w:rPr>
        <w:t>=</w:t>
      </w:r>
      <w:r>
        <w:rPr>
          <w:rFonts w:hAnsi="宋体"/>
          <w:kern w:val="0"/>
          <w:sz w:val="24"/>
          <w:szCs w:val="24"/>
        </w:rPr>
        <w:t>1</w:t>
      </w:r>
      <w:r>
        <w:rPr>
          <w:rFonts w:hint="eastAsia" w:hAnsi="宋体"/>
          <w:kern w:val="0"/>
          <w:sz w:val="24"/>
          <w:szCs w:val="24"/>
        </w:rPr>
        <w:t>,</w:t>
      </w:r>
      <w:r>
        <w:rPr>
          <w:rFonts w:hAnsi="宋体"/>
          <w:kern w:val="0"/>
          <w:sz w:val="24"/>
          <w:szCs w:val="24"/>
        </w:rPr>
        <w:t>477.83</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w:t>
      </w:r>
      <w:r>
        <w:rPr>
          <w:rFonts w:hAnsi="宋体"/>
          <w:kern w:val="0"/>
          <w:sz w:val="24"/>
          <w:szCs w:val="24"/>
        </w:rPr>
        <w:t>98,522.17</w:t>
      </w:r>
      <w:r>
        <w:rPr>
          <w:rFonts w:hint="eastAsia" w:hAnsi="宋体"/>
          <w:kern w:val="0"/>
          <w:sz w:val="24"/>
          <w:szCs w:val="24"/>
        </w:rPr>
        <w:t>/1.0400=9</w:t>
      </w:r>
      <w:r>
        <w:rPr>
          <w:rFonts w:hAnsi="宋体"/>
          <w:kern w:val="0"/>
          <w:sz w:val="24"/>
          <w:szCs w:val="24"/>
        </w:rPr>
        <w:t>4</w:t>
      </w:r>
      <w:r>
        <w:rPr>
          <w:rFonts w:hint="eastAsia" w:hAnsi="宋体"/>
          <w:kern w:val="0"/>
          <w:sz w:val="24"/>
          <w:szCs w:val="24"/>
        </w:rPr>
        <w:t>,</w:t>
      </w:r>
      <w:r>
        <w:rPr>
          <w:rFonts w:hAnsi="宋体"/>
          <w:kern w:val="0"/>
          <w:sz w:val="24"/>
          <w:szCs w:val="24"/>
        </w:rPr>
        <w:t>732</w:t>
      </w:r>
      <w:r>
        <w:rPr>
          <w:rFonts w:hint="eastAsia" w:hAnsi="宋体"/>
          <w:kern w:val="0"/>
          <w:sz w:val="24"/>
          <w:szCs w:val="24"/>
        </w:rPr>
        <w:t>.</w:t>
      </w:r>
      <w:r>
        <w:rPr>
          <w:rFonts w:hAnsi="宋体"/>
          <w:kern w:val="0"/>
          <w:sz w:val="24"/>
          <w:szCs w:val="24"/>
        </w:rPr>
        <w:t>86</w:t>
      </w:r>
      <w:r>
        <w:rPr>
          <w:rFonts w:hint="eastAsia" w:hAnsi="宋体"/>
          <w:kern w:val="0"/>
          <w:sz w:val="24"/>
          <w:szCs w:val="24"/>
        </w:rPr>
        <w:t>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即：该投资者（非养老金客户）投资100,000</w:t>
      </w:r>
      <w:r>
        <w:rPr>
          <w:rFonts w:hAnsi="宋体"/>
          <w:kern w:val="0"/>
          <w:sz w:val="24"/>
          <w:szCs w:val="24"/>
        </w:rPr>
        <w:t>.00</w:t>
      </w:r>
      <w:r>
        <w:rPr>
          <w:rFonts w:hint="eastAsia" w:hAnsi="宋体"/>
          <w:kern w:val="0"/>
          <w:sz w:val="24"/>
          <w:szCs w:val="24"/>
        </w:rPr>
        <w:t>元申购本基金，假设申购当日基金份额净值为1.0400元，则其可得到9</w:t>
      </w:r>
      <w:r>
        <w:rPr>
          <w:rFonts w:hAnsi="宋体"/>
          <w:kern w:val="0"/>
          <w:sz w:val="24"/>
          <w:szCs w:val="24"/>
        </w:rPr>
        <w:t>4</w:t>
      </w:r>
      <w:r>
        <w:rPr>
          <w:rFonts w:hint="eastAsia" w:hAnsi="宋体"/>
          <w:kern w:val="0"/>
          <w:sz w:val="24"/>
          <w:szCs w:val="24"/>
        </w:rPr>
        <w:t>,</w:t>
      </w:r>
      <w:r>
        <w:rPr>
          <w:rFonts w:hAnsi="宋体"/>
          <w:kern w:val="0"/>
          <w:sz w:val="24"/>
          <w:szCs w:val="24"/>
        </w:rPr>
        <w:t>732</w:t>
      </w:r>
      <w:r>
        <w:rPr>
          <w:rFonts w:hint="eastAsia" w:hAnsi="宋体"/>
          <w:kern w:val="0"/>
          <w:sz w:val="24"/>
          <w:szCs w:val="24"/>
        </w:rPr>
        <w:t>.</w:t>
      </w:r>
      <w:r>
        <w:rPr>
          <w:rFonts w:hAnsi="宋体"/>
          <w:kern w:val="0"/>
          <w:sz w:val="24"/>
          <w:szCs w:val="24"/>
        </w:rPr>
        <w:t>86</w:t>
      </w:r>
      <w:r>
        <w:rPr>
          <w:rFonts w:hint="eastAsia" w:hAnsi="宋体"/>
          <w:kern w:val="0"/>
          <w:sz w:val="24"/>
          <w:szCs w:val="24"/>
        </w:rPr>
        <w:t>份基金份额。</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例</w:t>
      </w:r>
      <w:r>
        <w:rPr>
          <w:rFonts w:hint="eastAsia" w:hAnsi="宋体"/>
          <w:kern w:val="0"/>
          <w:sz w:val="24"/>
          <w:szCs w:val="24"/>
        </w:rPr>
        <w:t>四</w:t>
      </w:r>
      <w:r>
        <w:rPr>
          <w:rFonts w:hAnsi="宋体"/>
          <w:kern w:val="0"/>
          <w:sz w:val="24"/>
          <w:szCs w:val="24"/>
        </w:rPr>
        <w:t>：</w:t>
      </w:r>
      <w:r>
        <w:rPr>
          <w:rFonts w:hint="eastAsia" w:hAnsi="宋体"/>
          <w:kern w:val="0"/>
          <w:sz w:val="24"/>
          <w:szCs w:val="24"/>
        </w:rPr>
        <w:t>某养老金客户投资1</w:t>
      </w:r>
      <w:r>
        <w:rPr>
          <w:rFonts w:hAnsi="宋体"/>
          <w:kern w:val="0"/>
          <w:sz w:val="24"/>
          <w:szCs w:val="24"/>
        </w:rPr>
        <w:t>,0</w:t>
      </w:r>
      <w:r>
        <w:rPr>
          <w:rFonts w:hint="eastAsia" w:hAnsi="宋体"/>
          <w:kern w:val="0"/>
          <w:sz w:val="24"/>
          <w:szCs w:val="24"/>
        </w:rPr>
        <w:t>00,000</w:t>
      </w:r>
      <w:r>
        <w:rPr>
          <w:rFonts w:hAnsi="宋体"/>
          <w:kern w:val="0"/>
          <w:sz w:val="24"/>
          <w:szCs w:val="24"/>
        </w:rPr>
        <w:t>.00</w:t>
      </w:r>
      <w:r>
        <w:rPr>
          <w:rFonts w:hint="eastAsia" w:hAnsi="宋体"/>
          <w:kern w:val="0"/>
          <w:sz w:val="24"/>
          <w:szCs w:val="24"/>
        </w:rPr>
        <w:t>元通过基金管理人的直销柜台申购本基金，假设申购当日基金份额净值为1.0400元，申购费率为</w:t>
      </w:r>
      <w:r>
        <w:rPr>
          <w:rFonts w:hAnsi="宋体"/>
          <w:kern w:val="0"/>
          <w:sz w:val="24"/>
          <w:szCs w:val="24"/>
        </w:rPr>
        <w:t>0.6</w:t>
      </w:r>
      <w:r>
        <w:rPr>
          <w:rFonts w:hint="eastAsia" w:hAnsi="宋体"/>
          <w:kern w:val="0"/>
          <w:sz w:val="24"/>
          <w:szCs w:val="24"/>
        </w:rPr>
        <w:t>%，则其可得到的申购份额为：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申购总金额＝1</w:t>
      </w:r>
      <w:r>
        <w:rPr>
          <w:rFonts w:hAnsi="宋体"/>
          <w:kern w:val="0"/>
          <w:sz w:val="24"/>
          <w:szCs w:val="24"/>
        </w:rPr>
        <w:t>,0</w:t>
      </w:r>
      <w:r>
        <w:rPr>
          <w:rFonts w:hint="eastAsia" w:hAnsi="宋体"/>
          <w:kern w:val="0"/>
          <w:sz w:val="24"/>
          <w:szCs w:val="24"/>
        </w:rPr>
        <w:t>00,000</w:t>
      </w:r>
      <w:r>
        <w:rPr>
          <w:rFonts w:hAnsi="宋体"/>
          <w:kern w:val="0"/>
          <w:sz w:val="24"/>
          <w:szCs w:val="24"/>
        </w:rPr>
        <w:t>.00</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净申购金额=</w:t>
      </w:r>
      <w:r>
        <w:rPr>
          <w:rFonts w:hint="eastAsia" w:hAnsi="宋体"/>
          <w:kern w:val="0"/>
          <w:sz w:val="24"/>
          <w:szCs w:val="24"/>
        </w:rPr>
        <w:t>1</w:t>
      </w:r>
      <w:r>
        <w:rPr>
          <w:rFonts w:hAnsi="宋体"/>
          <w:kern w:val="0"/>
          <w:sz w:val="24"/>
          <w:szCs w:val="24"/>
        </w:rPr>
        <w:t>,0</w:t>
      </w:r>
      <w:r>
        <w:rPr>
          <w:rFonts w:hint="eastAsia" w:hAnsi="宋体"/>
          <w:kern w:val="0"/>
          <w:sz w:val="24"/>
          <w:szCs w:val="24"/>
        </w:rPr>
        <w:t>00</w:t>
      </w:r>
      <w:r>
        <w:rPr>
          <w:rFonts w:hAnsi="宋体"/>
          <w:kern w:val="0"/>
          <w:sz w:val="24"/>
          <w:szCs w:val="24"/>
        </w:rPr>
        <w:t>,000.00/（1+0.6%）=994,035.79元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申购费用=</w:t>
      </w:r>
      <w:r>
        <w:rPr>
          <w:rFonts w:hint="eastAsia" w:hAnsi="宋体"/>
          <w:kern w:val="0"/>
          <w:sz w:val="24"/>
          <w:szCs w:val="24"/>
        </w:rPr>
        <w:t>1</w:t>
      </w:r>
      <w:r>
        <w:rPr>
          <w:rFonts w:hAnsi="宋体"/>
          <w:kern w:val="0"/>
          <w:sz w:val="24"/>
          <w:szCs w:val="24"/>
        </w:rPr>
        <w:t>,0</w:t>
      </w:r>
      <w:r>
        <w:rPr>
          <w:rFonts w:hint="eastAsia" w:hAnsi="宋体"/>
          <w:kern w:val="0"/>
          <w:sz w:val="24"/>
          <w:szCs w:val="24"/>
        </w:rPr>
        <w:t>00</w:t>
      </w:r>
      <w:r>
        <w:rPr>
          <w:rFonts w:hAnsi="宋体"/>
          <w:kern w:val="0"/>
          <w:sz w:val="24"/>
          <w:szCs w:val="24"/>
        </w:rPr>
        <w:t>,000.00-994,035.79=5,964.21元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申购份额=994,035.79/1.040</w:t>
      </w:r>
      <w:r>
        <w:rPr>
          <w:rFonts w:hint="eastAsia" w:hAnsi="宋体"/>
          <w:kern w:val="0"/>
          <w:sz w:val="24"/>
          <w:szCs w:val="24"/>
        </w:rPr>
        <w:t>0</w:t>
      </w:r>
      <w:r>
        <w:rPr>
          <w:rFonts w:hAnsi="宋体"/>
          <w:kern w:val="0"/>
          <w:sz w:val="24"/>
          <w:szCs w:val="24"/>
        </w:rPr>
        <w:t>=955,803.64份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即：该养老金客户投资1</w:t>
      </w:r>
      <w:r>
        <w:rPr>
          <w:rFonts w:hAnsi="宋体"/>
          <w:kern w:val="0"/>
          <w:sz w:val="24"/>
          <w:szCs w:val="24"/>
        </w:rPr>
        <w:t>,0</w:t>
      </w:r>
      <w:r>
        <w:rPr>
          <w:rFonts w:hint="eastAsia" w:hAnsi="宋体"/>
          <w:kern w:val="0"/>
          <w:sz w:val="24"/>
          <w:szCs w:val="24"/>
        </w:rPr>
        <w:t>00,000</w:t>
      </w:r>
      <w:r>
        <w:rPr>
          <w:rFonts w:hAnsi="宋体"/>
          <w:kern w:val="0"/>
          <w:sz w:val="24"/>
          <w:szCs w:val="24"/>
        </w:rPr>
        <w:t>.00</w:t>
      </w:r>
      <w:r>
        <w:rPr>
          <w:rFonts w:hint="eastAsia" w:hAnsi="宋体"/>
          <w:kern w:val="0"/>
          <w:sz w:val="24"/>
          <w:szCs w:val="24"/>
        </w:rPr>
        <w:t>元通过基金管理人的直销柜台申购本基金，假设申购当日基金份额净值为1.0400元，则其可得到</w:t>
      </w:r>
      <w:r>
        <w:rPr>
          <w:rFonts w:hAnsi="宋体"/>
          <w:kern w:val="0"/>
          <w:sz w:val="24"/>
          <w:szCs w:val="24"/>
        </w:rPr>
        <w:t>955,803.64</w:t>
      </w:r>
      <w:r>
        <w:rPr>
          <w:rFonts w:hint="eastAsia" w:hAnsi="宋体"/>
          <w:kern w:val="0"/>
          <w:sz w:val="24"/>
          <w:szCs w:val="24"/>
        </w:rPr>
        <w:t>份基金份额。</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3、赎回金额的计算</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本基金采用“份额赎回”的方式。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如果投资者赎回基金份额，则赎回金额的计算方法如下：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赎回费用=赎回份额×T日基金份额净值×赎回费率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赎回金额=赎回份额×T日基金份额净值-赎回费用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例五：某投资者赎回持有的10,000</w:t>
      </w:r>
      <w:r>
        <w:rPr>
          <w:rFonts w:hAnsi="宋体"/>
          <w:kern w:val="0"/>
          <w:sz w:val="24"/>
          <w:szCs w:val="24"/>
        </w:rPr>
        <w:t>.00</w:t>
      </w:r>
      <w:r>
        <w:rPr>
          <w:rFonts w:hint="eastAsia" w:hAnsi="宋体"/>
          <w:kern w:val="0"/>
          <w:sz w:val="24"/>
          <w:szCs w:val="24"/>
        </w:rPr>
        <w:t>份基金份额，持有期限为30日，对应的赎回费率为0.5%，假设赎回当日基金份额净值是1.016</w:t>
      </w:r>
      <w:r>
        <w:rPr>
          <w:rFonts w:hAnsi="宋体"/>
          <w:kern w:val="0"/>
          <w:sz w:val="24"/>
          <w:szCs w:val="24"/>
        </w:rPr>
        <w:t>0</w:t>
      </w:r>
      <w:r>
        <w:rPr>
          <w:rFonts w:hint="eastAsia" w:hAnsi="宋体"/>
          <w:kern w:val="0"/>
          <w:sz w:val="24"/>
          <w:szCs w:val="24"/>
        </w:rPr>
        <w:t>元，则其可得到的赎回金额为：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赎回费用=10,000.</w:t>
      </w:r>
      <w:r>
        <w:rPr>
          <w:rFonts w:hAnsi="宋体"/>
          <w:kern w:val="0"/>
          <w:sz w:val="24"/>
          <w:szCs w:val="24"/>
        </w:rPr>
        <w:t>00</w:t>
      </w:r>
      <w:r>
        <w:rPr>
          <w:rFonts w:hint="eastAsia" w:hAnsi="宋体"/>
          <w:kern w:val="0"/>
          <w:sz w:val="24"/>
          <w:szCs w:val="24"/>
        </w:rPr>
        <w:t>×1.016</w:t>
      </w:r>
      <w:r>
        <w:rPr>
          <w:rFonts w:hAnsi="宋体"/>
          <w:kern w:val="0"/>
          <w:sz w:val="24"/>
          <w:szCs w:val="24"/>
        </w:rPr>
        <w:t>0</w:t>
      </w:r>
      <w:r>
        <w:rPr>
          <w:rFonts w:hint="eastAsia" w:hAnsi="宋体"/>
          <w:kern w:val="0"/>
          <w:sz w:val="24"/>
          <w:szCs w:val="24"/>
        </w:rPr>
        <w:t>×0.5%＝50.80元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赎回金额=10,000</w:t>
      </w:r>
      <w:r>
        <w:rPr>
          <w:rFonts w:hAnsi="宋体"/>
          <w:kern w:val="0"/>
          <w:sz w:val="24"/>
          <w:szCs w:val="24"/>
        </w:rPr>
        <w:t>.00</w:t>
      </w:r>
      <w:r>
        <w:rPr>
          <w:rFonts w:hint="eastAsia" w:hAnsi="宋体"/>
          <w:kern w:val="0"/>
          <w:sz w:val="24"/>
          <w:szCs w:val="24"/>
        </w:rPr>
        <w:t>×1.016</w:t>
      </w:r>
      <w:r>
        <w:rPr>
          <w:rFonts w:hAnsi="宋体"/>
          <w:kern w:val="0"/>
          <w:sz w:val="24"/>
          <w:szCs w:val="24"/>
        </w:rPr>
        <w:t>0</w:t>
      </w:r>
      <w:r>
        <w:rPr>
          <w:rFonts w:hint="eastAsia" w:hAnsi="宋体"/>
          <w:kern w:val="0"/>
          <w:sz w:val="24"/>
          <w:szCs w:val="24"/>
        </w:rPr>
        <w:t>-50.80＝10,109.20元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即：该投资者赎回本基金10,000</w:t>
      </w:r>
      <w:r>
        <w:rPr>
          <w:rFonts w:hAnsi="宋体"/>
          <w:kern w:val="0"/>
          <w:sz w:val="24"/>
          <w:szCs w:val="24"/>
        </w:rPr>
        <w:t>.00</w:t>
      </w:r>
      <w:r>
        <w:rPr>
          <w:rFonts w:hint="eastAsia" w:hAnsi="宋体"/>
          <w:kern w:val="0"/>
          <w:sz w:val="24"/>
          <w:szCs w:val="24"/>
        </w:rPr>
        <w:t>份基金份额，持有期限为30日，对应的赎回费率为0.5%，假设赎回当日基金份额净值是1.016</w:t>
      </w:r>
      <w:r>
        <w:rPr>
          <w:rFonts w:hAnsi="宋体"/>
          <w:kern w:val="0"/>
          <w:sz w:val="24"/>
          <w:szCs w:val="24"/>
        </w:rPr>
        <w:t>0</w:t>
      </w:r>
      <w:r>
        <w:rPr>
          <w:rFonts w:hint="eastAsia" w:hAnsi="宋体"/>
          <w:kern w:val="0"/>
          <w:sz w:val="24"/>
          <w:szCs w:val="24"/>
        </w:rPr>
        <w:t>元，则其可得到的赎回金额为10,109.20元。</w:t>
      </w:r>
    </w:p>
    <w:p>
      <w:pPr>
        <w:widowControl/>
        <w:adjustRightInd w:val="0"/>
        <w:snapToGrid w:val="0"/>
        <w:spacing w:line="360" w:lineRule="auto"/>
        <w:ind w:firstLine="480" w:firstLineChars="200"/>
        <w:outlineLvl w:val="2"/>
        <w:rPr>
          <w:kern w:val="0"/>
          <w:sz w:val="24"/>
          <w:szCs w:val="24"/>
        </w:rPr>
      </w:pPr>
      <w:r>
        <w:rPr>
          <w:kern w:val="0"/>
          <w:sz w:val="24"/>
          <w:szCs w:val="24"/>
        </w:rPr>
        <w:t>4</w:t>
      </w:r>
      <w:r>
        <w:rPr>
          <w:rFonts w:hAnsi="宋体"/>
          <w:kern w:val="0"/>
          <w:sz w:val="24"/>
          <w:szCs w:val="24"/>
        </w:rPr>
        <w:t>、基金份额净值的计算公式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基金份额净值＝基金资产净值总额/发行在外的基金份额总数</w:t>
      </w:r>
    </w:p>
    <w:p>
      <w:pPr>
        <w:widowControl/>
        <w:adjustRightInd w:val="0"/>
        <w:snapToGrid w:val="0"/>
        <w:spacing w:line="360" w:lineRule="auto"/>
        <w:ind w:firstLine="480" w:firstLineChars="20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w:t>
      </w:r>
      <w:r>
        <w:rPr>
          <w:rFonts w:hint="eastAsia" w:hAnsi="宋体"/>
          <w:kern w:val="0"/>
          <w:sz w:val="24"/>
          <w:szCs w:val="24"/>
        </w:rPr>
        <w:t>（包括该日）内</w:t>
      </w:r>
      <w:r>
        <w:rPr>
          <w:rFonts w:hAnsi="宋体"/>
          <w:kern w:val="0"/>
          <w:sz w:val="24"/>
          <w:szCs w:val="24"/>
        </w:rPr>
        <w:t>公告。遇特殊情况，经</w:t>
      </w:r>
      <w:r>
        <w:rPr>
          <w:rFonts w:hint="eastAsia" w:hAnsi="宋体"/>
          <w:kern w:val="0"/>
          <w:sz w:val="24"/>
          <w:szCs w:val="24"/>
        </w:rPr>
        <w:t>履行适当程序</w:t>
      </w:r>
      <w:r>
        <w:rPr>
          <w:rFonts w:hAnsi="宋体"/>
          <w:kern w:val="0"/>
          <w:sz w:val="24"/>
          <w:szCs w:val="24"/>
        </w:rPr>
        <w:t>，可以适当延迟计算或公告。</w:t>
      </w:r>
      <w:r>
        <w:rPr>
          <w:rFonts w:hAnsi="宋体"/>
          <w:sz w:val="24"/>
          <w:szCs w:val="24"/>
        </w:rPr>
        <w:t>本基金</w:t>
      </w:r>
      <w:r>
        <w:rPr>
          <w:rFonts w:hint="eastAsia" w:hAnsi="宋体"/>
          <w:sz w:val="24"/>
          <w:szCs w:val="24"/>
        </w:rPr>
        <w:t>基金</w:t>
      </w:r>
      <w:r>
        <w:rPr>
          <w:rFonts w:hAnsi="宋体"/>
          <w:sz w:val="24"/>
          <w:szCs w:val="24"/>
        </w:rPr>
        <w:t>份额净值的计算，保留到小数点后</w:t>
      </w:r>
      <w:r>
        <w:rPr>
          <w:sz w:val="24"/>
          <w:szCs w:val="24"/>
        </w:rPr>
        <w:t>4</w:t>
      </w:r>
      <w:r>
        <w:rPr>
          <w:rFonts w:hAnsi="宋体"/>
          <w:sz w:val="24"/>
          <w:szCs w:val="24"/>
        </w:rPr>
        <w:t>位，小数点后第</w:t>
      </w:r>
      <w:r>
        <w:rPr>
          <w:sz w:val="24"/>
          <w:szCs w:val="24"/>
        </w:rPr>
        <w:t>5</w:t>
      </w:r>
      <w:r>
        <w:rPr>
          <w:rFonts w:hAnsi="宋体"/>
          <w:sz w:val="24"/>
          <w:szCs w:val="24"/>
        </w:rPr>
        <w:t>位四舍五入，由此产生的收益或损失由基金财产承担。</w:t>
      </w:r>
    </w:p>
    <w:p>
      <w:pPr>
        <w:adjustRightInd w:val="0"/>
        <w:snapToGrid w:val="0"/>
        <w:spacing w:line="360" w:lineRule="auto"/>
        <w:ind w:firstLine="482" w:firstLineChars="200"/>
        <w:outlineLvl w:val="1"/>
        <w:rPr>
          <w:rFonts w:hAnsi="宋体"/>
          <w:kern w:val="0"/>
          <w:sz w:val="24"/>
          <w:szCs w:val="24"/>
        </w:rPr>
      </w:pPr>
      <w:bookmarkStart w:id="37" w:name="_Toc79392615"/>
      <w:r>
        <w:rPr>
          <w:rFonts w:hAnsi="宋体"/>
          <w:b/>
          <w:kern w:val="0"/>
          <w:sz w:val="24"/>
          <w:szCs w:val="24"/>
        </w:rPr>
        <w:t>（八）拒绝或暂停申购的情形</w:t>
      </w:r>
      <w:bookmarkEnd w:id="37"/>
    </w:p>
    <w:p>
      <w:pPr>
        <w:widowControl/>
        <w:adjustRightInd w:val="0"/>
        <w:snapToGrid w:val="0"/>
        <w:spacing w:line="360" w:lineRule="auto"/>
        <w:ind w:firstLine="480" w:firstLineChars="200"/>
        <w:rPr>
          <w:rFonts w:hAnsi="宋体"/>
          <w:kern w:val="0"/>
          <w:sz w:val="24"/>
          <w:szCs w:val="24"/>
        </w:rPr>
      </w:pPr>
      <w:bookmarkStart w:id="38" w:name="_Hlt70481650"/>
      <w:bookmarkEnd w:id="38"/>
      <w:r>
        <w:rPr>
          <w:rFonts w:hint="eastAsia" w:hAnsi="宋体"/>
          <w:kern w:val="0"/>
          <w:sz w:val="24"/>
          <w:szCs w:val="24"/>
        </w:rPr>
        <w:t>发生下列情况时，基金管理人可拒绝或暂停接受投资人的申购申请：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1、因不可抗力导致基金无法正常运作。</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3、证券、期货交易所交易时间非正常停市或港股通临时停市，导致基金管理人无法计算当日基金资产净值。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4、接受某笔或某些申购申请可能会影响或损害现有基金份额持有人利益时。</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5、基金资产规模过大，使基金管理人无法找到合适的投资品种，或其他可能对基金业绩产生负面影响，或发生其他损害现有基金份额持有人利益的情形。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6、基金销售机构、基金销售支付结算机构或登记机构的异常情况导致基金销售系统、基金销售支付结算系统、基金注册登记系统或基金会计系统无法正常运行。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7、当前一估值日基金资产净值50%以上的资产出现无可参考的活跃市场价格且采用估值技术仍导致公允价值存在重大不确定性时，经与基金托管人协商确认后，基金管理人应当暂停接受基金申购申请。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8、港股通交易每日额度不足，或者发生证券交易服务公司等机构认定的交易异常情况并决定暂停提供部分或者全部港股通服务，或者发生其他影响通过内地与香港股票市场交易互联互通机制进行正常交易的情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9、基金管理人接受某笔或者某些申购申请有可能导致单一投资者持有基金份额的比例超过50%，或者变相规避50%集中度的。出现上述情形时，基金管理人有权将上述申购申请全部或部分确认失败。</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10、法律法规规定、中国证监会认定或基金合同约定的其他情形。</w:t>
      </w:r>
    </w:p>
    <w:p>
      <w:pPr>
        <w:widowControl/>
        <w:adjustRightInd w:val="0"/>
        <w:snapToGrid w:val="0"/>
        <w:spacing w:line="360" w:lineRule="auto"/>
        <w:ind w:firstLine="480" w:firstLineChars="200"/>
        <w:rPr>
          <w:rFonts w:hAnsi="宋体"/>
          <w:b/>
          <w:kern w:val="0"/>
          <w:sz w:val="24"/>
          <w:szCs w:val="24"/>
        </w:rPr>
      </w:pPr>
      <w:r>
        <w:rPr>
          <w:rFonts w:hint="eastAsia" w:hAnsi="宋体"/>
          <w:kern w:val="0"/>
          <w:sz w:val="24"/>
          <w:szCs w:val="24"/>
        </w:rPr>
        <w:t>发生上述第</w:t>
      </w:r>
      <w:r>
        <w:rPr>
          <w:bCs/>
          <w:sz w:val="24"/>
        </w:rPr>
        <w:t>1、2、</w:t>
      </w:r>
      <w:r>
        <w:rPr>
          <w:rFonts w:hint="eastAsia"/>
          <w:bCs/>
          <w:sz w:val="24"/>
        </w:rPr>
        <w:t>3</w:t>
      </w:r>
      <w:r>
        <w:rPr>
          <w:bCs/>
          <w:sz w:val="24"/>
        </w:rPr>
        <w:t>、5</w:t>
      </w:r>
      <w:r>
        <w:rPr>
          <w:rFonts w:hint="eastAsia"/>
          <w:bCs/>
          <w:sz w:val="24"/>
        </w:rPr>
        <w:t>、6、7</w:t>
      </w:r>
      <w:r>
        <w:rPr>
          <w:bCs/>
          <w:sz w:val="24"/>
        </w:rPr>
        <w:t>、</w:t>
      </w:r>
      <w:r>
        <w:rPr>
          <w:rFonts w:hint="eastAsia"/>
          <w:bCs/>
          <w:sz w:val="24"/>
        </w:rPr>
        <w:t>8、10</w:t>
      </w:r>
      <w:r>
        <w:rPr>
          <w:rFonts w:hint="eastAsia" w:hAnsi="宋体"/>
          <w:kern w:val="0"/>
          <w:sz w:val="24"/>
          <w:szCs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（九）暂停赎回或延缓支付赎回款项的情形</w:t>
      </w:r>
    </w:p>
    <w:p>
      <w:pPr>
        <w:widowControl/>
        <w:adjustRightInd w:val="0"/>
        <w:snapToGrid w:val="0"/>
        <w:spacing w:line="360" w:lineRule="auto"/>
        <w:ind w:firstLine="480" w:firstLineChars="200"/>
        <w:rPr>
          <w:rFonts w:hAnsi="宋体"/>
          <w:kern w:val="0"/>
          <w:sz w:val="24"/>
          <w:szCs w:val="24"/>
        </w:rPr>
      </w:pPr>
      <w:bookmarkStart w:id="39" w:name="_Toc79392616"/>
      <w:r>
        <w:rPr>
          <w:rFonts w:hint="eastAsia" w:hAnsi="宋体"/>
          <w:kern w:val="0"/>
          <w:sz w:val="24"/>
          <w:szCs w:val="24"/>
        </w:rPr>
        <w:t>发生下列情形时，基金管理人可暂停接受投资人的赎回申请或延缓支付赎回款项：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1、因不可抗力导致基金管理人不能支付赎回款项。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3、证券、期货交易所交易时间非正常停市或港股通临时停市，导致基金管理人无法计算当日基金资产净值。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4、连续两个或两个以上开放日发生巨额赎回。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5、发生继续接受赎回申请将损害现有基金份额持有人利益的情形时，基金管理人可暂停接受基金份额持有人的赎回申请。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7</w:t>
      </w:r>
      <w:r>
        <w:rPr>
          <w:rFonts w:hint="eastAsia" w:hAnsi="宋体"/>
          <w:kern w:val="0"/>
          <w:sz w:val="24"/>
          <w:szCs w:val="24"/>
        </w:rPr>
        <w:t>、法律法规规定、中国证监会认定或基金合同约定的其他情形。</w:t>
      </w:r>
    </w:p>
    <w:p>
      <w:pPr>
        <w:widowControl/>
        <w:adjustRightInd w:val="0"/>
        <w:snapToGrid w:val="0"/>
        <w:spacing w:line="360" w:lineRule="auto"/>
        <w:ind w:firstLine="480" w:firstLineChars="200"/>
        <w:rPr>
          <w:rFonts w:hAnsi="宋体"/>
          <w:b/>
          <w:kern w:val="0"/>
          <w:sz w:val="24"/>
          <w:szCs w:val="24"/>
        </w:rPr>
      </w:pPr>
      <w:r>
        <w:rPr>
          <w:rFonts w:hint="eastAsia" w:hAnsi="宋体"/>
          <w:kern w:val="0"/>
          <w:sz w:val="24"/>
          <w:szCs w:val="24"/>
        </w:rPr>
        <w:t>发生上述情形之一且基金管理人决定暂停接受基金份额持有人的赎回申请或延缓支付赎回款项时，基金管理人应</w:t>
      </w:r>
      <w:r>
        <w:rPr>
          <w:rFonts w:hint="eastAsia"/>
          <w:bCs/>
          <w:sz w:val="24"/>
        </w:rPr>
        <w:t>及时</w:t>
      </w:r>
      <w:r>
        <w:rPr>
          <w:rFonts w:hint="eastAsia" w:hAnsi="宋体"/>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（十）巨额赎回的情形及处理方式</w:t>
      </w:r>
      <w:bookmarkEnd w:id="39"/>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1</w:t>
      </w:r>
      <w:r>
        <w:rPr>
          <w:rFonts w:hint="eastAsia" w:hAnsi="宋体"/>
          <w:kern w:val="0"/>
          <w:sz w:val="24"/>
          <w:szCs w:val="24"/>
        </w:rPr>
        <w:t>、</w:t>
      </w:r>
      <w:r>
        <w:rPr>
          <w:rFonts w:hAnsi="宋体"/>
          <w:kern w:val="0"/>
          <w:sz w:val="24"/>
          <w:szCs w:val="24"/>
        </w:rPr>
        <w:t>巨额赎回的认定</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巨额赎回的处理方式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3）</w:t>
      </w:r>
      <w:r>
        <w:rPr>
          <w:rFonts w:hint="eastAsia" w:hAnsi="宋体"/>
          <w:kern w:val="0"/>
          <w:sz w:val="24"/>
          <w:szCs w:val="24"/>
        </w:rPr>
        <w:t>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述“（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4</w:t>
      </w:r>
      <w:r>
        <w:rPr>
          <w:rFonts w:hint="eastAsia" w:hAnsi="宋体"/>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outlineLvl w:val="2"/>
        <w:rPr>
          <w:rFonts w:hAnsi="宋体"/>
          <w:i/>
          <w:kern w:val="0"/>
          <w:sz w:val="24"/>
          <w:u w:val="single"/>
        </w:rPr>
      </w:pPr>
      <w:r>
        <w:rPr>
          <w:rFonts w:hAnsi="宋体"/>
          <w:kern w:val="0"/>
          <w:sz w:val="24"/>
          <w:szCs w:val="24"/>
        </w:rPr>
        <w:t>3</w:t>
      </w:r>
      <w:r>
        <w:rPr>
          <w:rFonts w:hint="eastAsia" w:hAnsi="宋体"/>
          <w:kern w:val="0"/>
          <w:sz w:val="24"/>
          <w:szCs w:val="24"/>
        </w:rPr>
        <w:t>、</w:t>
      </w:r>
      <w:r>
        <w:rPr>
          <w:rFonts w:hAnsi="宋体"/>
          <w:kern w:val="0"/>
          <w:sz w:val="24"/>
          <w:szCs w:val="24"/>
        </w:rPr>
        <w:t>巨额赎回的公告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当发生上述</w:t>
      </w:r>
      <w:r>
        <w:rPr>
          <w:rFonts w:hint="eastAsia" w:hAnsi="宋体"/>
          <w:bCs/>
          <w:kern w:val="0"/>
          <w:sz w:val="24"/>
          <w:szCs w:val="24"/>
        </w:rPr>
        <w:t>巨额</w:t>
      </w:r>
      <w:r>
        <w:rPr>
          <w:rFonts w:hAnsi="宋体"/>
          <w:kern w:val="0"/>
          <w:sz w:val="24"/>
          <w:szCs w:val="24"/>
        </w:rPr>
        <w:t>赎回并延期办理时，基金管理人应当通过邮寄、传真</w:t>
      </w:r>
      <w:r>
        <w:rPr>
          <w:rFonts w:hint="eastAsia" w:hAnsi="宋体"/>
          <w:kern w:val="0"/>
          <w:sz w:val="24"/>
          <w:szCs w:val="24"/>
        </w:rPr>
        <w:t>、刊登公告或者通知销售机构代为告知等</w:t>
      </w:r>
      <w:r>
        <w:rPr>
          <w:rFonts w:hAnsi="宋体"/>
          <w:kern w:val="0"/>
          <w:sz w:val="24"/>
          <w:szCs w:val="24"/>
        </w:rPr>
        <w:t>方式在</w:t>
      </w:r>
      <w:r>
        <w:rPr>
          <w:rFonts w:hint="eastAsia" w:hAnsi="宋体"/>
          <w:kern w:val="0"/>
          <w:sz w:val="24"/>
          <w:szCs w:val="24"/>
        </w:rPr>
        <w:t>3</w:t>
      </w:r>
      <w:r>
        <w:rPr>
          <w:rFonts w:hAnsi="宋体"/>
          <w:kern w:val="0"/>
          <w:sz w:val="24"/>
          <w:szCs w:val="24"/>
        </w:rPr>
        <w:t>个交易日内通知基金份额持有人，说明有关处理方法，</w:t>
      </w:r>
      <w:r>
        <w:rPr>
          <w:rFonts w:hint="eastAsia"/>
          <w:bCs/>
          <w:sz w:val="24"/>
        </w:rPr>
        <w:t>并在两日内</w:t>
      </w:r>
      <w:r>
        <w:rPr>
          <w:rFonts w:hAnsi="宋体"/>
          <w:kern w:val="0"/>
          <w:sz w:val="24"/>
          <w:szCs w:val="24"/>
        </w:rPr>
        <w:t>在规定媒介上刊登公告。</w:t>
      </w:r>
    </w:p>
    <w:p>
      <w:pPr>
        <w:widowControl/>
        <w:adjustRightInd w:val="0"/>
        <w:snapToGrid w:val="0"/>
        <w:spacing w:line="360" w:lineRule="auto"/>
        <w:ind w:firstLine="482" w:firstLineChars="200"/>
        <w:outlineLvl w:val="1"/>
        <w:rPr>
          <w:b/>
          <w:kern w:val="0"/>
          <w:sz w:val="24"/>
          <w:szCs w:val="24"/>
        </w:rPr>
      </w:pPr>
      <w:bookmarkStart w:id="40" w:name="_Toc79392617"/>
      <w:r>
        <w:rPr>
          <w:rFonts w:hAnsi="宋体"/>
          <w:b/>
          <w:kern w:val="0"/>
          <w:sz w:val="24"/>
          <w:szCs w:val="24"/>
        </w:rPr>
        <w:t>（十一）暂停申购或赎回的公告和重新开放申购或赎回的公告</w:t>
      </w:r>
      <w:bookmarkEnd w:id="40"/>
    </w:p>
    <w:p>
      <w:pPr>
        <w:widowControl/>
        <w:adjustRightInd w:val="0"/>
        <w:snapToGrid w:val="0"/>
        <w:spacing w:line="360" w:lineRule="auto"/>
        <w:ind w:firstLine="480" w:firstLineChars="200"/>
        <w:rPr>
          <w:rFonts w:hAnsi="宋体"/>
          <w:kern w:val="0"/>
          <w:sz w:val="24"/>
          <w:szCs w:val="24"/>
        </w:rPr>
      </w:pPr>
      <w:bookmarkStart w:id="41" w:name="_Toc59441259"/>
      <w:bookmarkStart w:id="42" w:name="_Toc15118274"/>
      <w:bookmarkStart w:id="43" w:name="_Toc79392618"/>
      <w:r>
        <w:rPr>
          <w:rFonts w:hint="eastAsia" w:hAnsi="宋体"/>
          <w:kern w:val="0"/>
          <w:sz w:val="24"/>
          <w:szCs w:val="24"/>
        </w:rPr>
        <w:t>1、发生上述暂停申购或赎回情况的，基金管理人应在规定期限内在规定媒介上刊登暂停公告。</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2、如发生暂停的时间为1日，基金管理人应于重新开放日，在规定媒介上刊登基金重新开放申购或赎回公告，并公布最近1个开放日的基金份额净值。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41"/>
    <w:bookmarkEnd w:id="42"/>
    <w:bookmarkEnd w:id="43"/>
    <w:p>
      <w:pPr>
        <w:widowControl/>
        <w:adjustRightInd w:val="0"/>
        <w:snapToGrid w:val="0"/>
        <w:spacing w:line="360" w:lineRule="auto"/>
        <w:ind w:firstLine="482" w:firstLineChars="200"/>
        <w:outlineLvl w:val="1"/>
        <w:rPr>
          <w:b/>
          <w:kern w:val="0"/>
          <w:sz w:val="24"/>
          <w:szCs w:val="24"/>
        </w:rPr>
      </w:pPr>
      <w:bookmarkStart w:id="44" w:name="_Toc79392621"/>
      <w:r>
        <w:rPr>
          <w:rFonts w:hAnsi="宋体"/>
          <w:b/>
          <w:kern w:val="0"/>
          <w:sz w:val="24"/>
          <w:szCs w:val="24"/>
        </w:rPr>
        <w:t>（十二）基金转换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（十三）基金的非交易过户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基金的非交易过户是指基金登记机构受理继承、捐赠和司法强制执行等情形而产生的非交易过户以及登记机构认可、符合法律法规的其</w:t>
      </w:r>
      <w:r>
        <w:rPr>
          <w:rFonts w:hAnsi="宋体"/>
          <w:kern w:val="0"/>
          <w:sz w:val="24"/>
          <w:szCs w:val="24"/>
        </w:rPr>
        <w:t>它</w:t>
      </w:r>
      <w:r>
        <w:rPr>
          <w:rFonts w:hint="eastAsia" w:hAnsi="宋体"/>
          <w:kern w:val="0"/>
          <w:sz w:val="24"/>
          <w:szCs w:val="24"/>
        </w:rPr>
        <w:t>非交易过户。无论在上述何种情况下，接受划转的主体必须是依法可以持有本基金基金份额的投资人。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（十四）基金的转托管</w:t>
      </w:r>
      <w:bookmarkEnd w:id="44"/>
    </w:p>
    <w:p>
      <w:pPr>
        <w:widowControl/>
        <w:adjustRightInd w:val="0"/>
        <w:snapToGrid w:val="0"/>
        <w:spacing w:line="360" w:lineRule="auto"/>
        <w:ind w:firstLine="480" w:firstLineChars="200"/>
        <w:rPr>
          <w:rFonts w:hAnsi="宋体"/>
          <w:kern w:val="0"/>
          <w:sz w:val="24"/>
          <w:szCs w:val="24"/>
        </w:rPr>
      </w:pPr>
      <w:bookmarkStart w:id="45" w:name="_Toc79392620"/>
      <w:r>
        <w:rPr>
          <w:rFonts w:hint="eastAsia" w:hAnsi="宋体"/>
          <w:kern w:val="0"/>
          <w:sz w:val="24"/>
          <w:szCs w:val="24"/>
        </w:rPr>
        <w:t>基金份额持有人可办理已持有基金份额在不同销售机构之间的转托管，基金销售机构可以按照规定的标准收取转托管费。</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（十五）定期定额投资计划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（十六）</w:t>
      </w:r>
      <w:r>
        <w:rPr>
          <w:rFonts w:hAnsi="宋体"/>
          <w:b/>
          <w:sz w:val="24"/>
          <w:szCs w:val="24"/>
        </w:rPr>
        <w:t>基金份额的冻结和解冻</w:t>
      </w:r>
      <w:bookmarkEnd w:id="45"/>
    </w:p>
    <w:p>
      <w:pPr>
        <w:adjustRightInd w:val="0"/>
        <w:snapToGrid w:val="0"/>
        <w:spacing w:line="360" w:lineRule="auto"/>
        <w:ind w:firstLine="480" w:firstLineChars="200"/>
        <w:rPr>
          <w:rFonts w:hAnsi="宋体"/>
          <w:kern w:val="0"/>
          <w:sz w:val="24"/>
          <w:szCs w:val="24"/>
        </w:rPr>
      </w:pPr>
      <w:r>
        <w:rPr>
          <w:rFonts w:hint="eastAsia" w:hAnsi="宋体"/>
          <w:kern w:val="0"/>
          <w:sz w:val="24"/>
          <w:szCs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法律法规或监管机构另有规定的除外。</w:t>
      </w:r>
    </w:p>
    <w:p>
      <w:pPr>
        <w:adjustRightInd w:val="0"/>
        <w:snapToGrid w:val="0"/>
        <w:spacing w:line="360" w:lineRule="auto"/>
        <w:ind w:firstLine="482" w:firstLineChars="200"/>
        <w:outlineLvl w:val="1"/>
        <w:rPr>
          <w:rFonts w:hAnsi="宋体"/>
          <w:b/>
          <w:sz w:val="24"/>
          <w:szCs w:val="24"/>
        </w:rPr>
      </w:pPr>
      <w:bookmarkStart w:id="46" w:name="_Toc66720082"/>
      <w:bookmarkStart w:id="47" w:name="_Toc66719557"/>
      <w:bookmarkStart w:id="48" w:name="_Toc109059024"/>
      <w:r>
        <w:rPr>
          <w:rFonts w:hint="eastAsia" w:hAnsi="宋体"/>
          <w:b/>
          <w:sz w:val="24"/>
          <w:szCs w:val="24"/>
        </w:rPr>
        <w:t>（十七）基金份额的转让</w:t>
      </w:r>
    </w:p>
    <w:p>
      <w:pPr>
        <w:adjustRightInd w:val="0"/>
        <w:snapToGrid w:val="0"/>
        <w:spacing w:line="360" w:lineRule="auto"/>
        <w:ind w:firstLine="480" w:firstLineChars="200"/>
        <w:rPr>
          <w:rFonts w:hAnsi="宋体"/>
          <w:sz w:val="24"/>
          <w:szCs w:val="24"/>
        </w:rPr>
      </w:pPr>
      <w:r>
        <w:rPr>
          <w:rFonts w:hint="eastAsia" w:hAnsi="宋体"/>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adjustRightInd w:val="0"/>
        <w:snapToGrid w:val="0"/>
        <w:spacing w:line="360" w:lineRule="auto"/>
        <w:ind w:firstLine="482" w:firstLineChars="200"/>
        <w:outlineLvl w:val="1"/>
        <w:rPr>
          <w:rFonts w:hAnsi="宋体"/>
          <w:b/>
          <w:kern w:val="0"/>
          <w:sz w:val="24"/>
          <w:szCs w:val="24"/>
        </w:rPr>
      </w:pPr>
      <w:r>
        <w:rPr>
          <w:rFonts w:hAnsi="宋体"/>
          <w:b/>
          <w:kern w:val="0"/>
          <w:sz w:val="24"/>
          <w:szCs w:val="24"/>
        </w:rPr>
        <w:t>（十</w:t>
      </w:r>
      <w:r>
        <w:rPr>
          <w:rFonts w:hint="eastAsia" w:hAnsi="宋体"/>
          <w:b/>
          <w:kern w:val="0"/>
          <w:sz w:val="24"/>
          <w:szCs w:val="24"/>
        </w:rPr>
        <w:t>八</w:t>
      </w:r>
      <w:r>
        <w:rPr>
          <w:rFonts w:hAnsi="宋体"/>
          <w:b/>
          <w:kern w:val="0"/>
          <w:sz w:val="24"/>
          <w:szCs w:val="24"/>
        </w:rPr>
        <w:t>）</w:t>
      </w:r>
      <w:r>
        <w:rPr>
          <w:rFonts w:hint="eastAsia" w:hAnsi="宋体"/>
          <w:b/>
          <w:kern w:val="0"/>
          <w:sz w:val="24"/>
          <w:szCs w:val="24"/>
        </w:rPr>
        <w:t>实施侧袋机制期间本基金的申购与赎回</w:t>
      </w:r>
    </w:p>
    <w:p>
      <w:pPr>
        <w:adjustRightInd w:val="0"/>
        <w:snapToGrid w:val="0"/>
        <w:spacing w:line="360" w:lineRule="auto"/>
        <w:ind w:firstLine="480" w:firstLineChars="200"/>
        <w:rPr>
          <w:rFonts w:hAnsi="宋体"/>
          <w:sz w:val="24"/>
          <w:szCs w:val="24"/>
        </w:rPr>
      </w:pPr>
      <w:r>
        <w:rPr>
          <w:rFonts w:hint="eastAsia" w:hAnsi="宋体"/>
          <w:sz w:val="24"/>
          <w:szCs w:val="24"/>
        </w:rPr>
        <w:t>本基金实施侧袋机制的，本基金的申购和赎回安排详见本招募说明书“侧袋机制”部分的规定或相关公告。</w:t>
      </w:r>
    </w:p>
    <w:p>
      <w:pPr>
        <w:adjustRightInd w:val="0"/>
        <w:snapToGrid w:val="0"/>
        <w:spacing w:line="360" w:lineRule="auto"/>
        <w:ind w:firstLine="482" w:firstLineChars="200"/>
        <w:outlineLvl w:val="1"/>
        <w:rPr>
          <w:rFonts w:hAnsi="宋体"/>
          <w:i/>
          <w:kern w:val="0"/>
          <w:sz w:val="24"/>
          <w:u w:val="single"/>
        </w:rPr>
      </w:pPr>
      <w:r>
        <w:rPr>
          <w:rFonts w:hint="eastAsia" w:hAnsi="宋体"/>
          <w:b/>
          <w:kern w:val="0"/>
          <w:sz w:val="24"/>
          <w:szCs w:val="24"/>
        </w:rPr>
        <w:t>（十九</w:t>
      </w:r>
      <w:r>
        <w:rPr>
          <w:rFonts w:hAnsi="宋体"/>
          <w:b/>
          <w:kern w:val="0"/>
          <w:sz w:val="24"/>
          <w:szCs w:val="24"/>
        </w:rPr>
        <w:t>）</w:t>
      </w:r>
      <w:r>
        <w:rPr>
          <w:rFonts w:hint="eastAsia" w:hAnsi="宋体"/>
          <w:b/>
          <w:sz w:val="24"/>
          <w:szCs w:val="24"/>
        </w:rPr>
        <w:t>其他业务</w:t>
      </w:r>
    </w:p>
    <w:p>
      <w:pPr>
        <w:adjustRightInd w:val="0"/>
        <w:snapToGrid w:val="0"/>
        <w:spacing w:line="360" w:lineRule="auto"/>
        <w:ind w:firstLine="480" w:firstLineChars="200"/>
        <w:rPr>
          <w:rFonts w:ascii="宋体" w:hAnsi="宋体"/>
          <w:sz w:val="24"/>
        </w:rPr>
      </w:pPr>
      <w:r>
        <w:rPr>
          <w:rFonts w:hint="eastAsia"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End w:id="32"/>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49" w:name="_Toc48122010"/>
      <w:r>
        <w:rPr>
          <w:rFonts w:hint="eastAsia" w:ascii="宋体" w:hAnsi="宋体"/>
          <w:b/>
          <w:kern w:val="0"/>
          <w:sz w:val="30"/>
        </w:rPr>
        <w:t>九、基金的投资</w:t>
      </w:r>
      <w:bookmarkEnd w:id="49"/>
    </w:p>
    <w:p>
      <w:pPr>
        <w:adjustRightInd w:val="0"/>
        <w:snapToGrid w:val="0"/>
        <w:spacing w:line="360" w:lineRule="auto"/>
        <w:ind w:firstLine="482" w:firstLineChars="200"/>
        <w:outlineLvl w:val="1"/>
        <w:rPr>
          <w:rFonts w:hAnsi="宋体"/>
          <w:kern w:val="0"/>
          <w:sz w:val="24"/>
          <w:szCs w:val="24"/>
        </w:rPr>
      </w:pPr>
      <w:bookmarkStart w:id="50" w:name="_Hlk50018503"/>
      <w:r>
        <w:rPr>
          <w:rFonts w:hint="eastAsia"/>
          <w:b/>
          <w:bCs/>
          <w:sz w:val="24"/>
        </w:rPr>
        <w:t>（一）投资目标</w:t>
      </w:r>
    </w:p>
    <w:p>
      <w:pPr>
        <w:adjustRightInd w:val="0"/>
        <w:snapToGrid w:val="0"/>
        <w:spacing w:line="360" w:lineRule="auto"/>
        <w:ind w:firstLine="482"/>
        <w:rPr>
          <w:bCs/>
          <w:sz w:val="24"/>
        </w:rPr>
      </w:pPr>
      <w:r>
        <w:rPr>
          <w:rFonts w:hint="eastAsia"/>
          <w:bCs/>
          <w:sz w:val="24"/>
        </w:rPr>
        <w:t>本基金在合理控制风险的前提下，充分发挥专业研究与管理能力，力争为投资者提供长期稳健的投资回报。</w:t>
      </w:r>
    </w:p>
    <w:p>
      <w:pPr>
        <w:adjustRightInd w:val="0"/>
        <w:snapToGrid w:val="0"/>
        <w:spacing w:line="360" w:lineRule="auto"/>
        <w:ind w:firstLine="482"/>
        <w:outlineLvl w:val="1"/>
        <w:rPr>
          <w:b/>
          <w:bCs/>
          <w:sz w:val="24"/>
        </w:rPr>
      </w:pPr>
      <w:r>
        <w:rPr>
          <w:rFonts w:hint="eastAsia"/>
          <w:b/>
          <w:bCs/>
          <w:sz w:val="24"/>
        </w:rPr>
        <w:t>（二）投资范围</w:t>
      </w:r>
    </w:p>
    <w:p>
      <w:pPr>
        <w:adjustRightInd w:val="0"/>
        <w:snapToGrid w:val="0"/>
        <w:spacing w:line="360" w:lineRule="auto"/>
        <w:ind w:firstLine="482"/>
        <w:rPr>
          <w:rFonts w:ascii="宋体" w:hAnsi="宋体"/>
          <w:bCs/>
          <w:sz w:val="24"/>
          <w:szCs w:val="24"/>
        </w:rPr>
      </w:pPr>
      <w:r>
        <w:rPr>
          <w:rFonts w:hint="eastAsia" w:ascii="宋体" w:hAnsi="宋体"/>
          <w:bCs/>
          <w:sz w:val="24"/>
          <w:szCs w:val="24"/>
        </w:rPr>
        <w:t>本基金的投资范围为具有良好流动性的金融工具，包括国内依法发行上市的股票（含主板、创业板、科创板及其他经中国证监会核准</w:t>
      </w:r>
      <w:r>
        <w:rPr>
          <w:rFonts w:hint="eastAsia"/>
          <w:bCs/>
          <w:sz w:val="24"/>
        </w:rPr>
        <w:t>或注册</w:t>
      </w:r>
      <w:r>
        <w:rPr>
          <w:rFonts w:hint="eastAsia" w:ascii="宋体" w:hAnsi="宋体"/>
          <w:bCs/>
          <w:sz w:val="24"/>
          <w:szCs w:val="24"/>
        </w:rPr>
        <w:t>上市的股票、存托凭证）、</w:t>
      </w:r>
      <w:r>
        <w:rPr>
          <w:rFonts w:hint="eastAsia"/>
          <w:bCs/>
          <w:sz w:val="24"/>
        </w:rPr>
        <w:t>港股通标的股票、</w:t>
      </w:r>
      <w:r>
        <w:rPr>
          <w:rFonts w:hint="eastAsia" w:ascii="宋体" w:hAnsi="宋体"/>
          <w:bCs/>
          <w:sz w:val="24"/>
          <w:szCs w:val="24"/>
        </w:rPr>
        <w:t>债券（含国债、央行票据、金融债券、政府支持债券、政府支持机构债券、地方政府债券、企业债券、公司债券、可转换债券（含可分离交易可转换债券</w:t>
      </w:r>
      <w:r>
        <w:rPr>
          <w:rFonts w:hint="eastAsia"/>
          <w:bCs/>
          <w:sz w:val="24"/>
        </w:rPr>
        <w:t>的纯债部分</w:t>
      </w:r>
      <w:r>
        <w:rPr>
          <w:rFonts w:hint="eastAsia" w:ascii="宋体" w:hAnsi="宋体"/>
          <w:bCs/>
          <w:sz w:val="24"/>
          <w:szCs w:val="24"/>
        </w:rPr>
        <w:t>）、可交换公司债券、</w:t>
      </w:r>
      <w:r>
        <w:rPr>
          <w:rFonts w:hint="eastAsia"/>
          <w:bCs/>
          <w:sz w:val="24"/>
        </w:rPr>
        <w:t>公开发行的</w:t>
      </w:r>
      <w:r>
        <w:rPr>
          <w:rFonts w:hint="eastAsia" w:ascii="宋体" w:hAnsi="宋体"/>
          <w:bCs/>
          <w:sz w:val="24"/>
          <w:szCs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adjustRightInd w:val="0"/>
        <w:snapToGrid w:val="0"/>
        <w:spacing w:line="360" w:lineRule="auto"/>
        <w:ind w:firstLine="482"/>
        <w:rPr>
          <w:rFonts w:ascii="宋体" w:hAnsi="宋体"/>
          <w:bCs/>
          <w:sz w:val="24"/>
          <w:szCs w:val="24"/>
        </w:rPr>
      </w:pPr>
      <w:r>
        <w:rPr>
          <w:rFonts w:hint="eastAsia" w:ascii="宋体" w:hAnsi="宋体"/>
          <w:bCs/>
          <w:sz w:val="24"/>
          <w:szCs w:val="24"/>
        </w:rPr>
        <w:t>如法律法规或监管机构以后允许基金投资其他品种，基金管理人在履行适当程序后，可以将其纳入投资范围。</w:t>
      </w:r>
    </w:p>
    <w:p>
      <w:pPr>
        <w:adjustRightInd w:val="0"/>
        <w:snapToGrid w:val="0"/>
        <w:spacing w:line="360" w:lineRule="auto"/>
        <w:ind w:firstLine="482"/>
        <w:rPr>
          <w:rFonts w:ascii="宋体" w:hAnsi="宋体"/>
          <w:bCs/>
          <w:sz w:val="24"/>
          <w:szCs w:val="24"/>
        </w:rPr>
      </w:pPr>
      <w:r>
        <w:rPr>
          <w:rFonts w:hint="eastAsia" w:ascii="宋体" w:hAnsi="宋体"/>
          <w:bCs/>
          <w:sz w:val="24"/>
          <w:szCs w:val="24"/>
        </w:rPr>
        <w:t>基金的投资组合比例为：股票投资（含存托凭证）占基金资产的比例为60%-95%</w:t>
      </w:r>
      <w:r>
        <w:rPr>
          <w:rFonts w:hint="eastAsia" w:ascii="宋体" w:hAnsi="宋体"/>
          <w:bCs/>
          <w:sz w:val="24"/>
          <w:szCs w:val="24"/>
          <w:lang w:eastAsia="zh-CN"/>
        </w:rPr>
        <w:t>，</w:t>
      </w:r>
      <w:r>
        <w:rPr>
          <w:rFonts w:hint="eastAsia" w:ascii="宋体" w:hAnsi="宋体"/>
          <w:bCs/>
          <w:sz w:val="24"/>
          <w:szCs w:val="24"/>
        </w:rPr>
        <w:t>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adjustRightInd w:val="0"/>
        <w:snapToGrid w:val="0"/>
        <w:spacing w:line="360" w:lineRule="auto"/>
        <w:ind w:firstLine="482"/>
        <w:rPr>
          <w:bCs/>
          <w:sz w:val="24"/>
        </w:rPr>
      </w:pPr>
      <w:r>
        <w:rPr>
          <w:rFonts w:hint="eastAsia" w:ascii="宋体" w:hAnsi="宋体"/>
          <w:bCs/>
          <w:sz w:val="24"/>
          <w:szCs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2" w:firstLineChars="200"/>
        <w:outlineLvl w:val="1"/>
        <w:rPr>
          <w:rFonts w:hAnsi="宋体"/>
          <w:kern w:val="0"/>
          <w:sz w:val="24"/>
          <w:szCs w:val="24"/>
        </w:rPr>
      </w:pPr>
      <w:r>
        <w:rPr>
          <w:rFonts w:hint="eastAsia"/>
          <w:b/>
          <w:bCs/>
          <w:sz w:val="24"/>
        </w:rPr>
        <w:t>（三）投资策略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w:t>
      </w:r>
      <w:r>
        <w:rPr>
          <w:rFonts w:hint="eastAsia"/>
          <w:bCs/>
          <w:sz w:val="24"/>
        </w:rPr>
        <w:t>个股和</w:t>
      </w:r>
      <w:r>
        <w:rPr>
          <w:rFonts w:hint="eastAsia" w:ascii="宋体" w:hAnsi="宋体"/>
          <w:bCs/>
          <w:sz w:val="24"/>
          <w:szCs w:val="24"/>
        </w:rPr>
        <w:t>个券；在保持总体风险水平相对稳定的基础上，力争获取投资组合的较高回报。</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1、大类资产配置</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本基金利用经交银施罗德研究团队修正后的投资时钟分析框架，通过“自上而下”的定性分析和定量分析相结合形成对不同资产市场表现的预测和判断，确定基金资产在</w:t>
      </w:r>
      <w:r>
        <w:rPr>
          <w:rFonts w:hint="eastAsia"/>
          <w:bCs/>
          <w:sz w:val="24"/>
        </w:rPr>
        <w:t>沪深A股、港股通标的股票</w:t>
      </w:r>
      <w:r>
        <w:rPr>
          <w:rFonts w:hint="eastAsia" w:ascii="宋体" w:hAnsi="宋体"/>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2、股票投资策略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通过对上市公司的深入调研和重点分析研究，自上而下进行产业研究，寻找产业共振领域、中观逻辑中最受益的行业和公司进行重点关注。本基金精选在行业景气度、商业模式、公司质地等方面具备一定优势，推动产业趋势发展和产品升级，引领产业发展新方向的优质上市企业，主要从两个方面进行筛选：一方面，本基金从政策环境、供给侧变化、产业落地情况判断行业景气度趋势，在行业景气上行时，关注龙头标的及有弹性的投资品种，在行业景气下行时则尽量规避；另一方面，本基金关注企业商业模式的变化以及公司质地，较高的护城河壁垒是能保证长期利润率水平和净资产收益率水平的前提，优先选择平台型商业模式、公司质地优秀的企业。</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lang w:eastAsia="zh-CN"/>
        </w:rPr>
        <w:t>（</w:t>
      </w:r>
      <w:r>
        <w:rPr>
          <w:rFonts w:hint="eastAsia" w:ascii="宋体" w:hAnsi="宋体"/>
          <w:bCs/>
          <w:sz w:val="24"/>
          <w:szCs w:val="24"/>
          <w:lang w:val="en-US" w:eastAsia="zh-CN"/>
        </w:rPr>
        <w:t>1</w:t>
      </w:r>
      <w:r>
        <w:rPr>
          <w:rFonts w:hint="eastAsia" w:ascii="宋体" w:hAnsi="宋体"/>
          <w:bCs/>
          <w:sz w:val="24"/>
          <w:szCs w:val="24"/>
          <w:lang w:eastAsia="zh-CN"/>
        </w:rPr>
        <w:t>）</w:t>
      </w:r>
      <w:r>
        <w:rPr>
          <w:rFonts w:hint="eastAsia" w:ascii="宋体" w:hAnsi="宋体"/>
          <w:bCs/>
          <w:sz w:val="24"/>
          <w:szCs w:val="24"/>
        </w:rPr>
        <w:t>品质筛选</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筛选出在公司治理、财务及管理品质上符合基本品质要求的公司，构建备选股票池。主要筛选指标包括：</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盈利能力指标：如市盈率（P/E）、市现率（P/Cash Flow）、股价与每股自由现金流比率（P/FCF）、市销率（P/S）、股价与每股息税前利润比率（P/EBIT）等；</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经营效率指标：如净资产收益率（ROE）、资产收益率（ROA）、经营资产回报率（Return on operating assets）等；</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财务状况指标：如资产负债率（D/A）、流动比率等；</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研发投入指标：如研发投入与营业收入比率、科研人员数量及占比、专利数量及在同行业的占比等。</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lang w:eastAsia="zh-CN"/>
        </w:rPr>
        <w:t>（</w:t>
      </w:r>
      <w:r>
        <w:rPr>
          <w:rFonts w:hint="eastAsia" w:ascii="宋体" w:hAnsi="宋体"/>
          <w:bCs/>
          <w:sz w:val="24"/>
          <w:szCs w:val="24"/>
          <w:lang w:val="en-US" w:eastAsia="zh-CN"/>
        </w:rPr>
        <w:t>2</w:t>
      </w:r>
      <w:r>
        <w:rPr>
          <w:rFonts w:hint="eastAsia" w:ascii="宋体" w:hAnsi="宋体"/>
          <w:bCs/>
          <w:sz w:val="24"/>
          <w:szCs w:val="24"/>
          <w:lang w:eastAsia="zh-CN"/>
        </w:rPr>
        <w:t>）</w:t>
      </w:r>
      <w:r>
        <w:rPr>
          <w:rFonts w:hint="eastAsia" w:ascii="宋体" w:hAnsi="宋体"/>
          <w:bCs/>
          <w:sz w:val="24"/>
          <w:szCs w:val="24"/>
        </w:rPr>
        <w:t>价值评估</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）港股通标的股票投资策略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本基金可通过内地与香港股票市场交易互联互通机制投资于香港股票市场。本基金优先将基本面健康、业绩向上弹性较大、具有估值优势的港股通标的股票纳入本基金的股票投资组合。</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本基金可根据投资策略需要或不同配置地市场环境的变化，选择将部分基金资产投资于港股通标的股票或选择不将基金资产投资于港股通标的股票，基金资产并非必然投资港股通标的股票。</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4</w:t>
      </w:r>
      <w:r>
        <w:rPr>
          <w:rFonts w:hint="eastAsia" w:ascii="宋体" w:hAnsi="宋体"/>
          <w:bCs/>
          <w:sz w:val="24"/>
          <w:szCs w:val="24"/>
        </w:rPr>
        <w:t>）存托凭证的投资策略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本基金投资存托凭证的策略依照境内上市交易的股票投资策略执行。</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3、债券投资策略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本基金的债券投资采取主动的投资管理方式，获得与风险相匹配的投资收益，以实现在一定程度上规避股票市场的系统性风险和保证基金资产的流动性。</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投资策略等多种策略，以期获取债券市场的长期稳定收益。</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4、资产支持证券投资策略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adjustRightInd w:val="0"/>
        <w:snapToGrid w:val="0"/>
        <w:spacing w:line="360" w:lineRule="auto"/>
        <w:ind w:firstLine="480" w:firstLineChars="200"/>
        <w:outlineLvl w:val="2"/>
        <w:rPr>
          <w:rFonts w:ascii="宋体" w:hAnsi="宋体"/>
          <w:bCs/>
          <w:sz w:val="24"/>
          <w:szCs w:val="24"/>
        </w:rPr>
      </w:pPr>
      <w:r>
        <w:rPr>
          <w:rFonts w:ascii="宋体" w:hAnsi="宋体"/>
          <w:bCs/>
          <w:sz w:val="24"/>
          <w:szCs w:val="24"/>
        </w:rPr>
        <w:t>5</w:t>
      </w:r>
      <w:r>
        <w:rPr>
          <w:rFonts w:hint="eastAsia" w:ascii="宋体" w:hAnsi="宋体"/>
          <w:bCs/>
          <w:sz w:val="24"/>
          <w:szCs w:val="24"/>
        </w:rPr>
        <w:t>、股指期货投资策略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adjustRightInd w:val="0"/>
        <w:snapToGrid w:val="0"/>
        <w:spacing w:line="360" w:lineRule="auto"/>
        <w:ind w:firstLine="482" w:firstLineChars="200"/>
        <w:outlineLvl w:val="1"/>
        <w:rPr>
          <w:rFonts w:hAnsi="宋体"/>
          <w:kern w:val="0"/>
          <w:sz w:val="24"/>
        </w:rPr>
      </w:pPr>
      <w:r>
        <w:rPr>
          <w:rFonts w:hint="eastAsia"/>
          <w:b/>
          <w:bCs/>
          <w:sz w:val="24"/>
        </w:rPr>
        <w:t>（四）投资限制</w:t>
      </w:r>
    </w:p>
    <w:p>
      <w:pPr>
        <w:adjustRightInd w:val="0"/>
        <w:snapToGrid w:val="0"/>
        <w:spacing w:line="360" w:lineRule="auto"/>
        <w:ind w:firstLine="480" w:firstLineChars="200"/>
        <w:outlineLvl w:val="2"/>
        <w:rPr>
          <w:rFonts w:ascii="宋体" w:hAnsi="宋体"/>
          <w:bCs/>
          <w:sz w:val="24"/>
          <w:szCs w:val="24"/>
        </w:rPr>
      </w:pPr>
      <w:r>
        <w:rPr>
          <w:rFonts w:ascii="宋体" w:hAnsi="宋体"/>
          <w:bCs/>
          <w:sz w:val="24"/>
          <w:szCs w:val="24"/>
        </w:rPr>
        <w:t>1、组合限制</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基金的投资组合应遵循以下限制：</w:t>
      </w:r>
    </w:p>
    <w:p>
      <w:pPr>
        <w:adjustRightInd w:val="0"/>
        <w:snapToGrid w:val="0"/>
        <w:spacing w:line="360" w:lineRule="auto"/>
        <w:ind w:firstLine="480" w:firstLineChars="200"/>
        <w:rPr>
          <w:bCs/>
          <w:sz w:val="24"/>
        </w:rPr>
      </w:pPr>
      <w:r>
        <w:rPr>
          <w:rFonts w:hint="eastAsia"/>
          <w:bCs/>
          <w:sz w:val="24"/>
        </w:rPr>
        <w:t>（1）股票投资（</w:t>
      </w:r>
      <w:r>
        <w:rPr>
          <w:bCs/>
          <w:sz w:val="24"/>
        </w:rPr>
        <w:t>含存托凭证</w:t>
      </w:r>
      <w:r>
        <w:rPr>
          <w:rFonts w:hint="eastAsia"/>
          <w:bCs/>
          <w:sz w:val="24"/>
        </w:rPr>
        <w:t>）占基金资产的比例为60%-</w:t>
      </w:r>
      <w:r>
        <w:rPr>
          <w:bCs/>
          <w:sz w:val="24"/>
        </w:rPr>
        <w:t>9</w:t>
      </w:r>
      <w:r>
        <w:rPr>
          <w:rFonts w:hint="eastAsia"/>
          <w:bCs/>
          <w:sz w:val="24"/>
        </w:rPr>
        <w:t>5%</w:t>
      </w:r>
      <w:r>
        <w:rPr>
          <w:rFonts w:hint="eastAsia"/>
          <w:bCs/>
          <w:sz w:val="24"/>
          <w:lang w:eastAsia="zh-CN"/>
        </w:rPr>
        <w:t>，</w:t>
      </w:r>
      <w:r>
        <w:rPr>
          <w:rFonts w:hint="eastAsia"/>
          <w:bCs/>
          <w:sz w:val="24"/>
        </w:rPr>
        <w:t>其中投资于港股通标的股票的比例占股票资产的0%-50%；</w:t>
      </w:r>
    </w:p>
    <w:p>
      <w:pPr>
        <w:adjustRightInd w:val="0"/>
        <w:snapToGrid w:val="0"/>
        <w:spacing w:line="360" w:lineRule="auto"/>
        <w:ind w:firstLine="480" w:firstLineChars="200"/>
        <w:rPr>
          <w:bCs/>
          <w:sz w:val="24"/>
        </w:rPr>
      </w:pPr>
      <w:r>
        <w:rPr>
          <w:rFonts w:hint="eastAsia"/>
          <w:bCs/>
          <w:sz w:val="24"/>
        </w:rPr>
        <w:t>（2）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adjustRightInd w:val="0"/>
        <w:snapToGrid w:val="0"/>
        <w:spacing w:line="360" w:lineRule="auto"/>
        <w:ind w:firstLine="480" w:firstLineChars="200"/>
        <w:rPr>
          <w:bCs/>
          <w:sz w:val="24"/>
        </w:rPr>
      </w:pPr>
      <w:r>
        <w:rPr>
          <w:rFonts w:hint="eastAsia"/>
          <w:bCs/>
          <w:sz w:val="24"/>
        </w:rPr>
        <w:t>（3）本基金持有一家公司发行的证券（同一家公司在内地和香港同时上市的A+H股合计计算），其市值不超过基金资产净值的10％；</w:t>
      </w:r>
    </w:p>
    <w:p>
      <w:pPr>
        <w:adjustRightInd w:val="0"/>
        <w:snapToGrid w:val="0"/>
        <w:spacing w:line="360" w:lineRule="auto"/>
        <w:ind w:firstLine="480" w:firstLineChars="200"/>
        <w:rPr>
          <w:bCs/>
          <w:sz w:val="24"/>
        </w:rPr>
      </w:pPr>
      <w:r>
        <w:rPr>
          <w:rFonts w:hint="eastAsia"/>
          <w:bCs/>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adjustRightInd w:val="0"/>
        <w:snapToGrid w:val="0"/>
        <w:spacing w:line="360" w:lineRule="auto"/>
        <w:ind w:firstLine="480" w:firstLineChars="200"/>
        <w:rPr>
          <w:bCs/>
          <w:sz w:val="24"/>
        </w:rPr>
      </w:pPr>
      <w:r>
        <w:rPr>
          <w:rFonts w:hint="eastAsia"/>
          <w:bCs/>
          <w:sz w:val="24"/>
        </w:rPr>
        <w:t>（5）本基金投资于同一原始权益人的各类资产支持证券的比例，不得超过基金资产净值的10％；</w:t>
      </w:r>
    </w:p>
    <w:p>
      <w:pPr>
        <w:adjustRightInd w:val="0"/>
        <w:snapToGrid w:val="0"/>
        <w:spacing w:line="360" w:lineRule="auto"/>
        <w:ind w:firstLine="480" w:firstLineChars="200"/>
        <w:rPr>
          <w:bCs/>
          <w:sz w:val="24"/>
        </w:rPr>
      </w:pPr>
      <w:r>
        <w:rPr>
          <w:rFonts w:hint="eastAsia"/>
          <w:bCs/>
          <w:sz w:val="24"/>
        </w:rPr>
        <w:t>（6）本基金持有的全部资产支持证券，其市值不得超过基金资产净值的20％；</w:t>
      </w:r>
    </w:p>
    <w:p>
      <w:pPr>
        <w:adjustRightInd w:val="0"/>
        <w:snapToGrid w:val="0"/>
        <w:spacing w:line="360" w:lineRule="auto"/>
        <w:ind w:firstLine="480" w:firstLineChars="200"/>
        <w:rPr>
          <w:bCs/>
          <w:sz w:val="24"/>
        </w:rPr>
      </w:pPr>
      <w:r>
        <w:rPr>
          <w:rFonts w:hint="eastAsia"/>
          <w:bCs/>
          <w:sz w:val="24"/>
        </w:rPr>
        <w:t>（7）本基金持有的同一（指同一信用级别）资产支持证券的比例，不得超过该资产支持证券规模的10％；</w:t>
      </w:r>
    </w:p>
    <w:p>
      <w:pPr>
        <w:adjustRightInd w:val="0"/>
        <w:snapToGrid w:val="0"/>
        <w:spacing w:line="360" w:lineRule="auto"/>
        <w:ind w:firstLine="480" w:firstLineChars="200"/>
        <w:rPr>
          <w:bCs/>
          <w:sz w:val="24"/>
        </w:rPr>
      </w:pPr>
      <w:r>
        <w:rPr>
          <w:rFonts w:hint="eastAsia"/>
          <w:bCs/>
          <w:sz w:val="24"/>
        </w:rPr>
        <w:t>（8）本基金管理人管理的全部基金投资于同一原始权益人的各类资产支持证券，不得超过其各类资产支持证券合计规模的10％；</w:t>
      </w:r>
    </w:p>
    <w:p>
      <w:pPr>
        <w:adjustRightInd w:val="0"/>
        <w:snapToGrid w:val="0"/>
        <w:spacing w:line="360" w:lineRule="auto"/>
        <w:ind w:firstLine="480" w:firstLineChars="200"/>
        <w:rPr>
          <w:bCs/>
          <w:sz w:val="24"/>
        </w:rPr>
      </w:pPr>
      <w:r>
        <w:rPr>
          <w:rFonts w:hint="eastAsia"/>
          <w:bCs/>
          <w:sz w:val="24"/>
        </w:rPr>
        <w:t>（9）本基金应投资于信用级别评级为BBB以上（含BBB）的资产支持证券。基金持有资产支持证券期间，如果其信用等级下降、不再符合投资标准，应在评级报告发布之日起3个月内予以全部卖出；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0" w:firstLineChars="200"/>
        <w:rPr>
          <w:bCs/>
          <w:sz w:val="24"/>
        </w:rPr>
      </w:pPr>
      <w:r>
        <w:rPr>
          <w:rFonts w:hint="eastAsia"/>
          <w:bCs/>
          <w:sz w:val="24"/>
        </w:rPr>
        <w:t>（1</w:t>
      </w:r>
      <w:r>
        <w:rPr>
          <w:bCs/>
          <w:sz w:val="24"/>
        </w:rPr>
        <w:t>0</w:t>
      </w:r>
      <w:r>
        <w:rPr>
          <w:rFonts w:hint="eastAsia"/>
          <w:bCs/>
          <w:sz w:val="24"/>
        </w:rPr>
        <w:t>）基金财产参与股票发行申购，本基金所申报的金额不超过本基金的总资产，本基金所申报的股票数量不超过拟发行股票公司本次发行股票的总量；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0" w:firstLineChars="200"/>
        <w:rPr>
          <w:bCs/>
          <w:sz w:val="24"/>
        </w:rPr>
      </w:pPr>
      <w:r>
        <w:rPr>
          <w:rFonts w:hint="eastAsia"/>
          <w:bCs/>
          <w:sz w:val="24"/>
        </w:rPr>
        <w:t>（</w:t>
      </w:r>
      <w:r>
        <w:rPr>
          <w:bCs/>
          <w:sz w:val="24"/>
        </w:rPr>
        <w:t>11</w:t>
      </w:r>
      <w:r>
        <w:rPr>
          <w:rFonts w:hint="eastAsia"/>
          <w:bCs/>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djustRightInd w:val="0"/>
        <w:snapToGrid w:val="0"/>
        <w:spacing w:line="360" w:lineRule="auto"/>
        <w:ind w:firstLine="480" w:firstLineChars="200"/>
        <w:rPr>
          <w:bCs/>
          <w:sz w:val="24"/>
        </w:rPr>
      </w:pPr>
      <w:r>
        <w:rPr>
          <w:rFonts w:hint="eastAsia"/>
          <w:bCs/>
          <w:sz w:val="24"/>
        </w:rPr>
        <w:t>（</w:t>
      </w:r>
      <w:r>
        <w:rPr>
          <w:bCs/>
          <w:sz w:val="24"/>
        </w:rPr>
        <w:t>12</w:t>
      </w:r>
      <w:r>
        <w:rPr>
          <w:rFonts w:hint="eastAsia"/>
          <w:bCs/>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0" w:firstLineChars="200"/>
        <w:rPr>
          <w:bCs/>
          <w:sz w:val="24"/>
        </w:rPr>
      </w:pPr>
      <w:r>
        <w:rPr>
          <w:rFonts w:hint="eastAsia"/>
          <w:bCs/>
          <w:sz w:val="24"/>
        </w:rPr>
        <w:t>（</w:t>
      </w:r>
      <w:r>
        <w:rPr>
          <w:bCs/>
          <w:sz w:val="24"/>
        </w:rPr>
        <w:t>13</w:t>
      </w:r>
      <w:r>
        <w:rPr>
          <w:rFonts w:hint="eastAsia"/>
          <w:bCs/>
          <w:sz w:val="24"/>
        </w:rPr>
        <w:t>）本基金与私募类证券资管产品及中国证监会认定的其他主体为交易对手开展逆回购交易的，可接受质押品的资质要求应当与基金合同约定的投资范围保持一致；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0" w:firstLineChars="200"/>
        <w:rPr>
          <w:bCs/>
          <w:sz w:val="24"/>
        </w:rPr>
      </w:pPr>
      <w:r>
        <w:rPr>
          <w:rFonts w:hint="eastAsia"/>
          <w:bCs/>
          <w:sz w:val="24"/>
        </w:rPr>
        <w:t>（</w:t>
      </w:r>
      <w:r>
        <w:rPr>
          <w:bCs/>
          <w:sz w:val="24"/>
        </w:rPr>
        <w:t>14</w:t>
      </w:r>
      <w:r>
        <w:rPr>
          <w:rFonts w:hint="eastAsia"/>
          <w:bCs/>
          <w:sz w:val="24"/>
        </w:rPr>
        <w:t>）若本基金参与股指期货交易，则：</w:t>
      </w:r>
    </w:p>
    <w:p>
      <w:pPr>
        <w:adjustRightInd w:val="0"/>
        <w:snapToGrid w:val="0"/>
        <w:spacing w:line="360" w:lineRule="auto"/>
        <w:ind w:firstLine="480" w:firstLineChars="200"/>
        <w:rPr>
          <w:bCs/>
          <w:sz w:val="24"/>
        </w:rPr>
      </w:pPr>
      <w:r>
        <w:rPr>
          <w:rFonts w:hint="eastAsia"/>
          <w:bCs/>
          <w:sz w:val="24"/>
        </w:rPr>
        <w:t>1）本基金在任何交易日日终，持有的买入股指期货合约价值，不得超过基金资产净值的10%；</w:t>
      </w:r>
    </w:p>
    <w:p>
      <w:pPr>
        <w:adjustRightInd w:val="0"/>
        <w:snapToGrid w:val="0"/>
        <w:spacing w:line="360" w:lineRule="auto"/>
        <w:ind w:firstLine="480" w:firstLineChars="200"/>
        <w:rPr>
          <w:bCs/>
          <w:sz w:val="24"/>
        </w:rPr>
      </w:pPr>
      <w:r>
        <w:rPr>
          <w:rFonts w:hint="eastAsia"/>
          <w:bCs/>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djustRightInd w:val="0"/>
        <w:snapToGrid w:val="0"/>
        <w:spacing w:line="360" w:lineRule="auto"/>
        <w:ind w:firstLine="480" w:firstLineChars="200"/>
        <w:rPr>
          <w:bCs/>
          <w:sz w:val="24"/>
        </w:rPr>
      </w:pPr>
      <w:r>
        <w:rPr>
          <w:rFonts w:hint="eastAsia"/>
          <w:bCs/>
          <w:sz w:val="24"/>
        </w:rPr>
        <w:t>3）本基金在任何交易日日终，持有的卖出股指期货合约价值不得超过基金持有的股票总市值的20%；</w:t>
      </w:r>
    </w:p>
    <w:p>
      <w:pPr>
        <w:adjustRightInd w:val="0"/>
        <w:snapToGrid w:val="0"/>
        <w:spacing w:line="360" w:lineRule="auto"/>
        <w:ind w:firstLine="480" w:firstLineChars="200"/>
        <w:rPr>
          <w:bCs/>
          <w:sz w:val="24"/>
        </w:rPr>
      </w:pPr>
      <w:r>
        <w:rPr>
          <w:rFonts w:hint="eastAsia"/>
          <w:bCs/>
          <w:sz w:val="24"/>
        </w:rPr>
        <w:t>4）本基金所持有的股票市值和买入、卖出股指期货合约价值，合计（轧差计算）应当符合基金合同关于股票投资比例的有关约定；</w:t>
      </w:r>
    </w:p>
    <w:p>
      <w:pPr>
        <w:adjustRightInd w:val="0"/>
        <w:snapToGrid w:val="0"/>
        <w:spacing w:line="360" w:lineRule="auto"/>
        <w:ind w:firstLine="480" w:firstLineChars="200"/>
        <w:rPr>
          <w:bCs/>
          <w:sz w:val="24"/>
        </w:rPr>
      </w:pPr>
      <w:r>
        <w:rPr>
          <w:rFonts w:hint="eastAsia"/>
          <w:bCs/>
          <w:sz w:val="24"/>
        </w:rPr>
        <w:t>5）本基金在任何交易日内交易（不包括平仓）的股指期货合约的成交金额不得超过上一交易日基金资产净值的20%；</w:t>
      </w:r>
    </w:p>
    <w:p>
      <w:pPr>
        <w:adjustRightInd w:val="0"/>
        <w:snapToGrid w:val="0"/>
        <w:spacing w:line="360" w:lineRule="auto"/>
        <w:ind w:firstLine="480" w:firstLineChars="200"/>
        <w:rPr>
          <w:bCs/>
          <w:sz w:val="24"/>
        </w:rPr>
      </w:pPr>
      <w:r>
        <w:rPr>
          <w:rFonts w:hint="eastAsia"/>
          <w:bCs/>
          <w:sz w:val="24"/>
        </w:rPr>
        <w:t>（</w:t>
      </w:r>
      <w:r>
        <w:rPr>
          <w:bCs/>
          <w:sz w:val="24"/>
        </w:rPr>
        <w:t>15</w:t>
      </w:r>
      <w:r>
        <w:rPr>
          <w:rFonts w:hint="eastAsia"/>
          <w:bCs/>
          <w:sz w:val="24"/>
        </w:rPr>
        <w:t>）本基金资产总值不超过基金资产净值的140%；</w:t>
      </w:r>
    </w:p>
    <w:p>
      <w:pPr>
        <w:adjustRightInd w:val="0"/>
        <w:snapToGrid w:val="0"/>
        <w:spacing w:line="360" w:lineRule="auto"/>
        <w:ind w:firstLine="480" w:firstLineChars="200"/>
        <w:rPr>
          <w:bCs/>
          <w:sz w:val="24"/>
        </w:rPr>
      </w:pPr>
      <w:r>
        <w:rPr>
          <w:rFonts w:hint="eastAsia"/>
          <w:bCs/>
          <w:sz w:val="24"/>
        </w:rPr>
        <w:t>（</w:t>
      </w:r>
      <w:r>
        <w:rPr>
          <w:bCs/>
          <w:sz w:val="24"/>
        </w:rPr>
        <w:t>16</w:t>
      </w:r>
      <w:r>
        <w:rPr>
          <w:rFonts w:hint="eastAsia"/>
          <w:bCs/>
          <w:sz w:val="24"/>
        </w:rPr>
        <w:t>）本基金投资存托凭证的比例限制依照境内上市交易的股票执行；</w:t>
      </w:r>
    </w:p>
    <w:p>
      <w:pPr>
        <w:adjustRightInd w:val="0"/>
        <w:snapToGrid w:val="0"/>
        <w:spacing w:line="360" w:lineRule="auto"/>
        <w:ind w:firstLine="480" w:firstLineChars="200"/>
        <w:rPr>
          <w:bCs/>
          <w:sz w:val="24"/>
        </w:rPr>
      </w:pPr>
      <w:r>
        <w:rPr>
          <w:rFonts w:hint="eastAsia"/>
          <w:bCs/>
          <w:sz w:val="24"/>
        </w:rPr>
        <w:t>（</w:t>
      </w:r>
      <w:r>
        <w:rPr>
          <w:bCs/>
          <w:sz w:val="24"/>
        </w:rPr>
        <w:t>17</w:t>
      </w:r>
      <w:r>
        <w:rPr>
          <w:rFonts w:hint="eastAsia"/>
          <w:bCs/>
          <w:sz w:val="24"/>
        </w:rPr>
        <w:t>）法律法规及中国证监会规定的和《基金合同》约定的其他投资限制。</w:t>
      </w:r>
    </w:p>
    <w:p>
      <w:pPr>
        <w:adjustRightInd w:val="0"/>
        <w:snapToGrid w:val="0"/>
        <w:spacing w:line="360" w:lineRule="auto"/>
        <w:ind w:firstLine="480" w:firstLineChars="200"/>
        <w:rPr>
          <w:bCs/>
          <w:sz w:val="24"/>
        </w:rPr>
      </w:pPr>
      <w:r>
        <w:rPr>
          <w:rFonts w:hint="eastAsia"/>
          <w:bCs/>
          <w:sz w:val="24"/>
        </w:rPr>
        <w:t>除上述（2）、（9）、（1</w:t>
      </w:r>
      <w:r>
        <w:rPr>
          <w:bCs/>
          <w:sz w:val="24"/>
        </w:rPr>
        <w:t>2</w:t>
      </w:r>
      <w:r>
        <w:rPr>
          <w:rFonts w:hint="eastAsia"/>
          <w:bCs/>
          <w:sz w:val="24"/>
        </w:rPr>
        <w:t>）、（1</w:t>
      </w:r>
      <w:r>
        <w:rPr>
          <w:bCs/>
          <w:sz w:val="24"/>
        </w:rPr>
        <w:t>3</w:t>
      </w:r>
      <w:r>
        <w:rPr>
          <w:rFonts w:hint="eastAsia"/>
          <w:bCs/>
          <w:sz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djustRightInd w:val="0"/>
        <w:snapToGrid w:val="0"/>
        <w:spacing w:line="360" w:lineRule="auto"/>
        <w:ind w:firstLine="480" w:firstLineChars="200"/>
        <w:rPr>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napToGrid w:val="0"/>
        <w:spacing w:line="360" w:lineRule="auto"/>
        <w:ind w:firstLine="480" w:firstLineChars="200"/>
        <w:rPr>
          <w:bCs/>
          <w:sz w:val="24"/>
        </w:rPr>
      </w:pPr>
      <w:r>
        <w:rPr>
          <w:rFonts w:hint="eastAsia"/>
          <w:bCs/>
          <w:sz w:val="24"/>
        </w:rPr>
        <w:t>法律法规或监管部门取消或变更上述限制，如适用于本基金，基金管理人在履行适当程序后，则本基金投资不再受相关限制或以变更后的规定为准。</w:t>
      </w:r>
    </w:p>
    <w:p>
      <w:pPr>
        <w:snapToGrid w:val="0"/>
        <w:spacing w:line="360" w:lineRule="auto"/>
        <w:ind w:firstLine="480" w:firstLineChars="200"/>
        <w:outlineLvl w:val="2"/>
        <w:rPr>
          <w:rFonts w:ascii="宋体" w:hAnsi="宋体"/>
          <w:sz w:val="24"/>
          <w:szCs w:val="24"/>
        </w:rPr>
      </w:pPr>
      <w:r>
        <w:rPr>
          <w:rFonts w:hint="eastAsia" w:ascii="宋体" w:hAnsi="宋体"/>
          <w:sz w:val="24"/>
          <w:szCs w:val="24"/>
        </w:rPr>
        <w:t>2、禁止行为</w:t>
      </w:r>
    </w:p>
    <w:p>
      <w:pPr>
        <w:snapToGrid w:val="0"/>
        <w:spacing w:line="360" w:lineRule="auto"/>
        <w:ind w:firstLine="480" w:firstLineChars="200"/>
        <w:rPr>
          <w:rFonts w:ascii="宋体" w:hAnsi="宋体"/>
          <w:sz w:val="24"/>
          <w:szCs w:val="24"/>
        </w:rPr>
      </w:pPr>
      <w:r>
        <w:rPr>
          <w:rFonts w:hint="eastAsia" w:ascii="宋体" w:hAnsi="宋体"/>
          <w:sz w:val="24"/>
          <w:szCs w:val="24"/>
        </w:rPr>
        <w:t>为维护基金份额持有人的合法权益，基金财产不得用于下列投资或者活动：</w:t>
      </w:r>
    </w:p>
    <w:p>
      <w:pPr>
        <w:snapToGrid w:val="0"/>
        <w:spacing w:line="360" w:lineRule="auto"/>
        <w:ind w:firstLine="480" w:firstLineChars="200"/>
        <w:rPr>
          <w:rFonts w:ascii="宋体" w:hAnsi="宋体"/>
          <w:sz w:val="24"/>
          <w:szCs w:val="24"/>
        </w:rPr>
      </w:pPr>
      <w:r>
        <w:rPr>
          <w:rFonts w:hint="eastAsia" w:ascii="宋体" w:hAnsi="宋体"/>
          <w:sz w:val="24"/>
          <w:szCs w:val="24"/>
        </w:rPr>
        <w:t>（1）承销证券；</w:t>
      </w:r>
    </w:p>
    <w:p>
      <w:pPr>
        <w:snapToGrid w:val="0"/>
        <w:spacing w:line="360" w:lineRule="auto"/>
        <w:ind w:firstLine="480" w:firstLineChars="200"/>
        <w:rPr>
          <w:rFonts w:ascii="宋体" w:hAnsi="宋体"/>
          <w:sz w:val="24"/>
          <w:szCs w:val="24"/>
        </w:rPr>
      </w:pPr>
      <w:r>
        <w:rPr>
          <w:rFonts w:hint="eastAsia" w:ascii="宋体" w:hAnsi="宋体"/>
          <w:sz w:val="24"/>
          <w:szCs w:val="24"/>
        </w:rPr>
        <w:t>（2）违反规定向他人贷款或者提供担保；</w:t>
      </w:r>
    </w:p>
    <w:p>
      <w:pPr>
        <w:snapToGrid w:val="0"/>
        <w:spacing w:line="360" w:lineRule="auto"/>
        <w:ind w:firstLine="480" w:firstLineChars="200"/>
        <w:rPr>
          <w:rFonts w:ascii="宋体" w:hAnsi="宋体"/>
          <w:sz w:val="24"/>
          <w:szCs w:val="24"/>
        </w:rPr>
      </w:pPr>
      <w:r>
        <w:rPr>
          <w:rFonts w:hint="eastAsia" w:ascii="宋体" w:hAnsi="宋体"/>
          <w:sz w:val="24"/>
          <w:szCs w:val="24"/>
        </w:rPr>
        <w:t>（3）从事承担无限责任的投资；</w:t>
      </w:r>
    </w:p>
    <w:p>
      <w:pPr>
        <w:snapToGrid w:val="0"/>
        <w:spacing w:line="360" w:lineRule="auto"/>
        <w:ind w:firstLine="480" w:firstLineChars="200"/>
        <w:rPr>
          <w:rFonts w:ascii="宋体" w:hAnsi="宋体"/>
          <w:sz w:val="24"/>
          <w:szCs w:val="24"/>
        </w:rPr>
      </w:pPr>
      <w:r>
        <w:rPr>
          <w:rFonts w:hint="eastAsia" w:ascii="宋体" w:hAnsi="宋体"/>
          <w:sz w:val="24"/>
          <w:szCs w:val="24"/>
        </w:rPr>
        <w:t>（4）买卖其他基金份额，但是中国证监会另有规定的除外；</w:t>
      </w:r>
    </w:p>
    <w:p>
      <w:pPr>
        <w:snapToGrid w:val="0"/>
        <w:spacing w:line="360" w:lineRule="auto"/>
        <w:ind w:firstLine="480" w:firstLineChars="200"/>
        <w:rPr>
          <w:rFonts w:ascii="宋体" w:hAnsi="宋体"/>
          <w:sz w:val="24"/>
          <w:szCs w:val="24"/>
        </w:rPr>
      </w:pPr>
      <w:r>
        <w:rPr>
          <w:rFonts w:hint="eastAsia" w:ascii="宋体" w:hAnsi="宋体"/>
          <w:sz w:val="24"/>
          <w:szCs w:val="24"/>
        </w:rPr>
        <w:t>（5）向其基金管理人、基金托管人出资；</w:t>
      </w:r>
    </w:p>
    <w:p>
      <w:pPr>
        <w:snapToGrid w:val="0"/>
        <w:spacing w:line="360" w:lineRule="auto"/>
        <w:ind w:firstLine="480" w:firstLineChars="200"/>
        <w:rPr>
          <w:rFonts w:ascii="宋体" w:hAnsi="宋体"/>
          <w:sz w:val="24"/>
          <w:szCs w:val="24"/>
        </w:rPr>
      </w:pPr>
      <w:r>
        <w:rPr>
          <w:rFonts w:hint="eastAsia" w:ascii="宋体" w:hAnsi="宋体"/>
          <w:sz w:val="24"/>
          <w:szCs w:val="24"/>
        </w:rPr>
        <w:t>（6）从事内幕交易、操纵证券交易价格及其他不正当的证券交易活动；</w:t>
      </w:r>
    </w:p>
    <w:p>
      <w:pPr>
        <w:snapToGrid w:val="0"/>
        <w:spacing w:line="360" w:lineRule="auto"/>
        <w:ind w:firstLine="480" w:firstLineChars="200"/>
        <w:rPr>
          <w:rFonts w:ascii="宋体" w:hAnsi="宋体"/>
          <w:sz w:val="24"/>
          <w:szCs w:val="24"/>
        </w:rPr>
      </w:pPr>
      <w:r>
        <w:rPr>
          <w:rFonts w:hint="eastAsia" w:ascii="宋体" w:hAnsi="宋体"/>
          <w:sz w:val="24"/>
          <w:szCs w:val="24"/>
        </w:rPr>
        <w:t>（7）法律、行政法规和中国证监会规定禁止的其他活动。</w:t>
      </w:r>
    </w:p>
    <w:p>
      <w:pPr>
        <w:snapToGrid w:val="0"/>
        <w:spacing w:line="360" w:lineRule="auto"/>
        <w:ind w:firstLine="480" w:firstLineChars="200"/>
        <w:rPr>
          <w:rFonts w:ascii="宋体" w:hAnsi="宋体"/>
          <w:sz w:val="24"/>
          <w:szCs w:val="24"/>
        </w:rPr>
      </w:pPr>
      <w:r>
        <w:rPr>
          <w:rFonts w:hint="eastAsia"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napToGrid w:val="0"/>
        <w:spacing w:line="360" w:lineRule="auto"/>
        <w:ind w:firstLine="480" w:firstLineChars="200"/>
        <w:rPr>
          <w:rFonts w:ascii="宋体" w:hAnsi="宋体"/>
          <w:sz w:val="24"/>
          <w:szCs w:val="24"/>
        </w:rPr>
      </w:pPr>
      <w:r>
        <w:rPr>
          <w:rFonts w:hint="eastAsia" w:ascii="宋体" w:hAnsi="宋体"/>
          <w:sz w:val="24"/>
          <w:szCs w:val="24"/>
        </w:rPr>
        <w:t>如法律、行政法规或监管部门取消或变更上述规定，如适用于本基金，基金管理人在履行适当程序后，本基金可不受上述规定的限制或以变更后的规定为准。</w:t>
      </w:r>
    </w:p>
    <w:p>
      <w:pPr>
        <w:adjustRightInd w:val="0"/>
        <w:snapToGrid w:val="0"/>
        <w:spacing w:line="360" w:lineRule="auto"/>
        <w:ind w:firstLine="482" w:firstLineChars="200"/>
        <w:outlineLvl w:val="1"/>
        <w:rPr>
          <w:rFonts w:hAnsi="宋体"/>
          <w:kern w:val="0"/>
          <w:sz w:val="24"/>
        </w:rPr>
      </w:pPr>
      <w:r>
        <w:rPr>
          <w:rFonts w:hint="eastAsia"/>
          <w:b/>
          <w:bCs/>
          <w:sz w:val="24"/>
        </w:rPr>
        <w:t>（五）业绩比较基准</w:t>
      </w:r>
    </w:p>
    <w:p>
      <w:pPr>
        <w:adjustRightInd w:val="0"/>
        <w:snapToGrid w:val="0"/>
        <w:spacing w:line="360" w:lineRule="auto"/>
        <w:ind w:firstLine="480" w:firstLineChars="200"/>
        <w:rPr>
          <w:bCs/>
          <w:sz w:val="24"/>
        </w:rPr>
      </w:pPr>
      <w:r>
        <w:rPr>
          <w:rFonts w:hint="eastAsia"/>
          <w:bCs/>
          <w:sz w:val="24"/>
        </w:rPr>
        <w:t>中证800指数收益率×70%+恒生指数收益率（人民币计价）×5%+中证综合债券指数收益率×25%</w:t>
      </w:r>
    </w:p>
    <w:p>
      <w:pPr>
        <w:adjustRightInd w:val="0"/>
        <w:snapToGrid w:val="0"/>
        <w:spacing w:line="360" w:lineRule="auto"/>
        <w:ind w:firstLine="480" w:firstLineChars="200"/>
        <w:rPr>
          <w:bCs/>
          <w:sz w:val="24"/>
        </w:rPr>
      </w:pPr>
      <w:r>
        <w:rPr>
          <w:rFonts w:hint="eastAsia"/>
          <w:bCs/>
          <w:sz w:val="24"/>
        </w:rPr>
        <w:t>中证800指数是由中证指数有限公司编制，该指数编制合理、透明、市场覆盖率较广，反映沪深证券市场内大中小市值公司的整体状况，具有良好的市场代表性，适合作为本基金A股资产投资的业绩比较基准。</w:t>
      </w:r>
    </w:p>
    <w:p>
      <w:pPr>
        <w:adjustRightInd w:val="0"/>
        <w:snapToGrid w:val="0"/>
        <w:spacing w:line="360" w:lineRule="auto"/>
        <w:ind w:firstLine="480" w:firstLineChars="200"/>
        <w:rPr>
          <w:bCs/>
          <w:sz w:val="24"/>
        </w:rPr>
      </w:pPr>
      <w:r>
        <w:rPr>
          <w:rFonts w:hint="eastAsia"/>
          <w:bCs/>
          <w:sz w:val="24"/>
        </w:rPr>
        <w:t>恒生指数是由恒生指数服务有限公司编制，以香港股票市场中的50家上市股票为成份股样本，以其发行量为权数的加权平均股价指数，是反映香港股市价幅趋势最有影响的一种股价指数。</w:t>
      </w:r>
    </w:p>
    <w:p>
      <w:pPr>
        <w:adjustRightInd w:val="0"/>
        <w:snapToGrid w:val="0"/>
        <w:spacing w:line="360" w:lineRule="auto"/>
        <w:ind w:firstLine="480" w:firstLineChars="20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pPr>
        <w:adjustRightInd w:val="0"/>
        <w:snapToGrid w:val="0"/>
        <w:spacing w:line="360" w:lineRule="auto"/>
        <w:ind w:firstLine="480" w:firstLineChars="200"/>
        <w:rPr>
          <w:bCs/>
          <w:sz w:val="24"/>
        </w:rPr>
      </w:pPr>
      <w:r>
        <w:rPr>
          <w:rFonts w:hint="eastAsia"/>
          <w:bCs/>
          <w:sz w:val="24"/>
        </w:rPr>
        <w:t>根据本基金的投资范围和投资比例，选用上述业绩比较基准能够客观、合理地反映本基金的风险收益特征。</w:t>
      </w:r>
    </w:p>
    <w:p>
      <w:pPr>
        <w:snapToGrid w:val="0"/>
        <w:spacing w:line="360" w:lineRule="auto"/>
        <w:ind w:firstLine="480" w:firstLineChars="200"/>
        <w:rPr>
          <w:rFonts w:ascii="宋体" w:hAnsi="宋体"/>
          <w:sz w:val="24"/>
        </w:rPr>
      </w:pPr>
      <w:r>
        <w:rPr>
          <w:rFonts w:hint="eastAsia"/>
          <w:bCs/>
          <w:sz w:val="24"/>
        </w:rPr>
        <w:t>如果上述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pPr>
        <w:adjustRightInd w:val="0"/>
        <w:snapToGrid w:val="0"/>
        <w:spacing w:line="360" w:lineRule="auto"/>
        <w:ind w:firstLine="482" w:firstLineChars="200"/>
        <w:outlineLvl w:val="1"/>
        <w:rPr>
          <w:rFonts w:hAnsi="宋体"/>
          <w:kern w:val="0"/>
          <w:sz w:val="24"/>
        </w:rPr>
      </w:pPr>
      <w:r>
        <w:rPr>
          <w:rFonts w:hint="eastAsia"/>
          <w:b/>
          <w:bCs/>
          <w:sz w:val="24"/>
        </w:rPr>
        <w:t>（六）风险收益特征</w:t>
      </w:r>
    </w:p>
    <w:p>
      <w:pPr>
        <w:adjustRightInd w:val="0"/>
        <w:snapToGrid w:val="0"/>
        <w:spacing w:line="360" w:lineRule="auto"/>
        <w:ind w:firstLine="480" w:firstLineChars="200"/>
        <w:rPr>
          <w:rFonts w:ascii="宋体" w:hAnsi="宋体"/>
          <w:sz w:val="24"/>
        </w:rPr>
      </w:pPr>
      <w:r>
        <w:rPr>
          <w:rFonts w:hint="eastAsia" w:ascii="宋体" w:hAnsi="宋体"/>
          <w:sz w:val="24"/>
        </w:rPr>
        <w:t>本基金是一只混合型基金，其预期风险和预期收益</w:t>
      </w:r>
      <w:r>
        <w:rPr>
          <w:rFonts w:hint="eastAsia"/>
          <w:bCs/>
          <w:sz w:val="24"/>
        </w:rPr>
        <w:t>理论上</w:t>
      </w:r>
      <w:r>
        <w:rPr>
          <w:rFonts w:hint="eastAsia" w:ascii="宋体" w:hAnsi="宋体"/>
          <w:sz w:val="24"/>
        </w:rPr>
        <w:t>高于债券型基金和货币市场基金，低于股票型基金。</w:t>
      </w:r>
    </w:p>
    <w:p>
      <w:pPr>
        <w:adjustRightInd w:val="0"/>
        <w:snapToGrid w:val="0"/>
        <w:spacing w:line="360" w:lineRule="auto"/>
        <w:ind w:firstLine="480" w:firstLineChars="200"/>
        <w:rPr>
          <w:rFonts w:ascii="宋体" w:hAnsi="宋体"/>
          <w:sz w:val="24"/>
        </w:rPr>
      </w:pPr>
      <w:r>
        <w:rPr>
          <w:rFonts w:hint="eastAsia" w:ascii="宋体" w:hAnsi="宋体"/>
          <w:sz w:val="24"/>
        </w:rPr>
        <w:t>本基金可投资港股通标的股票，会面临港股通机制下因投资环境、投资标的、市场制度以及交易规则等差异带来的特有风险。</w:t>
      </w:r>
    </w:p>
    <w:p>
      <w:pPr>
        <w:adjustRightInd w:val="0"/>
        <w:snapToGrid w:val="0"/>
        <w:spacing w:line="360" w:lineRule="auto"/>
        <w:ind w:firstLine="482" w:firstLineChars="200"/>
        <w:outlineLvl w:val="1"/>
        <w:rPr>
          <w:b/>
          <w:bCs/>
          <w:sz w:val="24"/>
        </w:rPr>
      </w:pPr>
      <w:r>
        <w:rPr>
          <w:rFonts w:hint="eastAsia"/>
          <w:b/>
          <w:bCs/>
          <w:sz w:val="24"/>
        </w:rPr>
        <w:t>（七）基金管理人代表基金行使股东</w:t>
      </w:r>
      <w:r>
        <w:rPr>
          <w:b/>
          <w:bCs/>
          <w:sz w:val="24"/>
        </w:rPr>
        <w:t>或</w:t>
      </w:r>
      <w:r>
        <w:rPr>
          <w:rFonts w:hint="eastAsia"/>
          <w:b/>
          <w:bCs/>
          <w:sz w:val="24"/>
        </w:rPr>
        <w:t>债权人权利的处理原则及方法</w:t>
      </w:r>
    </w:p>
    <w:p>
      <w:pPr>
        <w:adjustRightInd w:val="0"/>
        <w:snapToGrid w:val="0"/>
        <w:spacing w:line="360" w:lineRule="auto"/>
        <w:ind w:firstLine="480" w:firstLineChars="200"/>
        <w:rPr>
          <w:rFonts w:ascii="宋体" w:hAnsi="宋体"/>
          <w:sz w:val="24"/>
        </w:rPr>
      </w:pPr>
      <w:r>
        <w:rPr>
          <w:rFonts w:hint="eastAsia" w:ascii="宋体" w:hAnsi="宋体"/>
          <w:sz w:val="24"/>
        </w:rPr>
        <w:t>1、基金管理人按照国家有关规定代表基金独立行使股东或债权人权利，保护基金份额持有人的利益；</w:t>
      </w:r>
    </w:p>
    <w:p>
      <w:pPr>
        <w:adjustRightInd w:val="0"/>
        <w:snapToGrid w:val="0"/>
        <w:spacing w:line="360" w:lineRule="auto"/>
        <w:ind w:firstLine="480" w:firstLineChars="200"/>
        <w:rPr>
          <w:rFonts w:ascii="宋体" w:hAnsi="宋体"/>
          <w:sz w:val="24"/>
        </w:rPr>
      </w:pPr>
      <w:r>
        <w:rPr>
          <w:rFonts w:hint="eastAsia" w:ascii="宋体" w:hAnsi="宋体"/>
          <w:sz w:val="24"/>
        </w:rPr>
        <w:t>2、不谋求对上市公司的控股；</w:t>
      </w:r>
    </w:p>
    <w:p>
      <w:pPr>
        <w:adjustRightInd w:val="0"/>
        <w:snapToGrid w:val="0"/>
        <w:spacing w:line="360" w:lineRule="auto"/>
        <w:ind w:firstLine="480" w:firstLineChars="200"/>
        <w:rPr>
          <w:rFonts w:ascii="宋体" w:hAnsi="宋体"/>
          <w:sz w:val="24"/>
        </w:rPr>
      </w:pPr>
      <w:r>
        <w:rPr>
          <w:rFonts w:hint="eastAsia" w:ascii="宋体" w:hAnsi="宋体"/>
          <w:sz w:val="24"/>
        </w:rPr>
        <w:t>3、有利于基金财产的安全与增值；</w:t>
      </w:r>
    </w:p>
    <w:p>
      <w:pPr>
        <w:adjustRightInd w:val="0"/>
        <w:snapToGrid w:val="0"/>
        <w:spacing w:line="360" w:lineRule="auto"/>
        <w:ind w:firstLine="480" w:firstLineChars="200"/>
        <w:rPr>
          <w:rFonts w:ascii="宋体" w:hAnsi="宋体"/>
          <w:sz w:val="24"/>
        </w:rPr>
      </w:pPr>
      <w:r>
        <w:rPr>
          <w:rFonts w:hint="eastAsia" w:ascii="宋体" w:hAnsi="宋体"/>
          <w:sz w:val="24"/>
        </w:rPr>
        <w:t>4、不通过关联交易为自身、雇员、授权代理人或任何存在利害关系的第三人牟取任何不当利益。</w:t>
      </w:r>
    </w:p>
    <w:bookmarkEnd w:id="46"/>
    <w:bookmarkEnd w:id="47"/>
    <w:bookmarkEnd w:id="48"/>
    <w:p>
      <w:pPr>
        <w:adjustRightInd w:val="0"/>
        <w:snapToGrid w:val="0"/>
        <w:spacing w:line="360" w:lineRule="auto"/>
        <w:ind w:firstLine="482" w:firstLineChars="200"/>
        <w:outlineLvl w:val="1"/>
        <w:rPr>
          <w:rFonts w:hAnsi="宋体"/>
          <w:b/>
          <w:sz w:val="24"/>
          <w:szCs w:val="24"/>
        </w:rPr>
      </w:pPr>
      <w:bookmarkStart w:id="51" w:name="_Hlt5528681"/>
      <w:bookmarkEnd w:id="51"/>
      <w:bookmarkStart w:id="52" w:name="_Hlt81033092"/>
      <w:bookmarkEnd w:id="52"/>
      <w:bookmarkStart w:id="53" w:name="_Toc109059036"/>
      <w:bookmarkEnd w:id="53"/>
      <w:bookmarkStart w:id="54" w:name="_Hlt5604240"/>
      <w:bookmarkEnd w:id="54"/>
      <w:bookmarkStart w:id="55" w:name="_Toc109059025"/>
      <w:bookmarkEnd w:id="55"/>
      <w:bookmarkStart w:id="56" w:name="_Hlt81033424"/>
      <w:bookmarkEnd w:id="56"/>
      <w:bookmarkStart w:id="57" w:name="_Toc109059037"/>
      <w:bookmarkEnd w:id="57"/>
      <w:bookmarkStart w:id="58" w:name="_Hlt88281392"/>
      <w:bookmarkEnd w:id="58"/>
      <w:bookmarkStart w:id="59" w:name="_Toc154909614"/>
      <w:bookmarkStart w:id="60" w:name="_Toc155690783"/>
      <w:r>
        <w:rPr>
          <w:rFonts w:hAnsi="宋体"/>
          <w:b/>
          <w:sz w:val="24"/>
          <w:szCs w:val="24"/>
        </w:rPr>
        <w:t>（</w:t>
      </w:r>
      <w:r>
        <w:rPr>
          <w:rFonts w:hint="eastAsia" w:hAnsi="宋体"/>
          <w:b/>
          <w:sz w:val="24"/>
          <w:szCs w:val="24"/>
        </w:rPr>
        <w:t>八</w:t>
      </w:r>
      <w:r>
        <w:rPr>
          <w:rFonts w:hAnsi="宋体"/>
          <w:b/>
          <w:sz w:val="24"/>
          <w:szCs w:val="24"/>
        </w:rPr>
        <w:t>）</w:t>
      </w:r>
      <w:r>
        <w:rPr>
          <w:rFonts w:hint="eastAsia" w:hAnsi="宋体"/>
          <w:b/>
          <w:sz w:val="24"/>
          <w:szCs w:val="24"/>
        </w:rPr>
        <w:t>侧袋机制的实施和投资运作安排</w:t>
      </w:r>
    </w:p>
    <w:p>
      <w:pPr>
        <w:adjustRightInd w:val="0"/>
        <w:snapToGrid w:val="0"/>
        <w:spacing w:line="360" w:lineRule="auto"/>
        <w:ind w:firstLine="480" w:firstLineChars="200"/>
        <w:rPr>
          <w:rFonts w:ascii="宋体" w:hAnsi="宋体"/>
          <w:sz w:val="24"/>
        </w:rPr>
      </w:pPr>
      <w:r>
        <w:rPr>
          <w:rFonts w:hint="eastAsia"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ascii="宋体" w:hAnsi="宋体"/>
          <w:sz w:val="24"/>
        </w:rPr>
      </w:pPr>
      <w:r>
        <w:rPr>
          <w:rFonts w:hint="eastAsia" w:ascii="宋体" w:hAnsi="宋体"/>
          <w:sz w:val="24"/>
        </w:rPr>
        <w:t>侧袋机制实施期间，本部分约定的投资组合比例、投资策略、组合限制、业绩比较基准、风险收益特征等约定仅适用于主袋账户。</w:t>
      </w:r>
    </w:p>
    <w:p>
      <w:pPr>
        <w:adjustRightInd w:val="0"/>
        <w:snapToGrid w:val="0"/>
        <w:spacing w:line="360" w:lineRule="auto"/>
        <w:ind w:firstLine="480" w:firstLineChars="200"/>
        <w:rPr>
          <w:rFonts w:ascii="宋体" w:hAnsi="宋体"/>
          <w:sz w:val="24"/>
        </w:rPr>
      </w:pPr>
      <w:r>
        <w:rPr>
          <w:rFonts w:hint="eastAsia" w:ascii="宋体" w:hAnsi="宋体"/>
          <w:sz w:val="24"/>
        </w:rPr>
        <w:t>侧袋账户的实施条件、实施程序、运作安排、投资安排、特定资产的处置变现和支付等对投资者权益有重大影响的事项详见本招募说明书“侧袋</w:t>
      </w:r>
      <w:r>
        <w:rPr>
          <w:rFonts w:ascii="宋体" w:hAnsi="宋体"/>
          <w:sz w:val="24"/>
        </w:rPr>
        <w:t>机制”</w:t>
      </w:r>
      <w:r>
        <w:rPr>
          <w:rFonts w:hint="eastAsia" w:ascii="宋体" w:hAnsi="宋体"/>
          <w:sz w:val="24"/>
        </w:rPr>
        <w:t>部分的规定。</w:t>
      </w:r>
    </w:p>
    <w:bookmarkEnd w:id="50"/>
    <w:p>
      <w:pPr>
        <w:widowControl/>
        <w:adjustRightInd w:val="0"/>
        <w:snapToGrid w:val="0"/>
        <w:spacing w:before="143" w:beforeLines="50" w:after="143" w:afterLines="50" w:line="360" w:lineRule="auto"/>
        <w:jc w:val="center"/>
        <w:outlineLvl w:val="0"/>
        <w:rPr>
          <w:rFonts w:ascii="宋体" w:hAnsi="宋体"/>
          <w:b/>
          <w:kern w:val="0"/>
          <w:sz w:val="30"/>
        </w:rPr>
      </w:pPr>
      <w:bookmarkStart w:id="61" w:name="_Toc78208364"/>
      <w:r>
        <w:rPr>
          <w:rFonts w:hAnsi="宋体"/>
          <w:sz w:val="24"/>
          <w:szCs w:val="24"/>
        </w:rPr>
        <w:br w:type="page"/>
      </w:r>
      <w:bookmarkStart w:id="62" w:name="_Toc48122011"/>
      <w:r>
        <w:rPr>
          <w:rFonts w:hint="eastAsia" w:ascii="宋体" w:hAnsi="宋体"/>
          <w:b/>
          <w:kern w:val="0"/>
          <w:sz w:val="30"/>
        </w:rPr>
        <w:t>十、基金的财产</w:t>
      </w:r>
      <w:bookmarkEnd w:id="62"/>
    </w:p>
    <w:p>
      <w:pPr>
        <w:adjustRightInd w:val="0"/>
        <w:snapToGrid w:val="0"/>
        <w:spacing w:line="360" w:lineRule="auto"/>
        <w:ind w:firstLine="482"/>
        <w:outlineLvl w:val="1"/>
        <w:rPr>
          <w:b/>
          <w:bCs/>
          <w:sz w:val="24"/>
        </w:rPr>
      </w:pPr>
      <w:bookmarkStart w:id="63" w:name="_Hlk49343903"/>
      <w:r>
        <w:rPr>
          <w:b/>
          <w:bCs/>
          <w:sz w:val="24"/>
        </w:rPr>
        <w:t>（一）基金资产总值</w:t>
      </w:r>
    </w:p>
    <w:p>
      <w:pPr>
        <w:widowControl/>
        <w:adjustRightInd w:val="0"/>
        <w:snapToGrid w:val="0"/>
        <w:spacing w:line="360" w:lineRule="auto"/>
        <w:ind w:firstLine="480" w:firstLineChars="200"/>
        <w:rPr>
          <w:kern w:val="0"/>
          <w:sz w:val="24"/>
        </w:rPr>
      </w:pPr>
      <w:r>
        <w:rPr>
          <w:rFonts w:hint="eastAsia" w:hAnsi="宋体"/>
          <w:sz w:val="24"/>
          <w:szCs w:val="21"/>
        </w:rPr>
        <w:t>基金资产总值是指基金拥有的各类有价证券、股指期货合约、银行存款本息、基金应收款</w:t>
      </w:r>
      <w:r>
        <w:rPr>
          <w:rFonts w:hint="eastAsia"/>
          <w:bCs/>
          <w:sz w:val="24"/>
        </w:rPr>
        <w:t>项</w:t>
      </w:r>
      <w:r>
        <w:rPr>
          <w:rFonts w:hint="eastAsia" w:hAnsi="宋体"/>
          <w:sz w:val="24"/>
          <w:szCs w:val="21"/>
        </w:rPr>
        <w:t>及其他资产的价值总和。</w:t>
      </w:r>
      <w:bookmarkEnd w:id="61"/>
      <w:bookmarkStart w:id="64" w:name="_Toc311810245"/>
    </w:p>
    <w:p>
      <w:pPr>
        <w:adjustRightInd w:val="0"/>
        <w:snapToGrid w:val="0"/>
        <w:spacing w:line="360" w:lineRule="auto"/>
        <w:ind w:firstLine="482"/>
        <w:outlineLvl w:val="1"/>
        <w:rPr>
          <w:b/>
          <w:bCs/>
          <w:sz w:val="24"/>
        </w:rPr>
      </w:pPr>
      <w:r>
        <w:rPr>
          <w:b/>
          <w:bCs/>
          <w:sz w:val="24"/>
        </w:rPr>
        <w:t>（二）基金资</w:t>
      </w:r>
      <w:bookmarkEnd w:id="64"/>
      <w:r>
        <w:rPr>
          <w:b/>
          <w:bCs/>
          <w:sz w:val="24"/>
        </w:rPr>
        <w:t>产</w:t>
      </w:r>
      <w:bookmarkEnd w:id="59"/>
      <w:bookmarkEnd w:id="60"/>
      <w:r>
        <w:rPr>
          <w:b/>
          <w:bCs/>
          <w:sz w:val="24"/>
        </w:rPr>
        <w:t>净</w:t>
      </w:r>
      <w:bookmarkStart w:id="65" w:name="_Toc109537391"/>
      <w:r>
        <w:rPr>
          <w:b/>
          <w:bCs/>
          <w:sz w:val="24"/>
        </w:rPr>
        <w:t>值</w:t>
      </w:r>
    </w:p>
    <w:p>
      <w:pPr>
        <w:widowControl/>
        <w:adjustRightInd w:val="0"/>
        <w:snapToGrid w:val="0"/>
        <w:spacing w:line="360" w:lineRule="auto"/>
        <w:ind w:firstLine="480" w:firstLineChars="200"/>
        <w:rPr>
          <w:rFonts w:hAnsi="宋体"/>
          <w:sz w:val="24"/>
          <w:szCs w:val="21"/>
        </w:rPr>
      </w:pPr>
      <w:r>
        <w:rPr>
          <w:rFonts w:hAnsi="宋体"/>
          <w:sz w:val="24"/>
          <w:szCs w:val="21"/>
        </w:rPr>
        <w:t>基</w:t>
      </w:r>
      <w:bookmarkEnd w:id="65"/>
      <w:r>
        <w:rPr>
          <w:rFonts w:hAnsi="宋体"/>
          <w:sz w:val="24"/>
          <w:szCs w:val="21"/>
        </w:rPr>
        <w:t>金资产净值是指基金资产总值</w:t>
      </w:r>
      <w:bookmarkStart w:id="66" w:name="_Toc79392635"/>
      <w:bookmarkStart w:id="67" w:name="_Toc79556449"/>
      <w:r>
        <w:rPr>
          <w:rFonts w:hAnsi="宋体"/>
          <w:sz w:val="24"/>
          <w:szCs w:val="21"/>
        </w:rPr>
        <w:t>减去基金负债后的价值。</w:t>
      </w:r>
    </w:p>
    <w:p>
      <w:pPr>
        <w:adjustRightInd w:val="0"/>
        <w:snapToGrid w:val="0"/>
        <w:spacing w:line="360" w:lineRule="auto"/>
        <w:ind w:firstLine="482"/>
        <w:outlineLvl w:val="1"/>
        <w:rPr>
          <w:b/>
          <w:bCs/>
          <w:sz w:val="24"/>
        </w:rPr>
      </w:pPr>
      <w:r>
        <w:rPr>
          <w:b/>
          <w:bCs/>
          <w:sz w:val="24"/>
        </w:rPr>
        <w:t>（三）基金财产的账户</w:t>
      </w:r>
    </w:p>
    <w:p>
      <w:pPr>
        <w:widowControl/>
        <w:adjustRightInd w:val="0"/>
        <w:snapToGrid w:val="0"/>
        <w:spacing w:line="360" w:lineRule="auto"/>
        <w:ind w:firstLine="480" w:firstLineChars="200"/>
        <w:rPr>
          <w:kern w:val="0"/>
          <w:sz w:val="24"/>
        </w:rPr>
      </w:pPr>
      <w:r>
        <w:rPr>
          <w:bCs/>
          <w:sz w:val="24"/>
        </w:rPr>
        <w:t>基金托管人根据相关法律法规、规范性文件为本基金开立资金账户、证券账户</w:t>
      </w:r>
      <w:r>
        <w:rPr>
          <w:rFonts w:hint="eastAsia"/>
          <w:bCs/>
          <w:sz w:val="24"/>
        </w:rPr>
        <w:t>以及投资所需的其他专用账户</w:t>
      </w:r>
      <w:r>
        <w:rPr>
          <w:bCs/>
          <w:sz w:val="24"/>
        </w:rPr>
        <w:t>。开立的基金专用账户与基金管理人、基</w:t>
      </w:r>
      <w:bookmarkEnd w:id="66"/>
      <w:bookmarkEnd w:id="67"/>
      <w:r>
        <w:rPr>
          <w:bCs/>
          <w:sz w:val="24"/>
        </w:rPr>
        <w:t>金托管人、基金销售机构和基金登记机构自有的财产账户以及其他基金财产账户相独立。</w:t>
      </w:r>
    </w:p>
    <w:p>
      <w:pPr>
        <w:adjustRightInd w:val="0"/>
        <w:snapToGrid w:val="0"/>
        <w:spacing w:line="360" w:lineRule="auto"/>
        <w:ind w:firstLine="482"/>
        <w:outlineLvl w:val="1"/>
        <w:rPr>
          <w:b/>
          <w:bCs/>
          <w:sz w:val="24"/>
        </w:rPr>
      </w:pPr>
      <w:r>
        <w:rPr>
          <w:b/>
          <w:bCs/>
          <w:sz w:val="24"/>
        </w:rPr>
        <w:t>（四）基金财产的保管</w:t>
      </w:r>
      <w:r>
        <w:rPr>
          <w:rFonts w:hint="eastAsia"/>
          <w:b/>
          <w:bCs/>
          <w:sz w:val="24"/>
        </w:rPr>
        <w:t>和</w:t>
      </w:r>
      <w:r>
        <w:rPr>
          <w:b/>
          <w:bCs/>
          <w:sz w:val="24"/>
        </w:rPr>
        <w:t>处分</w:t>
      </w:r>
    </w:p>
    <w:p>
      <w:pPr>
        <w:widowControl/>
        <w:adjustRightInd w:val="0"/>
        <w:snapToGrid w:val="0"/>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widowControl/>
        <w:adjustRightInd w:val="0"/>
        <w:snapToGrid w:val="0"/>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bookmarkEnd w:id="63"/>
    </w:p>
    <w:p>
      <w:pPr>
        <w:widowControl/>
        <w:adjustRightInd w:val="0"/>
        <w:snapToGrid w:val="0"/>
        <w:spacing w:line="360" w:lineRule="auto"/>
        <w:ind w:firstLine="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68" w:name="_Toc48122012"/>
      <w:r>
        <w:rPr>
          <w:rFonts w:hint="eastAsia" w:ascii="宋体" w:hAnsi="宋体"/>
          <w:b/>
          <w:kern w:val="0"/>
          <w:sz w:val="30"/>
        </w:rPr>
        <w:t>十一、基金资产的估值</w:t>
      </w:r>
      <w:bookmarkEnd w:id="68"/>
    </w:p>
    <w:p>
      <w:pPr>
        <w:adjustRightInd w:val="0"/>
        <w:snapToGrid w:val="0"/>
        <w:spacing w:line="360" w:lineRule="auto"/>
        <w:ind w:firstLine="482" w:firstLineChars="200"/>
        <w:outlineLvl w:val="1"/>
        <w:rPr>
          <w:b/>
          <w:sz w:val="24"/>
          <w:szCs w:val="24"/>
        </w:rPr>
      </w:pPr>
      <w:bookmarkStart w:id="69" w:name="_Hlk50017869"/>
      <w:r>
        <w:rPr>
          <w:rFonts w:hAnsi="宋体"/>
          <w:b/>
          <w:sz w:val="24"/>
          <w:szCs w:val="24"/>
        </w:rPr>
        <w:t>（一）估值日</w:t>
      </w:r>
    </w:p>
    <w:p>
      <w:pPr>
        <w:adjustRightInd w:val="0"/>
        <w:snapToGrid w:val="0"/>
        <w:spacing w:line="360" w:lineRule="auto"/>
        <w:ind w:firstLine="480" w:firstLineChars="200"/>
        <w:rPr>
          <w:sz w:val="24"/>
          <w:szCs w:val="24"/>
        </w:rPr>
      </w:pPr>
      <w:r>
        <w:rPr>
          <w:rFonts w:hint="eastAsia" w:hAnsi="宋体"/>
          <w:sz w:val="24"/>
          <w:szCs w:val="24"/>
        </w:rPr>
        <w:t>本基金的估值日为本基金相关的证券交易场所的交易日以及国家法律法规规定需要对外披露基金净值的非交易日。</w:t>
      </w:r>
    </w:p>
    <w:p>
      <w:pPr>
        <w:adjustRightInd w:val="0"/>
        <w:snapToGrid w:val="0"/>
        <w:spacing w:line="360" w:lineRule="auto"/>
        <w:ind w:firstLine="482" w:firstLineChars="200"/>
        <w:outlineLvl w:val="1"/>
        <w:rPr>
          <w:b/>
          <w:bCs/>
          <w:sz w:val="24"/>
          <w:szCs w:val="24"/>
        </w:rPr>
      </w:pPr>
      <w:r>
        <w:rPr>
          <w:b/>
          <w:bCs/>
          <w:sz w:val="24"/>
          <w:szCs w:val="24"/>
        </w:rPr>
        <w:t>（二）估值对象</w:t>
      </w:r>
    </w:p>
    <w:p>
      <w:pPr>
        <w:adjustRightInd w:val="0"/>
        <w:snapToGrid w:val="0"/>
        <w:spacing w:line="360" w:lineRule="auto"/>
        <w:ind w:firstLine="480" w:firstLineChars="200"/>
        <w:rPr>
          <w:bCs/>
          <w:sz w:val="24"/>
          <w:szCs w:val="24"/>
        </w:rPr>
      </w:pPr>
      <w:r>
        <w:rPr>
          <w:rFonts w:hint="eastAsia"/>
          <w:bCs/>
          <w:sz w:val="24"/>
          <w:szCs w:val="24"/>
        </w:rPr>
        <w:t>基金所拥有的股票、债券、资产支持证券、股指期货和其他投资等持续以公允价值计量的金融资产及负债。</w:t>
      </w:r>
    </w:p>
    <w:p>
      <w:pPr>
        <w:adjustRightInd w:val="0"/>
        <w:snapToGrid w:val="0"/>
        <w:spacing w:line="360" w:lineRule="auto"/>
        <w:ind w:firstLine="482" w:firstLineChars="200"/>
        <w:outlineLvl w:val="1"/>
        <w:rPr>
          <w:rFonts w:hAnsi="宋体"/>
          <w:b/>
          <w:sz w:val="24"/>
          <w:szCs w:val="24"/>
        </w:rPr>
      </w:pPr>
      <w:r>
        <w:rPr>
          <w:rFonts w:hAnsi="宋体"/>
          <w:b/>
          <w:sz w:val="24"/>
          <w:szCs w:val="24"/>
        </w:rPr>
        <w:t>（三）估值</w:t>
      </w:r>
      <w:r>
        <w:rPr>
          <w:rFonts w:hint="eastAsia" w:hAnsi="宋体"/>
          <w:b/>
          <w:sz w:val="24"/>
          <w:szCs w:val="24"/>
        </w:rPr>
        <w:t>原则</w:t>
      </w:r>
    </w:p>
    <w:p>
      <w:pPr>
        <w:adjustRightInd w:val="0"/>
        <w:snapToGrid w:val="0"/>
        <w:spacing w:line="360" w:lineRule="auto"/>
        <w:ind w:firstLine="480" w:firstLineChars="200"/>
        <w:rPr>
          <w:bCs/>
          <w:sz w:val="24"/>
        </w:rPr>
      </w:pPr>
      <w:r>
        <w:rPr>
          <w:rFonts w:hint="eastAsia"/>
          <w:bCs/>
          <w:sz w:val="24"/>
        </w:rPr>
        <w:t>基金管理人在确定相关金融资产和金融负债的公允价值时，应符合《企业会计准则》、监管部门有关规定。</w:t>
      </w:r>
    </w:p>
    <w:p>
      <w:pPr>
        <w:adjustRightInd w:val="0"/>
        <w:snapToGrid w:val="0"/>
        <w:spacing w:line="360" w:lineRule="auto"/>
        <w:ind w:firstLine="480" w:firstLineChars="200"/>
        <w:rPr>
          <w:bCs/>
          <w:sz w:val="24"/>
        </w:rPr>
      </w:pPr>
      <w:r>
        <w:rPr>
          <w:rFonts w:hint="eastAsia"/>
          <w:bCs/>
          <w:sz w:val="24"/>
        </w:rPr>
        <w:t>1</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djustRightInd w:val="0"/>
        <w:snapToGrid w:val="0"/>
        <w:spacing w:line="360" w:lineRule="auto"/>
        <w:ind w:firstLine="480" w:firstLineChars="20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djustRightInd w:val="0"/>
        <w:snapToGrid w:val="0"/>
        <w:spacing w:line="360" w:lineRule="auto"/>
        <w:ind w:firstLine="480" w:firstLineChars="200"/>
        <w:rPr>
          <w:bCs/>
          <w:sz w:val="24"/>
        </w:rPr>
      </w:pPr>
      <w:r>
        <w:rPr>
          <w:rFonts w:hint="eastAsia"/>
          <w:bCs/>
          <w:sz w:val="24"/>
        </w:rPr>
        <w:t>2</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djustRightInd w:val="0"/>
        <w:snapToGrid w:val="0"/>
        <w:spacing w:line="360" w:lineRule="auto"/>
        <w:ind w:firstLine="480" w:firstLineChars="200"/>
        <w:rPr>
          <w:bCs/>
          <w:sz w:val="24"/>
        </w:rPr>
      </w:pPr>
      <w:r>
        <w:rPr>
          <w:bCs/>
          <w:sz w:val="24"/>
        </w:rPr>
        <w:t>3、</w:t>
      </w:r>
      <w:r>
        <w:rPr>
          <w:rFonts w:hint="eastAsia"/>
          <w:bCs/>
          <w:sz w:val="24"/>
        </w:rPr>
        <w:t>如经济环境发生重大变化或证券发行人发生影响证券价格的重大事件，使潜在估值调整对前一估值日的基金资产净值的影响在0.25%以上的，应对估值进行调整并确定公允价值。</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四</w:t>
      </w:r>
      <w:r>
        <w:rPr>
          <w:rFonts w:hAnsi="宋体"/>
          <w:b/>
          <w:sz w:val="24"/>
          <w:szCs w:val="24"/>
        </w:rPr>
        <w:t>）估值方法</w:t>
      </w:r>
    </w:p>
    <w:p>
      <w:pPr>
        <w:adjustRightInd w:val="0"/>
        <w:snapToGrid w:val="0"/>
        <w:spacing w:line="360" w:lineRule="auto"/>
        <w:ind w:firstLine="480" w:firstLineChars="200"/>
        <w:rPr>
          <w:sz w:val="24"/>
          <w:szCs w:val="24"/>
        </w:rPr>
      </w:pPr>
      <w:r>
        <w:rPr>
          <w:rFonts w:hint="eastAsia"/>
          <w:sz w:val="24"/>
          <w:szCs w:val="24"/>
        </w:rPr>
        <w:t>1、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2、处于未上市期间的有价证券应区分如下情况处理：</w:t>
      </w:r>
    </w:p>
    <w:p>
      <w:pPr>
        <w:adjustRightInd w:val="0"/>
        <w:snapToGrid w:val="0"/>
        <w:spacing w:line="360" w:lineRule="auto"/>
        <w:ind w:firstLine="480" w:firstLineChars="200"/>
        <w:rPr>
          <w:sz w:val="24"/>
          <w:szCs w:val="24"/>
        </w:rPr>
      </w:pPr>
      <w:r>
        <w:rPr>
          <w:rFonts w:hint="eastAsia"/>
          <w:sz w:val="24"/>
          <w:szCs w:val="24"/>
        </w:rPr>
        <w:t>（1）送股、转增股、配股和公开增发的新股，按估值日在证券交易所挂牌的同一股票的估值方法估值；该日无交易的，以最近一日的市价（收盘价）估值；</w:t>
      </w:r>
    </w:p>
    <w:p>
      <w:pPr>
        <w:adjustRightInd w:val="0"/>
        <w:snapToGrid w:val="0"/>
        <w:spacing w:line="360" w:lineRule="auto"/>
        <w:ind w:firstLine="480" w:firstLineChars="200"/>
        <w:rPr>
          <w:sz w:val="24"/>
          <w:szCs w:val="24"/>
        </w:rPr>
      </w:pPr>
      <w:r>
        <w:rPr>
          <w:rFonts w:hint="eastAsia"/>
          <w:sz w:val="24"/>
          <w:szCs w:val="24"/>
        </w:rPr>
        <w:t>（2）首次公开发行未上市的股票和债券，采用估值技术确定公允价值；</w:t>
      </w:r>
    </w:p>
    <w:p>
      <w:pPr>
        <w:adjustRightInd w:val="0"/>
        <w:snapToGrid w:val="0"/>
        <w:spacing w:line="360" w:lineRule="auto"/>
        <w:ind w:firstLine="480" w:firstLineChars="200"/>
        <w:rPr>
          <w:sz w:val="24"/>
          <w:szCs w:val="24"/>
        </w:rPr>
      </w:pPr>
      <w:r>
        <w:rPr>
          <w:rFonts w:hint="eastAsia"/>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djustRightInd w:val="0"/>
        <w:snapToGrid w:val="0"/>
        <w:spacing w:line="360" w:lineRule="auto"/>
        <w:ind w:firstLine="480" w:firstLineChars="200"/>
        <w:rPr>
          <w:sz w:val="24"/>
          <w:szCs w:val="24"/>
        </w:rPr>
      </w:pPr>
      <w:r>
        <w:rPr>
          <w:rFonts w:hint="eastAsia"/>
          <w:sz w:val="24"/>
          <w:szCs w:val="24"/>
        </w:rPr>
        <w:t>3、对于已上市或已挂牌转让的不含权固定收益品种（另有规定的除外），选取第三方估值基准服务机构提供的相应品种当日的估值全价进行估值。</w:t>
      </w:r>
    </w:p>
    <w:p>
      <w:pPr>
        <w:adjustRightInd w:val="0"/>
        <w:snapToGrid w:val="0"/>
        <w:spacing w:line="360" w:lineRule="auto"/>
        <w:ind w:firstLine="480" w:firstLineChars="200"/>
        <w:rPr>
          <w:sz w:val="24"/>
          <w:szCs w:val="24"/>
        </w:rPr>
      </w:pPr>
      <w:r>
        <w:rPr>
          <w:rFonts w:hint="eastAsia"/>
          <w:sz w:val="24"/>
          <w:szCs w:val="24"/>
        </w:rPr>
        <w:t>4、对于已上市或已挂牌转让的含权固定收益品种（另有规定的除外），选取第三方估值基准服务机构提供的相应品种当日的唯一估值全价或推荐估值全价进行估值。</w:t>
      </w:r>
    </w:p>
    <w:p>
      <w:pPr>
        <w:adjustRightInd w:val="0"/>
        <w:snapToGrid w:val="0"/>
        <w:spacing w:line="360" w:lineRule="auto"/>
        <w:ind w:firstLine="480" w:firstLineChars="200"/>
        <w:rPr>
          <w:sz w:val="24"/>
          <w:szCs w:val="24"/>
        </w:rPr>
      </w:pPr>
      <w:r>
        <w:rPr>
          <w:rFonts w:hint="eastAsia"/>
          <w:sz w:val="24"/>
          <w:szCs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pPr>
        <w:adjustRightInd w:val="0"/>
        <w:snapToGrid w:val="0"/>
        <w:spacing w:line="360" w:lineRule="auto"/>
        <w:ind w:firstLine="480" w:firstLineChars="200"/>
        <w:rPr>
          <w:sz w:val="24"/>
          <w:szCs w:val="24"/>
        </w:rPr>
      </w:pPr>
      <w:r>
        <w:rPr>
          <w:rFonts w:hint="eastAsia"/>
          <w:sz w:val="24"/>
          <w:szCs w:val="24"/>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adjustRightInd w:val="0"/>
        <w:snapToGrid w:val="0"/>
        <w:spacing w:line="360" w:lineRule="auto"/>
        <w:ind w:firstLine="480" w:firstLineChars="200"/>
        <w:rPr>
          <w:sz w:val="24"/>
          <w:szCs w:val="24"/>
        </w:rPr>
      </w:pPr>
      <w:r>
        <w:rPr>
          <w:rFonts w:hint="eastAsia"/>
          <w:sz w:val="24"/>
          <w:szCs w:val="24"/>
        </w:rPr>
        <w:t>6、对于未上市或未挂牌转让且不存在活跃市场的固定收益品种，采用在当前情况下适用并且有足够可利用数据和其他信息支持的估值技术确定其公允价值。</w:t>
      </w:r>
    </w:p>
    <w:p>
      <w:pPr>
        <w:adjustRightInd w:val="0"/>
        <w:snapToGrid w:val="0"/>
        <w:spacing w:line="360" w:lineRule="auto"/>
        <w:ind w:firstLine="480" w:firstLineChars="200"/>
        <w:rPr>
          <w:sz w:val="24"/>
          <w:szCs w:val="24"/>
        </w:rPr>
      </w:pPr>
      <w:r>
        <w:rPr>
          <w:rFonts w:hint="eastAsia"/>
          <w:sz w:val="24"/>
          <w:szCs w:val="24"/>
        </w:rPr>
        <w:t>7、本基金投资股指期货合约，一般以估值当日结算价进行估值，估值当日无结算价的，且最近交易日后经济环境未发生重大变化的，采用最近交易日结算价估值。</w:t>
      </w:r>
    </w:p>
    <w:p>
      <w:pPr>
        <w:adjustRightInd w:val="0"/>
        <w:snapToGrid w:val="0"/>
        <w:spacing w:line="360" w:lineRule="auto"/>
        <w:ind w:firstLine="480" w:firstLineChars="200"/>
        <w:rPr>
          <w:sz w:val="24"/>
          <w:szCs w:val="24"/>
        </w:rPr>
      </w:pPr>
      <w:r>
        <w:rPr>
          <w:rFonts w:hint="eastAsia"/>
          <w:sz w:val="24"/>
          <w:szCs w:val="24"/>
        </w:rPr>
        <w:t>8、同一证券同时在两个或两个以上市场交易的，按证券所处的市场分别估值。</w:t>
      </w:r>
    </w:p>
    <w:p>
      <w:pPr>
        <w:adjustRightInd w:val="0"/>
        <w:snapToGrid w:val="0"/>
        <w:spacing w:line="360" w:lineRule="auto"/>
        <w:ind w:firstLine="480" w:firstLineChars="200"/>
        <w:rPr>
          <w:sz w:val="24"/>
          <w:szCs w:val="24"/>
        </w:rPr>
      </w:pPr>
      <w:r>
        <w:rPr>
          <w:rFonts w:hint="eastAsia"/>
          <w:sz w:val="24"/>
          <w:szCs w:val="24"/>
        </w:rPr>
        <w:t>9、估值计算中涉及港币对人民币汇率的，将依据下列信息提供机构所提供的汇率为基准：当日中国人民银行或其授权机构公布的人民币与港币的中间价。</w:t>
      </w:r>
    </w:p>
    <w:p>
      <w:pPr>
        <w:adjustRightInd w:val="0"/>
        <w:snapToGrid w:val="0"/>
        <w:spacing w:line="360" w:lineRule="auto"/>
        <w:ind w:firstLine="480" w:firstLineChars="200"/>
        <w:rPr>
          <w:sz w:val="24"/>
          <w:szCs w:val="24"/>
        </w:rPr>
      </w:pPr>
      <w:r>
        <w:rPr>
          <w:rFonts w:hint="eastAsia"/>
          <w:sz w:val="24"/>
          <w:szCs w:val="24"/>
        </w:rPr>
        <w:t>10、对于因税收规定调整或其他原因导致本基金实际交纳税金与估算的应交税金有差异的，本基金将在相关税金调整日或实际支付日进行相应的会计处理。</w:t>
      </w:r>
    </w:p>
    <w:p>
      <w:pPr>
        <w:adjustRightInd w:val="0"/>
        <w:snapToGrid w:val="0"/>
        <w:spacing w:line="360" w:lineRule="auto"/>
        <w:ind w:firstLine="480" w:firstLineChars="200"/>
        <w:rPr>
          <w:sz w:val="24"/>
          <w:szCs w:val="24"/>
        </w:rPr>
      </w:pPr>
      <w:r>
        <w:rPr>
          <w:rFonts w:hint="eastAsia"/>
          <w:sz w:val="24"/>
          <w:szCs w:val="24"/>
        </w:rPr>
        <w:t>11、本基金投资存托凭证的估值核算依照境内上市交易的股票执行。</w:t>
      </w:r>
    </w:p>
    <w:p>
      <w:pPr>
        <w:adjustRightInd w:val="0"/>
        <w:snapToGrid w:val="0"/>
        <w:spacing w:line="360" w:lineRule="auto"/>
        <w:ind w:firstLine="480" w:firstLineChars="200"/>
        <w:rPr>
          <w:sz w:val="24"/>
          <w:szCs w:val="24"/>
        </w:rPr>
      </w:pPr>
      <w:r>
        <w:rPr>
          <w:rFonts w:hint="eastAsia"/>
          <w:sz w:val="24"/>
          <w:szCs w:val="24"/>
        </w:rPr>
        <w:t>12、如有确凿证据表明按上述方法进行估值不能客观反映其公允价值的，基金管理人可根据具体情况与基金托管人商定后，按最能反映公允价值的价格估值。</w:t>
      </w:r>
    </w:p>
    <w:p>
      <w:pPr>
        <w:adjustRightInd w:val="0"/>
        <w:snapToGrid w:val="0"/>
        <w:spacing w:line="360" w:lineRule="auto"/>
        <w:ind w:firstLine="480" w:firstLineChars="200"/>
        <w:rPr>
          <w:sz w:val="24"/>
          <w:szCs w:val="24"/>
        </w:rPr>
      </w:pPr>
      <w:r>
        <w:rPr>
          <w:rFonts w:hint="eastAsia"/>
          <w:sz w:val="24"/>
          <w:szCs w:val="24"/>
        </w:rPr>
        <w:t>13、当发生大额申购或赎回情形时，基金管理人可以采用摆动定价机制，以确保基金估值的公平性。</w:t>
      </w:r>
    </w:p>
    <w:p>
      <w:pPr>
        <w:adjustRightInd w:val="0"/>
        <w:snapToGrid w:val="0"/>
        <w:spacing w:line="360" w:lineRule="auto"/>
        <w:ind w:firstLine="480" w:firstLineChars="200"/>
        <w:rPr>
          <w:sz w:val="24"/>
          <w:szCs w:val="24"/>
        </w:rPr>
      </w:pPr>
      <w:r>
        <w:rPr>
          <w:rFonts w:hint="eastAsia"/>
          <w:sz w:val="24"/>
          <w:szCs w:val="24"/>
        </w:rPr>
        <w:t>14、相关法律法规以及监管部门有强制规定的，从其规定。如有新增事项，按国家最新规定估值。</w:t>
      </w:r>
    </w:p>
    <w:p>
      <w:pPr>
        <w:adjustRightInd w:val="0"/>
        <w:snapToGrid w:val="0"/>
        <w:spacing w:line="360" w:lineRule="auto"/>
        <w:ind w:firstLine="480" w:firstLineChars="20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spacing w:line="360" w:lineRule="auto"/>
        <w:ind w:firstLine="480" w:firstLineChars="20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bCs/>
          <w:sz w:val="24"/>
        </w:rPr>
        <w:t>净值信息</w:t>
      </w:r>
      <w:r>
        <w:rPr>
          <w:rFonts w:hint="eastAsia"/>
          <w:sz w:val="24"/>
          <w:szCs w:val="24"/>
        </w:rPr>
        <w:t>的计算结果对外予以公布。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五</w:t>
      </w:r>
      <w:r>
        <w:rPr>
          <w:rFonts w:hAnsi="宋体"/>
          <w:b/>
          <w:sz w:val="24"/>
          <w:szCs w:val="24"/>
        </w:rPr>
        <w:t>）估值程序</w:t>
      </w:r>
    </w:p>
    <w:p>
      <w:pPr>
        <w:adjustRightInd w:val="0"/>
        <w:snapToGrid w:val="0"/>
        <w:spacing w:line="360" w:lineRule="auto"/>
        <w:ind w:firstLine="480" w:firstLineChars="200"/>
        <w:rPr>
          <w:sz w:val="24"/>
          <w:szCs w:val="24"/>
        </w:rPr>
      </w:pPr>
      <w:r>
        <w:rPr>
          <w:rFonts w:hint="eastAsia"/>
          <w:sz w:val="24"/>
          <w:szCs w:val="24"/>
        </w:rPr>
        <w:t>1、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pPr>
        <w:adjustRightInd w:val="0"/>
        <w:snapToGrid w:val="0"/>
        <w:spacing w:line="360" w:lineRule="auto"/>
        <w:ind w:firstLine="480" w:firstLineChars="200"/>
        <w:rPr>
          <w:sz w:val="24"/>
          <w:szCs w:val="24"/>
        </w:rPr>
      </w:pPr>
      <w:r>
        <w:rPr>
          <w:rFonts w:hint="eastAsia"/>
          <w:sz w:val="24"/>
          <w:szCs w:val="24"/>
        </w:rPr>
        <w:t>基金管理人于每个工作日计算基金资产净值及基金份额净值，经基金托管人复核，并按规定公告。如遇特殊情况，经履行适当程序，可以适当延迟计算或公告。</w:t>
      </w:r>
    </w:p>
    <w:p>
      <w:pPr>
        <w:adjustRightInd w:val="0"/>
        <w:snapToGrid w:val="0"/>
        <w:spacing w:line="360" w:lineRule="auto"/>
        <w:ind w:firstLine="480" w:firstLineChars="200"/>
        <w:rPr>
          <w:sz w:val="24"/>
          <w:szCs w:val="24"/>
        </w:rPr>
      </w:pPr>
      <w:r>
        <w:rPr>
          <w:rFonts w:hint="eastAsia"/>
          <w:sz w:val="24"/>
          <w:szCs w:val="24"/>
        </w:rPr>
        <w:t>2、基金管理人应每个工作日对基金资产估值，但基金管理人根据法律法规或基金合同的规定暂停估值时除外。基金管理人每个工作日对基金资产估值后，将基金资产净值、基金份额净值结果发送基金托管人，经基金托管人复核无误后，由基金管理人依据基金合同和相关法律法规的规定对外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六</w:t>
      </w:r>
      <w:r>
        <w:rPr>
          <w:rFonts w:hAnsi="宋体"/>
          <w:b/>
          <w:sz w:val="24"/>
          <w:szCs w:val="24"/>
        </w:rPr>
        <w:t>）估值错误的处理</w:t>
      </w:r>
    </w:p>
    <w:p>
      <w:pPr>
        <w:adjustRightInd w:val="0"/>
        <w:snapToGrid w:val="0"/>
        <w:spacing w:line="360" w:lineRule="auto"/>
        <w:ind w:firstLine="480" w:firstLineChars="200"/>
        <w:rPr>
          <w:rFonts w:hAnsi="宋体"/>
          <w:sz w:val="24"/>
          <w:szCs w:val="24"/>
        </w:rPr>
      </w:pPr>
      <w:r>
        <w:rPr>
          <w:rFonts w:hint="eastAsia" w:hAnsi="宋体"/>
          <w:sz w:val="24"/>
          <w:szCs w:val="24"/>
        </w:rPr>
        <w:t>基金管理人和基金托管人将采取必要、适当、合理的措施确保基金资产估值的准确性、及时性。当基金份额净值小数点后4位以内（含第4位）发生估值错误时，视为基金份额净值错误。</w:t>
      </w:r>
    </w:p>
    <w:p>
      <w:pPr>
        <w:adjustRightInd w:val="0"/>
        <w:snapToGrid w:val="0"/>
        <w:spacing w:line="360" w:lineRule="auto"/>
        <w:ind w:firstLine="480" w:firstLineChars="200"/>
        <w:rPr>
          <w:rFonts w:hAnsi="宋体"/>
          <w:sz w:val="24"/>
          <w:szCs w:val="24"/>
        </w:rPr>
      </w:pPr>
      <w:r>
        <w:rPr>
          <w:rFonts w:hint="eastAsia" w:hAnsi="宋体"/>
          <w:sz w:val="24"/>
          <w:szCs w:val="24"/>
        </w:rPr>
        <w:t>基金合同的当事人应按照以下约定处理：</w:t>
      </w:r>
    </w:p>
    <w:p>
      <w:pPr>
        <w:adjustRightInd w:val="0"/>
        <w:snapToGrid w:val="0"/>
        <w:spacing w:line="360" w:lineRule="auto"/>
        <w:ind w:firstLine="480" w:firstLineChars="200"/>
        <w:outlineLvl w:val="2"/>
        <w:rPr>
          <w:rFonts w:hAnsi="宋体"/>
          <w:sz w:val="24"/>
          <w:szCs w:val="24"/>
        </w:rPr>
      </w:pPr>
      <w:r>
        <w:rPr>
          <w:rFonts w:hint="eastAsia" w:hAnsi="宋体"/>
          <w:sz w:val="24"/>
          <w:szCs w:val="24"/>
        </w:rPr>
        <w:t>1、估值错误类型</w:t>
      </w:r>
    </w:p>
    <w:p>
      <w:pPr>
        <w:adjustRightInd w:val="0"/>
        <w:snapToGrid w:val="0"/>
        <w:spacing w:line="360" w:lineRule="auto"/>
        <w:ind w:firstLine="480" w:firstLineChars="200"/>
        <w:rPr>
          <w:rFonts w:hAnsi="宋体"/>
          <w:sz w:val="24"/>
          <w:szCs w:val="24"/>
        </w:rPr>
      </w:pPr>
      <w:r>
        <w:rPr>
          <w:rFonts w:hint="eastAsia" w:hAnsi="宋体"/>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djustRightInd w:val="0"/>
        <w:snapToGrid w:val="0"/>
        <w:spacing w:line="360" w:lineRule="auto"/>
        <w:ind w:firstLine="480" w:firstLineChars="200"/>
        <w:rPr>
          <w:rFonts w:hAnsi="宋体"/>
          <w:sz w:val="24"/>
          <w:szCs w:val="24"/>
        </w:rPr>
      </w:pPr>
      <w:r>
        <w:rPr>
          <w:rFonts w:hint="eastAsia" w:hAnsi="宋体"/>
          <w:sz w:val="24"/>
          <w:szCs w:val="24"/>
        </w:rPr>
        <w:t>上述估值错误的主要类型包括但不限于：资料申报差错、数据传输差错、数据计算差错、系统故障差错、下达指令差错等。</w:t>
      </w:r>
    </w:p>
    <w:p>
      <w:pPr>
        <w:adjustRightInd w:val="0"/>
        <w:snapToGrid w:val="0"/>
        <w:spacing w:line="360" w:lineRule="auto"/>
        <w:ind w:firstLine="480" w:firstLineChars="200"/>
        <w:rPr>
          <w:rFonts w:hAnsi="宋体"/>
          <w:sz w:val="24"/>
          <w:szCs w:val="24"/>
        </w:rPr>
      </w:pPr>
      <w:r>
        <w:rPr>
          <w:rFonts w:hint="eastAsia" w:hAnsi="宋体"/>
          <w:sz w:val="24"/>
          <w:szCs w:val="24"/>
        </w:rPr>
        <w:t>对于因技术原因引起的差错，若系同行业现有技术水平无法预见、无法避免、无法抗拒，则属不可抗力，按照下述规定执行。</w:t>
      </w:r>
    </w:p>
    <w:p>
      <w:pPr>
        <w:adjustRightInd w:val="0"/>
        <w:snapToGrid w:val="0"/>
        <w:spacing w:line="360" w:lineRule="auto"/>
        <w:ind w:firstLine="480" w:firstLineChars="200"/>
        <w:rPr>
          <w:rFonts w:hAnsi="宋体"/>
          <w:sz w:val="24"/>
          <w:szCs w:val="24"/>
        </w:rPr>
      </w:pPr>
      <w:r>
        <w:rPr>
          <w:rFonts w:hint="eastAsia" w:hAnsi="宋体"/>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adjustRightInd w:val="0"/>
        <w:snapToGrid w:val="0"/>
        <w:spacing w:line="360" w:lineRule="auto"/>
        <w:ind w:firstLine="480" w:firstLineChars="200"/>
        <w:outlineLvl w:val="2"/>
        <w:rPr>
          <w:rFonts w:hAnsi="宋体"/>
          <w:sz w:val="24"/>
          <w:szCs w:val="24"/>
        </w:rPr>
      </w:pPr>
      <w:r>
        <w:rPr>
          <w:rFonts w:hint="eastAsia" w:hAnsi="宋体"/>
          <w:sz w:val="24"/>
          <w:szCs w:val="24"/>
        </w:rPr>
        <w:t>2、估值错误处理原则</w:t>
      </w:r>
    </w:p>
    <w:p>
      <w:pPr>
        <w:adjustRightInd w:val="0"/>
        <w:snapToGrid w:val="0"/>
        <w:spacing w:line="360" w:lineRule="auto"/>
        <w:ind w:firstLine="480" w:firstLineChars="200"/>
        <w:rPr>
          <w:rFonts w:hAnsi="宋体"/>
          <w:sz w:val="24"/>
          <w:szCs w:val="24"/>
        </w:rPr>
      </w:pPr>
      <w:r>
        <w:rPr>
          <w:rFonts w:hint="eastAsia" w:hAnsi="宋体"/>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djustRightInd w:val="0"/>
        <w:snapToGrid w:val="0"/>
        <w:spacing w:line="360" w:lineRule="auto"/>
        <w:ind w:firstLine="480" w:firstLineChars="200"/>
        <w:rPr>
          <w:rFonts w:hAnsi="宋体"/>
          <w:sz w:val="24"/>
          <w:szCs w:val="24"/>
        </w:rPr>
      </w:pPr>
      <w:r>
        <w:rPr>
          <w:rFonts w:hint="eastAsia" w:hAnsi="宋体"/>
          <w:sz w:val="24"/>
          <w:szCs w:val="24"/>
        </w:rPr>
        <w:t>（2）估值错误的责任方对有关当事人的直接损失负责，不对间接损失负责，并且仅对估值错误的有关直接当事人负责，不对第三方负责。</w:t>
      </w:r>
    </w:p>
    <w:p>
      <w:pPr>
        <w:adjustRightInd w:val="0"/>
        <w:snapToGrid w:val="0"/>
        <w:spacing w:line="360" w:lineRule="auto"/>
        <w:ind w:firstLine="480" w:firstLineChars="200"/>
        <w:rPr>
          <w:rFonts w:hAnsi="宋体"/>
          <w:sz w:val="24"/>
          <w:szCs w:val="24"/>
        </w:rPr>
      </w:pPr>
      <w:r>
        <w:rPr>
          <w:rFonts w:hint="eastAsia" w:hAnsi="宋体"/>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djustRightInd w:val="0"/>
        <w:snapToGrid w:val="0"/>
        <w:spacing w:line="360" w:lineRule="auto"/>
        <w:ind w:firstLine="480" w:firstLineChars="200"/>
        <w:rPr>
          <w:rFonts w:hAnsi="宋体"/>
          <w:sz w:val="24"/>
          <w:szCs w:val="24"/>
        </w:rPr>
      </w:pPr>
      <w:r>
        <w:rPr>
          <w:rFonts w:hint="eastAsia" w:hAnsi="宋体"/>
          <w:sz w:val="24"/>
          <w:szCs w:val="24"/>
        </w:rPr>
        <w:t>（4）估值错误调整采用尽量恢复至假设未发生估值错误的正确情形的方式。</w:t>
      </w:r>
    </w:p>
    <w:p>
      <w:pPr>
        <w:adjustRightInd w:val="0"/>
        <w:snapToGrid w:val="0"/>
        <w:spacing w:line="360" w:lineRule="auto"/>
        <w:ind w:firstLine="480" w:firstLineChars="200"/>
        <w:rPr>
          <w:rFonts w:hAnsi="宋体"/>
          <w:sz w:val="24"/>
          <w:szCs w:val="24"/>
        </w:rPr>
      </w:pPr>
      <w:r>
        <w:rPr>
          <w:rFonts w:hint="eastAsia" w:hAnsi="宋体"/>
          <w:sz w:val="24"/>
          <w:szCs w:val="24"/>
        </w:rPr>
        <w:t>（5）按法律法规规定的其他原则处理估值错误。</w:t>
      </w:r>
    </w:p>
    <w:p>
      <w:pPr>
        <w:adjustRightInd w:val="0"/>
        <w:snapToGrid w:val="0"/>
        <w:spacing w:line="360" w:lineRule="auto"/>
        <w:ind w:firstLine="480" w:firstLineChars="200"/>
        <w:outlineLvl w:val="2"/>
        <w:rPr>
          <w:rFonts w:hAnsi="宋体"/>
          <w:sz w:val="24"/>
          <w:szCs w:val="24"/>
        </w:rPr>
      </w:pPr>
      <w:r>
        <w:rPr>
          <w:rFonts w:hint="eastAsia" w:hAnsi="宋体"/>
          <w:sz w:val="24"/>
          <w:szCs w:val="24"/>
        </w:rPr>
        <w:t>3、估值错误处理程序</w:t>
      </w:r>
    </w:p>
    <w:p>
      <w:pPr>
        <w:adjustRightInd w:val="0"/>
        <w:snapToGrid w:val="0"/>
        <w:spacing w:line="360" w:lineRule="auto"/>
        <w:ind w:firstLine="480" w:firstLineChars="200"/>
        <w:rPr>
          <w:rFonts w:hAnsi="宋体"/>
          <w:sz w:val="24"/>
          <w:szCs w:val="24"/>
        </w:rPr>
      </w:pPr>
      <w:r>
        <w:rPr>
          <w:rFonts w:hint="eastAsia" w:hAnsi="宋体"/>
          <w:sz w:val="24"/>
          <w:szCs w:val="24"/>
        </w:rPr>
        <w:t>估值错误被发现后，有关的当事人应当及时进行处理，处理的程序如下：</w:t>
      </w:r>
    </w:p>
    <w:p>
      <w:pPr>
        <w:adjustRightInd w:val="0"/>
        <w:snapToGrid w:val="0"/>
        <w:spacing w:line="360" w:lineRule="auto"/>
        <w:ind w:firstLine="480" w:firstLineChars="200"/>
        <w:rPr>
          <w:rFonts w:hAnsi="宋体"/>
          <w:sz w:val="24"/>
          <w:szCs w:val="24"/>
        </w:rPr>
      </w:pPr>
      <w:r>
        <w:rPr>
          <w:rFonts w:hint="eastAsia" w:hAnsi="宋体"/>
          <w:sz w:val="24"/>
          <w:szCs w:val="24"/>
        </w:rPr>
        <w:t>（1）查明估值错误发生的原因，列明所有的当事人，并根据估值错误发生的原因确定估值错误的责任方；</w:t>
      </w:r>
    </w:p>
    <w:p>
      <w:pPr>
        <w:adjustRightInd w:val="0"/>
        <w:snapToGrid w:val="0"/>
        <w:spacing w:line="360" w:lineRule="auto"/>
        <w:ind w:firstLine="480" w:firstLineChars="200"/>
        <w:rPr>
          <w:rFonts w:hAnsi="宋体"/>
          <w:sz w:val="24"/>
          <w:szCs w:val="24"/>
        </w:rPr>
      </w:pPr>
      <w:r>
        <w:rPr>
          <w:rFonts w:hint="eastAsia" w:hAnsi="宋体"/>
          <w:sz w:val="24"/>
          <w:szCs w:val="24"/>
        </w:rPr>
        <w:t>（2）根据估值错误处理原则或当事人协商的方法对因估值错误造成的损失进行评估；</w:t>
      </w:r>
    </w:p>
    <w:p>
      <w:pPr>
        <w:adjustRightInd w:val="0"/>
        <w:snapToGrid w:val="0"/>
        <w:spacing w:line="360" w:lineRule="auto"/>
        <w:ind w:firstLine="480" w:firstLineChars="200"/>
        <w:rPr>
          <w:rFonts w:hAnsi="宋体"/>
          <w:sz w:val="24"/>
          <w:szCs w:val="24"/>
        </w:rPr>
      </w:pPr>
      <w:r>
        <w:rPr>
          <w:rFonts w:hint="eastAsia" w:hAnsi="宋体"/>
          <w:sz w:val="24"/>
          <w:szCs w:val="24"/>
        </w:rPr>
        <w:t>（3）根据估值错误处理原则或当事人协商的方法由估值错误的责任方进行更正和赔偿损失；</w:t>
      </w:r>
    </w:p>
    <w:p>
      <w:pPr>
        <w:adjustRightInd w:val="0"/>
        <w:snapToGrid w:val="0"/>
        <w:spacing w:line="360" w:lineRule="auto"/>
        <w:ind w:firstLine="480" w:firstLineChars="200"/>
        <w:rPr>
          <w:rFonts w:hAnsi="宋体"/>
          <w:sz w:val="24"/>
          <w:szCs w:val="24"/>
        </w:rPr>
      </w:pPr>
      <w:r>
        <w:rPr>
          <w:rFonts w:hint="eastAsia" w:hAnsi="宋体"/>
          <w:sz w:val="24"/>
          <w:szCs w:val="24"/>
        </w:rPr>
        <w:t>（4）根据估值错误处理的方法，需要修改基金登记机构交易数据的，由基金登记机构进行更正，并就估值错误的更正向有关当事人进行确认。</w:t>
      </w:r>
    </w:p>
    <w:p>
      <w:pPr>
        <w:adjustRightInd w:val="0"/>
        <w:snapToGrid w:val="0"/>
        <w:spacing w:line="360" w:lineRule="auto"/>
        <w:ind w:firstLine="480" w:firstLineChars="200"/>
        <w:outlineLvl w:val="2"/>
        <w:rPr>
          <w:rFonts w:hAnsi="宋体"/>
          <w:sz w:val="24"/>
          <w:szCs w:val="24"/>
        </w:rPr>
      </w:pPr>
      <w:r>
        <w:rPr>
          <w:rFonts w:hint="eastAsia" w:hAnsi="宋体"/>
          <w:sz w:val="24"/>
          <w:szCs w:val="24"/>
        </w:rPr>
        <w:t>4、基金份额净值估值错误处理的方法如下：</w:t>
      </w:r>
    </w:p>
    <w:p>
      <w:pPr>
        <w:adjustRightInd w:val="0"/>
        <w:snapToGrid w:val="0"/>
        <w:spacing w:line="360" w:lineRule="auto"/>
        <w:ind w:firstLine="480" w:firstLineChars="200"/>
        <w:rPr>
          <w:rFonts w:hAnsi="宋体"/>
          <w:sz w:val="24"/>
          <w:szCs w:val="24"/>
        </w:rPr>
      </w:pPr>
      <w:r>
        <w:rPr>
          <w:rFonts w:hint="eastAsia" w:hAnsi="宋体"/>
          <w:sz w:val="24"/>
          <w:szCs w:val="24"/>
        </w:rPr>
        <w:t>（1）基金份额净值计算出现错误时，基金管理人应当立即予以纠正，通报基金托管人，并采取合理的措施防止损失进一步扩大。</w:t>
      </w:r>
    </w:p>
    <w:p>
      <w:pPr>
        <w:adjustRightInd w:val="0"/>
        <w:snapToGrid w:val="0"/>
        <w:spacing w:line="360" w:lineRule="auto"/>
        <w:ind w:firstLine="480" w:firstLineChars="200"/>
        <w:rPr>
          <w:rFonts w:hAnsi="宋体"/>
          <w:sz w:val="24"/>
          <w:szCs w:val="24"/>
        </w:rPr>
      </w:pPr>
      <w:r>
        <w:rPr>
          <w:rFonts w:hint="eastAsia" w:hAnsi="宋体"/>
          <w:sz w:val="24"/>
          <w:szCs w:val="24"/>
        </w:rPr>
        <w:t>（2）错误偏差达到基金份额净值的0.25%时，基金管理人应当通报基金托管人并报中国证监会备案；错误偏差达到基金份额净值的0.5%时，基金管理人应当公告，并报中国证监会备案。</w:t>
      </w:r>
    </w:p>
    <w:p>
      <w:pPr>
        <w:adjustRightInd w:val="0"/>
        <w:snapToGrid w:val="0"/>
        <w:spacing w:line="360" w:lineRule="auto"/>
        <w:ind w:firstLine="480" w:firstLineChars="200"/>
        <w:rPr>
          <w:rFonts w:hAnsi="宋体"/>
          <w:sz w:val="24"/>
          <w:szCs w:val="24"/>
        </w:rPr>
      </w:pPr>
      <w:r>
        <w:rPr>
          <w:rFonts w:hint="eastAsia" w:hAnsi="宋体"/>
          <w:sz w:val="24"/>
          <w:szCs w:val="24"/>
        </w:rPr>
        <w:t>（3）当基金份额净值计算差错给基金和基金份额持有人造成损失需要进行赔偿时，基金管理人和基金托管人应根据实际情况界定双方承担的责任，经确认后按以下条款进行赔偿：</w:t>
      </w:r>
    </w:p>
    <w:p>
      <w:pPr>
        <w:adjustRightInd w:val="0"/>
        <w:snapToGrid w:val="0"/>
        <w:spacing w:line="360" w:lineRule="auto"/>
        <w:ind w:firstLine="480" w:firstLineChars="200"/>
        <w:rPr>
          <w:rFonts w:hAnsi="宋体"/>
          <w:sz w:val="24"/>
          <w:szCs w:val="24"/>
        </w:rPr>
      </w:pPr>
      <w:r>
        <w:rPr>
          <w:rFonts w:hint="eastAsia" w:hAnsi="宋体"/>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pPr>
        <w:adjustRightInd w:val="0"/>
        <w:snapToGrid w:val="0"/>
        <w:spacing w:line="360" w:lineRule="auto"/>
        <w:ind w:firstLine="480" w:firstLineChars="200"/>
        <w:rPr>
          <w:rFonts w:hAnsi="宋体"/>
          <w:sz w:val="24"/>
          <w:szCs w:val="24"/>
        </w:rPr>
      </w:pPr>
      <w:r>
        <w:rPr>
          <w:rFonts w:hint="eastAsia" w:hAnsi="宋体"/>
          <w:sz w:val="24"/>
          <w:szCs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pPr>
        <w:adjustRightInd w:val="0"/>
        <w:snapToGrid w:val="0"/>
        <w:spacing w:line="360" w:lineRule="auto"/>
        <w:ind w:firstLine="480" w:firstLineChars="200"/>
        <w:rPr>
          <w:rFonts w:hAnsi="宋体"/>
          <w:sz w:val="24"/>
          <w:szCs w:val="24"/>
        </w:rPr>
      </w:pPr>
      <w:r>
        <w:rPr>
          <w:rFonts w:hint="eastAsia" w:hAnsi="宋体"/>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djustRightInd w:val="0"/>
        <w:snapToGrid w:val="0"/>
        <w:spacing w:line="360" w:lineRule="auto"/>
        <w:ind w:firstLine="480" w:firstLineChars="200"/>
        <w:rPr>
          <w:rFonts w:hAnsi="宋体"/>
          <w:sz w:val="24"/>
          <w:szCs w:val="24"/>
        </w:rPr>
      </w:pPr>
      <w:r>
        <w:rPr>
          <w:rFonts w:hint="eastAsia" w:hAnsi="宋体"/>
          <w:sz w:val="24"/>
          <w:szCs w:val="24"/>
        </w:rPr>
        <w:t>④由于基金管理人提供的信息错误（包括但不限于基金申购或赎回金额等），进而导致基金份额净值计算错误而引起的基金份额持有人和基金财产的损失，由基金管理人负责赔付。</w:t>
      </w:r>
    </w:p>
    <w:p>
      <w:pPr>
        <w:adjustRightInd w:val="0"/>
        <w:snapToGrid w:val="0"/>
        <w:spacing w:line="360" w:lineRule="auto"/>
        <w:ind w:firstLine="480" w:firstLineChars="200"/>
        <w:rPr>
          <w:rFonts w:hAnsi="宋体"/>
          <w:sz w:val="24"/>
          <w:szCs w:val="24"/>
        </w:rPr>
      </w:pPr>
      <w:r>
        <w:rPr>
          <w:rFonts w:hint="eastAsia" w:hAnsi="宋体"/>
          <w:sz w:val="24"/>
          <w:szCs w:val="24"/>
        </w:rPr>
        <w:t>（4）前述内容如法律法规或监管机关另有规定的，从其规定处理。</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七</w:t>
      </w:r>
      <w:r>
        <w:rPr>
          <w:rFonts w:hAnsi="宋体"/>
          <w:b/>
          <w:sz w:val="24"/>
          <w:szCs w:val="24"/>
        </w:rPr>
        <w:t>）暂停估值的情形</w:t>
      </w:r>
    </w:p>
    <w:p>
      <w:pPr>
        <w:adjustRightInd w:val="0"/>
        <w:snapToGrid w:val="0"/>
        <w:spacing w:line="360" w:lineRule="auto"/>
        <w:ind w:firstLine="480" w:firstLineChars="200"/>
        <w:rPr>
          <w:sz w:val="24"/>
          <w:szCs w:val="24"/>
        </w:rPr>
      </w:pPr>
      <w:r>
        <w:rPr>
          <w:rFonts w:hint="eastAsia"/>
          <w:sz w:val="24"/>
          <w:szCs w:val="24"/>
        </w:rPr>
        <w:t>1、基金投资所涉及的证券、期货交易市场遇法定节假日或因其他原因暂停营业时；</w:t>
      </w:r>
    </w:p>
    <w:p>
      <w:pPr>
        <w:adjustRightInd w:val="0"/>
        <w:snapToGrid w:val="0"/>
        <w:spacing w:line="360" w:lineRule="auto"/>
        <w:ind w:firstLine="480" w:firstLineChars="200"/>
        <w:rPr>
          <w:sz w:val="24"/>
          <w:szCs w:val="24"/>
        </w:rPr>
      </w:pPr>
      <w:r>
        <w:rPr>
          <w:rFonts w:hint="eastAsia"/>
          <w:sz w:val="24"/>
          <w:szCs w:val="24"/>
        </w:rPr>
        <w:t>2、因不可抗力致使基金管理人、基金托管人无法准确评估基金资产价值时；</w:t>
      </w:r>
    </w:p>
    <w:p>
      <w:pPr>
        <w:adjustRightInd w:val="0"/>
        <w:snapToGrid w:val="0"/>
        <w:spacing w:line="360" w:lineRule="auto"/>
        <w:ind w:firstLine="480" w:firstLineChars="200"/>
        <w:rPr>
          <w:sz w:val="24"/>
          <w:szCs w:val="24"/>
        </w:rPr>
      </w:pPr>
      <w:r>
        <w:rPr>
          <w:rFonts w:hint="eastAsia"/>
          <w:sz w:val="24"/>
          <w:szCs w:val="24"/>
        </w:rPr>
        <w:t>3、当特定资产占前一估值日基金资产净值50%以上的，经与基金托管人协商确认后，基金管理人应当暂停估值；</w:t>
      </w:r>
    </w:p>
    <w:p>
      <w:pPr>
        <w:adjustRightInd w:val="0"/>
        <w:snapToGrid w:val="0"/>
        <w:spacing w:line="360" w:lineRule="auto"/>
        <w:ind w:firstLine="480" w:firstLineChars="200"/>
        <w:rPr>
          <w:sz w:val="24"/>
          <w:szCs w:val="24"/>
        </w:rPr>
      </w:pPr>
      <w:r>
        <w:rPr>
          <w:rFonts w:hint="eastAsia"/>
          <w:sz w:val="24"/>
          <w:szCs w:val="24"/>
        </w:rPr>
        <w:t>4、法律法规、中国证监会和基金合同认定的其它情形。</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八</w:t>
      </w:r>
      <w:r>
        <w:rPr>
          <w:rFonts w:hAnsi="宋体"/>
          <w:b/>
          <w:sz w:val="24"/>
          <w:szCs w:val="24"/>
        </w:rPr>
        <w:t>）基金净值的确认</w:t>
      </w:r>
    </w:p>
    <w:p>
      <w:pPr>
        <w:adjustRightInd w:val="0"/>
        <w:snapToGrid w:val="0"/>
        <w:spacing w:line="360" w:lineRule="auto"/>
        <w:ind w:firstLine="480" w:firstLineChars="200"/>
        <w:rPr>
          <w:sz w:val="24"/>
          <w:szCs w:val="24"/>
        </w:rPr>
      </w:pPr>
      <w:r>
        <w:rPr>
          <w:rFonts w:hint="eastAsia" w:hAnsi="宋体"/>
          <w:sz w:val="24"/>
          <w:szCs w:val="24"/>
        </w:rPr>
        <w:t>基金资产净值和基金份额净值由基金管理人负责计算，基金托管人负责进行复核。基金管理人应于每个开放日交易结束后计算当日基金资产净值和基金份额净值并发送给基金托管人。基金托管人对净值计算结果复核确认后发送给基金管理人，由基金管理人依据基金合同和相关法律法规的规定对基金净值予以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九</w:t>
      </w:r>
      <w:r>
        <w:rPr>
          <w:rFonts w:hAnsi="宋体"/>
          <w:b/>
          <w:sz w:val="24"/>
          <w:szCs w:val="24"/>
        </w:rPr>
        <w:t>）特殊情</w:t>
      </w:r>
      <w:r>
        <w:rPr>
          <w:rFonts w:hint="eastAsia" w:hAnsi="宋体"/>
          <w:b/>
          <w:sz w:val="24"/>
          <w:szCs w:val="24"/>
        </w:rPr>
        <w:t>形</w:t>
      </w:r>
      <w:r>
        <w:rPr>
          <w:rFonts w:hAnsi="宋体"/>
          <w:b/>
          <w:sz w:val="24"/>
          <w:szCs w:val="24"/>
        </w:rPr>
        <w:t>的处理</w:t>
      </w:r>
    </w:p>
    <w:p>
      <w:pPr>
        <w:adjustRightInd w:val="0"/>
        <w:snapToGrid w:val="0"/>
        <w:spacing w:line="360" w:lineRule="auto"/>
        <w:ind w:firstLine="480" w:firstLineChars="200"/>
        <w:rPr>
          <w:sz w:val="24"/>
          <w:szCs w:val="24"/>
        </w:rPr>
      </w:pPr>
      <w:r>
        <w:rPr>
          <w:sz w:val="24"/>
          <w:szCs w:val="24"/>
        </w:rPr>
        <w:t>1</w:t>
      </w:r>
      <w:r>
        <w:rPr>
          <w:rFonts w:hint="eastAsia"/>
          <w:sz w:val="24"/>
          <w:szCs w:val="24"/>
        </w:rPr>
        <w:t>、基金管理人或基金托管人按估值方法的第12项进行估值时，所造成的误差不作为基金资产估值错误处理。</w:t>
      </w:r>
    </w:p>
    <w:p>
      <w:pPr>
        <w:adjustRightInd w:val="0"/>
        <w:snapToGrid w:val="0"/>
        <w:spacing w:line="360" w:lineRule="auto"/>
        <w:ind w:firstLine="480" w:firstLineChars="200"/>
        <w:rPr>
          <w:sz w:val="24"/>
          <w:szCs w:val="24"/>
        </w:rPr>
      </w:pPr>
      <w:r>
        <w:rPr>
          <w:sz w:val="24"/>
          <w:szCs w:val="24"/>
        </w:rPr>
        <w:t>2</w:t>
      </w:r>
      <w:r>
        <w:rPr>
          <w:rFonts w:hint="eastAsia"/>
          <w:sz w:val="24"/>
          <w:szCs w:val="24"/>
        </w:rPr>
        <w:t>、由于不可抗力原因，或由于证券、期货交易所、证券经纪机构、期货公司及登记结算公司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djustRightInd w:val="0"/>
        <w:snapToGrid w:val="0"/>
        <w:spacing w:line="360" w:lineRule="auto"/>
        <w:ind w:firstLine="482" w:firstLineChars="200"/>
        <w:outlineLvl w:val="1"/>
        <w:rPr>
          <w:rFonts w:hAnsi="宋体"/>
          <w:b/>
          <w:sz w:val="24"/>
          <w:szCs w:val="24"/>
        </w:rPr>
      </w:pPr>
      <w:r>
        <w:rPr>
          <w:rFonts w:hint="eastAsia" w:hAnsi="宋体"/>
          <w:b/>
          <w:sz w:val="24"/>
          <w:szCs w:val="24"/>
        </w:rPr>
        <w:t>（十）实施侧袋机制期间的基金资产估值</w:t>
      </w:r>
    </w:p>
    <w:p>
      <w:pPr>
        <w:adjustRightInd w:val="0"/>
        <w:snapToGrid w:val="0"/>
        <w:spacing w:line="360" w:lineRule="auto"/>
        <w:ind w:firstLine="480" w:firstLineChars="200"/>
        <w:rPr>
          <w:rFonts w:hAnsi="宋体"/>
          <w:sz w:val="24"/>
          <w:szCs w:val="24"/>
        </w:rPr>
      </w:pPr>
      <w:r>
        <w:rPr>
          <w:rFonts w:hint="eastAsia" w:hAnsi="宋体"/>
          <w:sz w:val="24"/>
          <w:szCs w:val="24"/>
        </w:rPr>
        <w:t>本基金实施侧袋机制的，应根据本部分的约定对主袋账户资产进行估值并披露主袋账户的基金净值信息，暂停披露侧袋账户份额净值。</w:t>
      </w:r>
      <w:bookmarkEnd w:id="69"/>
    </w:p>
    <w:p>
      <w:pPr>
        <w:adjustRightInd w:val="0"/>
        <w:snapToGrid w:val="0"/>
        <w:spacing w:line="360" w:lineRule="auto"/>
        <w:jc w:val="center"/>
        <w:outlineLvl w:val="0"/>
        <w:rPr>
          <w:rFonts w:ascii="宋体" w:hAnsi="宋体"/>
          <w:b/>
          <w:kern w:val="0"/>
          <w:sz w:val="30"/>
        </w:rPr>
      </w:pPr>
      <w:r>
        <w:rPr>
          <w:sz w:val="24"/>
          <w:szCs w:val="24"/>
        </w:rPr>
        <w:br w:type="page"/>
      </w:r>
      <w:bookmarkStart w:id="70" w:name="_Toc48122013"/>
      <w:r>
        <w:rPr>
          <w:rFonts w:hint="eastAsia" w:ascii="宋体" w:hAnsi="宋体"/>
          <w:b/>
          <w:kern w:val="0"/>
          <w:sz w:val="30"/>
        </w:rPr>
        <w:t>十二、基金收益与分配</w:t>
      </w:r>
      <w:bookmarkEnd w:id="70"/>
    </w:p>
    <w:p>
      <w:pPr>
        <w:adjustRightInd w:val="0"/>
        <w:snapToGrid w:val="0"/>
        <w:spacing w:line="360" w:lineRule="auto"/>
        <w:ind w:firstLine="482" w:firstLineChars="200"/>
        <w:outlineLvl w:val="1"/>
        <w:rPr>
          <w:b/>
          <w:sz w:val="24"/>
        </w:rPr>
      </w:pPr>
      <w:bookmarkStart w:id="71" w:name="_Hlk49343954"/>
      <w:r>
        <w:rPr>
          <w:rFonts w:hAnsi="宋体"/>
          <w:b/>
          <w:sz w:val="24"/>
        </w:rPr>
        <w:t>（一）基金利润的构成</w:t>
      </w:r>
    </w:p>
    <w:p>
      <w:pPr>
        <w:adjustRightInd w:val="0"/>
        <w:snapToGrid w:val="0"/>
        <w:spacing w:line="360" w:lineRule="auto"/>
        <w:ind w:firstLine="480" w:firstLineChars="200"/>
        <w:rPr>
          <w:rFonts w:hAnsi="宋体"/>
          <w:sz w:val="24"/>
        </w:rPr>
      </w:pPr>
      <w:r>
        <w:rPr>
          <w:rFonts w:hAnsi="宋体"/>
          <w:sz w:val="24"/>
        </w:rPr>
        <w:t>基金利润指基金利息收入、投资收益、公允价值变动收益和其他收入扣除相关费用后的余额，基金已实现收益指基金利润减去公允价值变动收益后的余额。</w:t>
      </w:r>
    </w:p>
    <w:p>
      <w:pPr>
        <w:adjustRightInd w:val="0"/>
        <w:snapToGrid w:val="0"/>
        <w:spacing w:line="360" w:lineRule="auto"/>
        <w:ind w:firstLine="482" w:firstLineChars="200"/>
        <w:outlineLvl w:val="1"/>
        <w:rPr>
          <w:b/>
          <w:sz w:val="24"/>
        </w:rPr>
      </w:pPr>
      <w:r>
        <w:rPr>
          <w:rFonts w:hAnsi="宋体"/>
          <w:b/>
          <w:sz w:val="24"/>
        </w:rPr>
        <w:t>（二）基金可供分配利润</w:t>
      </w:r>
    </w:p>
    <w:p>
      <w:pPr>
        <w:adjustRightInd w:val="0"/>
        <w:snapToGrid w:val="0"/>
        <w:spacing w:line="360" w:lineRule="auto"/>
        <w:ind w:firstLine="480" w:firstLineChars="200"/>
        <w:rPr>
          <w:rFonts w:hAnsi="宋体"/>
          <w:sz w:val="24"/>
        </w:rPr>
      </w:pPr>
      <w:r>
        <w:rPr>
          <w:rFonts w:hAnsi="宋体"/>
          <w:sz w:val="24"/>
        </w:rPr>
        <w:t>基金可供分配利润指截至收益分</w:t>
      </w:r>
      <w:bookmarkStart w:id="72" w:name="_Hlt80435237"/>
      <w:bookmarkEnd w:id="72"/>
      <w:bookmarkStart w:id="73" w:name="_Hlt88900301"/>
      <w:bookmarkEnd w:id="73"/>
      <w:bookmarkStart w:id="74" w:name="_Hlt81129040"/>
      <w:bookmarkEnd w:id="74"/>
      <w:bookmarkStart w:id="75" w:name="_Toc15118286"/>
      <w:bookmarkStart w:id="76" w:name="_Toc109537392"/>
      <w:r>
        <w:rPr>
          <w:rFonts w:hAnsi="宋体"/>
          <w:sz w:val="24"/>
        </w:rPr>
        <w:t>配</w:t>
      </w:r>
      <w:bookmarkEnd w:id="75"/>
      <w:r>
        <w:rPr>
          <w:rFonts w:hAnsi="宋体"/>
          <w:sz w:val="24"/>
        </w:rPr>
        <w:t>基准日基金未分配利润与</w:t>
      </w:r>
      <w:bookmarkEnd w:id="76"/>
      <w:r>
        <w:rPr>
          <w:rFonts w:hAnsi="宋体"/>
          <w:sz w:val="24"/>
        </w:rPr>
        <w:t>未分配利润中已实现收益的孰低数。</w:t>
      </w:r>
    </w:p>
    <w:p>
      <w:pPr>
        <w:adjustRightInd w:val="0"/>
        <w:snapToGrid w:val="0"/>
        <w:spacing w:line="360" w:lineRule="auto"/>
        <w:ind w:firstLine="482" w:firstLineChars="200"/>
        <w:outlineLvl w:val="1"/>
        <w:rPr>
          <w:b/>
          <w:sz w:val="24"/>
        </w:rPr>
      </w:pPr>
      <w:r>
        <w:rPr>
          <w:rFonts w:hAnsi="宋体"/>
          <w:b/>
          <w:sz w:val="24"/>
        </w:rPr>
        <w:t>（三）</w:t>
      </w:r>
      <w:r>
        <w:rPr>
          <w:rFonts w:hint="eastAsia" w:hAnsi="宋体"/>
          <w:b/>
          <w:sz w:val="24"/>
        </w:rPr>
        <w:t>基金</w:t>
      </w:r>
      <w:r>
        <w:rPr>
          <w:rFonts w:hAnsi="宋体"/>
          <w:b/>
          <w:sz w:val="24"/>
        </w:rPr>
        <w:t>收益分配原则</w:t>
      </w:r>
    </w:p>
    <w:p>
      <w:pPr>
        <w:adjustRightInd w:val="0"/>
        <w:snapToGrid w:val="0"/>
        <w:spacing w:line="360" w:lineRule="auto"/>
        <w:ind w:firstLine="480" w:firstLineChars="200"/>
        <w:rPr>
          <w:rFonts w:ascii="宋体" w:hAnsi="宋体"/>
          <w:bCs/>
          <w:sz w:val="24"/>
          <w:szCs w:val="24"/>
        </w:rPr>
      </w:pPr>
      <w:bookmarkStart w:id="77" w:name="OLE_LINK72"/>
      <w:bookmarkStart w:id="78" w:name="OLE_LINK73"/>
      <w:r>
        <w:rPr>
          <w:rFonts w:hint="eastAsia" w:ascii="宋体" w:hAnsi="宋体"/>
          <w:bCs/>
          <w:sz w:val="24"/>
          <w:szCs w:val="24"/>
        </w:rPr>
        <w:t>1</w:t>
      </w:r>
      <w:r>
        <w:rPr>
          <w:rFonts w:ascii="宋体" w:hAnsi="宋体"/>
          <w:bCs/>
          <w:sz w:val="24"/>
          <w:szCs w:val="24"/>
        </w:rPr>
        <w:t>、</w:t>
      </w:r>
      <w:r>
        <w:rPr>
          <w:rFonts w:hint="eastAsia" w:ascii="宋体" w:hAnsi="宋体"/>
          <w:bCs/>
          <w:sz w:val="24"/>
          <w:szCs w:val="24"/>
        </w:rPr>
        <w:t>在符合有关基金分红条件的前提下，本基金管理人可以根据实际情况进行收益分配，具体分配方案以公告为准，</w:t>
      </w:r>
      <w:r>
        <w:rPr>
          <w:rFonts w:ascii="宋体" w:hAnsi="宋体"/>
          <w:bCs/>
          <w:sz w:val="24"/>
          <w:szCs w:val="24"/>
        </w:rPr>
        <w:t>若《基金合同》生效不满3个月可不进行收益分配；</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3、基金收益分配后基金份额净值不能低于面值；即基金收益分配基准日的基金份额净值减去每单位基金份额收益分配金额后不能低于面值；</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w:t>
      </w:r>
      <w:r>
        <w:rPr>
          <w:rFonts w:ascii="宋体" w:hAnsi="宋体"/>
          <w:bCs/>
          <w:sz w:val="24"/>
          <w:szCs w:val="24"/>
        </w:rPr>
        <w:t>、</w:t>
      </w:r>
      <w:r>
        <w:rPr>
          <w:rFonts w:hint="eastAsia"/>
          <w:bCs/>
          <w:sz w:val="24"/>
        </w:rPr>
        <w:t>本基金</w:t>
      </w:r>
      <w:r>
        <w:rPr>
          <w:rFonts w:ascii="宋体" w:hAnsi="宋体"/>
          <w:bCs/>
          <w:sz w:val="24"/>
          <w:szCs w:val="24"/>
        </w:rPr>
        <w:t>每一基金份额享有同等分配权；</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5</w:t>
      </w:r>
      <w:r>
        <w:rPr>
          <w:rFonts w:ascii="宋体" w:hAnsi="宋体"/>
          <w:bCs/>
          <w:sz w:val="24"/>
          <w:szCs w:val="24"/>
        </w:rPr>
        <w:t>、法律法规或监管</w:t>
      </w:r>
      <w:r>
        <w:rPr>
          <w:rFonts w:hint="eastAsia" w:ascii="宋体" w:hAnsi="宋体"/>
          <w:bCs/>
          <w:sz w:val="24"/>
          <w:szCs w:val="24"/>
        </w:rPr>
        <w:t>机</w:t>
      </w:r>
      <w:r>
        <w:rPr>
          <w:rFonts w:ascii="宋体" w:hAnsi="宋体"/>
          <w:bCs/>
          <w:sz w:val="24"/>
          <w:szCs w:val="24"/>
        </w:rPr>
        <w:t>关另有规定的，从其规定。</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在不违反法律法规、基金合同的约定以及对基金份额持有人利益无实质性不利影响的前提下，基金管理人可在与基金托管人协商一致，并按照监管部门要求履行适当程序后对基金收益分配原则进行调整，不需召开基金份额持有人大会，但应于变更实施日前在规定媒介公告。</w:t>
      </w:r>
    </w:p>
    <w:bookmarkEnd w:id="77"/>
    <w:bookmarkEnd w:id="78"/>
    <w:p>
      <w:pPr>
        <w:snapToGrid w:val="0"/>
        <w:spacing w:line="360" w:lineRule="auto"/>
        <w:ind w:firstLine="482" w:firstLineChars="200"/>
        <w:outlineLvl w:val="1"/>
        <w:rPr>
          <w:b/>
          <w:sz w:val="24"/>
        </w:rPr>
      </w:pPr>
      <w:r>
        <w:rPr>
          <w:rFonts w:hAnsi="宋体"/>
          <w:b/>
          <w:sz w:val="24"/>
        </w:rPr>
        <w:t>（四）收益分配方案</w:t>
      </w:r>
    </w:p>
    <w:p>
      <w:pPr>
        <w:adjustRightInd w:val="0"/>
        <w:snapToGrid w:val="0"/>
        <w:spacing w:line="360" w:lineRule="auto"/>
        <w:ind w:firstLine="480" w:firstLineChars="200"/>
        <w:rPr>
          <w:rFonts w:hAnsi="宋体"/>
          <w:sz w:val="24"/>
        </w:rPr>
      </w:pPr>
      <w:r>
        <w:rPr>
          <w:rFonts w:hAnsi="宋体"/>
          <w:sz w:val="24"/>
        </w:rPr>
        <w:t>基金收益分配方案中应载明截止收益分配基准日的可供分配利润、基金收益分配对象、分配时间、分配数额及比例、分配方式等内容。</w:t>
      </w:r>
    </w:p>
    <w:p>
      <w:pPr>
        <w:adjustRightInd w:val="0"/>
        <w:snapToGrid w:val="0"/>
        <w:spacing w:line="360" w:lineRule="auto"/>
        <w:ind w:firstLine="482" w:firstLineChars="200"/>
        <w:outlineLvl w:val="1"/>
        <w:rPr>
          <w:b/>
          <w:sz w:val="24"/>
        </w:rPr>
      </w:pPr>
      <w:r>
        <w:rPr>
          <w:rFonts w:hAnsi="宋体"/>
          <w:b/>
          <w:sz w:val="24"/>
        </w:rPr>
        <w:t>（五）收益分配方案的确定、公告与实施</w:t>
      </w:r>
    </w:p>
    <w:p>
      <w:pPr>
        <w:adjustRightInd w:val="0"/>
        <w:snapToGrid w:val="0"/>
        <w:spacing w:line="360" w:lineRule="auto"/>
        <w:ind w:firstLine="480" w:firstLineChars="200"/>
        <w:rPr>
          <w:bCs/>
          <w:sz w:val="24"/>
        </w:rPr>
      </w:pPr>
      <w:r>
        <w:rPr>
          <w:rFonts w:hint="eastAsia"/>
          <w:bCs/>
          <w:sz w:val="24"/>
        </w:rPr>
        <w:t>本基金收益分配方案由基金管理人拟定，并由基金托管人复核，依照《信息披露办法》的规定在规定媒介公告。</w:t>
      </w:r>
    </w:p>
    <w:p>
      <w:pPr>
        <w:adjustRightInd w:val="0"/>
        <w:snapToGrid w:val="0"/>
        <w:spacing w:line="360" w:lineRule="auto"/>
        <w:ind w:firstLine="480" w:firstLineChars="200"/>
        <w:rPr>
          <w:rFonts w:ascii="宋体" w:hAnsi="宋体"/>
          <w:sz w:val="24"/>
        </w:rPr>
      </w:pPr>
      <w:r>
        <w:rPr>
          <w:rFonts w:hint="eastAsia"/>
          <w:bCs/>
          <w:sz w:val="24"/>
        </w:rPr>
        <w:t>法律法规或监管机关另有规定的，从其规定。</w:t>
      </w:r>
    </w:p>
    <w:p>
      <w:pPr>
        <w:adjustRightInd w:val="0"/>
        <w:snapToGrid w:val="0"/>
        <w:spacing w:line="360" w:lineRule="auto"/>
        <w:ind w:firstLine="482" w:firstLineChars="200"/>
        <w:outlineLvl w:val="1"/>
        <w:rPr>
          <w:b/>
          <w:sz w:val="24"/>
        </w:rPr>
      </w:pPr>
      <w:r>
        <w:rPr>
          <w:b/>
          <w:sz w:val="24"/>
        </w:rPr>
        <w:t>（六）基金收益分配中发生的费用</w:t>
      </w:r>
    </w:p>
    <w:p>
      <w:pPr>
        <w:adjustRightInd w:val="0"/>
        <w:snapToGrid w:val="0"/>
        <w:spacing w:line="360" w:lineRule="auto"/>
        <w:ind w:firstLine="480" w:firstLineChars="20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pPr>
        <w:adjustRightInd w:val="0"/>
        <w:snapToGrid w:val="0"/>
        <w:spacing w:line="360" w:lineRule="auto"/>
        <w:ind w:firstLine="482" w:firstLineChars="200"/>
        <w:outlineLvl w:val="1"/>
        <w:rPr>
          <w:b/>
          <w:sz w:val="24"/>
        </w:rPr>
      </w:pPr>
      <w:r>
        <w:rPr>
          <w:b/>
          <w:sz w:val="24"/>
        </w:rPr>
        <w:t>（七）收益分配方式的修改</w:t>
      </w:r>
    </w:p>
    <w:p>
      <w:pPr>
        <w:adjustRightInd w:val="0"/>
        <w:snapToGrid w:val="0"/>
        <w:spacing w:line="360" w:lineRule="auto"/>
        <w:ind w:firstLine="480" w:firstLineChars="200"/>
        <w:rPr>
          <w:sz w:val="24"/>
        </w:rPr>
      </w:pPr>
      <w:r>
        <w:rPr>
          <w:sz w:val="24"/>
        </w:rPr>
        <w:t>投资人可至销售机构办理收益分配方式的修改，投资人对本基金不同的交易账户可设置不同的收益分配方式。</w:t>
      </w:r>
    </w:p>
    <w:p>
      <w:pPr>
        <w:adjustRightInd w:val="0"/>
        <w:snapToGrid w:val="0"/>
        <w:spacing w:line="360" w:lineRule="auto"/>
        <w:ind w:firstLine="480" w:firstLineChars="20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pPr>
        <w:adjustRightInd w:val="0"/>
        <w:snapToGrid w:val="0"/>
        <w:spacing w:line="360" w:lineRule="auto"/>
        <w:ind w:firstLine="482" w:firstLineChars="200"/>
        <w:outlineLvl w:val="1"/>
        <w:rPr>
          <w:b/>
          <w:sz w:val="24"/>
        </w:rPr>
      </w:pPr>
      <w:r>
        <w:rPr>
          <w:rFonts w:hint="eastAsia"/>
          <w:b/>
          <w:sz w:val="24"/>
        </w:rPr>
        <w:t>（八</w:t>
      </w:r>
      <w:r>
        <w:rPr>
          <w:b/>
          <w:sz w:val="24"/>
        </w:rPr>
        <w:t>）</w:t>
      </w:r>
      <w:r>
        <w:rPr>
          <w:rFonts w:hint="eastAsia"/>
          <w:b/>
          <w:sz w:val="24"/>
        </w:rPr>
        <w:t>实施侧袋机制期间的收益分配</w:t>
      </w:r>
    </w:p>
    <w:p>
      <w:pPr>
        <w:adjustRightInd w:val="0"/>
        <w:snapToGrid w:val="0"/>
        <w:spacing w:line="360" w:lineRule="auto"/>
        <w:ind w:firstLine="480" w:firstLineChars="200"/>
        <w:rPr>
          <w:sz w:val="24"/>
        </w:rPr>
      </w:pPr>
      <w:r>
        <w:rPr>
          <w:rFonts w:hint="eastAsia"/>
          <w:sz w:val="24"/>
        </w:rPr>
        <w:t>本基金实施侧袋机制的，侧袋账户不进行收益分配。</w:t>
      </w:r>
      <w:bookmarkEnd w:id="71"/>
    </w:p>
    <w:p>
      <w:pPr>
        <w:widowControl/>
        <w:adjustRightInd w:val="0"/>
        <w:snapToGrid w:val="0"/>
        <w:spacing w:line="360" w:lineRule="auto"/>
        <w:ind w:firstLine="200"/>
        <w:rPr>
          <w:rFonts w:ascii="宋体" w:hAnsi="宋体"/>
          <w:kern w:val="0"/>
          <w:sz w:val="24"/>
        </w:rPr>
      </w:pPr>
    </w:p>
    <w:p>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79" w:name="_Toc48122014"/>
      <w:r>
        <w:rPr>
          <w:rFonts w:hint="eastAsia" w:ascii="宋体" w:hAnsi="宋体"/>
          <w:b/>
          <w:kern w:val="0"/>
          <w:sz w:val="30"/>
        </w:rPr>
        <w:t>十三、基金的费用与税收</w:t>
      </w:r>
      <w:bookmarkEnd w:id="79"/>
    </w:p>
    <w:p>
      <w:pPr>
        <w:adjustRightInd w:val="0"/>
        <w:snapToGrid w:val="0"/>
        <w:spacing w:line="360" w:lineRule="auto"/>
        <w:ind w:firstLine="482" w:firstLineChars="200"/>
        <w:outlineLvl w:val="1"/>
        <w:rPr>
          <w:i/>
          <w:sz w:val="24"/>
          <w:u w:val="single"/>
        </w:rPr>
      </w:pPr>
      <w:bookmarkStart w:id="80" w:name="_Hlk49343964"/>
      <w:r>
        <w:rPr>
          <w:rFonts w:hAnsi="宋体"/>
          <w:b/>
          <w:sz w:val="24"/>
        </w:rPr>
        <w:t>（一）基金费用的种类</w:t>
      </w:r>
    </w:p>
    <w:p>
      <w:pPr>
        <w:adjustRightInd w:val="0"/>
        <w:snapToGrid w:val="0"/>
        <w:spacing w:line="360" w:lineRule="auto"/>
        <w:ind w:firstLine="480" w:firstLineChars="200"/>
        <w:rPr>
          <w:sz w:val="24"/>
        </w:rPr>
      </w:pPr>
      <w:r>
        <w:rPr>
          <w:sz w:val="24"/>
        </w:rPr>
        <w:t>1、基金管理人的管理费；</w:t>
      </w:r>
    </w:p>
    <w:p>
      <w:pPr>
        <w:adjustRightInd w:val="0"/>
        <w:snapToGrid w:val="0"/>
        <w:spacing w:line="360" w:lineRule="auto"/>
        <w:ind w:firstLine="480" w:firstLineChars="200"/>
        <w:rPr>
          <w:sz w:val="24"/>
        </w:rPr>
      </w:pPr>
      <w:r>
        <w:rPr>
          <w:rFonts w:hint="eastAsia"/>
          <w:sz w:val="24"/>
        </w:rPr>
        <w:t>2、基金托管人的托管费；</w:t>
      </w:r>
    </w:p>
    <w:p>
      <w:pPr>
        <w:adjustRightInd w:val="0"/>
        <w:snapToGrid w:val="0"/>
        <w:spacing w:line="360" w:lineRule="auto"/>
        <w:ind w:firstLine="480" w:firstLineChars="200"/>
        <w:rPr>
          <w:sz w:val="24"/>
        </w:rPr>
      </w:pPr>
      <w:r>
        <w:rPr>
          <w:rFonts w:hint="eastAsia"/>
          <w:sz w:val="24"/>
        </w:rPr>
        <w:t>3、《基金合同》生效后与基金相关的信息披露费用；</w:t>
      </w:r>
    </w:p>
    <w:p>
      <w:pPr>
        <w:adjustRightInd w:val="0"/>
        <w:snapToGrid w:val="0"/>
        <w:spacing w:line="360" w:lineRule="auto"/>
        <w:ind w:firstLine="480" w:firstLineChars="200"/>
        <w:rPr>
          <w:sz w:val="24"/>
        </w:rPr>
      </w:pPr>
      <w:r>
        <w:rPr>
          <w:rFonts w:hint="eastAsia"/>
          <w:sz w:val="24"/>
        </w:rPr>
        <w:t>4、《基金合同》生效后与基金相关的会计师费、律师费</w:t>
      </w:r>
      <w:r>
        <w:rPr>
          <w:rFonts w:hint="eastAsia"/>
          <w:bCs/>
          <w:sz w:val="24"/>
        </w:rPr>
        <w:t>、仲裁费</w:t>
      </w:r>
      <w:r>
        <w:rPr>
          <w:rFonts w:hint="eastAsia"/>
          <w:sz w:val="24"/>
        </w:rPr>
        <w:t>和诉讼费；</w:t>
      </w:r>
    </w:p>
    <w:p>
      <w:pPr>
        <w:adjustRightInd w:val="0"/>
        <w:snapToGrid w:val="0"/>
        <w:spacing w:line="360" w:lineRule="auto"/>
        <w:ind w:firstLine="480" w:firstLineChars="200"/>
        <w:rPr>
          <w:sz w:val="24"/>
        </w:rPr>
      </w:pPr>
      <w:r>
        <w:rPr>
          <w:rFonts w:hint="eastAsia"/>
          <w:sz w:val="24"/>
        </w:rPr>
        <w:t>5、基金份额持有人大会费用；</w:t>
      </w:r>
    </w:p>
    <w:p>
      <w:pPr>
        <w:adjustRightInd w:val="0"/>
        <w:snapToGrid w:val="0"/>
        <w:spacing w:line="360" w:lineRule="auto"/>
        <w:ind w:firstLine="480" w:firstLineChars="200"/>
        <w:rPr>
          <w:sz w:val="24"/>
        </w:rPr>
      </w:pPr>
      <w:r>
        <w:rPr>
          <w:rFonts w:hint="eastAsia"/>
          <w:sz w:val="24"/>
        </w:rPr>
        <w:t>6、基金的证券、期货交易费用；</w:t>
      </w:r>
    </w:p>
    <w:p>
      <w:pPr>
        <w:adjustRightInd w:val="0"/>
        <w:snapToGrid w:val="0"/>
        <w:spacing w:line="360" w:lineRule="auto"/>
        <w:ind w:firstLine="480" w:firstLineChars="200"/>
        <w:rPr>
          <w:sz w:val="24"/>
        </w:rPr>
      </w:pPr>
      <w:r>
        <w:rPr>
          <w:rFonts w:hint="eastAsia"/>
          <w:sz w:val="24"/>
        </w:rPr>
        <w:t>7、基金的银行汇划费用；</w:t>
      </w:r>
    </w:p>
    <w:p>
      <w:pPr>
        <w:adjustRightInd w:val="0"/>
        <w:snapToGrid w:val="0"/>
        <w:spacing w:line="360" w:lineRule="auto"/>
        <w:ind w:firstLine="480" w:firstLineChars="200"/>
        <w:rPr>
          <w:sz w:val="24"/>
        </w:rPr>
      </w:pPr>
      <w:r>
        <w:rPr>
          <w:rFonts w:hint="eastAsia"/>
          <w:sz w:val="24"/>
        </w:rPr>
        <w:t>8、基金的开户费用、账户维护费用；</w:t>
      </w:r>
    </w:p>
    <w:p>
      <w:pPr>
        <w:adjustRightInd w:val="0"/>
        <w:snapToGrid w:val="0"/>
        <w:spacing w:line="360" w:lineRule="auto"/>
        <w:ind w:firstLine="480" w:firstLineChars="200"/>
        <w:rPr>
          <w:sz w:val="24"/>
        </w:rPr>
      </w:pPr>
      <w:r>
        <w:rPr>
          <w:rFonts w:hint="eastAsia"/>
          <w:sz w:val="24"/>
        </w:rPr>
        <w:t>9、因投资港股通标的股票而产生的各项合理费用；</w:t>
      </w:r>
    </w:p>
    <w:p>
      <w:pPr>
        <w:adjustRightInd w:val="0"/>
        <w:snapToGrid w:val="0"/>
        <w:spacing w:line="360" w:lineRule="auto"/>
        <w:ind w:firstLine="480" w:firstLineChars="200"/>
        <w:rPr>
          <w:sz w:val="24"/>
        </w:rPr>
      </w:pPr>
      <w:r>
        <w:rPr>
          <w:rFonts w:hint="eastAsia"/>
          <w:sz w:val="24"/>
        </w:rPr>
        <w:t>10、按照国家有关规定和《基金合同》约定，可以在基金财产中列支的其他费用。</w:t>
      </w:r>
    </w:p>
    <w:p>
      <w:pPr>
        <w:adjustRightInd w:val="0"/>
        <w:snapToGrid w:val="0"/>
        <w:spacing w:line="360" w:lineRule="auto"/>
        <w:ind w:firstLine="482"/>
        <w:outlineLvl w:val="1"/>
        <w:rPr>
          <w:b/>
          <w:bCs/>
          <w:sz w:val="24"/>
        </w:rPr>
      </w:pPr>
      <w:r>
        <w:rPr>
          <w:b/>
          <w:bCs/>
          <w:sz w:val="24"/>
        </w:rPr>
        <w:t>（二）基金费用计提方法、计提标准和支付方式</w:t>
      </w:r>
    </w:p>
    <w:p>
      <w:pPr>
        <w:adjustRightInd w:val="0"/>
        <w:snapToGrid w:val="0"/>
        <w:spacing w:line="360" w:lineRule="auto"/>
        <w:ind w:firstLine="480" w:firstLineChars="200"/>
        <w:outlineLvl w:val="2"/>
        <w:rPr>
          <w:sz w:val="24"/>
        </w:rPr>
      </w:pPr>
      <w:r>
        <w:rPr>
          <w:rFonts w:hint="eastAsia"/>
          <w:sz w:val="24"/>
        </w:rPr>
        <w:t>1、与基金运作有关的费用</w:t>
      </w:r>
    </w:p>
    <w:p>
      <w:pPr>
        <w:adjustRightInd w:val="0"/>
        <w:snapToGrid w:val="0"/>
        <w:spacing w:line="360" w:lineRule="auto"/>
        <w:ind w:firstLine="480" w:firstLineChars="200"/>
        <w:rPr>
          <w:sz w:val="24"/>
        </w:rPr>
      </w:pPr>
      <w:r>
        <w:rPr>
          <w:rFonts w:hint="eastAsia"/>
          <w:sz w:val="24"/>
        </w:rPr>
        <w:t>（</w:t>
      </w:r>
      <w:r>
        <w:rPr>
          <w:sz w:val="24"/>
        </w:rPr>
        <w:t>1</w:t>
      </w:r>
      <w:r>
        <w:rPr>
          <w:rFonts w:hint="eastAsia" w:hAnsi="宋体"/>
          <w:sz w:val="24"/>
        </w:rPr>
        <w:t>）</w:t>
      </w:r>
      <w:r>
        <w:rPr>
          <w:rFonts w:hAnsi="宋体"/>
          <w:sz w:val="24"/>
        </w:rPr>
        <w:t>基金管理人的管理费</w:t>
      </w:r>
    </w:p>
    <w:p>
      <w:pPr>
        <w:adjustRightInd w:val="0"/>
        <w:snapToGrid w:val="0"/>
        <w:spacing w:line="360" w:lineRule="auto"/>
        <w:ind w:firstLine="480" w:firstLineChars="200"/>
        <w:rPr>
          <w:bCs/>
          <w:sz w:val="24"/>
        </w:rPr>
      </w:pPr>
      <w:r>
        <w:rPr>
          <w:rFonts w:hint="eastAsia"/>
          <w:bCs/>
          <w:sz w:val="24"/>
        </w:rPr>
        <w:t>本基金的管理费按前一日基金资产净值的1.</w:t>
      </w:r>
      <w:r>
        <w:rPr>
          <w:bCs/>
          <w:sz w:val="24"/>
        </w:rPr>
        <w:t>2</w:t>
      </w:r>
      <w:r>
        <w:rPr>
          <w:rFonts w:hint="eastAsia"/>
          <w:bCs/>
          <w:sz w:val="24"/>
        </w:rPr>
        <w:t>%年费率计提。管理费的计算方法如下：</w:t>
      </w:r>
    </w:p>
    <w:p>
      <w:pPr>
        <w:adjustRightInd w:val="0"/>
        <w:snapToGrid w:val="0"/>
        <w:spacing w:line="360" w:lineRule="auto"/>
        <w:ind w:firstLine="480" w:firstLineChars="200"/>
        <w:rPr>
          <w:bCs/>
          <w:sz w:val="24"/>
        </w:rPr>
      </w:pPr>
      <w:r>
        <w:rPr>
          <w:rFonts w:hint="eastAsia"/>
          <w:bCs/>
          <w:sz w:val="24"/>
        </w:rPr>
        <w:t>H＝E×年管理费率÷当年天数</w:t>
      </w:r>
    </w:p>
    <w:p>
      <w:pPr>
        <w:adjustRightInd w:val="0"/>
        <w:snapToGrid w:val="0"/>
        <w:spacing w:line="360" w:lineRule="auto"/>
        <w:ind w:firstLine="480" w:firstLineChars="200"/>
        <w:rPr>
          <w:bCs/>
          <w:sz w:val="24"/>
        </w:rPr>
      </w:pPr>
      <w:r>
        <w:rPr>
          <w:rFonts w:hint="eastAsia"/>
          <w:bCs/>
          <w:sz w:val="24"/>
        </w:rPr>
        <w:t>H为每日应计提的基金管理费</w:t>
      </w:r>
    </w:p>
    <w:p>
      <w:pPr>
        <w:adjustRightInd w:val="0"/>
        <w:snapToGrid w:val="0"/>
        <w:spacing w:line="360" w:lineRule="auto"/>
        <w:ind w:firstLine="480" w:firstLineChars="200"/>
        <w:rPr>
          <w:bCs/>
          <w:sz w:val="24"/>
        </w:rPr>
      </w:pPr>
      <w:r>
        <w:rPr>
          <w:rFonts w:hint="eastAsia"/>
          <w:bCs/>
          <w:sz w:val="24"/>
        </w:rPr>
        <w:t>E为前一日的基金资产净值</w:t>
      </w:r>
    </w:p>
    <w:p>
      <w:pPr>
        <w:adjustRightInd w:val="0"/>
        <w:snapToGrid w:val="0"/>
        <w:spacing w:line="360" w:lineRule="auto"/>
        <w:ind w:firstLine="480" w:firstLineChars="200"/>
        <w:rPr>
          <w:bCs/>
          <w:sz w:val="24"/>
        </w:rPr>
      </w:pPr>
      <w:r>
        <w:rPr>
          <w:rFonts w:hint="eastAsia"/>
          <w:bCs/>
          <w:sz w:val="24"/>
        </w:rPr>
        <w:t>基金管理费每日计提，逐日累计至每月月末，按月支付。由基金管理人与基金托管人核对一致后，由基金托管人按照与基金管理人协商一致的方式于次月首日起5个工作日内从基金财产中一次性支付给基金管理人，若遇法定节假日、休息日或不可抗力致使无法按时支付的，支付日期顺延。</w:t>
      </w:r>
    </w:p>
    <w:p>
      <w:pPr>
        <w:adjustRightInd w:val="0"/>
        <w:snapToGrid w:val="0"/>
        <w:spacing w:line="360" w:lineRule="auto"/>
        <w:ind w:firstLine="480" w:firstLineChars="200"/>
        <w:rPr>
          <w:sz w:val="24"/>
        </w:rPr>
      </w:pPr>
      <w:r>
        <w:rPr>
          <w:rFonts w:hint="eastAsia"/>
          <w:sz w:val="24"/>
        </w:rPr>
        <w:t>（</w:t>
      </w:r>
      <w:r>
        <w:rPr>
          <w:sz w:val="24"/>
        </w:rPr>
        <w:t>2</w:t>
      </w:r>
      <w:r>
        <w:rPr>
          <w:rFonts w:hint="eastAsia" w:hAnsi="宋体"/>
          <w:sz w:val="24"/>
        </w:rPr>
        <w:t>）</w:t>
      </w:r>
      <w:r>
        <w:rPr>
          <w:rFonts w:hAnsi="宋体"/>
          <w:sz w:val="24"/>
        </w:rPr>
        <w:t>基金托管人的托管费</w:t>
      </w:r>
    </w:p>
    <w:p>
      <w:pPr>
        <w:adjustRightInd w:val="0"/>
        <w:snapToGrid w:val="0"/>
        <w:spacing w:line="360" w:lineRule="auto"/>
        <w:ind w:firstLine="480" w:firstLineChars="200"/>
        <w:rPr>
          <w:bCs/>
          <w:sz w:val="24"/>
        </w:rPr>
      </w:pPr>
      <w:r>
        <w:rPr>
          <w:rFonts w:hint="eastAsia"/>
          <w:bCs/>
          <w:sz w:val="24"/>
        </w:rPr>
        <w:t>本基金的托管费按前一日基金资产净值的0.2%年费率计提。托管费的计算方法如下：</w:t>
      </w:r>
    </w:p>
    <w:p>
      <w:pPr>
        <w:adjustRightInd w:val="0"/>
        <w:snapToGrid w:val="0"/>
        <w:spacing w:line="360" w:lineRule="auto"/>
        <w:ind w:firstLine="480" w:firstLineChars="200"/>
        <w:rPr>
          <w:bCs/>
          <w:sz w:val="24"/>
        </w:rPr>
      </w:pPr>
      <w:r>
        <w:rPr>
          <w:rFonts w:hint="eastAsia"/>
          <w:bCs/>
          <w:sz w:val="24"/>
        </w:rPr>
        <w:t>H＝E×年托管费率÷当年天数</w:t>
      </w:r>
    </w:p>
    <w:p>
      <w:pPr>
        <w:adjustRightInd w:val="0"/>
        <w:snapToGrid w:val="0"/>
        <w:spacing w:line="360" w:lineRule="auto"/>
        <w:ind w:firstLine="480" w:firstLineChars="200"/>
        <w:rPr>
          <w:bCs/>
          <w:sz w:val="24"/>
        </w:rPr>
      </w:pPr>
      <w:r>
        <w:rPr>
          <w:rFonts w:hint="eastAsia"/>
          <w:bCs/>
          <w:sz w:val="24"/>
        </w:rPr>
        <w:t>H为每日应计提的基金托管费</w:t>
      </w:r>
    </w:p>
    <w:p>
      <w:pPr>
        <w:adjustRightInd w:val="0"/>
        <w:snapToGrid w:val="0"/>
        <w:spacing w:line="360" w:lineRule="auto"/>
        <w:ind w:firstLine="480" w:firstLineChars="200"/>
        <w:rPr>
          <w:bCs/>
          <w:sz w:val="24"/>
        </w:rPr>
      </w:pPr>
      <w:r>
        <w:rPr>
          <w:rFonts w:hint="eastAsia"/>
          <w:bCs/>
          <w:sz w:val="24"/>
        </w:rPr>
        <w:t>E为前一日的基金资产净值</w:t>
      </w:r>
    </w:p>
    <w:p>
      <w:pPr>
        <w:adjustRightInd w:val="0"/>
        <w:snapToGrid w:val="0"/>
        <w:spacing w:line="360" w:lineRule="auto"/>
        <w:ind w:firstLine="480" w:firstLineChars="200"/>
        <w:rPr>
          <w:bCs/>
          <w:sz w:val="24"/>
        </w:rPr>
      </w:pPr>
      <w:r>
        <w:rPr>
          <w:rFonts w:hint="eastAsia"/>
          <w:bCs/>
          <w:sz w:val="24"/>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pPr>
        <w:adjustRightInd w:val="0"/>
        <w:snapToGrid w:val="0"/>
        <w:spacing w:line="360" w:lineRule="auto"/>
        <w:ind w:firstLine="480" w:firstLineChars="200"/>
        <w:rPr>
          <w:sz w:val="24"/>
        </w:rPr>
      </w:pPr>
      <w:r>
        <w:rPr>
          <w:rFonts w:hint="eastAsia"/>
          <w:bCs/>
          <w:sz w:val="24"/>
        </w:rPr>
        <w:t>（3）</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中第3</w:t>
      </w:r>
      <w:r>
        <w:rPr>
          <w:rFonts w:hint="eastAsia"/>
          <w:bCs/>
          <w:sz w:val="24"/>
        </w:rPr>
        <w:t>－10项</w:t>
      </w:r>
      <w:r>
        <w:rPr>
          <w:bCs/>
          <w:sz w:val="24"/>
        </w:rPr>
        <w:t>费用，根据有关法规及相应协议规定，按费用实际支出金额列入当期费用，由基金托管人从基金财产中支付。</w:t>
      </w:r>
    </w:p>
    <w:p>
      <w:pPr>
        <w:adjustRightInd w:val="0"/>
        <w:snapToGrid w:val="0"/>
        <w:spacing w:line="360" w:lineRule="auto"/>
        <w:ind w:firstLine="480" w:firstLineChars="200"/>
        <w:outlineLvl w:val="2"/>
        <w:rPr>
          <w:bCs/>
          <w:sz w:val="24"/>
        </w:rPr>
      </w:pPr>
      <w:r>
        <w:rPr>
          <w:bCs/>
          <w:sz w:val="24"/>
        </w:rPr>
        <w:t>2、与基金销售有关的费用</w:t>
      </w:r>
    </w:p>
    <w:p>
      <w:pPr>
        <w:adjustRightInd w:val="0"/>
        <w:snapToGrid w:val="0"/>
        <w:spacing w:line="360" w:lineRule="auto"/>
        <w:ind w:firstLine="480" w:firstLineChars="200"/>
        <w:rPr>
          <w:bCs/>
          <w:sz w:val="24"/>
        </w:rPr>
      </w:pPr>
      <w:r>
        <w:rPr>
          <w:bCs/>
          <w:sz w:val="24"/>
        </w:rPr>
        <w:t>（1）申购费</w:t>
      </w:r>
    </w:p>
    <w:p>
      <w:pPr>
        <w:adjustRightInd w:val="0"/>
        <w:snapToGrid w:val="0"/>
        <w:spacing w:line="360" w:lineRule="auto"/>
        <w:ind w:firstLine="480" w:firstLineChars="200"/>
        <w:rPr>
          <w:bCs/>
          <w:sz w:val="24"/>
        </w:rPr>
      </w:pPr>
      <w:r>
        <w:rPr>
          <w:bCs/>
          <w:sz w:val="24"/>
        </w:rPr>
        <w:t>本基金申购费的费率水平、计算公式和收取方式详见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pPr>
        <w:adjustRightInd w:val="0"/>
        <w:snapToGrid w:val="0"/>
        <w:spacing w:line="360" w:lineRule="auto"/>
        <w:ind w:firstLine="480" w:firstLineChars="200"/>
        <w:rPr>
          <w:bCs/>
          <w:sz w:val="24"/>
        </w:rPr>
      </w:pPr>
      <w:r>
        <w:rPr>
          <w:bCs/>
          <w:sz w:val="24"/>
        </w:rPr>
        <w:t>（2）赎回费</w:t>
      </w:r>
    </w:p>
    <w:p>
      <w:pPr>
        <w:adjustRightInd w:val="0"/>
        <w:snapToGrid w:val="0"/>
        <w:spacing w:line="360" w:lineRule="auto"/>
        <w:ind w:firstLine="480" w:firstLineChars="200"/>
        <w:rPr>
          <w:bCs/>
          <w:sz w:val="24"/>
        </w:rPr>
      </w:pPr>
      <w:r>
        <w:rPr>
          <w:bCs/>
          <w:sz w:val="24"/>
        </w:rPr>
        <w:t>本基金赎回费的费率水平、计算公式和收取方式详见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pPr>
        <w:adjustRightInd w:val="0"/>
        <w:snapToGrid w:val="0"/>
        <w:spacing w:line="360" w:lineRule="auto"/>
        <w:ind w:firstLine="482"/>
        <w:outlineLvl w:val="1"/>
        <w:rPr>
          <w:b/>
          <w:bCs/>
          <w:sz w:val="24"/>
        </w:rPr>
      </w:pPr>
      <w:r>
        <w:rPr>
          <w:b/>
          <w:bCs/>
          <w:sz w:val="24"/>
        </w:rPr>
        <w:t>（三）不列入基金费用的项目</w:t>
      </w:r>
    </w:p>
    <w:p>
      <w:pPr>
        <w:adjustRightInd w:val="0"/>
        <w:snapToGrid w:val="0"/>
        <w:spacing w:line="360" w:lineRule="auto"/>
        <w:ind w:firstLine="480" w:firstLineChars="200"/>
        <w:rPr>
          <w:rFonts w:hAnsi="宋体"/>
          <w:sz w:val="24"/>
          <w:szCs w:val="21"/>
        </w:rPr>
      </w:pPr>
      <w:r>
        <w:rPr>
          <w:rFonts w:hAnsi="宋体"/>
          <w:sz w:val="24"/>
          <w:szCs w:val="21"/>
        </w:rPr>
        <w:t>下列费用不列入基金费用：</w:t>
      </w:r>
    </w:p>
    <w:p>
      <w:pPr>
        <w:adjustRightInd w:val="0"/>
        <w:snapToGrid w:val="0"/>
        <w:spacing w:line="360" w:lineRule="auto"/>
        <w:ind w:firstLine="480" w:firstLineChars="200"/>
        <w:rPr>
          <w:rFonts w:hAnsi="宋体"/>
          <w:sz w:val="24"/>
          <w:szCs w:val="21"/>
        </w:rPr>
      </w:pPr>
      <w:r>
        <w:rPr>
          <w:rFonts w:hAnsi="宋体"/>
          <w:sz w:val="24"/>
          <w:szCs w:val="21"/>
        </w:rPr>
        <w:t>1、基金管理人和基金托管人因未履行或未完全履行义务导致的费用支出或基金财产的损失；</w:t>
      </w:r>
    </w:p>
    <w:p>
      <w:pPr>
        <w:adjustRightInd w:val="0"/>
        <w:snapToGrid w:val="0"/>
        <w:spacing w:line="360" w:lineRule="auto"/>
        <w:ind w:firstLine="480" w:firstLineChars="200"/>
        <w:rPr>
          <w:rFonts w:hAnsi="宋体"/>
          <w:sz w:val="24"/>
          <w:szCs w:val="21"/>
        </w:rPr>
      </w:pPr>
      <w:r>
        <w:rPr>
          <w:rFonts w:hAnsi="宋体"/>
          <w:sz w:val="24"/>
          <w:szCs w:val="21"/>
        </w:rPr>
        <w:t>2、基金管理人和基金托管人处理与基金运作无关的事项发生的费用；</w:t>
      </w:r>
    </w:p>
    <w:p>
      <w:pPr>
        <w:adjustRightInd w:val="0"/>
        <w:snapToGrid w:val="0"/>
        <w:spacing w:line="360" w:lineRule="auto"/>
        <w:ind w:firstLine="480" w:firstLineChars="200"/>
        <w:rPr>
          <w:rFonts w:hAnsi="宋体"/>
          <w:sz w:val="24"/>
          <w:szCs w:val="21"/>
        </w:rPr>
      </w:pPr>
      <w:r>
        <w:rPr>
          <w:rFonts w:hAnsi="宋体"/>
          <w:sz w:val="24"/>
          <w:szCs w:val="21"/>
        </w:rPr>
        <w:t>3、</w:t>
      </w:r>
      <w:r>
        <w:rPr>
          <w:rFonts w:hint="eastAsia" w:hAnsi="宋体"/>
          <w:sz w:val="24"/>
          <w:szCs w:val="21"/>
        </w:rPr>
        <w:t>《</w:t>
      </w:r>
      <w:r>
        <w:rPr>
          <w:rFonts w:hAnsi="宋体"/>
          <w:sz w:val="24"/>
          <w:szCs w:val="21"/>
        </w:rPr>
        <w:t>基金合同</w:t>
      </w:r>
      <w:r>
        <w:rPr>
          <w:rFonts w:hint="eastAsia" w:hAnsi="宋体"/>
          <w:sz w:val="24"/>
          <w:szCs w:val="21"/>
        </w:rPr>
        <w:t>》</w:t>
      </w:r>
      <w:r>
        <w:rPr>
          <w:rFonts w:hAnsi="宋体"/>
          <w:sz w:val="24"/>
          <w:szCs w:val="21"/>
        </w:rPr>
        <w:t>生效前的相关费用；</w:t>
      </w:r>
    </w:p>
    <w:p>
      <w:pPr>
        <w:adjustRightInd w:val="0"/>
        <w:snapToGrid w:val="0"/>
        <w:spacing w:line="360" w:lineRule="auto"/>
        <w:ind w:firstLine="480" w:firstLineChars="200"/>
        <w:rPr>
          <w:rFonts w:hAnsi="宋体"/>
          <w:sz w:val="24"/>
          <w:szCs w:val="21"/>
        </w:rPr>
      </w:pPr>
      <w:bookmarkStart w:id="81" w:name="_Hlt81193394"/>
      <w:bookmarkEnd w:id="81"/>
      <w:r>
        <w:rPr>
          <w:rFonts w:hAnsi="宋体"/>
          <w:sz w:val="24"/>
          <w:szCs w:val="21"/>
        </w:rPr>
        <w:t>4、其他根据相关法律法规及中国证监会的有关规定不得列入基金费用的项目。</w:t>
      </w:r>
    </w:p>
    <w:p>
      <w:pPr>
        <w:adjustRightInd w:val="0"/>
        <w:snapToGrid w:val="0"/>
        <w:spacing w:line="360" w:lineRule="auto"/>
        <w:ind w:firstLine="482"/>
        <w:outlineLvl w:val="1"/>
        <w:rPr>
          <w:b/>
          <w:bCs/>
          <w:sz w:val="24"/>
        </w:rPr>
      </w:pPr>
      <w:r>
        <w:rPr>
          <w:rFonts w:hint="eastAsia"/>
          <w:b/>
          <w:bCs/>
          <w:sz w:val="24"/>
        </w:rPr>
        <w:t>（</w:t>
      </w:r>
      <w:r>
        <w:rPr>
          <w:b/>
          <w:bCs/>
          <w:sz w:val="24"/>
        </w:rPr>
        <w:t>四</w:t>
      </w:r>
      <w:r>
        <w:rPr>
          <w:rFonts w:hint="eastAsia"/>
          <w:b/>
          <w:bCs/>
          <w:sz w:val="24"/>
        </w:rPr>
        <w:t>）实施侧袋机制期间的基金费用</w:t>
      </w:r>
    </w:p>
    <w:p>
      <w:pPr>
        <w:adjustRightInd w:val="0"/>
        <w:snapToGrid w:val="0"/>
        <w:spacing w:line="360" w:lineRule="auto"/>
        <w:ind w:firstLine="480" w:firstLineChars="200"/>
        <w:rPr>
          <w:rFonts w:hAnsi="宋体"/>
          <w:sz w:val="24"/>
          <w:szCs w:val="21"/>
        </w:rPr>
      </w:pPr>
      <w:r>
        <w:rPr>
          <w:rFonts w:hint="eastAsia" w:hAnsi="宋体"/>
          <w:sz w:val="24"/>
          <w:szCs w:val="21"/>
        </w:rPr>
        <w:t>本基金实施侧袋机制的，与侧袋账户有关的费用可以从侧袋账户中列支，但应待侧袋账户资产变现后方可列支，有关费用可酌情收取或减免，但不得收取管理费，详见本招募说明书“侧袋机制”部分的规定。</w:t>
      </w:r>
    </w:p>
    <w:p>
      <w:pPr>
        <w:adjustRightInd w:val="0"/>
        <w:snapToGrid w:val="0"/>
        <w:spacing w:line="360" w:lineRule="auto"/>
        <w:ind w:firstLine="482"/>
        <w:outlineLvl w:val="1"/>
        <w:rPr>
          <w:b/>
          <w:bCs/>
          <w:sz w:val="24"/>
        </w:rPr>
      </w:pPr>
      <w:r>
        <w:rPr>
          <w:rFonts w:hint="eastAsia"/>
          <w:b/>
          <w:bCs/>
          <w:sz w:val="24"/>
        </w:rPr>
        <w:t>（五）</w:t>
      </w:r>
      <w:r>
        <w:rPr>
          <w:b/>
          <w:bCs/>
          <w:sz w:val="24"/>
        </w:rPr>
        <w:t>基金税收</w:t>
      </w:r>
    </w:p>
    <w:p>
      <w:pPr>
        <w:adjustRightInd w:val="0"/>
        <w:snapToGrid w:val="0"/>
        <w:spacing w:line="360" w:lineRule="auto"/>
        <w:ind w:firstLine="480" w:firstLineChars="200"/>
        <w:rPr>
          <w:rFonts w:ascii="宋体" w:hAnsi="宋体"/>
          <w:b/>
          <w:kern w:val="0"/>
          <w:sz w:val="30"/>
        </w:rPr>
      </w:pPr>
      <w:r>
        <w:rPr>
          <w:rFonts w:hint="eastAsia" w:hAnsi="宋体"/>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80"/>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82" w:name="_Toc48122015"/>
      <w:r>
        <w:rPr>
          <w:rFonts w:hint="eastAsia" w:ascii="宋体" w:hAnsi="宋体"/>
          <w:b/>
          <w:kern w:val="0"/>
          <w:sz w:val="30"/>
        </w:rPr>
        <w:t>十四、基金的会计与审计</w:t>
      </w:r>
      <w:bookmarkEnd w:id="82"/>
    </w:p>
    <w:p>
      <w:pPr>
        <w:adjustRightInd w:val="0"/>
        <w:snapToGrid w:val="0"/>
        <w:spacing w:line="360" w:lineRule="auto"/>
        <w:ind w:firstLine="482"/>
        <w:outlineLvl w:val="1"/>
        <w:rPr>
          <w:b/>
          <w:bCs/>
          <w:sz w:val="24"/>
        </w:rPr>
      </w:pPr>
      <w:bookmarkStart w:id="83" w:name="_Hlk49344167"/>
      <w:r>
        <w:rPr>
          <w:b/>
          <w:bCs/>
          <w:sz w:val="24"/>
        </w:rPr>
        <w:t>（一）基金会计政策</w:t>
      </w:r>
    </w:p>
    <w:p>
      <w:pPr>
        <w:adjustRightInd w:val="0"/>
        <w:snapToGrid w:val="0"/>
        <w:spacing w:line="360" w:lineRule="auto"/>
        <w:ind w:firstLine="480" w:firstLineChars="200"/>
        <w:rPr>
          <w:sz w:val="24"/>
          <w:szCs w:val="18"/>
        </w:rPr>
      </w:pPr>
      <w:r>
        <w:rPr>
          <w:sz w:val="24"/>
        </w:rPr>
        <w:t>1</w:t>
      </w:r>
      <w:r>
        <w:rPr>
          <w:rFonts w:hAnsi="宋体"/>
          <w:sz w:val="24"/>
        </w:rPr>
        <w:t>、基金管理人为本基金的基金会计责任方；</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基金的会计年度为公历年度的1月1日至12月31日；基金首次募集的会计年度按如下原则：如果《基金合同》生效少于2个月，可以并入下一个会计年度披露；</w:t>
      </w:r>
    </w:p>
    <w:p>
      <w:pPr>
        <w:adjustRightInd w:val="0"/>
        <w:snapToGrid w:val="0"/>
        <w:spacing w:line="360" w:lineRule="auto"/>
        <w:ind w:firstLine="480" w:firstLineChars="200"/>
        <w:rPr>
          <w:sz w:val="24"/>
          <w:szCs w:val="18"/>
        </w:rPr>
      </w:pPr>
      <w:bookmarkStart w:id="84" w:name="_Toc109537394"/>
      <w:r>
        <w:rPr>
          <w:sz w:val="24"/>
        </w:rPr>
        <w:t>3</w:t>
      </w:r>
      <w:r>
        <w:rPr>
          <w:rFonts w:hAnsi="宋体"/>
          <w:sz w:val="24"/>
        </w:rPr>
        <w:t>、</w:t>
      </w:r>
      <w:r>
        <w:rPr>
          <w:rFonts w:hAnsi="宋体"/>
          <w:sz w:val="24"/>
          <w:szCs w:val="21"/>
        </w:rPr>
        <w:t>基金核</w:t>
      </w:r>
      <w:bookmarkEnd w:id="84"/>
      <w:r>
        <w:rPr>
          <w:rFonts w:hAnsi="宋体"/>
          <w:sz w:val="24"/>
          <w:szCs w:val="21"/>
        </w:rPr>
        <w:t>算以人民币为记账本位币，以人民币元为记账单位；</w:t>
      </w:r>
    </w:p>
    <w:p>
      <w:pPr>
        <w:adjustRightInd w:val="0"/>
        <w:snapToGrid w:val="0"/>
        <w:spacing w:line="360" w:lineRule="auto"/>
        <w:ind w:firstLine="480" w:firstLineChars="200"/>
        <w:rPr>
          <w:sz w:val="24"/>
          <w:szCs w:val="18"/>
        </w:rPr>
      </w:pPr>
      <w:r>
        <w:rPr>
          <w:sz w:val="24"/>
        </w:rPr>
        <w:t>4</w:t>
      </w:r>
      <w:r>
        <w:rPr>
          <w:rFonts w:hAnsi="宋体"/>
          <w:sz w:val="24"/>
        </w:rPr>
        <w:t>、会计制度执行国家有关会计制度；</w:t>
      </w:r>
    </w:p>
    <w:p>
      <w:pPr>
        <w:adjustRightInd w:val="0"/>
        <w:snapToGrid w:val="0"/>
        <w:spacing w:line="360" w:lineRule="auto"/>
        <w:ind w:firstLine="480" w:firstLineChars="200"/>
        <w:rPr>
          <w:sz w:val="24"/>
          <w:szCs w:val="18"/>
        </w:rPr>
      </w:pPr>
      <w:r>
        <w:rPr>
          <w:sz w:val="24"/>
        </w:rPr>
        <w:t>5</w:t>
      </w:r>
      <w:r>
        <w:rPr>
          <w:rFonts w:hAnsi="宋体"/>
          <w:sz w:val="24"/>
        </w:rPr>
        <w:t>、本基金独立建账、独立核算；</w:t>
      </w:r>
    </w:p>
    <w:p>
      <w:pPr>
        <w:adjustRightInd w:val="0"/>
        <w:snapToGrid w:val="0"/>
        <w:spacing w:line="360" w:lineRule="auto"/>
        <w:ind w:firstLine="480" w:firstLineChars="20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pPr>
        <w:adjustRightInd w:val="0"/>
        <w:snapToGrid w:val="0"/>
        <w:spacing w:line="360" w:lineRule="auto"/>
        <w:ind w:firstLine="480" w:firstLineChars="200"/>
        <w:rPr>
          <w:sz w:val="24"/>
        </w:rPr>
      </w:pPr>
      <w:r>
        <w:rPr>
          <w:sz w:val="24"/>
          <w:szCs w:val="18"/>
        </w:rPr>
        <w:t>7</w:t>
      </w:r>
      <w:r>
        <w:rPr>
          <w:rFonts w:hAnsi="宋体"/>
          <w:sz w:val="24"/>
          <w:szCs w:val="18"/>
        </w:rPr>
        <w:t>、基金托管人每月与基金管理人就基金的会计核算、报表编制等进行核对确认。</w:t>
      </w:r>
    </w:p>
    <w:p>
      <w:pPr>
        <w:adjustRightInd w:val="0"/>
        <w:snapToGrid w:val="0"/>
        <w:spacing w:line="360" w:lineRule="auto"/>
        <w:ind w:firstLine="482"/>
        <w:outlineLvl w:val="1"/>
        <w:rPr>
          <w:b/>
          <w:bCs/>
          <w:sz w:val="24"/>
        </w:rPr>
      </w:pPr>
      <w:r>
        <w:rPr>
          <w:b/>
          <w:bCs/>
          <w:sz w:val="24"/>
        </w:rPr>
        <w:t>（二）基金的年度审计</w:t>
      </w:r>
    </w:p>
    <w:p>
      <w:pPr>
        <w:adjustRightInd w:val="0"/>
        <w:snapToGrid w:val="0"/>
        <w:spacing w:line="360" w:lineRule="auto"/>
        <w:ind w:firstLine="480" w:firstLineChars="200"/>
        <w:rPr>
          <w:rFonts w:hAnsi="宋体"/>
          <w:sz w:val="24"/>
          <w:szCs w:val="18"/>
        </w:rPr>
      </w:pPr>
      <w:r>
        <w:rPr>
          <w:rFonts w:hAnsi="宋体"/>
          <w:sz w:val="24"/>
          <w:szCs w:val="18"/>
        </w:rPr>
        <w:t>1、基金管理人聘请与基金管理人、基金托管人相互独立的符合《中华人民共和国证券法》规定的会计师事务所及其注册会计师对本基金的年度财务报表进行审计。</w:t>
      </w:r>
    </w:p>
    <w:p>
      <w:pPr>
        <w:adjustRightInd w:val="0"/>
        <w:snapToGrid w:val="0"/>
        <w:spacing w:line="360" w:lineRule="auto"/>
        <w:ind w:firstLine="480" w:firstLineChars="200"/>
        <w:rPr>
          <w:rFonts w:hAnsi="宋体"/>
          <w:sz w:val="24"/>
          <w:szCs w:val="18"/>
        </w:rPr>
      </w:pPr>
      <w:r>
        <w:rPr>
          <w:rFonts w:hAnsi="宋体"/>
          <w:sz w:val="24"/>
          <w:szCs w:val="18"/>
        </w:rPr>
        <w:t>2、会计师事务所更换经办注册会计师，应事先征得基金管理人同意。</w:t>
      </w:r>
    </w:p>
    <w:p>
      <w:pPr>
        <w:adjustRightInd w:val="0"/>
        <w:snapToGrid w:val="0"/>
        <w:spacing w:line="360" w:lineRule="auto"/>
        <w:ind w:firstLine="480" w:firstLineChars="200"/>
        <w:rPr>
          <w:rFonts w:hAnsi="宋体"/>
          <w:sz w:val="24"/>
          <w:szCs w:val="18"/>
        </w:rPr>
      </w:pPr>
      <w:r>
        <w:rPr>
          <w:rFonts w:hAnsi="宋体"/>
          <w:sz w:val="24"/>
          <w:szCs w:val="18"/>
        </w:rPr>
        <w:t>3、</w:t>
      </w:r>
      <w:bookmarkStart w:id="85" w:name="_Hlt4221115"/>
      <w:bookmarkEnd w:id="85"/>
      <w:r>
        <w:rPr>
          <w:rFonts w:hAnsi="宋体"/>
          <w:sz w:val="24"/>
          <w:szCs w:val="18"/>
        </w:rPr>
        <w:t>基金管理人认为有充足理由更换会计师事务所，须通报基金托管人。更换会计师事务所需</w:t>
      </w:r>
      <w:r>
        <w:rPr>
          <w:rFonts w:hint="eastAsia" w:hAnsi="宋体"/>
          <w:sz w:val="24"/>
          <w:szCs w:val="18"/>
        </w:rPr>
        <w:t>依照《信息披露办法》的规定</w:t>
      </w:r>
      <w:r>
        <w:rPr>
          <w:rFonts w:hAnsi="宋体"/>
          <w:sz w:val="24"/>
          <w:szCs w:val="18"/>
        </w:rPr>
        <w:t>在</w:t>
      </w:r>
      <w:r>
        <w:rPr>
          <w:rFonts w:hint="eastAsia" w:hAnsi="宋体"/>
          <w:sz w:val="24"/>
          <w:szCs w:val="18"/>
        </w:rPr>
        <w:t>规定媒介</w:t>
      </w:r>
      <w:r>
        <w:rPr>
          <w:rFonts w:hAnsi="宋体"/>
          <w:sz w:val="24"/>
          <w:szCs w:val="18"/>
        </w:rPr>
        <w:t>公告。</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86" w:name="_Toc48122016"/>
      <w:r>
        <w:rPr>
          <w:rFonts w:hint="eastAsia" w:ascii="宋体" w:hAnsi="宋体"/>
          <w:b/>
          <w:kern w:val="0"/>
          <w:sz w:val="30"/>
        </w:rPr>
        <w:t>十五、基金的信息披露</w:t>
      </w:r>
      <w:bookmarkEnd w:id="86"/>
    </w:p>
    <w:p>
      <w:pPr>
        <w:adjustRightInd w:val="0"/>
        <w:snapToGrid w:val="0"/>
        <w:spacing w:line="360" w:lineRule="auto"/>
        <w:ind w:firstLine="482" w:firstLineChars="200"/>
        <w:rPr>
          <w:rFonts w:hAnsi="宋体"/>
          <w:bCs/>
          <w:sz w:val="24"/>
        </w:rPr>
      </w:pPr>
      <w:r>
        <w:rPr>
          <w:rFonts w:hAnsi="宋体"/>
          <w:b/>
          <w:sz w:val="24"/>
        </w:rPr>
        <w:t>（一）</w:t>
      </w:r>
      <w:r>
        <w:rPr>
          <w:rFonts w:hint="eastAsia" w:hAnsi="宋体"/>
          <w:sz w:val="24"/>
        </w:rPr>
        <w:t>本基金的信息披露应符合《基金法》、《运作办法》、《信息披露办法》、《流动性风险管理规定》、《基金合同》及其他有关规定。</w:t>
      </w:r>
      <w:r>
        <w:rPr>
          <w:rFonts w:hint="eastAsia" w:hAnsi="宋体"/>
          <w:bCs/>
          <w:sz w:val="24"/>
        </w:rPr>
        <w:t>相关法律法规关于信息披露的规定发生变化时，本基金从其最新规定。</w:t>
      </w:r>
    </w:p>
    <w:p>
      <w:pPr>
        <w:adjustRightInd w:val="0"/>
        <w:snapToGrid w:val="0"/>
        <w:spacing w:line="360" w:lineRule="auto"/>
        <w:ind w:firstLine="482" w:firstLineChars="200"/>
        <w:rPr>
          <w:b/>
          <w:sz w:val="24"/>
        </w:rPr>
      </w:pPr>
      <w:r>
        <w:rPr>
          <w:b/>
          <w:bCs/>
          <w:sz w:val="24"/>
        </w:rPr>
        <w:t>（二）信息披露义务人</w:t>
      </w:r>
    </w:p>
    <w:p>
      <w:pPr>
        <w:adjustRightInd w:val="0"/>
        <w:snapToGrid w:val="0"/>
        <w:spacing w:line="360" w:lineRule="auto"/>
        <w:ind w:firstLine="480" w:firstLineChars="200"/>
        <w:rPr>
          <w:rFonts w:hAnsi="宋体"/>
          <w:sz w:val="24"/>
        </w:rPr>
      </w:pPr>
      <w:r>
        <w:rPr>
          <w:rFonts w:hAnsi="宋体"/>
          <w:sz w:val="24"/>
        </w:rPr>
        <w:t>本基金信息披露义务人包括基金管理人、基金托管人、召集基金份额持有人大会的基金份额持有人等法律</w:t>
      </w:r>
      <w:r>
        <w:rPr>
          <w:rFonts w:hint="eastAsia" w:hAnsi="宋体"/>
          <w:sz w:val="24"/>
        </w:rPr>
        <w:t>、</w:t>
      </w:r>
      <w:r>
        <w:rPr>
          <w:rFonts w:hAnsi="宋体"/>
          <w:sz w:val="24"/>
        </w:rPr>
        <w:t>行政法规和中国证监会规定的自然人、法人和</w:t>
      </w:r>
      <w:r>
        <w:rPr>
          <w:rFonts w:hint="eastAsia"/>
          <w:bCs/>
          <w:sz w:val="24"/>
        </w:rPr>
        <w:t>非法人</w:t>
      </w:r>
      <w:r>
        <w:rPr>
          <w:rFonts w:hAnsi="宋体"/>
          <w:sz w:val="24"/>
        </w:rPr>
        <w:t>组织。</w:t>
      </w:r>
    </w:p>
    <w:p>
      <w:pPr>
        <w:adjustRightInd w:val="0"/>
        <w:snapToGrid w:val="0"/>
        <w:spacing w:line="360" w:lineRule="auto"/>
        <w:ind w:firstLine="480" w:firstLineChars="200"/>
        <w:rPr>
          <w:rFonts w:hAnsi="宋体"/>
          <w:sz w:val="24"/>
        </w:rPr>
      </w:pPr>
      <w:r>
        <w:rPr>
          <w:rFonts w:hAnsi="宋体"/>
          <w:sz w:val="24"/>
        </w:rPr>
        <w:t>本基金信息披露义务人</w:t>
      </w:r>
      <w:r>
        <w:rPr>
          <w:rFonts w:hint="eastAsia"/>
          <w:bCs/>
          <w:sz w:val="24"/>
        </w:rPr>
        <w:t>以保护基金份额持有人利益为根本出发点，</w:t>
      </w:r>
      <w:r>
        <w:rPr>
          <w:rFonts w:hAnsi="宋体"/>
          <w:sz w:val="24"/>
        </w:rPr>
        <w:t>按照法律法规和中国证监会的规定披露基金信息，并保证所披露信息的真实性、准确性</w:t>
      </w:r>
      <w:r>
        <w:rPr>
          <w:rFonts w:hint="eastAsia" w:hAnsi="宋体"/>
          <w:sz w:val="24"/>
        </w:rPr>
        <w:t>、</w:t>
      </w:r>
      <w:r>
        <w:rPr>
          <w:rFonts w:hAnsi="宋体"/>
          <w:sz w:val="24"/>
        </w:rPr>
        <w:t>完整性</w:t>
      </w:r>
      <w:r>
        <w:rPr>
          <w:rFonts w:hint="eastAsia"/>
          <w:bCs/>
          <w:sz w:val="24"/>
        </w:rPr>
        <w:t>、及时性、简明性和易得性</w:t>
      </w:r>
      <w:r>
        <w:rPr>
          <w:rFonts w:hAnsi="宋体"/>
          <w:sz w:val="24"/>
        </w:rPr>
        <w:t>。</w:t>
      </w:r>
    </w:p>
    <w:p>
      <w:pPr>
        <w:adjustRightInd w:val="0"/>
        <w:snapToGrid w:val="0"/>
        <w:spacing w:line="360" w:lineRule="auto"/>
        <w:ind w:firstLine="480" w:firstLineChars="200"/>
        <w:rPr>
          <w:rFonts w:hAnsi="宋体"/>
          <w:sz w:val="24"/>
        </w:rPr>
      </w:pPr>
      <w:r>
        <w:rPr>
          <w:rFonts w:hint="eastAsia"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pPr>
        <w:adjustRightInd w:val="0"/>
        <w:snapToGrid w:val="0"/>
        <w:spacing w:line="360" w:lineRule="auto"/>
        <w:ind w:firstLine="482" w:firstLineChars="200"/>
        <w:rPr>
          <w:b/>
          <w:sz w:val="24"/>
        </w:rPr>
      </w:pPr>
      <w:r>
        <w:rPr>
          <w:rFonts w:hAnsi="宋体"/>
          <w:b/>
          <w:sz w:val="24"/>
        </w:rPr>
        <w:t>（三）本基金信息披露义务人承诺公开披露的基金信息，不得有下列行为：</w:t>
      </w:r>
    </w:p>
    <w:p>
      <w:pPr>
        <w:adjustRightInd w:val="0"/>
        <w:snapToGrid w:val="0"/>
        <w:spacing w:line="360" w:lineRule="auto"/>
        <w:ind w:firstLine="480" w:firstLineChars="200"/>
        <w:rPr>
          <w:rFonts w:hAnsi="宋体"/>
          <w:sz w:val="24"/>
        </w:rPr>
      </w:pPr>
      <w:r>
        <w:rPr>
          <w:rFonts w:hAnsi="宋体"/>
          <w:sz w:val="24"/>
        </w:rPr>
        <w:t>1、虚假记载、误导性陈述或者重大遗漏；</w:t>
      </w:r>
    </w:p>
    <w:p>
      <w:pPr>
        <w:adjustRightInd w:val="0"/>
        <w:snapToGrid w:val="0"/>
        <w:spacing w:line="360" w:lineRule="auto"/>
        <w:ind w:firstLine="480" w:firstLineChars="200"/>
        <w:rPr>
          <w:rFonts w:hAnsi="宋体"/>
          <w:sz w:val="24"/>
        </w:rPr>
      </w:pPr>
      <w:r>
        <w:rPr>
          <w:rFonts w:hAnsi="宋体"/>
          <w:sz w:val="24"/>
        </w:rPr>
        <w:t>2、对证券投资业绩进行预测；</w:t>
      </w:r>
    </w:p>
    <w:p>
      <w:pPr>
        <w:adjustRightInd w:val="0"/>
        <w:snapToGrid w:val="0"/>
        <w:spacing w:line="360" w:lineRule="auto"/>
        <w:ind w:firstLine="480" w:firstLineChars="200"/>
        <w:rPr>
          <w:rFonts w:hAnsi="宋体"/>
          <w:sz w:val="24"/>
        </w:rPr>
      </w:pPr>
      <w:r>
        <w:rPr>
          <w:rFonts w:hAnsi="宋体"/>
          <w:sz w:val="24"/>
        </w:rPr>
        <w:t>3、违规承诺收益或者承担损失；</w:t>
      </w:r>
    </w:p>
    <w:p>
      <w:pPr>
        <w:adjustRightInd w:val="0"/>
        <w:snapToGrid w:val="0"/>
        <w:spacing w:line="360" w:lineRule="auto"/>
        <w:ind w:firstLine="480" w:firstLineChars="200"/>
        <w:rPr>
          <w:rFonts w:hAnsi="宋体"/>
          <w:sz w:val="24"/>
        </w:rPr>
      </w:pPr>
      <w:r>
        <w:rPr>
          <w:rFonts w:hAnsi="宋体"/>
          <w:sz w:val="24"/>
        </w:rPr>
        <w:t>4、诋毁其他基金管理人、基金托管人或者基金销售机构；</w:t>
      </w:r>
    </w:p>
    <w:p>
      <w:pPr>
        <w:adjustRightInd w:val="0"/>
        <w:snapToGrid w:val="0"/>
        <w:spacing w:line="360" w:lineRule="auto"/>
        <w:ind w:firstLine="480" w:firstLineChars="200"/>
        <w:rPr>
          <w:rFonts w:hAnsi="宋体"/>
          <w:sz w:val="24"/>
        </w:rPr>
      </w:pPr>
      <w:r>
        <w:rPr>
          <w:rFonts w:hAnsi="宋体"/>
          <w:sz w:val="24"/>
        </w:rPr>
        <w:t>5、登载任何自然人、法人</w:t>
      </w:r>
      <w:r>
        <w:rPr>
          <w:rFonts w:hint="eastAsia"/>
          <w:bCs/>
          <w:sz w:val="24"/>
        </w:rPr>
        <w:t>和非法人</w:t>
      </w:r>
      <w:r>
        <w:rPr>
          <w:rFonts w:hAnsi="宋体"/>
          <w:sz w:val="24"/>
        </w:rPr>
        <w:t>组织的祝贺性、恭维性或推荐性的文字；</w:t>
      </w:r>
    </w:p>
    <w:p>
      <w:pPr>
        <w:adjustRightInd w:val="0"/>
        <w:snapToGrid w:val="0"/>
        <w:spacing w:line="360" w:lineRule="auto"/>
        <w:ind w:firstLine="480" w:firstLineChars="200"/>
        <w:rPr>
          <w:rFonts w:hAnsi="宋体"/>
          <w:sz w:val="24"/>
        </w:rPr>
      </w:pPr>
      <w:r>
        <w:rPr>
          <w:rFonts w:hAnsi="宋体"/>
          <w:sz w:val="24"/>
        </w:rPr>
        <w:t>6、中国证监会禁止的其他行为。</w:t>
      </w:r>
    </w:p>
    <w:p>
      <w:pPr>
        <w:adjustRightInd w:val="0"/>
        <w:snapToGrid w:val="0"/>
        <w:spacing w:line="360" w:lineRule="auto"/>
        <w:ind w:firstLine="482" w:firstLineChars="200"/>
        <w:rPr>
          <w:rFonts w:hAnsi="宋体"/>
          <w:sz w:val="24"/>
        </w:rPr>
      </w:pPr>
      <w:r>
        <w:rPr>
          <w:rFonts w:hAnsi="宋体"/>
          <w:b/>
          <w:sz w:val="24"/>
        </w:rPr>
        <w:t>（四）</w:t>
      </w:r>
      <w:r>
        <w:rPr>
          <w:bCs/>
          <w:sz w:val="24"/>
        </w:rPr>
        <w:t>本</w:t>
      </w:r>
      <w:r>
        <w:rPr>
          <w:rFonts w:hAnsi="宋体"/>
          <w:sz w:val="24"/>
        </w:rPr>
        <w:t>基金公开披露的信息应采用中文文本。如同时采用外文文本的，基金信息披露义务人应保证</w:t>
      </w:r>
      <w:r>
        <w:rPr>
          <w:rFonts w:hint="eastAsia"/>
          <w:bCs/>
          <w:sz w:val="24"/>
        </w:rPr>
        <w:t>不同</w:t>
      </w:r>
      <w:r>
        <w:rPr>
          <w:rFonts w:hAnsi="宋体"/>
          <w:sz w:val="24"/>
        </w:rPr>
        <w:t>文本的内容一致。</w:t>
      </w:r>
      <w:r>
        <w:rPr>
          <w:rFonts w:hint="eastAsia"/>
          <w:bCs/>
          <w:sz w:val="24"/>
        </w:rPr>
        <w:t>不同</w:t>
      </w:r>
      <w:r>
        <w:rPr>
          <w:rFonts w:hAnsi="宋体"/>
          <w:sz w:val="24"/>
        </w:rPr>
        <w:t>文本</w:t>
      </w:r>
      <w:r>
        <w:rPr>
          <w:rFonts w:hint="eastAsia" w:hAnsi="宋体"/>
          <w:sz w:val="24"/>
        </w:rPr>
        <w:t>之间</w:t>
      </w:r>
      <w:r>
        <w:rPr>
          <w:rFonts w:hAnsi="宋体"/>
          <w:sz w:val="24"/>
        </w:rPr>
        <w:t>发生歧义的，以中文文本为准。</w:t>
      </w:r>
    </w:p>
    <w:p>
      <w:pPr>
        <w:adjustRightInd w:val="0"/>
        <w:snapToGrid w:val="0"/>
        <w:spacing w:line="360" w:lineRule="auto"/>
        <w:ind w:firstLine="480" w:firstLineChars="200"/>
        <w:rPr>
          <w:sz w:val="24"/>
        </w:rPr>
      </w:pPr>
      <w:r>
        <w:rPr>
          <w:rFonts w:hAnsi="宋体"/>
          <w:sz w:val="24"/>
        </w:rPr>
        <w:t>本基金公开披露的信息采用阿拉伯数字；除特别说明外，货币单位为人民币元。</w:t>
      </w:r>
    </w:p>
    <w:p>
      <w:pPr>
        <w:adjustRightInd w:val="0"/>
        <w:snapToGrid w:val="0"/>
        <w:spacing w:line="360" w:lineRule="auto"/>
        <w:ind w:firstLine="482" w:firstLineChars="200"/>
        <w:rPr>
          <w:b/>
          <w:sz w:val="24"/>
        </w:rPr>
      </w:pPr>
      <w:r>
        <w:rPr>
          <w:rFonts w:hAnsi="宋体"/>
          <w:b/>
          <w:sz w:val="24"/>
        </w:rPr>
        <w:t>（五）公开披露的基金信息</w:t>
      </w:r>
    </w:p>
    <w:p>
      <w:pPr>
        <w:adjustRightInd w:val="0"/>
        <w:snapToGrid w:val="0"/>
        <w:spacing w:line="360" w:lineRule="auto"/>
        <w:ind w:firstLine="480" w:firstLineChars="200"/>
        <w:rPr>
          <w:b/>
          <w:bCs/>
          <w:sz w:val="24"/>
        </w:rPr>
      </w:pPr>
      <w:r>
        <w:rPr>
          <w:bCs/>
          <w:sz w:val="24"/>
        </w:rPr>
        <w:t>公开披露的基金信息包括：</w:t>
      </w:r>
    </w:p>
    <w:p>
      <w:pPr>
        <w:adjustRightInd w:val="0"/>
        <w:snapToGrid w:val="0"/>
        <w:spacing w:line="360" w:lineRule="auto"/>
        <w:ind w:firstLine="480" w:firstLineChars="200"/>
        <w:rPr>
          <w:bCs/>
          <w:sz w:val="24"/>
        </w:rPr>
      </w:pPr>
      <w:r>
        <w:rPr>
          <w:bCs/>
          <w:sz w:val="24"/>
        </w:rPr>
        <w:t>1、基金招募说明书、《基金合同》、基金托管协议</w:t>
      </w:r>
      <w:r>
        <w:rPr>
          <w:rFonts w:hint="eastAsia"/>
          <w:bCs/>
          <w:sz w:val="24"/>
        </w:rPr>
        <w:t>、基金产品资料概要</w:t>
      </w:r>
    </w:p>
    <w:p>
      <w:pPr>
        <w:adjustRightInd w:val="0"/>
        <w:snapToGrid w:val="0"/>
        <w:spacing w:line="360" w:lineRule="auto"/>
        <w:ind w:firstLine="480" w:firstLineChars="200"/>
        <w:rPr>
          <w:rFonts w:hAnsi="宋体"/>
          <w:sz w:val="24"/>
        </w:rPr>
      </w:pPr>
      <w:r>
        <w:rPr>
          <w:rFonts w:hAnsi="宋体"/>
          <w:sz w:val="24"/>
        </w:rPr>
        <w:t>（1）《基金合同》是界定《基金合同》当事人的各项权利、义务关系，明确基金份额持有人大会召开的规则及具体程序，说明基金产品的特性等涉及基金投资者重大利益的事项的法律文件。</w:t>
      </w:r>
    </w:p>
    <w:p>
      <w:pPr>
        <w:adjustRightInd w:val="0"/>
        <w:snapToGrid w:val="0"/>
        <w:spacing w:line="360" w:lineRule="auto"/>
        <w:ind w:firstLine="480" w:firstLineChars="200"/>
        <w:rPr>
          <w:rFonts w:hAnsi="宋体"/>
          <w:sz w:val="24"/>
        </w:rPr>
      </w:pPr>
      <w:r>
        <w:rPr>
          <w:rFonts w:hAnsi="宋体"/>
          <w:sz w:val="24"/>
        </w:rPr>
        <w:t>（2）基金招募说明书应当最大限度地披露影响基金投资者决策的全部事项，说明基金认购、申购和赎回安排、基金投资、基金产品特性、风险揭示、信息披露及基金份额持有人服务等内容。</w:t>
      </w:r>
      <w:r>
        <w:rPr>
          <w:bCs/>
          <w:sz w:val="24"/>
        </w:rPr>
        <w:t>《基金合同》生效后，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w:t>
      </w:r>
      <w:r>
        <w:rPr>
          <w:bCs/>
          <w:sz w:val="24"/>
        </w:rPr>
        <w:t>。</w:t>
      </w:r>
      <w:r>
        <w:rPr>
          <w:rFonts w:hint="eastAsia"/>
          <w:bCs/>
          <w:sz w:val="24"/>
        </w:rPr>
        <w:t>基金终止运作的，基金管理人不再更新基金招募说明书</w:t>
      </w:r>
      <w:r>
        <w:rPr>
          <w:rFonts w:hAnsi="宋体"/>
          <w:sz w:val="24"/>
        </w:rPr>
        <w:t>。</w:t>
      </w:r>
    </w:p>
    <w:p>
      <w:pPr>
        <w:adjustRightInd w:val="0"/>
        <w:snapToGrid w:val="0"/>
        <w:spacing w:line="360" w:lineRule="auto"/>
        <w:ind w:firstLine="480" w:firstLineChars="200"/>
        <w:rPr>
          <w:bCs/>
          <w:sz w:val="24"/>
        </w:rPr>
      </w:pPr>
      <w:r>
        <w:rPr>
          <w:rFonts w:hAnsi="宋体"/>
          <w:sz w:val="24"/>
        </w:rPr>
        <w:t>（3）基金托管协议是界定基金托管人和基金管理人在基金财产保管及基金运作监督等活动中的权利、义务关系的法律文件。</w:t>
      </w:r>
    </w:p>
    <w:p>
      <w:pPr>
        <w:adjustRightInd w:val="0"/>
        <w:snapToGrid w:val="0"/>
        <w:spacing w:line="360" w:lineRule="auto"/>
        <w:ind w:firstLine="480" w:firstLineChars="200"/>
        <w:rPr>
          <w:bCs/>
          <w:sz w:val="24"/>
        </w:rPr>
      </w:pPr>
      <w:r>
        <w:rPr>
          <w:rFonts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adjustRightInd w:val="0"/>
        <w:snapToGrid w:val="0"/>
        <w:spacing w:line="360" w:lineRule="auto"/>
        <w:ind w:firstLine="480" w:firstLineChars="200"/>
        <w:rPr>
          <w:rFonts w:hAnsi="宋体"/>
          <w:sz w:val="24"/>
        </w:rPr>
      </w:pPr>
      <w:r>
        <w:rPr>
          <w:rFonts w:hint="eastAsia" w:hAnsi="宋体"/>
          <w:sz w:val="24"/>
        </w:rPr>
        <w:t>基金募集申请经中国证监会注册后，基金管理人在基金份额发售的三日前，将基金份额发售公告、基金招募说明书提示性公告和《基金合同》提示性公告登载在</w:t>
      </w:r>
      <w:r>
        <w:rPr>
          <w:rFonts w:hint="eastAsia"/>
          <w:bCs/>
          <w:sz w:val="24"/>
        </w:rPr>
        <w:t>规定</w:t>
      </w:r>
      <w:r>
        <w:rPr>
          <w:rFonts w:hint="eastAsia" w:hAnsi="宋体"/>
          <w:sz w:val="24"/>
        </w:rPr>
        <w:t>报刊上，将基金份额发售公告、基金招募说明书、基金产品资料概要、《基金合同》和基金托管协议登载在</w:t>
      </w:r>
      <w:r>
        <w:rPr>
          <w:rFonts w:hint="eastAsia"/>
          <w:bCs/>
          <w:sz w:val="24"/>
        </w:rPr>
        <w:t>规定</w:t>
      </w:r>
      <w:r>
        <w:rPr>
          <w:rFonts w:hint="eastAsia" w:hAnsi="宋体"/>
          <w:sz w:val="24"/>
        </w:rPr>
        <w:t>网站上，并将基金产品资料概要登载在基金销售机构网站或营业网点；基金托管人应当同时将《基金合同》、基金托管协议登载在网站上。</w:t>
      </w:r>
    </w:p>
    <w:p>
      <w:pPr>
        <w:adjustRightInd w:val="0"/>
        <w:snapToGrid w:val="0"/>
        <w:spacing w:line="360" w:lineRule="auto"/>
        <w:ind w:firstLine="480" w:firstLineChars="200"/>
        <w:rPr>
          <w:sz w:val="24"/>
        </w:rPr>
      </w:pPr>
      <w:r>
        <w:rPr>
          <w:sz w:val="24"/>
        </w:rPr>
        <w:t>2</w:t>
      </w:r>
      <w:r>
        <w:rPr>
          <w:rFonts w:hAnsi="宋体"/>
          <w:sz w:val="24"/>
        </w:rPr>
        <w:t>、基金份额发售公告</w:t>
      </w:r>
    </w:p>
    <w:p>
      <w:pPr>
        <w:adjustRightInd w:val="0"/>
        <w:snapToGrid w:val="0"/>
        <w:spacing w:line="360" w:lineRule="auto"/>
        <w:ind w:firstLine="480" w:firstLineChars="200"/>
        <w:rPr>
          <w:rFonts w:hAnsi="宋体"/>
          <w:sz w:val="24"/>
        </w:rPr>
      </w:pPr>
      <w:r>
        <w:rPr>
          <w:rFonts w:hAnsi="宋体"/>
          <w:sz w:val="24"/>
        </w:rPr>
        <w:t>基金管理人应当就基金份额发售的具体事宜编制基金份额发售公告，并在披露招募说明书的当日登载于规定媒介上。</w:t>
      </w:r>
    </w:p>
    <w:p>
      <w:pPr>
        <w:adjustRightInd w:val="0"/>
        <w:snapToGrid w:val="0"/>
        <w:spacing w:line="360" w:lineRule="auto"/>
        <w:ind w:firstLine="480" w:firstLineChars="200"/>
        <w:rPr>
          <w:sz w:val="24"/>
        </w:rPr>
      </w:pPr>
      <w:r>
        <w:rPr>
          <w:sz w:val="24"/>
        </w:rPr>
        <w:t>3</w:t>
      </w:r>
      <w:r>
        <w:rPr>
          <w:rFonts w:hAnsi="宋体"/>
          <w:sz w:val="24"/>
        </w:rPr>
        <w:t>、</w:t>
      </w:r>
      <w:r>
        <w:rPr>
          <w:bCs/>
          <w:sz w:val="24"/>
        </w:rPr>
        <w:t>《基金合同》</w:t>
      </w:r>
      <w:r>
        <w:rPr>
          <w:rFonts w:hAnsi="宋体"/>
          <w:sz w:val="24"/>
        </w:rPr>
        <w:t>生效公告</w:t>
      </w:r>
    </w:p>
    <w:p>
      <w:pPr>
        <w:adjustRightInd w:val="0"/>
        <w:snapToGrid w:val="0"/>
        <w:spacing w:line="360" w:lineRule="auto"/>
        <w:ind w:firstLine="480" w:firstLineChars="200"/>
        <w:rPr>
          <w:rFonts w:hAnsi="宋体"/>
          <w:sz w:val="24"/>
        </w:rPr>
      </w:pPr>
      <w:r>
        <w:rPr>
          <w:rFonts w:hAnsi="宋体"/>
          <w:sz w:val="24"/>
        </w:rPr>
        <w:t>基金管理人应当在收到中国证监会确认文件的次日在规定媒介上登载《基金合同》生效公告。</w:t>
      </w:r>
    </w:p>
    <w:p>
      <w:pPr>
        <w:adjustRightInd w:val="0"/>
        <w:snapToGrid w:val="0"/>
        <w:spacing w:line="360" w:lineRule="auto"/>
        <w:ind w:firstLine="480" w:firstLineChars="200"/>
        <w:rPr>
          <w:sz w:val="24"/>
        </w:rPr>
      </w:pPr>
      <w:r>
        <w:rPr>
          <w:sz w:val="24"/>
        </w:rPr>
        <w:t>4</w:t>
      </w:r>
      <w:r>
        <w:rPr>
          <w:rFonts w:hAnsi="宋体"/>
          <w:sz w:val="24"/>
        </w:rPr>
        <w:t>、基金</w:t>
      </w:r>
      <w:r>
        <w:rPr>
          <w:rFonts w:hint="eastAsia"/>
          <w:bCs/>
          <w:sz w:val="24"/>
        </w:rPr>
        <w:t>净值信息</w:t>
      </w:r>
    </w:p>
    <w:p>
      <w:pPr>
        <w:adjustRightInd w:val="0"/>
        <w:snapToGrid w:val="0"/>
        <w:spacing w:line="360" w:lineRule="auto"/>
        <w:ind w:firstLine="480" w:firstLineChars="200"/>
        <w:rPr>
          <w:bCs/>
          <w:sz w:val="24"/>
        </w:rPr>
      </w:pPr>
      <w:r>
        <w:rPr>
          <w:rFonts w:hint="eastAsia"/>
          <w:bCs/>
          <w:sz w:val="24"/>
        </w:rPr>
        <w:t>《基金合同》生效后，在开始办理基金份额申购或者赎回前，基金管理人应当至少每周在规定网站分别披露一次基金份额净值和基金份额累计净值。</w:t>
      </w:r>
    </w:p>
    <w:p>
      <w:pPr>
        <w:adjustRightInd w:val="0"/>
        <w:snapToGrid w:val="0"/>
        <w:spacing w:line="360" w:lineRule="auto"/>
        <w:ind w:firstLine="480" w:firstLineChars="200"/>
        <w:rPr>
          <w:bCs/>
          <w:sz w:val="24"/>
        </w:rPr>
      </w:pPr>
      <w:r>
        <w:rPr>
          <w:rFonts w:hint="eastAsia"/>
          <w:bCs/>
          <w:sz w:val="24"/>
        </w:rPr>
        <w:t>在开始办理基金份额申购或者赎回后，基金管理人应当在不晚于每个开放日的次日，通过规定网站、基金销售机构网站或者营业网点分别披露开放日的基金份额净值和基金份额累计净值。</w:t>
      </w:r>
    </w:p>
    <w:p>
      <w:pPr>
        <w:adjustRightInd w:val="0"/>
        <w:snapToGrid w:val="0"/>
        <w:spacing w:line="360" w:lineRule="auto"/>
        <w:ind w:firstLine="480" w:firstLineChars="200"/>
        <w:rPr>
          <w:rFonts w:hAnsi="宋体"/>
          <w:sz w:val="24"/>
        </w:rPr>
      </w:pPr>
      <w:r>
        <w:rPr>
          <w:rFonts w:hint="eastAsia"/>
          <w:bCs/>
          <w:sz w:val="24"/>
        </w:rPr>
        <w:t>基金管理人应当在不晚于半年度和年度最后一日的次日，在规定网站披露半年度和年度最后一日基金份额净值和基金份额累计净值。</w:t>
      </w:r>
    </w:p>
    <w:p>
      <w:pPr>
        <w:adjustRightInd w:val="0"/>
        <w:snapToGrid w:val="0"/>
        <w:spacing w:line="360" w:lineRule="auto"/>
        <w:ind w:firstLine="480" w:firstLineChars="200"/>
        <w:rPr>
          <w:sz w:val="24"/>
        </w:rPr>
      </w:pPr>
      <w:r>
        <w:rPr>
          <w:sz w:val="24"/>
        </w:rPr>
        <w:t>5</w:t>
      </w:r>
      <w:r>
        <w:rPr>
          <w:rFonts w:hAnsi="宋体"/>
          <w:sz w:val="24"/>
        </w:rPr>
        <w:t>、基金份额申购、赎回价格</w:t>
      </w:r>
    </w:p>
    <w:p>
      <w:pPr>
        <w:adjustRightInd w:val="0"/>
        <w:snapToGrid w:val="0"/>
        <w:spacing w:line="360" w:lineRule="auto"/>
        <w:ind w:firstLine="480" w:firstLineChars="200"/>
        <w:rPr>
          <w:rFonts w:hAnsi="宋体"/>
          <w:sz w:val="24"/>
        </w:rPr>
      </w:pPr>
      <w:r>
        <w:rPr>
          <w:rFonts w:hAnsi="宋体"/>
          <w:sz w:val="24"/>
        </w:rPr>
        <w:t>基金管理人应当在《基金合同》、招募说明书等信息披露文件上载明基金份额申购、赎回价格的计算方式及有关申购、赎回费率，并保证投资者能够在基金</w:t>
      </w:r>
      <w:r>
        <w:rPr>
          <w:rFonts w:hint="eastAsia" w:hAnsi="宋体"/>
          <w:bCs/>
          <w:sz w:val="24"/>
        </w:rPr>
        <w:t>销售机构</w:t>
      </w:r>
      <w:r>
        <w:rPr>
          <w:rFonts w:hint="eastAsia"/>
          <w:bCs/>
          <w:sz w:val="24"/>
        </w:rPr>
        <w:t>网站或营业网点</w:t>
      </w:r>
      <w:r>
        <w:rPr>
          <w:rFonts w:hAnsi="宋体"/>
          <w:sz w:val="24"/>
        </w:rPr>
        <w:t>查阅或者复制前述信息资料。</w:t>
      </w:r>
    </w:p>
    <w:p>
      <w:pPr>
        <w:adjustRightInd w:val="0"/>
        <w:snapToGrid w:val="0"/>
        <w:spacing w:line="360" w:lineRule="auto"/>
        <w:ind w:firstLine="480" w:firstLineChars="200"/>
        <w:rPr>
          <w:sz w:val="24"/>
        </w:rPr>
      </w:pPr>
      <w:r>
        <w:rPr>
          <w:sz w:val="24"/>
        </w:rPr>
        <w:t>6</w:t>
      </w:r>
      <w:r>
        <w:rPr>
          <w:rFonts w:hAnsi="宋体"/>
          <w:sz w:val="24"/>
        </w:rPr>
        <w:t>、</w:t>
      </w:r>
      <w:r>
        <w:rPr>
          <w:bCs/>
          <w:sz w:val="24"/>
        </w:rPr>
        <w:t>基金定期报告，包括基金年度报告、基金</w:t>
      </w:r>
      <w:r>
        <w:rPr>
          <w:rFonts w:hint="eastAsia"/>
          <w:bCs/>
          <w:sz w:val="24"/>
        </w:rPr>
        <w:t>中期</w:t>
      </w:r>
      <w:r>
        <w:rPr>
          <w:bCs/>
          <w:sz w:val="24"/>
        </w:rPr>
        <w:t>报告和基金季度报告</w:t>
      </w:r>
    </w:p>
    <w:p>
      <w:pPr>
        <w:adjustRightInd w:val="0"/>
        <w:snapToGrid w:val="0"/>
        <w:spacing w:line="360" w:lineRule="auto"/>
        <w:ind w:firstLine="480" w:firstLineChars="200"/>
        <w:rPr>
          <w:rFonts w:hAnsi="宋体"/>
          <w:sz w:val="24"/>
        </w:rPr>
      </w:pPr>
      <w:r>
        <w:rPr>
          <w:rFonts w:hint="eastAsia" w:hAnsi="宋体"/>
          <w:sz w:val="24"/>
        </w:rPr>
        <w:t>基金管理人应当在每年结束之日起三个月内，编制完成基金年度报告，将年度报告登载在规定网站上，并将年度报告提示性公告登载在</w:t>
      </w:r>
      <w:r>
        <w:rPr>
          <w:rFonts w:hint="eastAsia"/>
          <w:bCs/>
          <w:sz w:val="24"/>
        </w:rPr>
        <w:t>规定</w:t>
      </w:r>
      <w:r>
        <w:rPr>
          <w:rFonts w:hint="eastAsia" w:hAnsi="宋体"/>
          <w:sz w:val="24"/>
        </w:rPr>
        <w:t>报刊上。基金年度报告中的财务会计报告应当经过符合《中华人民共和国证券法》规定的会计师事务所审计。</w:t>
      </w:r>
    </w:p>
    <w:p>
      <w:pPr>
        <w:adjustRightInd w:val="0"/>
        <w:snapToGrid w:val="0"/>
        <w:spacing w:line="360" w:lineRule="auto"/>
        <w:ind w:firstLine="480" w:firstLineChars="200"/>
        <w:rPr>
          <w:rFonts w:hAnsi="宋体"/>
          <w:sz w:val="24"/>
        </w:rPr>
      </w:pPr>
      <w:r>
        <w:rPr>
          <w:rFonts w:hint="eastAsia" w:hAnsi="宋体"/>
          <w:sz w:val="24"/>
        </w:rPr>
        <w:t>基金管理人应当在上半年结束之日起两个月内，编制完成基金中期报告，将中期报告登载在规定网站上，并将中期报告提示性公告登载在</w:t>
      </w:r>
      <w:r>
        <w:rPr>
          <w:rFonts w:hint="eastAsia"/>
          <w:bCs/>
          <w:sz w:val="24"/>
        </w:rPr>
        <w:t>规定</w:t>
      </w:r>
      <w:r>
        <w:rPr>
          <w:rFonts w:hint="eastAsia" w:hAnsi="宋体"/>
          <w:sz w:val="24"/>
        </w:rPr>
        <w:t>报刊上。</w:t>
      </w:r>
    </w:p>
    <w:p>
      <w:pPr>
        <w:adjustRightInd w:val="0"/>
        <w:snapToGrid w:val="0"/>
        <w:spacing w:line="360" w:lineRule="auto"/>
        <w:ind w:firstLine="480" w:firstLineChars="200"/>
        <w:rPr>
          <w:rFonts w:hAnsi="宋体"/>
          <w:sz w:val="24"/>
        </w:rPr>
      </w:pPr>
      <w:r>
        <w:rPr>
          <w:rFonts w:hint="eastAsia" w:hAnsi="宋体"/>
          <w:sz w:val="24"/>
        </w:rPr>
        <w:t>基金管理人应当在季度结束之日起15个工作日内，编制完成基金季度报告，将季度报告登载在规定网站上，并将季度报告提示性公告登载在</w:t>
      </w:r>
      <w:r>
        <w:rPr>
          <w:rFonts w:hint="eastAsia"/>
          <w:bCs/>
          <w:sz w:val="24"/>
        </w:rPr>
        <w:t>规定</w:t>
      </w:r>
      <w:r>
        <w:rPr>
          <w:rFonts w:hint="eastAsia" w:hAnsi="宋体"/>
          <w:sz w:val="24"/>
        </w:rPr>
        <w:t>报刊上。</w:t>
      </w:r>
    </w:p>
    <w:p>
      <w:pPr>
        <w:adjustRightInd w:val="0"/>
        <w:snapToGrid w:val="0"/>
        <w:spacing w:line="360" w:lineRule="auto"/>
        <w:ind w:firstLine="480" w:firstLineChars="200"/>
        <w:rPr>
          <w:rFonts w:hAnsi="宋体"/>
          <w:sz w:val="24"/>
        </w:rPr>
      </w:pPr>
      <w:r>
        <w:rPr>
          <w:rFonts w:hint="eastAsia" w:hAnsi="宋体"/>
          <w:sz w:val="24"/>
        </w:rPr>
        <w:t>《基金合同》生效不足2个月的，基金管理人可以不编制当期季度报告、中期报告或者年度报告。</w:t>
      </w:r>
    </w:p>
    <w:p>
      <w:pPr>
        <w:adjustRightInd w:val="0"/>
        <w:snapToGrid w:val="0"/>
        <w:spacing w:line="360" w:lineRule="auto"/>
        <w:ind w:firstLine="480" w:firstLineChars="200"/>
        <w:rPr>
          <w:rFonts w:hAnsi="宋体"/>
          <w:sz w:val="24"/>
        </w:rPr>
      </w:pPr>
      <w:r>
        <w:rPr>
          <w:rFonts w:hint="eastAsia"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djustRightInd w:val="0"/>
        <w:snapToGrid w:val="0"/>
        <w:spacing w:line="360" w:lineRule="auto"/>
        <w:ind w:firstLine="480" w:firstLineChars="200"/>
        <w:rPr>
          <w:rFonts w:hAnsi="宋体"/>
          <w:sz w:val="24"/>
        </w:rPr>
      </w:pPr>
      <w:r>
        <w:rPr>
          <w:rFonts w:hint="eastAsia" w:hAnsi="宋体"/>
          <w:sz w:val="24"/>
        </w:rPr>
        <w:t>基金管理人应当在基金年度报告和</w:t>
      </w:r>
      <w:r>
        <w:rPr>
          <w:rFonts w:hint="eastAsia"/>
          <w:bCs/>
          <w:sz w:val="24"/>
        </w:rPr>
        <w:t>中期</w:t>
      </w:r>
      <w:r>
        <w:rPr>
          <w:rFonts w:hint="eastAsia" w:hAnsi="宋体"/>
          <w:sz w:val="24"/>
        </w:rPr>
        <w:t>报告中披露基金组合资产情况及其流动性风险分析等。</w:t>
      </w:r>
    </w:p>
    <w:p>
      <w:pPr>
        <w:adjustRightInd w:val="0"/>
        <w:snapToGrid w:val="0"/>
        <w:spacing w:line="360" w:lineRule="auto"/>
        <w:ind w:firstLine="480" w:firstLineChars="200"/>
        <w:rPr>
          <w:sz w:val="24"/>
        </w:rPr>
      </w:pPr>
      <w:r>
        <w:rPr>
          <w:sz w:val="24"/>
        </w:rPr>
        <w:t>7</w:t>
      </w:r>
      <w:r>
        <w:rPr>
          <w:rFonts w:hAnsi="宋体"/>
          <w:sz w:val="24"/>
        </w:rPr>
        <w:t>、临时报告</w:t>
      </w:r>
    </w:p>
    <w:p>
      <w:pPr>
        <w:adjustRightInd w:val="0"/>
        <w:snapToGrid w:val="0"/>
        <w:spacing w:line="360" w:lineRule="auto"/>
        <w:ind w:firstLine="480" w:firstLineChars="200"/>
        <w:rPr>
          <w:rFonts w:hAnsi="宋体"/>
          <w:sz w:val="24"/>
        </w:rPr>
      </w:pPr>
      <w:r>
        <w:rPr>
          <w:rFonts w:hAnsi="宋体"/>
          <w:sz w:val="24"/>
        </w:rPr>
        <w:t>本基金发生重大事件，有关信息披露义务人应当</w:t>
      </w:r>
      <w:r>
        <w:rPr>
          <w:rFonts w:hint="eastAsia" w:hAnsi="宋体"/>
          <w:sz w:val="24"/>
        </w:rPr>
        <w:t>依照《信息披露办法》的规定</w:t>
      </w:r>
      <w:r>
        <w:rPr>
          <w:rFonts w:hAnsi="宋体"/>
          <w:sz w:val="24"/>
        </w:rPr>
        <w:t>编制临时报告书，</w:t>
      </w:r>
      <w:r>
        <w:rPr>
          <w:rFonts w:hint="eastAsia"/>
          <w:bCs/>
          <w:sz w:val="24"/>
        </w:rPr>
        <w:t>并登载在规定报刊和规定网站上</w:t>
      </w:r>
      <w:r>
        <w:rPr>
          <w:rFonts w:hAnsi="宋体"/>
          <w:sz w:val="24"/>
        </w:rPr>
        <w:t>。</w:t>
      </w:r>
    </w:p>
    <w:p>
      <w:pPr>
        <w:adjustRightInd w:val="0"/>
        <w:snapToGrid w:val="0"/>
        <w:spacing w:line="360" w:lineRule="auto"/>
        <w:ind w:firstLine="480" w:firstLineChars="200"/>
        <w:rPr>
          <w:rFonts w:hAnsi="宋体"/>
          <w:sz w:val="24"/>
        </w:rPr>
      </w:pPr>
      <w:r>
        <w:rPr>
          <w:rFonts w:hAnsi="宋体"/>
          <w:sz w:val="24"/>
        </w:rPr>
        <w:t>前款所称重大事件，是指可能对基金份额持有人权益或者基金份额的价格产生重大影响的下列事件：</w:t>
      </w:r>
    </w:p>
    <w:p>
      <w:pPr>
        <w:adjustRightInd w:val="0"/>
        <w:snapToGrid w:val="0"/>
        <w:spacing w:line="360" w:lineRule="auto"/>
        <w:ind w:firstLine="480" w:firstLineChars="200"/>
        <w:rPr>
          <w:bCs/>
          <w:sz w:val="24"/>
        </w:rPr>
      </w:pPr>
      <w:r>
        <w:rPr>
          <w:rFonts w:hint="eastAsia"/>
          <w:bCs/>
          <w:sz w:val="24"/>
        </w:rPr>
        <w:t>（1）基金份额持有人大会的召开及决定的事项；</w:t>
      </w:r>
    </w:p>
    <w:p>
      <w:pPr>
        <w:adjustRightInd w:val="0"/>
        <w:snapToGrid w:val="0"/>
        <w:spacing w:line="360" w:lineRule="auto"/>
        <w:ind w:firstLine="480" w:firstLineChars="200"/>
        <w:rPr>
          <w:bCs/>
          <w:sz w:val="24"/>
        </w:rPr>
      </w:pPr>
      <w:r>
        <w:rPr>
          <w:rFonts w:hint="eastAsia"/>
          <w:bCs/>
          <w:sz w:val="24"/>
        </w:rPr>
        <w:t>（2）《基金合同》终止、基金清算；</w:t>
      </w:r>
    </w:p>
    <w:p>
      <w:pPr>
        <w:adjustRightInd w:val="0"/>
        <w:snapToGrid w:val="0"/>
        <w:spacing w:line="360" w:lineRule="auto"/>
        <w:ind w:firstLine="480" w:firstLineChars="200"/>
        <w:rPr>
          <w:bCs/>
          <w:sz w:val="24"/>
        </w:rPr>
      </w:pPr>
      <w:r>
        <w:rPr>
          <w:rFonts w:hint="eastAsia"/>
          <w:bCs/>
          <w:sz w:val="24"/>
        </w:rPr>
        <w:t>（3）转换基金运作方式、基金合并；</w:t>
      </w:r>
    </w:p>
    <w:p>
      <w:pPr>
        <w:adjustRightInd w:val="0"/>
        <w:snapToGrid w:val="0"/>
        <w:spacing w:line="360" w:lineRule="auto"/>
        <w:ind w:firstLine="480" w:firstLineChars="200"/>
        <w:rPr>
          <w:bCs/>
          <w:sz w:val="24"/>
        </w:rPr>
      </w:pPr>
      <w:r>
        <w:rPr>
          <w:rFonts w:hint="eastAsia"/>
          <w:bCs/>
          <w:sz w:val="24"/>
        </w:rPr>
        <w:t>（4）更换基金管理人、基金托管人、基金份额登记机构，基金改聘会计师事务所；</w:t>
      </w:r>
    </w:p>
    <w:p>
      <w:pPr>
        <w:adjustRightInd w:val="0"/>
        <w:snapToGrid w:val="0"/>
        <w:spacing w:line="360" w:lineRule="auto"/>
        <w:ind w:firstLine="480" w:firstLineChars="200"/>
        <w:rPr>
          <w:bCs/>
          <w:sz w:val="24"/>
        </w:rPr>
      </w:pPr>
      <w:r>
        <w:rPr>
          <w:rFonts w:hint="eastAsia"/>
          <w:bCs/>
          <w:sz w:val="24"/>
        </w:rPr>
        <w:t>（5）基金管理人委托基金服务机构代为办理基金的份额登记、核算、估值等事项，基金托管人委托基金服务机构代为办理基金的核算、估值、复核等事项；</w:t>
      </w:r>
    </w:p>
    <w:p>
      <w:pPr>
        <w:adjustRightInd w:val="0"/>
        <w:snapToGrid w:val="0"/>
        <w:spacing w:line="360" w:lineRule="auto"/>
        <w:ind w:firstLine="480" w:firstLineChars="200"/>
        <w:rPr>
          <w:bCs/>
          <w:sz w:val="24"/>
        </w:rPr>
      </w:pPr>
      <w:r>
        <w:rPr>
          <w:rFonts w:hint="eastAsia"/>
          <w:bCs/>
          <w:sz w:val="24"/>
        </w:rPr>
        <w:t>（6）基金管理人、基金托管人的法定名称、住所发生变更；</w:t>
      </w:r>
    </w:p>
    <w:p>
      <w:pPr>
        <w:adjustRightInd w:val="0"/>
        <w:snapToGrid w:val="0"/>
        <w:spacing w:line="360" w:lineRule="auto"/>
        <w:ind w:firstLine="480" w:firstLineChars="200"/>
        <w:rPr>
          <w:bCs/>
          <w:sz w:val="24"/>
        </w:rPr>
      </w:pPr>
      <w:r>
        <w:rPr>
          <w:rFonts w:hint="eastAsia"/>
          <w:bCs/>
          <w:sz w:val="24"/>
        </w:rPr>
        <w:t>（7）基金管理人变更持有百分之五以上股权的股东、基金管理人的实际控制人变更；</w:t>
      </w:r>
    </w:p>
    <w:p>
      <w:pPr>
        <w:adjustRightInd w:val="0"/>
        <w:snapToGrid w:val="0"/>
        <w:spacing w:line="360" w:lineRule="auto"/>
        <w:ind w:firstLine="480" w:firstLineChars="200"/>
        <w:rPr>
          <w:bCs/>
          <w:sz w:val="24"/>
        </w:rPr>
      </w:pPr>
      <w:r>
        <w:rPr>
          <w:rFonts w:hint="eastAsia"/>
          <w:bCs/>
          <w:sz w:val="24"/>
        </w:rPr>
        <w:t>（8）基金募集期延长或提前结束募集；</w:t>
      </w:r>
    </w:p>
    <w:p>
      <w:pPr>
        <w:adjustRightInd w:val="0"/>
        <w:snapToGrid w:val="0"/>
        <w:spacing w:line="360" w:lineRule="auto"/>
        <w:ind w:firstLine="480" w:firstLineChars="200"/>
        <w:rPr>
          <w:bCs/>
          <w:sz w:val="24"/>
        </w:rPr>
      </w:pPr>
      <w:r>
        <w:rPr>
          <w:rFonts w:hint="eastAsia"/>
          <w:bCs/>
          <w:sz w:val="24"/>
        </w:rPr>
        <w:t>（9）基金管理人的高级管理人员、基金经理和基金托管人专门基金托管部门负责人发生变动；</w:t>
      </w:r>
    </w:p>
    <w:p>
      <w:pPr>
        <w:adjustRightInd w:val="0"/>
        <w:snapToGrid w:val="0"/>
        <w:spacing w:line="360" w:lineRule="auto"/>
        <w:ind w:firstLine="480" w:firstLineChars="200"/>
        <w:rPr>
          <w:bCs/>
          <w:sz w:val="24"/>
        </w:rPr>
      </w:pPr>
      <w:r>
        <w:rPr>
          <w:rFonts w:hint="eastAsia"/>
          <w:bCs/>
          <w:sz w:val="24"/>
        </w:rPr>
        <w:t>（10）基金管理人的董事在最近12个月内变更超过百分之五十，基金管理人、基金托管人专门基金托管部门的主要业务人员在最近12个月内变动超过百分之三十；</w:t>
      </w:r>
    </w:p>
    <w:p>
      <w:pPr>
        <w:adjustRightInd w:val="0"/>
        <w:snapToGrid w:val="0"/>
        <w:spacing w:line="360" w:lineRule="auto"/>
        <w:ind w:firstLine="480" w:firstLineChars="200"/>
        <w:rPr>
          <w:bCs/>
          <w:sz w:val="24"/>
        </w:rPr>
      </w:pPr>
      <w:r>
        <w:rPr>
          <w:rFonts w:hint="eastAsia"/>
          <w:bCs/>
          <w:sz w:val="24"/>
        </w:rPr>
        <w:t>（11）涉及基金财产、基金管理业务、基金托管业务的诉讼或仲裁；</w:t>
      </w:r>
    </w:p>
    <w:p>
      <w:pPr>
        <w:adjustRightInd w:val="0"/>
        <w:snapToGrid w:val="0"/>
        <w:spacing w:line="360" w:lineRule="auto"/>
        <w:ind w:firstLine="480" w:firstLineChars="200"/>
        <w:rPr>
          <w:bCs/>
          <w:sz w:val="24"/>
        </w:rPr>
      </w:pPr>
      <w:r>
        <w:rPr>
          <w:rFonts w:hint="eastAsia"/>
          <w:bCs/>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djustRightInd w:val="0"/>
        <w:snapToGrid w:val="0"/>
        <w:spacing w:line="360" w:lineRule="auto"/>
        <w:ind w:firstLine="480" w:firstLineChars="200"/>
        <w:rPr>
          <w:bCs/>
          <w:sz w:val="24"/>
        </w:rPr>
      </w:pPr>
      <w:r>
        <w:rPr>
          <w:rFonts w:hint="eastAsia"/>
          <w:bCs/>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djustRightInd w:val="0"/>
        <w:snapToGrid w:val="0"/>
        <w:spacing w:line="360" w:lineRule="auto"/>
        <w:ind w:firstLine="480" w:firstLineChars="200"/>
        <w:rPr>
          <w:bCs/>
          <w:sz w:val="24"/>
        </w:rPr>
      </w:pPr>
      <w:r>
        <w:rPr>
          <w:rFonts w:hint="eastAsia"/>
          <w:bCs/>
          <w:sz w:val="24"/>
        </w:rPr>
        <w:t>（14）基金收益分配事项；</w:t>
      </w:r>
    </w:p>
    <w:p>
      <w:pPr>
        <w:adjustRightInd w:val="0"/>
        <w:snapToGrid w:val="0"/>
        <w:spacing w:line="360" w:lineRule="auto"/>
        <w:ind w:firstLine="480" w:firstLineChars="200"/>
        <w:rPr>
          <w:bCs/>
          <w:sz w:val="24"/>
        </w:rPr>
      </w:pPr>
      <w:r>
        <w:rPr>
          <w:rFonts w:hint="eastAsia"/>
          <w:bCs/>
          <w:sz w:val="24"/>
        </w:rPr>
        <w:t>（15）管理费、托管费、申购费、赎回费等费用计提标准、计提方式和费率发生变更；</w:t>
      </w:r>
    </w:p>
    <w:p>
      <w:pPr>
        <w:adjustRightInd w:val="0"/>
        <w:snapToGrid w:val="0"/>
        <w:spacing w:line="360" w:lineRule="auto"/>
        <w:ind w:firstLine="480" w:firstLineChars="200"/>
        <w:rPr>
          <w:bCs/>
          <w:sz w:val="24"/>
        </w:rPr>
      </w:pPr>
      <w:r>
        <w:rPr>
          <w:rFonts w:hint="eastAsia"/>
          <w:bCs/>
          <w:sz w:val="24"/>
        </w:rPr>
        <w:t>（16）基金份额净值计价错误达基金份额净值百分之零点五；</w:t>
      </w:r>
    </w:p>
    <w:p>
      <w:pPr>
        <w:adjustRightInd w:val="0"/>
        <w:snapToGrid w:val="0"/>
        <w:spacing w:line="360" w:lineRule="auto"/>
        <w:ind w:firstLine="480" w:firstLineChars="200"/>
        <w:rPr>
          <w:bCs/>
          <w:sz w:val="24"/>
        </w:rPr>
      </w:pPr>
      <w:r>
        <w:rPr>
          <w:rFonts w:hint="eastAsia"/>
          <w:bCs/>
          <w:sz w:val="24"/>
        </w:rPr>
        <w:t>（17）本基金开始办理申购、赎回；</w:t>
      </w:r>
    </w:p>
    <w:p>
      <w:pPr>
        <w:adjustRightInd w:val="0"/>
        <w:snapToGrid w:val="0"/>
        <w:spacing w:line="360" w:lineRule="auto"/>
        <w:ind w:firstLine="480" w:firstLineChars="200"/>
        <w:rPr>
          <w:bCs/>
          <w:sz w:val="24"/>
        </w:rPr>
      </w:pPr>
      <w:r>
        <w:rPr>
          <w:rFonts w:hint="eastAsia"/>
          <w:bCs/>
          <w:sz w:val="24"/>
        </w:rPr>
        <w:t>（18）本基金发生巨额赎回并延期办理；</w:t>
      </w:r>
    </w:p>
    <w:p>
      <w:pPr>
        <w:adjustRightInd w:val="0"/>
        <w:snapToGrid w:val="0"/>
        <w:spacing w:line="360" w:lineRule="auto"/>
        <w:ind w:firstLine="480" w:firstLineChars="200"/>
        <w:rPr>
          <w:bCs/>
          <w:sz w:val="24"/>
        </w:rPr>
      </w:pPr>
      <w:r>
        <w:rPr>
          <w:rFonts w:hint="eastAsia"/>
          <w:bCs/>
          <w:sz w:val="24"/>
        </w:rPr>
        <w:t>（19）本基金连续发生巨额赎回并暂停接受赎回申请或延缓支付赎回款项；</w:t>
      </w:r>
    </w:p>
    <w:p>
      <w:pPr>
        <w:adjustRightInd w:val="0"/>
        <w:snapToGrid w:val="0"/>
        <w:spacing w:line="360" w:lineRule="auto"/>
        <w:ind w:firstLine="480" w:firstLineChars="200"/>
        <w:rPr>
          <w:bCs/>
          <w:sz w:val="24"/>
        </w:rPr>
      </w:pPr>
      <w:r>
        <w:rPr>
          <w:rFonts w:hint="eastAsia"/>
          <w:bCs/>
          <w:sz w:val="24"/>
        </w:rPr>
        <w:t>（20）本基金暂停接受申购、赎回申请或重新接受申购、赎回申请；</w:t>
      </w:r>
    </w:p>
    <w:p>
      <w:pPr>
        <w:adjustRightInd w:val="0"/>
        <w:snapToGrid w:val="0"/>
        <w:spacing w:line="360" w:lineRule="auto"/>
        <w:ind w:firstLine="480" w:firstLineChars="200"/>
        <w:rPr>
          <w:bCs/>
          <w:sz w:val="24"/>
        </w:rPr>
      </w:pPr>
      <w:r>
        <w:rPr>
          <w:rFonts w:hint="eastAsia"/>
          <w:bCs/>
          <w:sz w:val="24"/>
        </w:rPr>
        <w:t>（21）发生涉及基金申购、赎回事项调整或潜在影响投资者赎回等重大事项时；</w:t>
      </w:r>
    </w:p>
    <w:p>
      <w:pPr>
        <w:adjustRightInd w:val="0"/>
        <w:snapToGrid w:val="0"/>
        <w:spacing w:line="360" w:lineRule="auto"/>
        <w:ind w:firstLine="480" w:firstLineChars="200"/>
        <w:rPr>
          <w:bCs/>
          <w:sz w:val="24"/>
        </w:rPr>
      </w:pPr>
      <w:r>
        <w:rPr>
          <w:rFonts w:hint="eastAsia"/>
          <w:bCs/>
          <w:sz w:val="24"/>
        </w:rPr>
        <w:t>（22）基金管理人采用摆动定价机制进行估值；</w:t>
      </w:r>
    </w:p>
    <w:p>
      <w:pPr>
        <w:adjustRightInd w:val="0"/>
        <w:snapToGrid w:val="0"/>
        <w:spacing w:line="360" w:lineRule="auto"/>
        <w:ind w:firstLine="480" w:firstLineChars="200"/>
        <w:rPr>
          <w:bCs/>
          <w:sz w:val="24"/>
        </w:rPr>
      </w:pPr>
      <w:r>
        <w:rPr>
          <w:rFonts w:hint="eastAsia"/>
          <w:bCs/>
          <w:sz w:val="24"/>
        </w:rPr>
        <w:t>（23）本基金增加或调整基金份额类别；</w:t>
      </w:r>
    </w:p>
    <w:p>
      <w:pPr>
        <w:adjustRightInd w:val="0"/>
        <w:snapToGrid w:val="0"/>
        <w:spacing w:line="360" w:lineRule="auto"/>
        <w:ind w:firstLine="480" w:firstLineChars="200"/>
        <w:rPr>
          <w:bCs/>
          <w:sz w:val="24"/>
        </w:rPr>
      </w:pPr>
      <w:r>
        <w:rPr>
          <w:rFonts w:hint="eastAsia"/>
          <w:bCs/>
          <w:sz w:val="24"/>
        </w:rPr>
        <w:t>（24）本基金推出新业务或服务；</w:t>
      </w:r>
    </w:p>
    <w:p>
      <w:pPr>
        <w:adjustRightInd w:val="0"/>
        <w:snapToGrid w:val="0"/>
        <w:spacing w:line="360" w:lineRule="auto"/>
        <w:ind w:firstLine="480" w:firstLineChars="200"/>
        <w:rPr>
          <w:bCs/>
          <w:sz w:val="24"/>
        </w:rPr>
      </w:pPr>
      <w:r>
        <w:rPr>
          <w:rFonts w:hint="eastAsia"/>
          <w:bCs/>
          <w:sz w:val="24"/>
        </w:rPr>
        <w:t>（25）本基金连续30个工作日、40个工作日、45个工作日出现基金份额持有人数量不满200人或者基金资产净值低于5000万元情形的；</w:t>
      </w:r>
    </w:p>
    <w:p>
      <w:pPr>
        <w:adjustRightInd w:val="0"/>
        <w:snapToGrid w:val="0"/>
        <w:spacing w:line="360" w:lineRule="auto"/>
        <w:ind w:firstLine="480" w:firstLineChars="200"/>
        <w:rPr>
          <w:bCs/>
          <w:sz w:val="24"/>
        </w:rPr>
      </w:pPr>
      <w:r>
        <w:rPr>
          <w:rFonts w:hint="eastAsia"/>
          <w:bCs/>
          <w:sz w:val="24"/>
        </w:rPr>
        <w:t>（26）基金信息披露义务人认为可能对基金份额持有人权益或者基金份额的价格产生重大影响的其他事项或中国证监会规定和基金合同约定的其他事项。</w:t>
      </w:r>
    </w:p>
    <w:p>
      <w:pPr>
        <w:adjustRightInd w:val="0"/>
        <w:snapToGrid w:val="0"/>
        <w:spacing w:line="360" w:lineRule="auto"/>
        <w:ind w:firstLine="480" w:firstLineChars="200"/>
        <w:rPr>
          <w:sz w:val="24"/>
        </w:rPr>
      </w:pPr>
      <w:r>
        <w:rPr>
          <w:sz w:val="24"/>
        </w:rPr>
        <w:t>8</w:t>
      </w:r>
      <w:r>
        <w:rPr>
          <w:rFonts w:hAnsi="宋体"/>
          <w:sz w:val="24"/>
        </w:rPr>
        <w:t>、澄清公告</w:t>
      </w:r>
    </w:p>
    <w:p>
      <w:pPr>
        <w:adjustRightInd w:val="0"/>
        <w:snapToGrid w:val="0"/>
        <w:spacing w:line="360" w:lineRule="auto"/>
        <w:ind w:firstLine="480" w:firstLineChars="200"/>
        <w:rPr>
          <w:rFonts w:hAnsi="宋体"/>
          <w:sz w:val="24"/>
        </w:rPr>
      </w:pPr>
      <w:r>
        <w:rPr>
          <w:rFonts w:hAnsi="宋体"/>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Ansi="宋体"/>
          <w:sz w:val="24"/>
        </w:rPr>
        <w:t>的，相关信息披露义务人知悉后应当立即对该消息进行公开澄清。</w:t>
      </w:r>
    </w:p>
    <w:p>
      <w:pPr>
        <w:adjustRightInd w:val="0"/>
        <w:snapToGrid w:val="0"/>
        <w:spacing w:line="360" w:lineRule="auto"/>
        <w:ind w:firstLine="480" w:firstLineChars="200"/>
        <w:rPr>
          <w:sz w:val="24"/>
        </w:rPr>
      </w:pPr>
      <w:r>
        <w:rPr>
          <w:sz w:val="24"/>
        </w:rPr>
        <w:t>9</w:t>
      </w:r>
      <w:r>
        <w:rPr>
          <w:rFonts w:hAnsi="宋体"/>
          <w:sz w:val="24"/>
        </w:rPr>
        <w:t>、基金份额持有人大会决议</w:t>
      </w:r>
    </w:p>
    <w:p>
      <w:pPr>
        <w:adjustRightInd w:val="0"/>
        <w:snapToGrid w:val="0"/>
        <w:spacing w:line="360" w:lineRule="auto"/>
        <w:ind w:firstLine="480" w:firstLineChars="200"/>
        <w:rPr>
          <w:bCs/>
          <w:sz w:val="24"/>
        </w:rPr>
      </w:pPr>
      <w:r>
        <w:rPr>
          <w:rFonts w:hint="eastAsia"/>
          <w:bCs/>
          <w:sz w:val="24"/>
        </w:rPr>
        <w:t>基金份额持有人大会决定的事项，应当依法报中国证监会备案，并予以公告。</w:t>
      </w:r>
    </w:p>
    <w:p>
      <w:pPr>
        <w:adjustRightInd w:val="0"/>
        <w:snapToGrid w:val="0"/>
        <w:spacing w:line="360" w:lineRule="auto"/>
        <w:ind w:firstLine="480" w:firstLineChars="20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pPr>
        <w:adjustRightInd w:val="0"/>
        <w:snapToGrid w:val="0"/>
        <w:spacing w:line="360" w:lineRule="auto"/>
        <w:ind w:firstLine="480" w:firstLineChars="200"/>
        <w:rPr>
          <w:sz w:val="24"/>
        </w:rPr>
      </w:pPr>
      <w:r>
        <w:rPr>
          <w:rFonts w:hint="eastAsia"/>
          <w:sz w:val="24"/>
        </w:rPr>
        <w:t>1</w:t>
      </w:r>
      <w:r>
        <w:rPr>
          <w:sz w:val="24"/>
        </w:rPr>
        <w:t>0、</w:t>
      </w:r>
      <w:r>
        <w:rPr>
          <w:rFonts w:hint="eastAsia"/>
          <w:sz w:val="24"/>
        </w:rPr>
        <w:t>实施侧袋机制期间的信息披露</w:t>
      </w:r>
    </w:p>
    <w:p>
      <w:pPr>
        <w:adjustRightInd w:val="0"/>
        <w:snapToGrid w:val="0"/>
        <w:spacing w:line="360" w:lineRule="auto"/>
        <w:ind w:firstLine="480" w:firstLineChars="200"/>
        <w:rPr>
          <w:sz w:val="24"/>
        </w:rPr>
      </w:pPr>
      <w:r>
        <w:rPr>
          <w:rFonts w:hint="eastAsia"/>
          <w:sz w:val="24"/>
        </w:rPr>
        <w:t>本基金实施侧袋机制的，相关信息披露义务人应当根据法律法规、基金合同和招募说明书的规定进行信息披露，详见本招募说明书“侧袋</w:t>
      </w:r>
      <w:r>
        <w:rPr>
          <w:sz w:val="24"/>
        </w:rPr>
        <w:t>机制</w:t>
      </w:r>
      <w:r>
        <w:rPr>
          <w:rFonts w:hint="eastAsia"/>
          <w:sz w:val="24"/>
        </w:rPr>
        <w:t>”部分的规定。</w:t>
      </w:r>
    </w:p>
    <w:p>
      <w:pPr>
        <w:adjustRightInd w:val="0"/>
        <w:snapToGrid w:val="0"/>
        <w:spacing w:line="360" w:lineRule="auto"/>
        <w:ind w:firstLine="480" w:firstLineChars="200"/>
        <w:rPr>
          <w:sz w:val="24"/>
        </w:rPr>
      </w:pPr>
      <w:r>
        <w:rPr>
          <w:rFonts w:hint="eastAsia"/>
          <w:sz w:val="24"/>
        </w:rPr>
        <w:t>11、清算报告</w:t>
      </w:r>
    </w:p>
    <w:p>
      <w:pPr>
        <w:adjustRightInd w:val="0"/>
        <w:snapToGrid w:val="0"/>
        <w:spacing w:line="360" w:lineRule="auto"/>
        <w:ind w:firstLine="480" w:firstLineChars="200"/>
        <w:rPr>
          <w:sz w:val="24"/>
        </w:rPr>
      </w:pPr>
      <w:r>
        <w:rPr>
          <w:rFonts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w:t>
      </w:r>
      <w:r>
        <w:rPr>
          <w:rFonts w:hint="eastAsia"/>
          <w:bCs/>
          <w:sz w:val="24"/>
        </w:rPr>
        <w:t>规定</w:t>
      </w:r>
      <w:r>
        <w:rPr>
          <w:rFonts w:hint="eastAsia"/>
          <w:sz w:val="24"/>
        </w:rPr>
        <w:t>报刊上。</w:t>
      </w:r>
    </w:p>
    <w:p>
      <w:pPr>
        <w:adjustRightInd w:val="0"/>
        <w:snapToGrid w:val="0"/>
        <w:spacing w:line="360" w:lineRule="auto"/>
        <w:ind w:firstLine="480" w:firstLineChars="200"/>
        <w:rPr>
          <w:sz w:val="24"/>
        </w:rPr>
      </w:pPr>
      <w:r>
        <w:rPr>
          <w:rFonts w:hint="eastAsia"/>
          <w:sz w:val="24"/>
        </w:rPr>
        <w:t>1</w:t>
      </w:r>
      <w:r>
        <w:rPr>
          <w:sz w:val="24"/>
        </w:rPr>
        <w:t>2、</w:t>
      </w:r>
      <w:r>
        <w:rPr>
          <w:rFonts w:hint="eastAsia"/>
          <w:sz w:val="24"/>
        </w:rPr>
        <w:t>基金投资资产支持证券情况</w:t>
      </w:r>
    </w:p>
    <w:p>
      <w:pPr>
        <w:adjustRightInd w:val="0"/>
        <w:snapToGrid w:val="0"/>
        <w:spacing w:line="360" w:lineRule="auto"/>
        <w:ind w:firstLine="480" w:firstLineChars="200"/>
        <w:rPr>
          <w:sz w:val="24"/>
        </w:rPr>
      </w:pPr>
      <w:r>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80" w:firstLineChars="200"/>
        <w:rPr>
          <w:sz w:val="24"/>
        </w:rPr>
      </w:pPr>
      <w:r>
        <w:rPr>
          <w:rFonts w:hint="eastAsia"/>
          <w:sz w:val="24"/>
        </w:rPr>
        <w:t>1</w:t>
      </w:r>
      <w:r>
        <w:rPr>
          <w:sz w:val="24"/>
        </w:rPr>
        <w:t>3、</w:t>
      </w:r>
      <w:r>
        <w:rPr>
          <w:rFonts w:hint="eastAsia"/>
          <w:sz w:val="24"/>
        </w:rPr>
        <w:t>基金投资股指期货情况</w:t>
      </w:r>
    </w:p>
    <w:p>
      <w:pPr>
        <w:adjustRightInd w:val="0"/>
        <w:snapToGrid w:val="0"/>
        <w:spacing w:line="360" w:lineRule="auto"/>
        <w:ind w:firstLine="480" w:firstLineChars="200"/>
        <w:rPr>
          <w:sz w:val="24"/>
        </w:rPr>
      </w:pPr>
      <w:r>
        <w:rPr>
          <w:rFonts w:hint="eastAsia"/>
          <w:sz w:val="24"/>
        </w:rPr>
        <w:t>本基金可投资股指期货，基金管理人需按照法规要求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pPr>
        <w:adjustRightInd w:val="0"/>
        <w:snapToGrid w:val="0"/>
        <w:spacing w:line="360" w:lineRule="auto"/>
        <w:ind w:firstLine="480" w:firstLineChars="200"/>
        <w:rPr>
          <w:sz w:val="24"/>
        </w:rPr>
      </w:pPr>
      <w:r>
        <w:rPr>
          <w:rFonts w:hint="eastAsia"/>
          <w:sz w:val="24"/>
        </w:rPr>
        <w:t>1</w:t>
      </w:r>
      <w:r>
        <w:rPr>
          <w:sz w:val="24"/>
        </w:rPr>
        <w:t>4、</w:t>
      </w:r>
      <w:r>
        <w:rPr>
          <w:rFonts w:hint="eastAsia"/>
          <w:sz w:val="24"/>
        </w:rPr>
        <w:t>基金投资港股通标的股票情况</w:t>
      </w:r>
    </w:p>
    <w:p>
      <w:pPr>
        <w:adjustRightInd w:val="0"/>
        <w:snapToGrid w:val="0"/>
        <w:spacing w:line="360" w:lineRule="auto"/>
        <w:ind w:firstLine="480" w:firstLineChars="200"/>
        <w:rPr>
          <w:rFonts w:hAnsi="宋体"/>
          <w:sz w:val="24"/>
        </w:rPr>
      </w:pPr>
      <w:r>
        <w:rPr>
          <w:rFonts w:hint="eastAsia"/>
          <w:bCs/>
          <w:sz w:val="24"/>
        </w:rPr>
        <w:t>本基金可投资港股通标的股票，</w:t>
      </w:r>
      <w:r>
        <w:rPr>
          <w:rFonts w:hint="eastAsia"/>
          <w:sz w:val="24"/>
        </w:rPr>
        <w:t>基金应当在季度报告、中期报告、年度报告等定期报告和招募说明书（更新）等文件中披露港股通标的股票的投资情况。法律法规或中国证监会另有规定的，从其规定。</w:t>
      </w:r>
    </w:p>
    <w:p>
      <w:pPr>
        <w:adjustRightInd w:val="0"/>
        <w:snapToGrid w:val="0"/>
        <w:spacing w:line="360" w:lineRule="auto"/>
        <w:ind w:firstLine="480" w:firstLineChars="200"/>
        <w:rPr>
          <w:sz w:val="24"/>
        </w:rPr>
      </w:pPr>
      <w:r>
        <w:rPr>
          <w:rFonts w:hint="eastAsia" w:hAnsi="宋体"/>
          <w:sz w:val="24"/>
        </w:rPr>
        <w:t>1</w:t>
      </w:r>
      <w:r>
        <w:rPr>
          <w:rFonts w:hAnsi="宋体"/>
          <w:sz w:val="24"/>
        </w:rPr>
        <w:t>5</w:t>
      </w:r>
      <w:r>
        <w:rPr>
          <w:rFonts w:hint="eastAsia" w:hAnsi="宋体"/>
          <w:sz w:val="24"/>
        </w:rPr>
        <w:t>、</w:t>
      </w:r>
      <w:r>
        <w:rPr>
          <w:rFonts w:hAnsi="宋体"/>
          <w:sz w:val="24"/>
        </w:rPr>
        <w:t>中国证监会规定的其他信息</w:t>
      </w:r>
      <w:r>
        <w:rPr>
          <w:rFonts w:hint="eastAsia" w:hAnsi="宋体"/>
          <w:sz w:val="24"/>
        </w:rPr>
        <w:t>。</w:t>
      </w:r>
    </w:p>
    <w:p>
      <w:pPr>
        <w:adjustRightInd w:val="0"/>
        <w:snapToGrid w:val="0"/>
        <w:spacing w:line="360" w:lineRule="auto"/>
        <w:ind w:firstLine="482" w:firstLineChars="200"/>
        <w:rPr>
          <w:b/>
          <w:bCs/>
          <w:sz w:val="24"/>
        </w:rPr>
      </w:pPr>
      <w:r>
        <w:rPr>
          <w:b/>
          <w:bCs/>
          <w:sz w:val="24"/>
        </w:rPr>
        <w:t>（六）信息披露事务管理</w:t>
      </w:r>
    </w:p>
    <w:p>
      <w:pPr>
        <w:adjustRightInd w:val="0"/>
        <w:snapToGrid w:val="0"/>
        <w:spacing w:line="360" w:lineRule="auto"/>
        <w:ind w:firstLine="480" w:firstLineChars="200"/>
        <w:rPr>
          <w:rFonts w:hAnsi="宋体"/>
          <w:sz w:val="24"/>
        </w:rPr>
      </w:pPr>
      <w:r>
        <w:rPr>
          <w:rFonts w:hint="eastAsia" w:hAnsi="宋体"/>
          <w:sz w:val="24"/>
        </w:rPr>
        <w:t>基金管理人、基金托管人应当建立健全信息披露管理制度，指定</w:t>
      </w:r>
      <w:r>
        <w:rPr>
          <w:rFonts w:hint="eastAsia"/>
          <w:bCs/>
          <w:sz w:val="24"/>
        </w:rPr>
        <w:t>专门部门及高级管理人员</w:t>
      </w:r>
      <w:r>
        <w:rPr>
          <w:rFonts w:hint="eastAsia" w:hAnsi="宋体"/>
          <w:sz w:val="24"/>
        </w:rPr>
        <w:t>负责管理信息披露事务。</w:t>
      </w:r>
    </w:p>
    <w:p>
      <w:pPr>
        <w:adjustRightInd w:val="0"/>
        <w:snapToGrid w:val="0"/>
        <w:spacing w:line="360" w:lineRule="auto"/>
        <w:ind w:firstLine="480" w:firstLineChars="200"/>
        <w:rPr>
          <w:rFonts w:hAnsi="宋体"/>
          <w:sz w:val="24"/>
        </w:rPr>
      </w:pPr>
      <w:r>
        <w:rPr>
          <w:rFonts w:hint="eastAsia" w:hAnsi="宋体"/>
          <w:sz w:val="24"/>
        </w:rPr>
        <w:t>基金信息披露义务人公开披露基金信息，应当符合中国证监会相关基金信息披露内容与格式准则</w:t>
      </w:r>
      <w:r>
        <w:rPr>
          <w:rFonts w:hint="eastAsia"/>
          <w:bCs/>
          <w:sz w:val="24"/>
        </w:rPr>
        <w:t>等法律法规</w:t>
      </w:r>
      <w:r>
        <w:rPr>
          <w:rFonts w:hint="eastAsia" w:hAnsi="宋体"/>
          <w:sz w:val="24"/>
        </w:rPr>
        <w:t>的规定。</w:t>
      </w:r>
    </w:p>
    <w:p>
      <w:pPr>
        <w:adjustRightInd w:val="0"/>
        <w:snapToGrid w:val="0"/>
        <w:spacing w:line="360" w:lineRule="auto"/>
        <w:ind w:firstLine="480" w:firstLineChars="200"/>
        <w:rPr>
          <w:rFonts w:hAnsi="宋体"/>
          <w:sz w:val="24"/>
        </w:rPr>
      </w:pPr>
      <w:r>
        <w:rPr>
          <w:rFonts w:hint="eastAsia" w:hAnsi="宋体"/>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rFonts w:hint="eastAsia" w:hAnsi="宋体"/>
          <w:sz w:val="24"/>
        </w:rPr>
        <w:t>更新的招募说明书</w:t>
      </w:r>
      <w:r>
        <w:rPr>
          <w:rFonts w:hint="eastAsia"/>
          <w:bCs/>
          <w:sz w:val="24"/>
        </w:rPr>
        <w:t>、基金产品资料概要、基金清算报告</w:t>
      </w:r>
      <w:r>
        <w:rPr>
          <w:rFonts w:hint="eastAsia" w:hAnsi="宋体"/>
          <w:sz w:val="24"/>
        </w:rPr>
        <w:t>等相关基金信息进行复核、审查，并向基金管理人</w:t>
      </w:r>
      <w:r>
        <w:rPr>
          <w:rFonts w:hint="eastAsia"/>
          <w:bCs/>
          <w:sz w:val="24"/>
        </w:rPr>
        <w:t>进行书面或电子</w:t>
      </w:r>
      <w:r>
        <w:rPr>
          <w:rFonts w:hint="eastAsia" w:hAnsi="宋体"/>
          <w:sz w:val="24"/>
        </w:rPr>
        <w:t>确认。</w:t>
      </w:r>
    </w:p>
    <w:p>
      <w:pPr>
        <w:adjustRightInd w:val="0"/>
        <w:snapToGrid w:val="0"/>
        <w:spacing w:line="360" w:lineRule="auto"/>
        <w:ind w:firstLine="480" w:firstLineChars="200"/>
        <w:rPr>
          <w:rFonts w:hAnsi="宋体"/>
          <w:sz w:val="24"/>
        </w:rPr>
      </w:pPr>
      <w:r>
        <w:rPr>
          <w:rFonts w:hint="eastAsia" w:hAnsi="宋体"/>
          <w:sz w:val="24"/>
        </w:rPr>
        <w:t>基金管理人、基金托管人应当在</w:t>
      </w:r>
      <w:r>
        <w:rPr>
          <w:rFonts w:hint="eastAsia"/>
          <w:bCs/>
          <w:sz w:val="24"/>
        </w:rPr>
        <w:t>规定报刊</w:t>
      </w:r>
      <w:r>
        <w:rPr>
          <w:bCs/>
          <w:sz w:val="24"/>
        </w:rPr>
        <w:t>中选择</w:t>
      </w:r>
      <w:r>
        <w:rPr>
          <w:rFonts w:hint="eastAsia"/>
          <w:bCs/>
          <w:sz w:val="24"/>
        </w:rPr>
        <w:t>一家</w:t>
      </w:r>
      <w:r>
        <w:rPr>
          <w:bCs/>
          <w:sz w:val="24"/>
        </w:rPr>
        <w:t>披露信息的</w:t>
      </w:r>
      <w:r>
        <w:rPr>
          <w:rFonts w:hint="eastAsia"/>
          <w:bCs/>
          <w:sz w:val="24"/>
        </w:rPr>
        <w:t>报刊</w:t>
      </w:r>
      <w:r>
        <w:rPr>
          <w:bCs/>
          <w:sz w:val="24"/>
        </w:rPr>
        <w:t>。</w:t>
      </w:r>
      <w:r>
        <w:rPr>
          <w:rFonts w:hint="eastAsia"/>
          <w:bCs/>
          <w:sz w:val="24"/>
        </w:rPr>
        <w:t>基金管理人、基金托管人应当向中国证监会基金电子披露网站报送拟披露的基金信息，并保证相关报送信息的真实、准确、完整、及时</w:t>
      </w:r>
      <w:r>
        <w:rPr>
          <w:rFonts w:hint="eastAsia" w:hAnsi="宋体"/>
          <w:sz w:val="24"/>
        </w:rPr>
        <w:t>。</w:t>
      </w:r>
    </w:p>
    <w:p>
      <w:pPr>
        <w:adjustRightInd w:val="0"/>
        <w:snapToGrid w:val="0"/>
        <w:spacing w:line="360" w:lineRule="auto"/>
        <w:ind w:firstLine="480" w:firstLineChars="200"/>
        <w:rPr>
          <w:rFonts w:hAnsi="宋体"/>
          <w:sz w:val="24"/>
        </w:rPr>
      </w:pPr>
      <w:r>
        <w:rPr>
          <w:rFonts w:hint="eastAsia"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pPr>
        <w:adjustRightInd w:val="0"/>
        <w:snapToGrid w:val="0"/>
        <w:spacing w:line="360" w:lineRule="auto"/>
        <w:ind w:firstLine="480" w:firstLineChars="200"/>
        <w:rPr>
          <w:rFonts w:hAnsi="宋体"/>
          <w:sz w:val="24"/>
        </w:rPr>
      </w:pPr>
      <w:r>
        <w:rPr>
          <w:rFonts w:hint="eastAsia" w:hAnsi="宋体"/>
          <w:sz w:val="24"/>
        </w:rPr>
        <w:t>为基金信息披露义务人公开披露的基金信息出具审计报告、法律意见书的专业机构，应当制作工作底稿，并将相关档案至少保存到《基金合同》终止后10年。</w:t>
      </w:r>
    </w:p>
    <w:p>
      <w:pPr>
        <w:adjustRightInd w:val="0"/>
        <w:snapToGrid w:val="0"/>
        <w:spacing w:line="360" w:lineRule="auto"/>
        <w:ind w:firstLine="480" w:firstLineChars="200"/>
        <w:rPr>
          <w:rFonts w:hAnsi="宋体"/>
          <w:sz w:val="24"/>
        </w:rPr>
      </w:pPr>
      <w:r>
        <w:rPr>
          <w:rFonts w:hint="eastAsia"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djustRightInd w:val="0"/>
        <w:snapToGrid w:val="0"/>
        <w:spacing w:line="360" w:lineRule="auto"/>
        <w:ind w:firstLine="482" w:firstLineChars="200"/>
        <w:rPr>
          <w:b/>
          <w:sz w:val="24"/>
        </w:rPr>
      </w:pPr>
      <w:r>
        <w:rPr>
          <w:rFonts w:hAnsi="宋体"/>
          <w:b/>
          <w:sz w:val="24"/>
        </w:rPr>
        <w:t>（七）信息披露文件的存放与查阅</w:t>
      </w:r>
    </w:p>
    <w:p>
      <w:pPr>
        <w:adjustRightInd w:val="0"/>
        <w:snapToGrid w:val="0"/>
        <w:spacing w:line="360" w:lineRule="auto"/>
        <w:ind w:firstLine="480" w:firstLineChars="200"/>
      </w:pPr>
      <w:r>
        <w:rPr>
          <w:rFonts w:hint="eastAsia"/>
          <w:bCs/>
          <w:sz w:val="24"/>
        </w:rPr>
        <w:t>依法必须披露的信息发布后，基金管理人、基金托管人应当按照相关法律法规规定将信息置备于各自办公场所，供社会公众查阅、复制</w:t>
      </w:r>
      <w:r>
        <w:rPr>
          <w:bCs/>
          <w:sz w:val="24"/>
        </w:rPr>
        <w:t>。</w:t>
      </w:r>
      <w:bookmarkEnd w:id="83"/>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87" w:name="_Toc48122017"/>
      <w:r>
        <w:rPr>
          <w:rFonts w:hint="eastAsia" w:ascii="宋体" w:hAnsi="宋体"/>
          <w:b/>
          <w:kern w:val="0"/>
          <w:sz w:val="30"/>
        </w:rPr>
        <w:t>十六、侧袋机制</w:t>
      </w:r>
      <w:bookmarkEnd w:id="87"/>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（一）侧袋机制的实施条件</w:t>
      </w:r>
    </w:p>
    <w:p>
      <w:pPr>
        <w:adjustRightInd w:val="0"/>
        <w:snapToGrid w:val="0"/>
        <w:spacing w:line="360" w:lineRule="auto"/>
        <w:ind w:firstLine="480" w:firstLineChars="200"/>
        <w:rPr>
          <w:rFonts w:hAnsi="宋体"/>
          <w:bCs/>
          <w:sz w:val="24"/>
          <w:szCs w:val="24"/>
        </w:rPr>
      </w:pPr>
      <w:r>
        <w:rPr>
          <w:rFonts w:hint="eastAsia" w:hAnsi="宋体"/>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基金管理人应当在启用侧袋机制后及时发布临时公告，</w:t>
      </w:r>
      <w:bookmarkStart w:id="88" w:name="_Hlk45746268"/>
      <w:r>
        <w:rPr>
          <w:rFonts w:hint="eastAsia" w:hAnsi="宋体"/>
          <w:bCs/>
          <w:sz w:val="24"/>
          <w:szCs w:val="24"/>
        </w:rPr>
        <w:t>并在</w:t>
      </w:r>
      <w:bookmarkStart w:id="89" w:name="_Hlk45746204"/>
      <w:r>
        <w:rPr>
          <w:rFonts w:hint="eastAsia" w:hAnsi="宋体"/>
          <w:bCs/>
          <w:sz w:val="24"/>
          <w:szCs w:val="24"/>
        </w:rPr>
        <w:t>五个工作日内</w:t>
      </w:r>
      <w:bookmarkEnd w:id="88"/>
      <w:bookmarkEnd w:id="89"/>
      <w:r>
        <w:rPr>
          <w:rFonts w:hint="eastAsia" w:hAnsi="宋体"/>
          <w:bCs/>
          <w:sz w:val="24"/>
          <w:szCs w:val="24"/>
        </w:rPr>
        <w:t>聘请</w:t>
      </w:r>
      <w:bookmarkStart w:id="90" w:name="_Hlk45746277"/>
      <w:r>
        <w:rPr>
          <w:rFonts w:hint="eastAsia" w:hAnsi="宋体"/>
          <w:bCs/>
          <w:sz w:val="24"/>
          <w:szCs w:val="24"/>
        </w:rPr>
        <w:t>侧袋机制启用日发表意见且</w:t>
      </w:r>
      <w:bookmarkEnd w:id="90"/>
      <w:r>
        <w:rPr>
          <w:rFonts w:hint="eastAsia" w:hAnsi="宋体"/>
          <w:bCs/>
          <w:sz w:val="24"/>
          <w:szCs w:val="24"/>
        </w:rPr>
        <w:t>符合《中华人民共和国证券法》规定的会计师事务所</w:t>
      </w:r>
      <w:bookmarkStart w:id="91" w:name="_Hlk45746299"/>
      <w:r>
        <w:rPr>
          <w:rFonts w:hint="eastAsia" w:hAnsi="宋体"/>
          <w:bCs/>
          <w:sz w:val="24"/>
          <w:szCs w:val="24"/>
        </w:rPr>
        <w:t>进行审计并披露</w:t>
      </w:r>
      <w:bookmarkEnd w:id="91"/>
      <w:r>
        <w:rPr>
          <w:rFonts w:hint="eastAsia" w:hAnsi="宋体"/>
          <w:bCs/>
          <w:sz w:val="24"/>
          <w:szCs w:val="24"/>
        </w:rPr>
        <w:t>专项审计意见。</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（二）实施侧袋机制期间基金份额的申购与赎回</w:t>
      </w:r>
    </w:p>
    <w:p>
      <w:pPr>
        <w:adjustRightInd w:val="0"/>
        <w:snapToGrid w:val="0"/>
        <w:spacing w:line="360" w:lineRule="auto"/>
        <w:ind w:firstLine="480" w:firstLineChars="200"/>
        <w:rPr>
          <w:rFonts w:hAnsi="宋体"/>
          <w:bCs/>
          <w:sz w:val="24"/>
          <w:szCs w:val="24"/>
        </w:rPr>
      </w:pPr>
      <w:r>
        <w:rPr>
          <w:rFonts w:hint="eastAsia" w:hAnsi="宋体"/>
          <w:bCs/>
          <w:sz w:val="24"/>
          <w:szCs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pPr>
        <w:adjustRightInd w:val="0"/>
        <w:snapToGrid w:val="0"/>
        <w:spacing w:line="360" w:lineRule="auto"/>
        <w:ind w:firstLine="480" w:firstLineChars="200"/>
        <w:rPr>
          <w:rFonts w:hAnsi="宋体"/>
          <w:bCs/>
          <w:sz w:val="24"/>
          <w:szCs w:val="24"/>
        </w:rPr>
      </w:pPr>
      <w:r>
        <w:rPr>
          <w:rFonts w:hAnsi="宋体"/>
          <w:bCs/>
          <w:sz w:val="24"/>
          <w:szCs w:val="24"/>
        </w:rPr>
        <w:t>3</w:t>
      </w:r>
      <w:r>
        <w:rPr>
          <w:rFonts w:hint="eastAsia" w:hAnsi="宋体"/>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Pr>
          <w:rFonts w:hAnsi="宋体"/>
          <w:bCs/>
          <w:sz w:val="24"/>
          <w:szCs w:val="24"/>
        </w:rPr>
        <w:t>10</w:t>
      </w:r>
      <w:r>
        <w:rPr>
          <w:rFonts w:hint="eastAsia" w:hAnsi="宋体"/>
          <w:bCs/>
          <w:sz w:val="24"/>
          <w:szCs w:val="24"/>
        </w:rPr>
        <w:t>%认定。</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（三）实施侧袋机制期间的基金投资</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侧袋机制实施期间，招募说明书“基金的投资”部分约定的</w:t>
      </w:r>
      <w:r>
        <w:rPr>
          <w:rFonts w:hAnsi="宋体"/>
          <w:bCs/>
          <w:sz w:val="24"/>
          <w:szCs w:val="24"/>
        </w:rPr>
        <w:t>投资组合比例</w:t>
      </w:r>
      <w:r>
        <w:rPr>
          <w:rFonts w:hint="eastAsia" w:hAnsi="宋体"/>
          <w:bCs/>
          <w:sz w:val="24"/>
          <w:szCs w:val="24"/>
        </w:rPr>
        <w:t>、投资策略、</w:t>
      </w:r>
      <w:r>
        <w:rPr>
          <w:rFonts w:hAnsi="宋体"/>
          <w:bCs/>
          <w:sz w:val="24"/>
          <w:szCs w:val="24"/>
        </w:rPr>
        <w:t>组合限制</w:t>
      </w:r>
      <w:r>
        <w:rPr>
          <w:rFonts w:hint="eastAsia" w:hAnsi="宋体"/>
          <w:bCs/>
          <w:sz w:val="24"/>
          <w:szCs w:val="24"/>
        </w:rPr>
        <w:t>、业绩比较基准、风险收益特征等约定仅适用于主袋账户。基金管理人计算各项投资运作指标和基金业绩指标时仅需考虑主袋账户资产。</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基金管理人原则上应当在侧袋</w:t>
      </w:r>
      <w:r>
        <w:rPr>
          <w:rFonts w:hAnsi="宋体"/>
          <w:bCs/>
          <w:sz w:val="24"/>
          <w:szCs w:val="24"/>
        </w:rPr>
        <w:t>机制启用后20个交易日内完成对主袋账户投资组合的调整，</w:t>
      </w:r>
      <w:r>
        <w:rPr>
          <w:rFonts w:hint="eastAsia" w:hAnsi="宋体"/>
          <w:bCs/>
          <w:sz w:val="24"/>
          <w:szCs w:val="24"/>
        </w:rPr>
        <w:t>因资产流动性受限等中国证监会规定的情形除外。</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基金管理人不得在侧袋账户中进行除特定资产处置变现以外的其他投资操作。</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（四）实施侧袋机制期间的基金估值</w:t>
      </w:r>
    </w:p>
    <w:p>
      <w:pPr>
        <w:adjustRightInd w:val="0"/>
        <w:snapToGrid w:val="0"/>
        <w:spacing w:line="360" w:lineRule="auto"/>
        <w:ind w:firstLine="480" w:firstLineChars="200"/>
        <w:rPr>
          <w:rFonts w:hAnsi="宋体"/>
          <w:bCs/>
          <w:sz w:val="24"/>
          <w:szCs w:val="24"/>
        </w:rPr>
      </w:pPr>
      <w:r>
        <w:rPr>
          <w:rFonts w:hint="eastAsia" w:hAnsi="宋体"/>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（五）实施侧袋账户期间的基金费用</w:t>
      </w:r>
    </w:p>
    <w:p>
      <w:pPr>
        <w:adjustRightInd w:val="0"/>
        <w:snapToGrid w:val="0"/>
        <w:spacing w:line="360" w:lineRule="auto"/>
        <w:ind w:firstLine="480" w:firstLineChars="200"/>
        <w:rPr>
          <w:rFonts w:hAnsi="宋体"/>
          <w:bCs/>
          <w:sz w:val="24"/>
          <w:szCs w:val="24"/>
        </w:rPr>
      </w:pPr>
      <w:r>
        <w:rPr>
          <w:rFonts w:hint="eastAsia" w:hAnsi="宋体"/>
          <w:bCs/>
          <w:sz w:val="24"/>
          <w:szCs w:val="24"/>
        </w:rPr>
        <w:t>1、本基金实施侧袋机制的，管理费和托管费等按主袋账户基金资产净值作为基数计提。</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、与侧袋账户有关的费用可从侧袋账户中列支，但应待侧袋账户资产变现后方可列支，有关费用可酌情收取或减免，但不得收取管理费。</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（六）侧袋账户中特定资产的处置变现和支付</w:t>
      </w:r>
    </w:p>
    <w:p>
      <w:pPr>
        <w:adjustRightInd w:val="0"/>
        <w:snapToGrid w:val="0"/>
        <w:spacing w:line="360" w:lineRule="auto"/>
        <w:ind w:firstLine="480" w:firstLineChars="200"/>
        <w:rPr>
          <w:rFonts w:hAnsi="宋体"/>
          <w:bCs/>
          <w:sz w:val="24"/>
          <w:szCs w:val="24"/>
        </w:rPr>
      </w:pPr>
      <w:r>
        <w:rPr>
          <w:rFonts w:hint="eastAsia" w:hAnsi="宋体"/>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侧袋账户资产全部完成变现并终止侧袋机制后，基金管理人应及时聘请符合《中华人民共和国证券法》规定的会计师事务所进行审计并披露专项审计意见。</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（七）侧袋机制的信息披露</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1、临时公告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在启用侧袋机制、处置特定资产、终止侧袋机制以及发生其他可能对投资者利益产生重大影响的事项后基金管理人应及时发布临时公告。</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2、基金净值信息</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3、定期报告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侧袋机制实施期间，基金管理人应当在基金定期报告中披露报告期内侧袋账户相关信息，基金定期报告中的基金会计报表仅需针对主袋账户进行编制。</w:t>
      </w:r>
      <w:bookmarkStart w:id="92" w:name="_Hlk45747214"/>
      <w:r>
        <w:rPr>
          <w:rFonts w:hint="eastAsia" w:hAnsi="宋体"/>
          <w:bCs/>
          <w:sz w:val="24"/>
          <w:szCs w:val="24"/>
        </w:rPr>
        <w:t>会计师事务所对基金年度报告进行审计时，应对报告期内基金侧袋机制运行相关的会计核算和年度报告披露等发表审计意见。</w:t>
      </w:r>
      <w:bookmarkEnd w:id="92"/>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93" w:name="_Toc48122018"/>
      <w:r>
        <w:rPr>
          <w:rFonts w:hint="eastAsia" w:ascii="宋体" w:hAnsi="宋体"/>
          <w:b/>
          <w:kern w:val="0"/>
          <w:sz w:val="30"/>
        </w:rPr>
        <w:t>十七、风险揭示</w:t>
      </w:r>
      <w:bookmarkEnd w:id="93"/>
    </w:p>
    <w:p>
      <w:pPr>
        <w:adjustRightInd w:val="0"/>
        <w:snapToGrid w:val="0"/>
        <w:spacing w:line="360" w:lineRule="auto"/>
        <w:ind w:firstLine="480" w:firstLineChars="20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4" w:name="_Hlt91150550"/>
      <w:bookmarkEnd w:id="94"/>
      <w:bookmarkStart w:id="95" w:name="_Hlt88901012"/>
      <w:bookmarkEnd w:id="95"/>
      <w:bookmarkStart w:id="96" w:name="_Toc109537396"/>
      <w:r>
        <w:rPr>
          <w:rFonts w:hAnsi="宋体"/>
          <w:sz w:val="24"/>
          <w:szCs w:val="24"/>
        </w:rPr>
        <w:t>生的收益，也可能承担</w:t>
      </w:r>
      <w:bookmarkEnd w:id="96"/>
      <w:r>
        <w:rPr>
          <w:rFonts w:hAnsi="宋体"/>
          <w:sz w:val="24"/>
          <w:szCs w:val="24"/>
        </w:rPr>
        <w:t>基金投资所带来的损失。</w:t>
      </w:r>
    </w:p>
    <w:p>
      <w:pPr>
        <w:adjustRightInd w:val="0"/>
        <w:snapToGrid w:val="0"/>
        <w:spacing w:line="360" w:lineRule="auto"/>
        <w:ind w:firstLine="480" w:firstLineChars="20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int="eastAsia" w:hAnsi="宋体"/>
          <w:sz w:val="24"/>
          <w:szCs w:val="24"/>
        </w:rPr>
        <w:t>开放</w:t>
      </w:r>
      <w:r>
        <w:rPr>
          <w:rFonts w:hAnsi="宋体"/>
          <w:sz w:val="24"/>
          <w:szCs w:val="24"/>
        </w:rPr>
        <w:t>日基金的净赎回申请（赎回申请份额总数加上基金转换中转出申请份额总数</w:t>
      </w:r>
      <w:r>
        <w:rPr>
          <w:rFonts w:hint="eastAsia" w:hAnsi="宋体"/>
          <w:sz w:val="24"/>
          <w:szCs w:val="24"/>
        </w:rPr>
        <w:t>后</w:t>
      </w:r>
      <w:r>
        <w:rPr>
          <w:rFonts w:hAnsi="宋体"/>
          <w:sz w:val="24"/>
          <w:szCs w:val="24"/>
        </w:rPr>
        <w:t>扣除申购申请份额总数及基金转换中转入申请份额总数后的余额）超过</w:t>
      </w:r>
      <w:r>
        <w:rPr>
          <w:rFonts w:hint="eastAsia" w:hAnsi="宋体"/>
          <w:sz w:val="24"/>
          <w:szCs w:val="24"/>
        </w:rPr>
        <w:t>上一开放日</w:t>
      </w:r>
      <w:r>
        <w:rPr>
          <w:rFonts w:hAnsi="宋体"/>
          <w:sz w:val="24"/>
          <w:szCs w:val="24"/>
        </w:rPr>
        <w:t>基金总份额的百分之十时，投资人将可能无法及时赎回持有的全部基金份额。基金分为股票</w:t>
      </w:r>
      <w:r>
        <w:rPr>
          <w:rFonts w:hint="eastAsia" w:hAnsi="宋体"/>
          <w:sz w:val="24"/>
          <w:szCs w:val="24"/>
        </w:rPr>
        <w:t>型</w:t>
      </w:r>
      <w:r>
        <w:rPr>
          <w:rFonts w:hAnsi="宋体"/>
          <w:sz w:val="24"/>
          <w:szCs w:val="24"/>
        </w:rPr>
        <w:t>基金、混合</w:t>
      </w:r>
      <w:r>
        <w:rPr>
          <w:rFonts w:hint="eastAsia" w:hAnsi="宋体"/>
          <w:sz w:val="24"/>
          <w:szCs w:val="24"/>
        </w:rPr>
        <w:t>型</w:t>
      </w:r>
      <w:r>
        <w:rPr>
          <w:rFonts w:hAnsi="宋体"/>
          <w:sz w:val="24"/>
          <w:szCs w:val="24"/>
        </w:rPr>
        <w:t>基金、债券</w:t>
      </w:r>
      <w:r>
        <w:rPr>
          <w:rFonts w:hint="eastAsia" w:hAnsi="宋体"/>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pPr>
        <w:adjustRightInd w:val="0"/>
        <w:snapToGrid w:val="0"/>
        <w:spacing w:line="360" w:lineRule="auto"/>
        <w:ind w:firstLine="480" w:firstLineChars="200"/>
        <w:rPr>
          <w:sz w:val="24"/>
          <w:szCs w:val="24"/>
        </w:rPr>
      </w:pPr>
      <w:r>
        <w:rPr>
          <w:rFonts w:hAnsi="宋体"/>
          <w:sz w:val="24"/>
          <w:szCs w:val="24"/>
        </w:rPr>
        <w:t>投资人应当认真阅读《基金合同》、《招募说明书》、</w:t>
      </w:r>
      <w:r>
        <w:rPr>
          <w:rFonts w:hint="eastAsia" w:hAnsi="宋体"/>
          <w:sz w:val="24"/>
          <w:szCs w:val="24"/>
        </w:rPr>
        <w:t>基金产品资料概要</w:t>
      </w:r>
      <w:r>
        <w:rPr>
          <w:rFonts w:hAnsi="宋体"/>
          <w:sz w:val="24"/>
          <w:szCs w:val="24"/>
        </w:rPr>
        <w:t>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widowControl/>
        <w:adjustRightInd w:val="0"/>
        <w:snapToGrid w:val="0"/>
        <w:spacing w:line="360" w:lineRule="auto"/>
        <w:ind w:firstLine="480" w:firstLineChars="200"/>
        <w:rPr>
          <w:sz w:val="24"/>
          <w:szCs w:val="24"/>
        </w:rPr>
      </w:pPr>
      <w:r>
        <w:rPr>
          <w:rFonts w:hAnsi="宋体"/>
          <w:sz w:val="24"/>
          <w:szCs w:val="24"/>
        </w:rPr>
        <w:t>因</w:t>
      </w:r>
      <w:r>
        <w:rPr>
          <w:rFonts w:hint="eastAsia" w:hAnsi="宋体"/>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int="eastAsia" w:hAnsi="宋体"/>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pPr>
        <w:widowControl/>
        <w:adjustRightInd w:val="0"/>
        <w:snapToGrid w:val="0"/>
        <w:spacing w:line="360" w:lineRule="auto"/>
        <w:ind w:firstLine="480" w:firstLineChars="200"/>
        <w:rPr>
          <w:sz w:val="24"/>
          <w:szCs w:val="24"/>
        </w:rPr>
      </w:pPr>
      <w:r>
        <w:rPr>
          <w:rFonts w:hAnsi="宋体"/>
          <w:sz w:val="24"/>
          <w:szCs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pPr>
        <w:widowControl/>
        <w:adjustRightInd w:val="0"/>
        <w:snapToGrid w:val="0"/>
        <w:spacing w:line="360" w:lineRule="auto"/>
        <w:ind w:firstLine="480" w:firstLineChars="200"/>
        <w:rPr>
          <w:kern w:val="0"/>
          <w:sz w:val="24"/>
          <w:szCs w:val="24"/>
        </w:rPr>
      </w:pPr>
      <w:r>
        <w:rPr>
          <w:rFonts w:hAnsi="宋体"/>
          <w:kern w:val="0"/>
          <w:sz w:val="24"/>
          <w:szCs w:val="24"/>
        </w:rPr>
        <w:t>基金份额持有人须了解并承受以下风险：</w:t>
      </w:r>
    </w:p>
    <w:p>
      <w:pPr>
        <w:adjustRightInd w:val="0"/>
        <w:snapToGrid w:val="0"/>
        <w:spacing w:line="360" w:lineRule="auto"/>
        <w:ind w:firstLine="482"/>
        <w:outlineLvl w:val="1"/>
        <w:rPr>
          <w:b/>
          <w:bCs/>
          <w:sz w:val="24"/>
        </w:rPr>
      </w:pPr>
      <w:r>
        <w:rPr>
          <w:b/>
          <w:bCs/>
          <w:sz w:val="24"/>
        </w:rPr>
        <w:t>（一）市场风险</w:t>
      </w:r>
    </w:p>
    <w:p>
      <w:pPr>
        <w:widowControl/>
        <w:adjustRightInd w:val="0"/>
        <w:snapToGrid w:val="0"/>
        <w:spacing w:line="360" w:lineRule="auto"/>
        <w:ind w:firstLine="480" w:firstLineChars="20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pPr>
        <w:adjustRightInd w:val="0"/>
        <w:snapToGrid w:val="0"/>
        <w:spacing w:line="360" w:lineRule="auto"/>
        <w:ind w:firstLine="482"/>
        <w:outlineLvl w:val="1"/>
        <w:rPr>
          <w:b/>
          <w:bCs/>
          <w:sz w:val="24"/>
        </w:rPr>
      </w:pPr>
      <w:r>
        <w:rPr>
          <w:b/>
          <w:bCs/>
          <w:sz w:val="24"/>
        </w:rPr>
        <w:t>（二）管理风险</w:t>
      </w:r>
    </w:p>
    <w:p>
      <w:pPr>
        <w:widowControl/>
        <w:adjustRightInd w:val="0"/>
        <w:snapToGrid w:val="0"/>
        <w:spacing w:line="360" w:lineRule="auto"/>
        <w:ind w:firstLine="480" w:firstLineChars="20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djustRightInd w:val="0"/>
        <w:snapToGrid w:val="0"/>
        <w:spacing w:line="360" w:lineRule="auto"/>
        <w:ind w:firstLine="482"/>
        <w:outlineLvl w:val="1"/>
        <w:rPr>
          <w:b/>
          <w:bCs/>
          <w:sz w:val="24"/>
        </w:rPr>
      </w:pPr>
      <w:r>
        <w:rPr>
          <w:b/>
          <w:bCs/>
          <w:sz w:val="24"/>
        </w:rPr>
        <w:t>（三）流动性风险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widowControl/>
        <w:adjustRightInd w:val="0"/>
        <w:snapToGrid w:val="0"/>
        <w:spacing w:line="360" w:lineRule="auto"/>
        <w:ind w:firstLine="480" w:firstLineChars="200"/>
        <w:rPr>
          <w:rFonts w:hAnsi="宋体"/>
          <w:bCs/>
          <w:kern w:val="0"/>
          <w:sz w:val="24"/>
          <w:szCs w:val="24"/>
        </w:rPr>
      </w:pPr>
      <w:r>
        <w:rPr>
          <w:rFonts w:hAnsi="宋体"/>
          <w:bCs/>
          <w:kern w:val="0"/>
          <w:sz w:val="24"/>
          <w:szCs w:val="24"/>
        </w:rPr>
        <w:t>1、本基金的申购、赎回安排</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本基金采用开放方式运作，基金管理人在开放日办理基金份额的申购和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基金管理人可根据实际情况依法决定本基金开始办理申购的具体日期，具体业务办理时间在申购开始公告中规定。基金管理人自基金合同生效之日起不超过3个月开始办理赎回，具体业务办理时间在赎回开始公告中规定。</w:t>
      </w:r>
    </w:p>
    <w:p>
      <w:pPr>
        <w:widowControl/>
        <w:adjustRightInd w:val="0"/>
        <w:snapToGrid w:val="0"/>
        <w:spacing w:line="360" w:lineRule="auto"/>
        <w:ind w:firstLine="480" w:firstLineChars="200"/>
        <w:rPr>
          <w:rFonts w:hAnsi="宋体"/>
          <w:bCs/>
          <w:kern w:val="0"/>
          <w:sz w:val="24"/>
          <w:szCs w:val="24"/>
        </w:rPr>
      </w:pPr>
      <w:r>
        <w:rPr>
          <w:rFonts w:hAnsi="宋体"/>
          <w:bCs/>
          <w:kern w:val="0"/>
          <w:sz w:val="24"/>
          <w:szCs w:val="24"/>
        </w:rPr>
        <w:t>2、投资市场、行业及资产的流动性风险评估</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pPr>
        <w:widowControl/>
        <w:adjustRightInd w:val="0"/>
        <w:snapToGrid w:val="0"/>
        <w:spacing w:line="360" w:lineRule="auto"/>
        <w:ind w:firstLine="480" w:firstLineChars="200"/>
        <w:rPr>
          <w:rFonts w:hAnsi="宋体"/>
          <w:bCs/>
          <w:kern w:val="0"/>
          <w:sz w:val="24"/>
          <w:szCs w:val="24"/>
        </w:rPr>
      </w:pPr>
      <w:r>
        <w:rPr>
          <w:rFonts w:hAnsi="宋体"/>
          <w:bCs/>
          <w:kern w:val="0"/>
          <w:sz w:val="24"/>
          <w:szCs w:val="24"/>
        </w:rPr>
        <w:t>3、巨额赎回情形下的流动性风险管理措施</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w:t>
      </w:r>
      <w:r>
        <w:rPr>
          <w:rFonts w:hAnsi="宋体"/>
          <w:bCs/>
          <w:kern w:val="0"/>
          <w:sz w:val="24"/>
          <w:szCs w:val="24"/>
        </w:rPr>
        <w:t>3）</w:t>
      </w:r>
      <w:r>
        <w:rPr>
          <w:rFonts w:hint="eastAsia" w:hAnsi="宋体"/>
          <w:bCs/>
          <w:kern w:val="0"/>
          <w:sz w:val="24"/>
          <w:szCs w:val="24"/>
        </w:rPr>
        <w:t>本基金如发生巨额赎回且单个开放日内单个基金份额持有人申请赎回的基金份额超过前一开放日的基金总份额的</w:t>
      </w:r>
      <w:r>
        <w:rPr>
          <w:rFonts w:hAnsi="宋体"/>
          <w:bCs/>
          <w:kern w:val="0"/>
          <w:sz w:val="24"/>
          <w:szCs w:val="24"/>
        </w:rPr>
        <w:t>20%时，本基金管理人有权采取如下措施：</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对于基金份额持有人当日超过</w:t>
      </w:r>
      <w:r>
        <w:rPr>
          <w:rFonts w:hAnsi="宋体"/>
          <w:bCs/>
          <w:kern w:val="0"/>
          <w:sz w:val="24"/>
          <w:szCs w:val="24"/>
        </w:rPr>
        <w:t>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hAnsi="宋体"/>
          <w:bCs/>
          <w:kern w:val="0"/>
          <w:sz w:val="24"/>
          <w:szCs w:val="24"/>
        </w:rPr>
        <w:t>基金份额净值为基础计算赎回金额，以此类推，直到全部赎回为止。</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对于基金份额持有人未超过上述比例的部分，基金管理人可以根据前述“（</w:t>
      </w:r>
      <w:r>
        <w:rPr>
          <w:rFonts w:hAnsi="宋体"/>
          <w:bCs/>
          <w:kern w:val="0"/>
          <w:sz w:val="24"/>
          <w:szCs w:val="24"/>
        </w:rPr>
        <w:t>1）全额赎回”或“（2</w:t>
      </w:r>
      <w:r>
        <w:rPr>
          <w:rFonts w:hint="eastAsia" w:hAnsi="宋体"/>
          <w:bCs/>
          <w:kern w:val="0"/>
          <w:sz w:val="24"/>
          <w:szCs w:val="24"/>
        </w:rPr>
        <w:t>）部分延期赎回”的约定方式与其他基金份额持有人的赎回申请一并办理。但是，如基金份额持有人在当日选择取消赎回，则其当日未获受理的部分赎回申请将被撤销。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4、实施备用的流动性风险管理工具的情形、程序及对投资者的潜在影响</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本基金在面临大规模赎回的情况下有可能因为无法变现造成流动性风险。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基金份额持有人的利益。当实施备用的流动性风险管理工具时，有可能无法按基金合同约定的时限支付赎回款项。</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基金管理人将根据主袋账户运作情况合理确定申购政策，因此实施侧袋机制后主袋账户份额存在暂停申购的可能。</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pPr>
        <w:adjustRightInd w:val="0"/>
        <w:snapToGrid w:val="0"/>
        <w:spacing w:line="360" w:lineRule="auto"/>
        <w:ind w:firstLine="482"/>
        <w:outlineLvl w:val="1"/>
        <w:rPr>
          <w:b/>
          <w:bCs/>
          <w:sz w:val="24"/>
        </w:rPr>
      </w:pPr>
      <w:r>
        <w:rPr>
          <w:b/>
          <w:bCs/>
          <w:sz w:val="24"/>
        </w:rPr>
        <w:t>（四）信用风险</w:t>
      </w:r>
    </w:p>
    <w:p>
      <w:pPr>
        <w:widowControl/>
        <w:adjustRightInd w:val="0"/>
        <w:snapToGrid w:val="0"/>
        <w:spacing w:line="360" w:lineRule="auto"/>
        <w:ind w:firstLine="480" w:firstLineChars="200"/>
        <w:rPr>
          <w:kern w:val="0"/>
          <w:sz w:val="24"/>
          <w:szCs w:val="24"/>
        </w:rPr>
      </w:pPr>
      <w:r>
        <w:rPr>
          <w:rFonts w:hAnsi="宋体"/>
          <w:kern w:val="0"/>
          <w:sz w:val="24"/>
          <w:szCs w:val="24"/>
        </w:rPr>
        <w:t>基金在交易过程</w:t>
      </w:r>
      <w:r>
        <w:rPr>
          <w:rFonts w:hint="eastAsia" w:hAnsi="宋体"/>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pPr>
        <w:adjustRightInd w:val="0"/>
        <w:snapToGrid w:val="0"/>
        <w:spacing w:line="360" w:lineRule="auto"/>
        <w:ind w:firstLine="482"/>
        <w:outlineLvl w:val="1"/>
        <w:rPr>
          <w:b/>
          <w:bCs/>
          <w:sz w:val="24"/>
        </w:rPr>
      </w:pPr>
      <w:r>
        <w:rPr>
          <w:b/>
          <w:bCs/>
          <w:sz w:val="24"/>
        </w:rPr>
        <w:t>（五）本基金的</w:t>
      </w:r>
      <w:r>
        <w:rPr>
          <w:rFonts w:hint="eastAsia"/>
          <w:b/>
          <w:bCs/>
          <w:sz w:val="24"/>
        </w:rPr>
        <w:t>特有</w:t>
      </w:r>
      <w:r>
        <w:rPr>
          <w:b/>
          <w:bCs/>
          <w:sz w:val="24"/>
        </w:rPr>
        <w:t>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w:t>
      </w:r>
      <w:r>
        <w:rPr>
          <w:rFonts w:hAnsi="宋体"/>
          <w:kern w:val="0"/>
          <w:sz w:val="24"/>
          <w:szCs w:val="24"/>
        </w:rPr>
        <w:t>本基金属于混合型基金，</w:t>
      </w:r>
      <w:r>
        <w:rPr>
          <w:rFonts w:hint="eastAsia" w:hAnsi="宋体"/>
          <w:kern w:val="0"/>
          <w:sz w:val="24"/>
          <w:szCs w:val="24"/>
        </w:rPr>
        <w:t>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lang w:val="en-US" w:eastAsia="zh-CN"/>
        </w:rPr>
        <w:t>3</w:t>
      </w:r>
      <w:r>
        <w:rPr>
          <w:rFonts w:hint="eastAsia" w:hAnsi="宋体"/>
          <w:kern w:val="0"/>
          <w:sz w:val="24"/>
          <w:szCs w:val="24"/>
        </w:rPr>
        <w:t>、基金合同提前终止风险。连续50个工作日出现基金份额持有人数量不满200人或者基金资产净值低于5000万元情形的，基金合同终止，不需召开基金份额持有人大会。</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lang w:val="en-US" w:eastAsia="zh-CN"/>
        </w:rPr>
        <w:t>4</w:t>
      </w:r>
      <w:r>
        <w:rPr>
          <w:rFonts w:hint="eastAsia" w:hAnsi="宋体"/>
          <w:kern w:val="0"/>
          <w:sz w:val="24"/>
          <w:szCs w:val="24"/>
        </w:rPr>
        <w:t>、本基金可投资创业板股票，创业板个股上市后的前五个交易日不设价格涨跌幅限制，第六个交易日开始涨跌幅限制比例为20%。</w:t>
      </w:r>
    </w:p>
    <w:p>
      <w:pPr>
        <w:widowControl/>
        <w:adjustRightInd w:val="0"/>
        <w:snapToGrid w:val="0"/>
        <w:spacing w:line="360" w:lineRule="auto"/>
        <w:ind w:firstLine="480" w:firstLineChars="200"/>
        <w:outlineLvl w:val="1"/>
        <w:rPr>
          <w:rFonts w:hAnsi="宋体"/>
          <w:b w:val="0"/>
          <w:kern w:val="0"/>
          <w:sz w:val="24"/>
          <w:szCs w:val="24"/>
        </w:rPr>
      </w:pPr>
      <w:r>
        <w:rPr>
          <w:rFonts w:hint="eastAsia" w:hAnsi="宋体"/>
          <w:kern w:val="0"/>
          <w:sz w:val="24"/>
          <w:szCs w:val="24"/>
          <w:lang w:val="en-US" w:eastAsia="zh-CN"/>
        </w:rPr>
        <w:t>5</w:t>
      </w:r>
      <w:r>
        <w:rPr>
          <w:rFonts w:hint="eastAsia" w:hAnsi="宋体"/>
          <w:b w:val="0"/>
          <w:kern w:val="0"/>
          <w:sz w:val="24"/>
          <w:szCs w:val="24"/>
        </w:rPr>
        <w:t>、</w:t>
      </w:r>
      <w:r>
        <w:rPr>
          <w:rFonts w:hAnsi="宋体"/>
          <w:b w:val="0"/>
          <w:kern w:val="0"/>
          <w:sz w:val="24"/>
          <w:szCs w:val="24"/>
        </w:rPr>
        <w:t>投资股指期货的特定风险</w:t>
      </w:r>
    </w:p>
    <w:p>
      <w:pPr>
        <w:widowControl/>
        <w:adjustRightInd w:val="0"/>
        <w:snapToGrid w:val="0"/>
        <w:spacing w:line="360" w:lineRule="auto"/>
        <w:ind w:firstLine="480" w:firstLineChars="200"/>
        <w:rPr>
          <w:kern w:val="0"/>
          <w:sz w:val="24"/>
          <w:szCs w:val="24"/>
        </w:rPr>
      </w:pPr>
      <w:r>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1</w:t>
      </w:r>
      <w:r>
        <w:rPr>
          <w:rFonts w:hAnsi="宋体"/>
          <w:kern w:val="0"/>
          <w:sz w:val="24"/>
          <w:szCs w:val="24"/>
        </w:rPr>
        <w:t>）市场风险是指由于股指期货价格变动而给投资者带来的风险。市场风险是股指期货投资中最主要的风险。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3</w:t>
      </w:r>
      <w:r>
        <w:rPr>
          <w:rFonts w:hAnsi="宋体"/>
          <w:kern w:val="0"/>
          <w:sz w:val="24"/>
          <w:szCs w:val="24"/>
        </w:rPr>
        <w:t>）基差风险是指股指期货合约价格和指数价格之间的价格差的波动所造成的风险，以及不同股指期货合约价格之间价格差的波动所造成的期现价差风险。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pPr>
        <w:widowControl/>
        <w:adjustRightInd w:val="0"/>
        <w:snapToGrid w:val="0"/>
        <w:spacing w:line="360" w:lineRule="auto"/>
        <w:ind w:firstLine="480" w:firstLineChars="200"/>
        <w:rPr>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pPr>
        <w:widowControl/>
        <w:adjustRightInd w:val="0"/>
        <w:snapToGrid w:val="0"/>
        <w:spacing w:line="360" w:lineRule="auto"/>
        <w:ind w:firstLine="480" w:firstLineChars="200"/>
        <w:outlineLvl w:val="1"/>
        <w:rPr>
          <w:rFonts w:hAnsi="宋体"/>
          <w:b w:val="0"/>
          <w:kern w:val="0"/>
          <w:sz w:val="24"/>
          <w:szCs w:val="24"/>
        </w:rPr>
      </w:pPr>
      <w:r>
        <w:rPr>
          <w:rFonts w:hint="eastAsia" w:hAnsi="宋体"/>
          <w:kern w:val="0"/>
          <w:sz w:val="24"/>
          <w:szCs w:val="24"/>
          <w:lang w:val="en-US" w:eastAsia="zh-CN"/>
        </w:rPr>
        <w:t>6</w:t>
      </w:r>
      <w:r>
        <w:rPr>
          <w:rFonts w:hint="eastAsia" w:hAnsi="宋体"/>
          <w:kern w:val="0"/>
          <w:sz w:val="24"/>
          <w:szCs w:val="24"/>
        </w:rPr>
        <w:t>、</w:t>
      </w:r>
      <w:r>
        <w:rPr>
          <w:rFonts w:hAnsi="宋体"/>
          <w:b w:val="0"/>
          <w:kern w:val="0"/>
          <w:sz w:val="24"/>
          <w:szCs w:val="24"/>
        </w:rPr>
        <w:t>投资</w:t>
      </w:r>
      <w:r>
        <w:rPr>
          <w:rFonts w:hint="eastAsia" w:hAnsi="宋体"/>
          <w:b w:val="0"/>
          <w:kern w:val="0"/>
          <w:sz w:val="24"/>
          <w:szCs w:val="24"/>
        </w:rPr>
        <w:t>资产支持证券</w:t>
      </w:r>
      <w:r>
        <w:rPr>
          <w:rFonts w:hAnsi="宋体"/>
          <w:b w:val="0"/>
          <w:kern w:val="0"/>
          <w:sz w:val="24"/>
          <w:szCs w:val="24"/>
        </w:rPr>
        <w:t>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outlineLvl w:val="1"/>
        <w:rPr>
          <w:rFonts w:hAnsi="宋体"/>
          <w:b w:val="0"/>
          <w:kern w:val="0"/>
          <w:sz w:val="24"/>
          <w:szCs w:val="24"/>
        </w:rPr>
      </w:pPr>
      <w:r>
        <w:rPr>
          <w:rFonts w:hint="eastAsia" w:hAnsi="宋体"/>
          <w:kern w:val="0"/>
          <w:sz w:val="24"/>
          <w:szCs w:val="24"/>
          <w:lang w:val="en-US" w:eastAsia="zh-CN"/>
        </w:rPr>
        <w:t>7</w:t>
      </w:r>
      <w:r>
        <w:rPr>
          <w:rFonts w:hint="eastAsia" w:hAnsi="宋体"/>
          <w:kern w:val="0"/>
          <w:sz w:val="24"/>
          <w:szCs w:val="24"/>
        </w:rPr>
        <w:t>、</w:t>
      </w:r>
      <w:r>
        <w:rPr>
          <w:rFonts w:hint="eastAsia" w:hAnsi="宋体"/>
          <w:b w:val="0"/>
          <w:kern w:val="0"/>
          <w:sz w:val="24"/>
          <w:szCs w:val="24"/>
        </w:rPr>
        <w:t>投资流通受限证券的特定风险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若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adjustRightInd w:val="0"/>
        <w:snapToGrid w:val="0"/>
        <w:spacing w:line="360" w:lineRule="auto"/>
        <w:ind w:firstLine="482"/>
        <w:outlineLvl w:val="1"/>
        <w:rPr>
          <w:rFonts w:hAnsi="宋体"/>
          <w:b w:val="0"/>
          <w:bCs w:val="0"/>
          <w:kern w:val="0"/>
          <w:sz w:val="24"/>
          <w:szCs w:val="24"/>
        </w:rPr>
      </w:pPr>
      <w:r>
        <w:rPr>
          <w:rFonts w:hint="eastAsia" w:hAnsi="宋体"/>
          <w:kern w:val="0"/>
          <w:sz w:val="24"/>
          <w:szCs w:val="24"/>
          <w:lang w:val="en-US" w:eastAsia="zh-CN"/>
        </w:rPr>
        <w:t>8</w:t>
      </w:r>
      <w:r>
        <w:rPr>
          <w:rFonts w:hint="eastAsia" w:hAnsi="宋体"/>
          <w:kern w:val="0"/>
          <w:sz w:val="24"/>
          <w:szCs w:val="24"/>
        </w:rPr>
        <w:t>、</w:t>
      </w:r>
      <w:r>
        <w:rPr>
          <w:rFonts w:hint="eastAsia" w:hAnsi="宋体"/>
          <w:b w:val="0"/>
          <w:bCs w:val="0"/>
          <w:kern w:val="0"/>
          <w:sz w:val="24"/>
          <w:szCs w:val="24"/>
        </w:rPr>
        <w:t>投资港股通标的股票的特定风险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本基金可投资港股通标的股票，会面临港股通机制下因投资环境、投资标的、市场制度以及交易规则等差异带来的特有风险，具体如下：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（1）港股交易失败风险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（2）汇率风险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（3）境外市场的风险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2）香港市场交易规则有别于内地A股市场规则，此外，在“内地与香港股票市场交易互联互通机制”下参与香港股票投资还将面临包括但不限于如下特殊风险：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a）香港市场实行T+0回转交易机制（即当日买入的股票，在交收前可以于当日卖出），且证券交易价格并无涨跌幅上下限的规定，因此每日涨跌幅空间相对较大，可能表现出比A股更为剧烈的股价波动；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c）香港出现香港联合交易所规定的相关情形时，香港联合交易所将可能停市，本基金将面临在停市期间无法进行港股通交易的风险；出现内地证券交易服务公司认定的交易异常情况时，内地证券交易服务公司将可能暂停提供部分或者全部港股通服务，将面临在暂停服务期间无法进行港股通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d）投资者因港股通股票权益分派、转换、上市公司被收购等情形或者异常情况，所取得的港股通股票以外的香港联合交易所上市证券，只能通过港股通卖出，但不得买入，内地证券交易服务公司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e）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（4）本基金可根据投资策略需要或不同配置地市场环境的变化，选择将部分基金资产投资于港股通标的股票或选择不将基金资产投资于港股通标的股票，基金资产并非必然投资港股通标的股票。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以上所述因素可能会给本基金投资带来特殊交易风险。</w:t>
      </w:r>
    </w:p>
    <w:p>
      <w:pPr>
        <w:widowControl/>
        <w:adjustRightInd w:val="0"/>
        <w:snapToGrid w:val="0"/>
        <w:spacing w:line="360" w:lineRule="auto"/>
        <w:ind w:left="0" w:firstLine="480" w:firstLineChars="200"/>
        <w:jc w:val="left"/>
        <w:outlineLvl w:val="1"/>
        <w:rPr>
          <w:rFonts w:hint="eastAsia" w:hAnsi="宋体"/>
          <w:b w:val="0"/>
          <w:bCs w:val="0"/>
          <w:kern w:val="0"/>
          <w:sz w:val="24"/>
          <w:szCs w:val="24"/>
        </w:rPr>
      </w:pPr>
      <w:r>
        <w:rPr>
          <w:rFonts w:hint="eastAsia" w:hAnsi="宋体"/>
          <w:kern w:val="0"/>
          <w:sz w:val="24"/>
          <w:szCs w:val="24"/>
          <w:lang w:val="en-US" w:eastAsia="zh-CN"/>
        </w:rPr>
        <w:t>9</w:t>
      </w:r>
      <w:r>
        <w:rPr>
          <w:rFonts w:hint="eastAsia" w:hAnsi="宋体"/>
          <w:kern w:val="0"/>
          <w:sz w:val="24"/>
          <w:szCs w:val="24"/>
        </w:rPr>
        <w:t>、</w:t>
      </w:r>
      <w:r>
        <w:rPr>
          <w:rFonts w:hint="eastAsia" w:hAnsi="宋体"/>
          <w:b w:val="0"/>
          <w:bCs w:val="0"/>
          <w:kern w:val="0"/>
          <w:sz w:val="24"/>
          <w:szCs w:val="24"/>
        </w:rPr>
        <w:t>投资存托凭证的特定风险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widowControl/>
        <w:adjustRightInd w:val="0"/>
        <w:snapToGrid w:val="0"/>
        <w:spacing w:line="360" w:lineRule="auto"/>
        <w:ind w:firstLine="480" w:firstLineChars="200"/>
        <w:rPr>
          <w:rFonts w:hAnsi="宋体"/>
          <w:kern w:val="0"/>
          <w:sz w:val="24"/>
          <w:szCs w:val="24"/>
        </w:rPr>
      </w:pPr>
      <w:r>
        <w:rPr>
          <w:rFonts w:hint="eastAsia" w:hAnsi="宋体"/>
          <w:bCs/>
          <w:kern w:val="0"/>
          <w:sz w:val="24"/>
          <w:szCs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0" w:firstLineChars="200"/>
        <w:outlineLvl w:val="1"/>
        <w:rPr>
          <w:rFonts w:hAnsi="宋体"/>
          <w:b w:val="0"/>
          <w:kern w:val="0"/>
          <w:sz w:val="24"/>
          <w:szCs w:val="24"/>
        </w:rPr>
      </w:pPr>
      <w:r>
        <w:rPr>
          <w:rFonts w:hint="eastAsia" w:hAnsi="宋体"/>
          <w:kern w:val="0"/>
          <w:sz w:val="24"/>
          <w:szCs w:val="24"/>
          <w:lang w:val="en-US" w:eastAsia="zh-CN"/>
        </w:rPr>
        <w:t>10</w:t>
      </w:r>
      <w:r>
        <w:rPr>
          <w:rFonts w:hint="eastAsia" w:hAnsi="宋体"/>
          <w:kern w:val="0"/>
          <w:sz w:val="24"/>
          <w:szCs w:val="24"/>
        </w:rPr>
        <w:t>、</w:t>
      </w:r>
      <w:r>
        <w:rPr>
          <w:rFonts w:hint="eastAsia" w:hAnsi="宋体"/>
          <w:b w:val="0"/>
          <w:kern w:val="0"/>
          <w:sz w:val="24"/>
          <w:szCs w:val="24"/>
        </w:rPr>
        <w:t>投资科创板股票的特定风险</w:t>
      </w:r>
    </w:p>
    <w:p>
      <w:pPr>
        <w:widowControl/>
        <w:adjustRightInd w:val="0"/>
        <w:snapToGrid w:val="0"/>
        <w:spacing w:line="360" w:lineRule="auto"/>
        <w:ind w:firstLine="480" w:firstLineChars="200"/>
        <w:outlineLvl w:val="9"/>
        <w:rPr>
          <w:rFonts w:hAnsi="宋体"/>
          <w:bCs/>
          <w:kern w:val="0"/>
          <w:sz w:val="24"/>
          <w:szCs w:val="24"/>
        </w:rPr>
      </w:pPr>
      <w:r>
        <w:rPr>
          <w:rFonts w:hint="eastAsia" w:hAnsi="宋体"/>
          <w:bCs/>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系统性风险、政策风险等。</w:t>
      </w:r>
    </w:p>
    <w:p>
      <w:pPr>
        <w:widowControl/>
        <w:adjustRightInd w:val="0"/>
        <w:snapToGrid w:val="0"/>
        <w:spacing w:line="360" w:lineRule="auto"/>
        <w:ind w:firstLine="480" w:firstLineChars="200"/>
        <w:outlineLvl w:val="9"/>
        <w:rPr>
          <w:rFonts w:hAnsi="宋体"/>
          <w:bCs/>
          <w:kern w:val="0"/>
          <w:sz w:val="24"/>
          <w:szCs w:val="24"/>
        </w:rPr>
      </w:pPr>
      <w:r>
        <w:rPr>
          <w:rFonts w:hint="eastAsia" w:hAnsi="宋体"/>
          <w:bCs/>
          <w:kern w:val="0"/>
          <w:sz w:val="24"/>
          <w:szCs w:val="24"/>
        </w:rPr>
        <w:t>（</w:t>
      </w:r>
      <w:r>
        <w:rPr>
          <w:rFonts w:hAnsi="宋体"/>
          <w:bCs/>
          <w:kern w:val="0"/>
          <w:sz w:val="24"/>
          <w:szCs w:val="24"/>
        </w:rPr>
        <w:t>1）市场风险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科创板个股上市后的前五个交易日无涨跌停限制，其后涨跌幅限制为20%，科创板股票上市首日即可作为融资融券标的，可能导致较大的股票价格波动。</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（2）流动性风险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科创板整体投资门槛较高，二级市场上个人投资者参与度相对较低，机构持有个股大量流通盘导致个股流动性较差，基金组合存在无法及时变现及其他相关流动性风险。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（3）退市风险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科创板退市制度较主板更为严格，且不再设置暂停上市、恢复上市和重新上市环节，上市公司退市风险更大。</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（4）系统性风险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科创板企业均为市场认可度较高的科技创新企业，在企业经营及盈利模式上存在趋同，所以科创板个股相关性较高，市场表现不佳时，系统性风险将更为显著。</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（5）政策风险</w:t>
      </w:r>
    </w:p>
    <w:p>
      <w:pPr>
        <w:widowControl/>
        <w:adjustRightInd w:val="0"/>
        <w:snapToGrid w:val="0"/>
        <w:spacing w:line="360" w:lineRule="auto"/>
        <w:ind w:firstLine="480" w:firstLineChars="200"/>
        <w:outlineLvl w:val="9"/>
        <w:rPr>
          <w:rFonts w:hAnsi="宋体"/>
          <w:b/>
          <w:kern w:val="0"/>
          <w:sz w:val="24"/>
          <w:szCs w:val="24"/>
        </w:rPr>
      </w:pPr>
      <w:r>
        <w:rPr>
          <w:rFonts w:hint="eastAsia" w:hAnsi="宋体"/>
          <w:bCs/>
          <w:kern w:val="0"/>
          <w:sz w:val="24"/>
          <w:szCs w:val="24"/>
        </w:rPr>
        <w:t>国家对高新技术产业扶持力度及重视程度的变化会对科创板企业带来较大影响，国际经济形势变化对战略新兴产业及科创板个股也会带来政策影响。</w:t>
      </w:r>
    </w:p>
    <w:p>
      <w:pPr>
        <w:widowControl/>
        <w:adjustRightInd w:val="0"/>
        <w:snapToGrid w:val="0"/>
        <w:spacing w:line="360" w:lineRule="auto"/>
        <w:ind w:firstLine="482" w:firstLineChars="200"/>
        <w:outlineLvl w:val="1"/>
        <w:rPr>
          <w:rFonts w:hAnsi="宋体"/>
          <w:b/>
          <w:kern w:val="0"/>
          <w:sz w:val="24"/>
          <w:szCs w:val="24"/>
        </w:rPr>
      </w:pPr>
      <w:r>
        <w:rPr>
          <w:rFonts w:hint="eastAsia" w:hAnsi="宋体"/>
          <w:b/>
          <w:kern w:val="0"/>
          <w:sz w:val="24"/>
          <w:szCs w:val="24"/>
        </w:rPr>
        <w:t>（六）本基金法律文件风险收益特征表述与销售机构基金风险评价可能不一致的风险</w:t>
      </w:r>
    </w:p>
    <w:p>
      <w:pPr>
        <w:widowControl/>
        <w:adjustRightInd w:val="0"/>
        <w:snapToGrid w:val="0"/>
        <w:spacing w:line="360" w:lineRule="auto"/>
        <w:ind w:firstLine="480" w:firstLineChars="200"/>
        <w:outlineLvl w:val="9"/>
        <w:rPr>
          <w:rFonts w:hAnsi="宋体"/>
          <w:bCs/>
          <w:kern w:val="0"/>
          <w:sz w:val="24"/>
          <w:szCs w:val="24"/>
        </w:rPr>
      </w:pPr>
      <w:r>
        <w:rPr>
          <w:rFonts w:hint="eastAsia" w:hAnsi="宋体"/>
          <w:bCs/>
          <w:kern w:val="0"/>
          <w:sz w:val="24"/>
          <w:szCs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pPr>
        <w:widowControl/>
        <w:adjustRightInd w:val="0"/>
        <w:snapToGrid w:val="0"/>
        <w:spacing w:line="360" w:lineRule="auto"/>
        <w:ind w:firstLine="482" w:firstLineChars="200"/>
        <w:outlineLvl w:val="1"/>
        <w:rPr>
          <w:b/>
          <w:kern w:val="0"/>
          <w:sz w:val="24"/>
          <w:szCs w:val="24"/>
        </w:rPr>
      </w:pPr>
      <w:r>
        <w:rPr>
          <w:rFonts w:hint="eastAsia" w:hAnsi="宋体"/>
          <w:b/>
          <w:kern w:val="0"/>
          <w:sz w:val="24"/>
          <w:szCs w:val="24"/>
        </w:rPr>
        <w:t>（七）</w:t>
      </w:r>
      <w:r>
        <w:rPr>
          <w:rFonts w:hAnsi="宋体"/>
          <w:b/>
          <w:kern w:val="0"/>
          <w:sz w:val="24"/>
          <w:szCs w:val="24"/>
        </w:rPr>
        <w:t>其他风险</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、因技术因素而产生的风险，如电脑系统不可靠产生的风险；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、因人为因素而产生的风险、如内幕交易、欺诈行为等产生的风险；</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、对主要业务人员如基金经理的依赖而可能产生的风险；</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、因业务竞争压力可能产生的风险；</w:t>
      </w:r>
    </w:p>
    <w:p>
      <w:pPr>
        <w:widowControl/>
        <w:adjustRightInd w:val="0"/>
        <w:snapToGrid w:val="0"/>
        <w:spacing w:line="360" w:lineRule="auto"/>
        <w:ind w:firstLine="480" w:firstLineChars="20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pPr>
        <w:widowControl/>
        <w:adjustRightInd w:val="0"/>
        <w:snapToGrid w:val="0"/>
        <w:spacing w:line="360" w:lineRule="auto"/>
        <w:ind w:firstLine="480" w:firstLineChars="200"/>
        <w:rPr>
          <w:kern w:val="0"/>
          <w:sz w:val="24"/>
        </w:rPr>
      </w:pPr>
      <w:r>
        <w:rPr>
          <w:kern w:val="0"/>
          <w:sz w:val="24"/>
          <w:szCs w:val="24"/>
        </w:rPr>
        <w:t>7</w:t>
      </w:r>
      <w:r>
        <w:rPr>
          <w:rFonts w:hAnsi="宋体"/>
          <w:kern w:val="0"/>
          <w:sz w:val="24"/>
          <w:szCs w:val="24"/>
        </w:rPr>
        <w:t>、其他意外导致的风险。</w:t>
      </w:r>
      <w:bookmarkStart w:id="97" w:name="OLE_LINK15"/>
    </w:p>
    <w:p>
      <w:pPr>
        <w:widowControl/>
        <w:adjustRightInd w:val="0"/>
        <w:snapToGrid w:val="0"/>
        <w:spacing w:before="143" w:beforeLines="50" w:after="143" w:afterLines="50" w:line="360" w:lineRule="auto"/>
        <w:jc w:val="center"/>
        <w:outlineLvl w:val="0"/>
        <w:rPr>
          <w:b/>
          <w:kern w:val="0"/>
          <w:sz w:val="30"/>
        </w:rPr>
      </w:pPr>
      <w:r>
        <w:rPr>
          <w:rFonts w:hAnsi="宋体"/>
          <w:b/>
          <w:kern w:val="0"/>
          <w:sz w:val="30"/>
        </w:rPr>
        <w:br w:type="page"/>
      </w:r>
      <w:bookmarkStart w:id="98" w:name="_Toc48122019"/>
      <w:r>
        <w:rPr>
          <w:rFonts w:hint="eastAsia" w:hAnsi="宋体"/>
          <w:b/>
          <w:kern w:val="0"/>
          <w:sz w:val="30"/>
        </w:rPr>
        <w:t>十八</w:t>
      </w:r>
      <w:r>
        <w:rPr>
          <w:rFonts w:hAnsi="宋体"/>
          <w:b/>
          <w:kern w:val="0"/>
          <w:sz w:val="30"/>
        </w:rPr>
        <w:t>、基金合同的变更、终止与基金财</w:t>
      </w:r>
      <w:bookmarkEnd w:id="97"/>
      <w:r>
        <w:rPr>
          <w:rFonts w:hAnsi="宋体"/>
          <w:b/>
          <w:kern w:val="0"/>
          <w:sz w:val="30"/>
        </w:rPr>
        <w:t>产的清算</w:t>
      </w:r>
      <w:bookmarkEnd w:id="98"/>
    </w:p>
    <w:p>
      <w:pPr>
        <w:adjustRightInd w:val="0"/>
        <w:snapToGrid w:val="0"/>
        <w:spacing w:line="360" w:lineRule="auto"/>
        <w:ind w:firstLine="482"/>
        <w:outlineLvl w:val="1"/>
        <w:rPr>
          <w:b/>
          <w:bCs/>
          <w:sz w:val="24"/>
        </w:rPr>
      </w:pPr>
      <w:r>
        <w:rPr>
          <w:b/>
          <w:bCs/>
          <w:sz w:val="24"/>
        </w:rPr>
        <w:t>（一）《基金合同》的变更</w:t>
      </w:r>
    </w:p>
    <w:p>
      <w:pPr>
        <w:adjustRightInd w:val="0"/>
        <w:snapToGrid w:val="0"/>
        <w:spacing w:line="360" w:lineRule="auto"/>
        <w:ind w:firstLine="480" w:firstLineChars="200"/>
        <w:rPr>
          <w:rFonts w:hAnsi="宋体"/>
          <w:kern w:val="0"/>
          <w:sz w:val="24"/>
        </w:rPr>
      </w:pPr>
      <w:r>
        <w:rPr>
          <w:rFonts w:hint="eastAsia" w:hAnsi="宋体"/>
          <w:kern w:val="0"/>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按规定报中国证监会备案。</w:t>
      </w:r>
    </w:p>
    <w:p>
      <w:pPr>
        <w:adjustRightInd w:val="0"/>
        <w:snapToGrid w:val="0"/>
        <w:spacing w:line="360" w:lineRule="auto"/>
        <w:ind w:firstLine="480" w:firstLineChars="200"/>
        <w:rPr>
          <w:rFonts w:hAnsi="宋体"/>
          <w:kern w:val="0"/>
          <w:sz w:val="24"/>
        </w:rPr>
      </w:pPr>
      <w:r>
        <w:rPr>
          <w:rFonts w:hint="eastAsia" w:hAnsi="宋体"/>
          <w:kern w:val="0"/>
          <w:sz w:val="24"/>
        </w:rPr>
        <w:t>2、关于《基金合同》变更的基金份额持有人大会决议自生效后方可执行，</w:t>
      </w:r>
      <w:r>
        <w:rPr>
          <w:rFonts w:hAnsi="宋体"/>
          <w:bCs/>
          <w:kern w:val="0"/>
          <w:sz w:val="24"/>
        </w:rPr>
        <w:t>自</w:t>
      </w:r>
      <w:r>
        <w:rPr>
          <w:rFonts w:hint="eastAsia" w:hAnsi="宋体"/>
          <w:bCs/>
          <w:kern w:val="0"/>
          <w:sz w:val="24"/>
        </w:rPr>
        <w:t>决议</w:t>
      </w:r>
      <w:r>
        <w:rPr>
          <w:rFonts w:hint="eastAsia" w:hAnsi="宋体"/>
          <w:kern w:val="0"/>
          <w:sz w:val="24"/>
        </w:rPr>
        <w:t>生效后依照《信息披露办法》的规定在规定媒介公告。</w:t>
      </w:r>
    </w:p>
    <w:p>
      <w:pPr>
        <w:adjustRightInd w:val="0"/>
        <w:snapToGrid w:val="0"/>
        <w:spacing w:line="360" w:lineRule="auto"/>
        <w:ind w:firstLine="482"/>
        <w:outlineLvl w:val="1"/>
        <w:rPr>
          <w:b/>
          <w:bCs/>
          <w:sz w:val="24"/>
        </w:rPr>
      </w:pPr>
      <w:r>
        <w:rPr>
          <w:b/>
          <w:bCs/>
          <w:sz w:val="24"/>
        </w:rPr>
        <w:t>（二）《基金合同》的终止事由</w:t>
      </w:r>
    </w:p>
    <w:p>
      <w:pPr>
        <w:adjustRightInd w:val="0"/>
        <w:snapToGrid w:val="0"/>
        <w:spacing w:line="360" w:lineRule="auto"/>
        <w:ind w:firstLine="480" w:firstLineChars="200"/>
        <w:rPr>
          <w:rFonts w:hAnsi="宋体"/>
          <w:kern w:val="0"/>
          <w:sz w:val="24"/>
        </w:rPr>
      </w:pPr>
      <w:r>
        <w:rPr>
          <w:rFonts w:hint="eastAsia" w:hAnsi="宋体"/>
          <w:kern w:val="0"/>
          <w:sz w:val="24"/>
        </w:rPr>
        <w:t>有下列情形之一的，</w:t>
      </w:r>
      <w:r>
        <w:rPr>
          <w:rFonts w:hint="eastAsia"/>
          <w:bCs/>
          <w:sz w:val="24"/>
        </w:rPr>
        <w:t>经履行相关程序后，</w:t>
      </w:r>
      <w:r>
        <w:rPr>
          <w:rFonts w:hint="eastAsia" w:hAnsi="宋体"/>
          <w:kern w:val="0"/>
          <w:sz w:val="24"/>
        </w:rPr>
        <w:t>《基金合同》应当终止：</w:t>
      </w:r>
    </w:p>
    <w:p>
      <w:pPr>
        <w:adjustRightInd w:val="0"/>
        <w:snapToGrid w:val="0"/>
        <w:spacing w:line="360" w:lineRule="auto"/>
        <w:ind w:firstLine="480" w:firstLineChars="200"/>
        <w:rPr>
          <w:rFonts w:hAnsi="宋体"/>
          <w:kern w:val="0"/>
          <w:sz w:val="24"/>
        </w:rPr>
      </w:pPr>
      <w:r>
        <w:rPr>
          <w:rFonts w:hint="eastAsia" w:hAnsi="宋体"/>
          <w:kern w:val="0"/>
          <w:sz w:val="24"/>
        </w:rPr>
        <w:t>1、基金份额持有人大会决定终止的；</w:t>
      </w:r>
    </w:p>
    <w:p>
      <w:pPr>
        <w:adjustRightInd w:val="0"/>
        <w:snapToGrid w:val="0"/>
        <w:spacing w:line="360" w:lineRule="auto"/>
        <w:ind w:firstLine="480" w:firstLineChars="200"/>
        <w:rPr>
          <w:rFonts w:hAnsi="宋体"/>
          <w:kern w:val="0"/>
          <w:sz w:val="24"/>
        </w:rPr>
      </w:pPr>
      <w:r>
        <w:rPr>
          <w:rFonts w:hint="eastAsia" w:hAnsi="宋体"/>
          <w:kern w:val="0"/>
          <w:sz w:val="24"/>
        </w:rPr>
        <w:t>2、基金管理人、基金托管人职责终止，在6个月内没有新基金管理人、新基金托管人承接的；</w:t>
      </w:r>
    </w:p>
    <w:p>
      <w:pPr>
        <w:adjustRightInd w:val="0"/>
        <w:snapToGrid w:val="0"/>
        <w:spacing w:line="360" w:lineRule="auto"/>
        <w:ind w:firstLine="480" w:firstLineChars="200"/>
        <w:rPr>
          <w:rFonts w:hAnsi="宋体"/>
          <w:kern w:val="0"/>
          <w:sz w:val="24"/>
        </w:rPr>
      </w:pPr>
      <w:r>
        <w:rPr>
          <w:rFonts w:hint="eastAsia" w:hAnsi="宋体"/>
          <w:kern w:val="0"/>
          <w:sz w:val="24"/>
        </w:rPr>
        <w:t>3、</w:t>
      </w:r>
      <w:r>
        <w:rPr>
          <w:rFonts w:hint="eastAsia" w:hAnsi="宋体"/>
          <w:bCs/>
          <w:kern w:val="0"/>
          <w:sz w:val="24"/>
        </w:rPr>
        <w:t>连续50个工作日出现基金份额持有人数量不满200人或者基金资产净值低于5000万元情形的，基金合同终止，不需召开基金份额持有人大会；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4、《基金合同》约定的其他情形；</w:t>
      </w:r>
    </w:p>
    <w:p>
      <w:pPr>
        <w:adjustRightInd w:val="0"/>
        <w:snapToGrid w:val="0"/>
        <w:spacing w:line="360" w:lineRule="auto"/>
        <w:ind w:firstLine="480" w:firstLineChars="200"/>
        <w:rPr>
          <w:rFonts w:hAnsi="宋体"/>
          <w:kern w:val="0"/>
          <w:sz w:val="24"/>
        </w:rPr>
      </w:pPr>
      <w:r>
        <w:rPr>
          <w:rFonts w:hAnsi="宋体"/>
          <w:kern w:val="0"/>
          <w:sz w:val="24"/>
        </w:rPr>
        <w:t>5</w:t>
      </w:r>
      <w:r>
        <w:rPr>
          <w:rFonts w:hint="eastAsia" w:hAnsi="宋体"/>
          <w:kern w:val="0"/>
          <w:sz w:val="24"/>
        </w:rPr>
        <w:t>、相关法律法规和中国证监会规定的其他情况。</w:t>
      </w:r>
    </w:p>
    <w:p>
      <w:pPr>
        <w:adjustRightInd w:val="0"/>
        <w:snapToGrid w:val="0"/>
        <w:spacing w:line="360" w:lineRule="auto"/>
        <w:ind w:firstLine="482"/>
        <w:outlineLvl w:val="1"/>
        <w:rPr>
          <w:b/>
          <w:bCs/>
          <w:sz w:val="24"/>
        </w:rPr>
      </w:pPr>
      <w:r>
        <w:rPr>
          <w:b/>
          <w:bCs/>
          <w:sz w:val="24"/>
        </w:rPr>
        <w:t>（三）基金财产的清算</w:t>
      </w:r>
    </w:p>
    <w:p>
      <w:pPr>
        <w:adjustRightInd w:val="0"/>
        <w:snapToGrid w:val="0"/>
        <w:spacing w:line="360" w:lineRule="auto"/>
        <w:ind w:firstLine="480" w:firstLineChars="200"/>
        <w:rPr>
          <w:rFonts w:hAnsi="宋体"/>
          <w:kern w:val="0"/>
          <w:sz w:val="24"/>
        </w:rPr>
      </w:pPr>
      <w:r>
        <w:rPr>
          <w:rFonts w:hint="eastAsia" w:hAnsi="宋体"/>
          <w:kern w:val="0"/>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rFonts w:hAnsi="宋体"/>
          <w:kern w:val="0"/>
          <w:sz w:val="24"/>
        </w:rPr>
      </w:pPr>
      <w:r>
        <w:rPr>
          <w:rFonts w:hint="eastAsia" w:hAnsi="宋体"/>
          <w:kern w:val="0"/>
          <w:sz w:val="24"/>
        </w:rPr>
        <w:t>2、基金财产清算小组组成：基金财产清算小组成员由基金管理人、基金托管人、</w:t>
      </w:r>
      <w:r>
        <w:rPr>
          <w:bCs/>
          <w:sz w:val="24"/>
        </w:rPr>
        <w:t>符合</w:t>
      </w:r>
      <w:r>
        <w:rPr>
          <w:rFonts w:hint="eastAsia"/>
          <w:bCs/>
          <w:sz w:val="24"/>
        </w:rPr>
        <w:t>《中华人民共和国证券法》规定</w:t>
      </w:r>
      <w:r>
        <w:rPr>
          <w:rFonts w:hint="eastAsia" w:hAnsi="宋体"/>
          <w:kern w:val="0"/>
          <w:sz w:val="24"/>
        </w:rPr>
        <w:t>的注册会计师、律师以及中国证监会指定的人员组成。基金财产清算小组可以聘用必要的工作人员。</w:t>
      </w:r>
    </w:p>
    <w:p>
      <w:pPr>
        <w:adjustRightInd w:val="0"/>
        <w:snapToGrid w:val="0"/>
        <w:spacing w:line="360" w:lineRule="auto"/>
        <w:ind w:firstLine="480" w:firstLineChars="200"/>
        <w:rPr>
          <w:rFonts w:hAnsi="宋体"/>
          <w:kern w:val="0"/>
          <w:sz w:val="24"/>
        </w:rPr>
      </w:pPr>
      <w:r>
        <w:rPr>
          <w:rFonts w:hint="eastAsia" w:hAnsi="宋体"/>
          <w:kern w:val="0"/>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rFonts w:hAnsi="宋体"/>
          <w:kern w:val="0"/>
          <w:sz w:val="24"/>
        </w:rPr>
      </w:pPr>
      <w:r>
        <w:rPr>
          <w:rFonts w:hint="eastAsia" w:hAnsi="宋体"/>
          <w:kern w:val="0"/>
          <w:sz w:val="24"/>
        </w:rPr>
        <w:t>4、基金财产清算程序：</w:t>
      </w:r>
    </w:p>
    <w:p>
      <w:pPr>
        <w:adjustRightInd w:val="0"/>
        <w:snapToGrid w:val="0"/>
        <w:spacing w:line="360" w:lineRule="auto"/>
        <w:ind w:firstLine="480" w:firstLineChars="200"/>
        <w:rPr>
          <w:rFonts w:hAnsi="宋体"/>
          <w:kern w:val="0"/>
          <w:sz w:val="24"/>
        </w:rPr>
      </w:pPr>
      <w:r>
        <w:rPr>
          <w:rFonts w:hint="eastAsia" w:hAnsi="宋体"/>
          <w:kern w:val="0"/>
          <w:sz w:val="24"/>
        </w:rPr>
        <w:t>（1）《基金合同》终止情形出现时，由基金财产清算小组统一接管基金财产；</w:t>
      </w:r>
    </w:p>
    <w:p>
      <w:pPr>
        <w:adjustRightInd w:val="0"/>
        <w:snapToGrid w:val="0"/>
        <w:spacing w:line="360" w:lineRule="auto"/>
        <w:ind w:firstLine="480" w:firstLineChars="200"/>
        <w:rPr>
          <w:rFonts w:hAnsi="宋体"/>
          <w:kern w:val="0"/>
          <w:sz w:val="24"/>
        </w:rPr>
      </w:pPr>
      <w:r>
        <w:rPr>
          <w:rFonts w:hint="eastAsia" w:hAnsi="宋体"/>
          <w:kern w:val="0"/>
          <w:sz w:val="24"/>
        </w:rPr>
        <w:t>（2）对基金财产和债权债务进行清理和确认；</w:t>
      </w:r>
    </w:p>
    <w:p>
      <w:pPr>
        <w:adjustRightInd w:val="0"/>
        <w:snapToGrid w:val="0"/>
        <w:spacing w:line="360" w:lineRule="auto"/>
        <w:ind w:firstLine="480" w:firstLineChars="200"/>
        <w:rPr>
          <w:rFonts w:hAnsi="宋体"/>
          <w:kern w:val="0"/>
          <w:sz w:val="24"/>
        </w:rPr>
      </w:pPr>
      <w:r>
        <w:rPr>
          <w:rFonts w:hint="eastAsia" w:hAnsi="宋体"/>
          <w:kern w:val="0"/>
          <w:sz w:val="24"/>
        </w:rPr>
        <w:t>（3）对基金财产进行估值和变现；</w:t>
      </w:r>
    </w:p>
    <w:p>
      <w:pPr>
        <w:adjustRightInd w:val="0"/>
        <w:snapToGrid w:val="0"/>
        <w:spacing w:line="360" w:lineRule="auto"/>
        <w:ind w:firstLine="480" w:firstLineChars="200"/>
        <w:rPr>
          <w:rFonts w:hAnsi="宋体"/>
          <w:kern w:val="0"/>
          <w:sz w:val="24"/>
        </w:rPr>
      </w:pPr>
      <w:r>
        <w:rPr>
          <w:rFonts w:hint="eastAsia" w:hAnsi="宋体"/>
          <w:kern w:val="0"/>
          <w:sz w:val="24"/>
        </w:rPr>
        <w:t>（4）制作清算报告；</w:t>
      </w:r>
    </w:p>
    <w:p>
      <w:pPr>
        <w:adjustRightInd w:val="0"/>
        <w:snapToGrid w:val="0"/>
        <w:spacing w:line="360" w:lineRule="auto"/>
        <w:ind w:firstLine="480" w:firstLineChars="200"/>
        <w:rPr>
          <w:rFonts w:hAnsi="宋体"/>
          <w:kern w:val="0"/>
          <w:sz w:val="24"/>
        </w:rPr>
      </w:pPr>
      <w:r>
        <w:rPr>
          <w:rFonts w:hint="eastAsia" w:hAnsi="宋体"/>
          <w:kern w:val="0"/>
          <w:sz w:val="24"/>
        </w:rPr>
        <w:t>（5）聘请会计师事务所对清算报告进行外部审计，聘请律师事务所对清算报告出具法律意见书；</w:t>
      </w:r>
    </w:p>
    <w:p>
      <w:pPr>
        <w:adjustRightInd w:val="0"/>
        <w:snapToGrid w:val="0"/>
        <w:spacing w:line="360" w:lineRule="auto"/>
        <w:ind w:firstLine="480" w:firstLineChars="200"/>
        <w:rPr>
          <w:rFonts w:hAnsi="宋体"/>
          <w:kern w:val="0"/>
          <w:sz w:val="24"/>
        </w:rPr>
      </w:pPr>
      <w:r>
        <w:rPr>
          <w:rFonts w:hint="eastAsia" w:hAnsi="宋体"/>
          <w:kern w:val="0"/>
          <w:sz w:val="24"/>
        </w:rPr>
        <w:t>（6）将清算报告报中国证监会备案并公告；</w:t>
      </w:r>
    </w:p>
    <w:p>
      <w:pPr>
        <w:adjustRightInd w:val="0"/>
        <w:snapToGrid w:val="0"/>
        <w:spacing w:line="360" w:lineRule="auto"/>
        <w:ind w:firstLine="480" w:firstLineChars="200"/>
        <w:rPr>
          <w:rFonts w:hAnsi="宋体"/>
          <w:kern w:val="0"/>
          <w:sz w:val="24"/>
        </w:rPr>
      </w:pPr>
      <w:r>
        <w:rPr>
          <w:rFonts w:hint="eastAsia" w:hAnsi="宋体"/>
          <w:kern w:val="0"/>
          <w:sz w:val="24"/>
        </w:rPr>
        <w:t>（7）对基金剩余财产进行分配。</w:t>
      </w:r>
    </w:p>
    <w:p>
      <w:pPr>
        <w:adjustRightInd w:val="0"/>
        <w:snapToGrid w:val="0"/>
        <w:spacing w:line="360" w:lineRule="auto"/>
        <w:ind w:firstLine="480" w:firstLineChars="200"/>
        <w:rPr>
          <w:rFonts w:hAnsi="宋体"/>
          <w:kern w:val="0"/>
          <w:sz w:val="24"/>
        </w:rPr>
      </w:pPr>
      <w:r>
        <w:rPr>
          <w:rFonts w:hint="eastAsia" w:hAnsi="宋体"/>
          <w:kern w:val="0"/>
          <w:sz w:val="24"/>
        </w:rPr>
        <w:t>5、基金财产清算的期限为6个月，但因本基金所持证券的流动性受到限制而不能及时变现的，清算期限相应顺延。</w:t>
      </w:r>
    </w:p>
    <w:p>
      <w:pPr>
        <w:adjustRightInd w:val="0"/>
        <w:snapToGrid w:val="0"/>
        <w:spacing w:line="360" w:lineRule="auto"/>
        <w:ind w:firstLine="482"/>
        <w:outlineLvl w:val="1"/>
        <w:rPr>
          <w:b/>
          <w:bCs/>
          <w:sz w:val="24"/>
        </w:rPr>
      </w:pPr>
      <w:r>
        <w:rPr>
          <w:b/>
          <w:bCs/>
          <w:sz w:val="24"/>
        </w:rPr>
        <w:t>（四）清算费用</w:t>
      </w:r>
    </w:p>
    <w:p>
      <w:pPr>
        <w:adjustRightInd w:val="0"/>
        <w:snapToGrid w:val="0"/>
        <w:spacing w:line="360" w:lineRule="auto"/>
        <w:ind w:firstLine="480" w:firstLineChars="200"/>
        <w:rPr>
          <w:rFonts w:hAnsi="宋体"/>
          <w:kern w:val="0"/>
          <w:sz w:val="24"/>
        </w:rPr>
      </w:pPr>
      <w:r>
        <w:rPr>
          <w:rFonts w:hint="eastAsia" w:hAnsi="宋体"/>
          <w:kern w:val="0"/>
          <w:sz w:val="24"/>
        </w:rPr>
        <w:t>清算费用是指基金财产清算小组在进行基金财产清算过程中发生的所有合理费用，清算费用由基金财产清算小组优先从基金财产中支付。</w:t>
      </w:r>
    </w:p>
    <w:p>
      <w:pPr>
        <w:adjustRightInd w:val="0"/>
        <w:snapToGrid w:val="0"/>
        <w:spacing w:line="360" w:lineRule="auto"/>
        <w:ind w:firstLine="482"/>
        <w:outlineLvl w:val="1"/>
        <w:rPr>
          <w:b/>
          <w:bCs/>
          <w:sz w:val="24"/>
        </w:rPr>
      </w:pPr>
      <w:r>
        <w:rPr>
          <w:b/>
          <w:bCs/>
          <w:sz w:val="24"/>
        </w:rPr>
        <w:t>（五）基金财产清算剩余资产的分配</w:t>
      </w:r>
    </w:p>
    <w:p>
      <w:pPr>
        <w:adjustRightInd w:val="0"/>
        <w:snapToGrid w:val="0"/>
        <w:spacing w:line="360" w:lineRule="auto"/>
        <w:ind w:firstLine="480" w:firstLineChars="200"/>
        <w:rPr>
          <w:rFonts w:hAnsi="宋体"/>
          <w:kern w:val="0"/>
          <w:sz w:val="24"/>
        </w:rPr>
      </w:pPr>
      <w:r>
        <w:rPr>
          <w:rFonts w:hint="eastAsia" w:hAnsi="宋体"/>
          <w:kern w:val="0"/>
          <w:sz w:val="24"/>
        </w:rPr>
        <w:t>依据基金财产清算的分配方案，将基金财产清算后的全部剩余资产扣除基金财产清算费用、交纳所欠税款并清偿基金债务后，按基金份额持有人持有的基金份额比例进行分配。</w:t>
      </w:r>
    </w:p>
    <w:p>
      <w:pPr>
        <w:adjustRightInd w:val="0"/>
        <w:snapToGrid w:val="0"/>
        <w:spacing w:line="360" w:lineRule="auto"/>
        <w:ind w:firstLine="482"/>
        <w:outlineLvl w:val="1"/>
        <w:rPr>
          <w:b/>
          <w:bCs/>
          <w:sz w:val="24"/>
        </w:rPr>
      </w:pPr>
      <w:r>
        <w:rPr>
          <w:b/>
          <w:bCs/>
          <w:sz w:val="24"/>
        </w:rPr>
        <w:t>（六）基金财产清算的公告</w:t>
      </w:r>
    </w:p>
    <w:p>
      <w:pPr>
        <w:adjustRightInd w:val="0"/>
        <w:snapToGrid w:val="0"/>
        <w:spacing w:line="360" w:lineRule="auto"/>
        <w:ind w:firstLine="480" w:firstLineChars="200"/>
        <w:rPr>
          <w:rFonts w:hAnsi="宋体"/>
          <w:kern w:val="0"/>
          <w:sz w:val="24"/>
          <w:szCs w:val="24"/>
        </w:rPr>
      </w:pPr>
      <w:r>
        <w:rPr>
          <w:rFonts w:hint="eastAsia"/>
          <w:sz w:val="24"/>
          <w:szCs w:val="24"/>
        </w:rPr>
        <w:t>清算过程中的有关重大事项须及时公告；基金财产清算报告经</w:t>
      </w:r>
      <w:r>
        <w:rPr>
          <w:rFonts w:hint="eastAsia"/>
          <w:bCs/>
          <w:sz w:val="24"/>
        </w:rPr>
        <w:t>符合《中华人民共和国证券法》规定的</w:t>
      </w:r>
      <w:r>
        <w:rPr>
          <w:rFonts w:hint="eastAsia"/>
          <w:sz w:val="24"/>
          <w:szCs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rFonts w:hint="eastAsia"/>
          <w:sz w:val="24"/>
          <w:szCs w:val="24"/>
        </w:rPr>
        <w:t>。</w:t>
      </w:r>
    </w:p>
    <w:p>
      <w:pPr>
        <w:adjustRightInd w:val="0"/>
        <w:snapToGrid w:val="0"/>
        <w:spacing w:line="360" w:lineRule="auto"/>
        <w:ind w:firstLine="482"/>
        <w:outlineLvl w:val="1"/>
        <w:rPr>
          <w:b/>
          <w:bCs/>
          <w:sz w:val="24"/>
        </w:rPr>
      </w:pPr>
      <w:r>
        <w:rPr>
          <w:b/>
          <w:bCs/>
          <w:sz w:val="24"/>
        </w:rPr>
        <w:t>（七）基金财产清算账册及文件的保存</w:t>
      </w:r>
    </w:p>
    <w:p>
      <w:pPr>
        <w:adjustRightInd w:val="0"/>
        <w:snapToGrid w:val="0"/>
        <w:spacing w:line="360" w:lineRule="auto"/>
        <w:ind w:firstLine="480" w:firstLineChars="200"/>
        <w:rPr>
          <w:rFonts w:ascii="宋体" w:hAnsi="宋体"/>
          <w:kern w:val="0"/>
          <w:sz w:val="24"/>
        </w:rPr>
      </w:pPr>
      <w:r>
        <w:rPr>
          <w:rFonts w:hint="eastAsia" w:hAnsi="宋体"/>
          <w:kern w:val="0"/>
          <w:sz w:val="24"/>
        </w:rPr>
        <w:t>基金财产清算账册及有关文件由基金托管人保存</w:t>
      </w:r>
      <w:r>
        <w:rPr>
          <w:rFonts w:hint="eastAsia"/>
          <w:bCs/>
          <w:sz w:val="24"/>
        </w:rPr>
        <w:t>不低于法律法规规定的最低期限</w:t>
      </w:r>
      <w:r>
        <w:rPr>
          <w:rFonts w:hint="eastAsia" w:hAnsi="宋体"/>
          <w:kern w:val="0"/>
          <w:sz w:val="24"/>
        </w:rPr>
        <w:t>。</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9" w:name="_Toc48122020"/>
      <w:r>
        <w:rPr>
          <w:rFonts w:hint="eastAsia" w:ascii="宋体" w:hAnsi="宋体"/>
          <w:b/>
          <w:kern w:val="0"/>
          <w:sz w:val="30"/>
        </w:rPr>
        <w:t>十九、基金合同内容摘要</w:t>
      </w:r>
      <w:bookmarkEnd w:id="99"/>
    </w:p>
    <w:p>
      <w:pPr>
        <w:adjustRightInd w:val="0"/>
        <w:snapToGrid w:val="0"/>
        <w:spacing w:line="360" w:lineRule="auto"/>
        <w:ind w:firstLine="482"/>
        <w:outlineLvl w:val="1"/>
        <w:rPr>
          <w:b/>
          <w:bCs/>
          <w:sz w:val="24"/>
        </w:rPr>
      </w:pPr>
      <w:r>
        <w:rPr>
          <w:b/>
          <w:bCs/>
          <w:sz w:val="24"/>
        </w:rPr>
        <w:t>（一）基金</w:t>
      </w:r>
      <w:r>
        <w:rPr>
          <w:rFonts w:hint="eastAsia"/>
          <w:b/>
          <w:bCs/>
          <w:sz w:val="24"/>
        </w:rPr>
        <w:t>份额持有人、基金管理人和基金托管人的</w:t>
      </w:r>
      <w:r>
        <w:rPr>
          <w:b/>
          <w:bCs/>
          <w:sz w:val="24"/>
        </w:rPr>
        <w:t>权利</w:t>
      </w:r>
      <w:r>
        <w:rPr>
          <w:rFonts w:hint="eastAsia"/>
          <w:b/>
          <w:bCs/>
          <w:sz w:val="24"/>
        </w:rPr>
        <w:t>与</w:t>
      </w:r>
      <w:r>
        <w:rPr>
          <w:b/>
          <w:bCs/>
          <w:sz w:val="24"/>
        </w:rPr>
        <w:t>义务</w:t>
      </w:r>
    </w:p>
    <w:p>
      <w:pPr>
        <w:adjustRightInd w:val="0"/>
        <w:snapToGrid w:val="0"/>
        <w:spacing w:line="360" w:lineRule="auto"/>
        <w:ind w:firstLine="480" w:firstLineChars="200"/>
        <w:outlineLvl w:val="2"/>
        <w:rPr>
          <w:bCs/>
          <w:sz w:val="24"/>
        </w:rPr>
      </w:pPr>
      <w:r>
        <w:rPr>
          <w:bCs/>
          <w:sz w:val="24"/>
        </w:rPr>
        <w:t>1、基金管理人的权利与义务</w:t>
      </w:r>
    </w:p>
    <w:p>
      <w:pPr>
        <w:adjustRightInd w:val="0"/>
        <w:snapToGrid w:val="0"/>
        <w:spacing w:line="360" w:lineRule="auto"/>
        <w:ind w:firstLine="480" w:firstLineChars="200"/>
        <w:rPr>
          <w:bCs/>
          <w:sz w:val="24"/>
        </w:rPr>
      </w:pPr>
      <w:r>
        <w:rPr>
          <w:bCs/>
          <w:sz w:val="24"/>
        </w:rPr>
        <w:t>根据《基金法》、《运作办法》及其他有关规定，基金管理人的权利包括但不限于：</w:t>
      </w:r>
    </w:p>
    <w:p>
      <w:pPr>
        <w:adjustRightInd w:val="0"/>
        <w:snapToGrid w:val="0"/>
        <w:spacing w:line="360" w:lineRule="auto"/>
        <w:ind w:firstLine="480" w:firstLineChars="200"/>
        <w:rPr>
          <w:bCs/>
          <w:sz w:val="24"/>
        </w:rPr>
      </w:pPr>
      <w:r>
        <w:rPr>
          <w:bCs/>
          <w:sz w:val="24"/>
        </w:rPr>
        <w:t>（1）依法募集</w:t>
      </w:r>
      <w:r>
        <w:rPr>
          <w:rFonts w:hint="eastAsia"/>
          <w:bCs/>
          <w:sz w:val="24"/>
        </w:rPr>
        <w:t>资</w:t>
      </w:r>
      <w:r>
        <w:rPr>
          <w:bCs/>
          <w:sz w:val="24"/>
        </w:rPr>
        <w:t>金；</w:t>
      </w:r>
    </w:p>
    <w:p>
      <w:pPr>
        <w:adjustRightInd w:val="0"/>
        <w:snapToGrid w:val="0"/>
        <w:spacing w:line="360" w:lineRule="auto"/>
        <w:ind w:firstLine="480" w:firstLineChars="200"/>
        <w:rPr>
          <w:bCs/>
          <w:sz w:val="24"/>
        </w:rPr>
      </w:pPr>
      <w:r>
        <w:rPr>
          <w:bCs/>
          <w:sz w:val="24"/>
        </w:rPr>
        <w:t>（2）自《基金合同》生效之日起，根据法律法规和《基金合同》独立运用并管理基金财产；</w:t>
      </w:r>
    </w:p>
    <w:p>
      <w:pPr>
        <w:adjustRightInd w:val="0"/>
        <w:snapToGrid w:val="0"/>
        <w:spacing w:line="360" w:lineRule="auto"/>
        <w:ind w:firstLine="480" w:firstLineChars="200"/>
        <w:rPr>
          <w:bCs/>
          <w:sz w:val="24"/>
        </w:rPr>
      </w:pPr>
      <w:r>
        <w:rPr>
          <w:bCs/>
          <w:sz w:val="24"/>
        </w:rPr>
        <w:t>（3）依照《基金合同》收取基金管理费以及法律法规规定或中国证监会批准的其他费用；</w:t>
      </w:r>
    </w:p>
    <w:p>
      <w:pPr>
        <w:adjustRightInd w:val="0"/>
        <w:snapToGrid w:val="0"/>
        <w:spacing w:line="360" w:lineRule="auto"/>
        <w:ind w:firstLine="480" w:firstLineChars="200"/>
        <w:rPr>
          <w:bCs/>
          <w:sz w:val="24"/>
        </w:rPr>
      </w:pPr>
      <w:r>
        <w:rPr>
          <w:bCs/>
          <w:sz w:val="24"/>
        </w:rPr>
        <w:t>（4）销售基金份额；</w:t>
      </w:r>
    </w:p>
    <w:p>
      <w:pPr>
        <w:adjustRightInd w:val="0"/>
        <w:snapToGrid w:val="0"/>
        <w:spacing w:line="360" w:lineRule="auto"/>
        <w:ind w:firstLine="480" w:firstLineChars="200"/>
        <w:rPr>
          <w:bCs/>
          <w:sz w:val="24"/>
        </w:rPr>
      </w:pPr>
      <w:r>
        <w:rPr>
          <w:bCs/>
          <w:sz w:val="24"/>
        </w:rPr>
        <w:t>（5）</w:t>
      </w:r>
      <w:r>
        <w:rPr>
          <w:rFonts w:hint="eastAsia"/>
          <w:bCs/>
          <w:sz w:val="24"/>
        </w:rPr>
        <w:t>按照规定</w:t>
      </w:r>
      <w:r>
        <w:rPr>
          <w:bCs/>
          <w:sz w:val="24"/>
        </w:rPr>
        <w:t>召集基金份额持有人大会；</w:t>
      </w:r>
    </w:p>
    <w:p>
      <w:pPr>
        <w:adjustRightInd w:val="0"/>
        <w:snapToGrid w:val="0"/>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adjustRightInd w:val="0"/>
        <w:snapToGrid w:val="0"/>
        <w:spacing w:line="360" w:lineRule="auto"/>
        <w:ind w:firstLine="480" w:firstLineChars="200"/>
        <w:rPr>
          <w:bCs/>
          <w:sz w:val="24"/>
        </w:rPr>
      </w:pPr>
      <w:r>
        <w:rPr>
          <w:bCs/>
          <w:sz w:val="24"/>
        </w:rPr>
        <w:t>（7）在基金托管人更换时，提名新的基金托管人；</w:t>
      </w:r>
    </w:p>
    <w:p>
      <w:pPr>
        <w:adjustRightInd w:val="0"/>
        <w:snapToGrid w:val="0"/>
        <w:spacing w:line="360" w:lineRule="auto"/>
        <w:ind w:firstLine="480" w:firstLineChars="200"/>
        <w:rPr>
          <w:bCs/>
          <w:sz w:val="24"/>
        </w:rPr>
      </w:pPr>
      <w:r>
        <w:rPr>
          <w:bCs/>
          <w:sz w:val="24"/>
        </w:rPr>
        <w:t>（8）选择、更换基金销售机构，对基金销售机构的相关行为进行监督和处理；</w:t>
      </w:r>
    </w:p>
    <w:p>
      <w:pPr>
        <w:adjustRightInd w:val="0"/>
        <w:snapToGrid w:val="0"/>
        <w:spacing w:line="360" w:lineRule="auto"/>
        <w:ind w:firstLine="480" w:firstLineChars="200"/>
        <w:rPr>
          <w:bCs/>
          <w:sz w:val="24"/>
        </w:rPr>
      </w:pPr>
      <w:r>
        <w:rPr>
          <w:bCs/>
          <w:sz w:val="24"/>
        </w:rPr>
        <w:t>（9）担任或委托其他符合条件的机构担任基金登记机构办理基金登记业务并获得《基金合同》规定的费用；</w:t>
      </w:r>
    </w:p>
    <w:p>
      <w:pPr>
        <w:adjustRightInd w:val="0"/>
        <w:snapToGrid w:val="0"/>
        <w:spacing w:line="360" w:lineRule="auto"/>
        <w:ind w:firstLine="480" w:firstLineChars="200"/>
        <w:rPr>
          <w:bCs/>
          <w:sz w:val="24"/>
        </w:rPr>
      </w:pPr>
      <w:r>
        <w:rPr>
          <w:bCs/>
          <w:sz w:val="24"/>
        </w:rPr>
        <w:t>（10）依据《基金合同》及有关法律规定决定基金收益的分配方案；</w:t>
      </w:r>
    </w:p>
    <w:p>
      <w:pPr>
        <w:adjustRightInd w:val="0"/>
        <w:snapToGrid w:val="0"/>
        <w:spacing w:line="360" w:lineRule="auto"/>
        <w:ind w:firstLine="480" w:firstLineChars="200"/>
        <w:rPr>
          <w:bCs/>
          <w:sz w:val="24"/>
        </w:rPr>
      </w:pPr>
      <w:r>
        <w:rPr>
          <w:bCs/>
          <w:sz w:val="24"/>
        </w:rPr>
        <w:t>（11）在《基金合同》约定的范围内，拒绝或暂停受理申购与赎回申请；</w:t>
      </w:r>
    </w:p>
    <w:p>
      <w:pPr>
        <w:adjustRightInd w:val="0"/>
        <w:snapToGrid w:val="0"/>
        <w:spacing w:line="360" w:lineRule="auto"/>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adjustRightInd w:val="0"/>
        <w:snapToGrid w:val="0"/>
        <w:spacing w:line="360" w:lineRule="auto"/>
        <w:ind w:firstLine="480" w:firstLineChars="200"/>
        <w:rPr>
          <w:bCs/>
          <w:sz w:val="24"/>
        </w:rPr>
      </w:pPr>
      <w:r>
        <w:rPr>
          <w:bCs/>
          <w:sz w:val="24"/>
        </w:rPr>
        <w:t>（13）在法律法规允许的前提下，为基金的利益依法为基金进行融资；</w:t>
      </w:r>
    </w:p>
    <w:p>
      <w:pPr>
        <w:adjustRightInd w:val="0"/>
        <w:snapToGrid w:val="0"/>
        <w:spacing w:line="360" w:lineRule="auto"/>
        <w:ind w:firstLine="480" w:firstLineChars="200"/>
        <w:rPr>
          <w:bCs/>
          <w:sz w:val="24"/>
        </w:rPr>
      </w:pPr>
      <w:r>
        <w:rPr>
          <w:bCs/>
          <w:sz w:val="24"/>
        </w:rPr>
        <w:t>（14）以基金管理人的名义，代表基金份额持有人的利益行使诉讼权利或者实施其他法律行为；</w:t>
      </w:r>
      <w:r>
        <w:rPr>
          <w:bCs/>
          <w:sz w:val="24"/>
        </w:rPr>
        <w:tab/>
      </w:r>
    </w:p>
    <w:p>
      <w:pPr>
        <w:adjustRightInd w:val="0"/>
        <w:snapToGrid w:val="0"/>
        <w:spacing w:line="360" w:lineRule="auto"/>
        <w:ind w:firstLine="480" w:firstLineChars="200"/>
        <w:rPr>
          <w:bCs/>
          <w:sz w:val="24"/>
        </w:rPr>
      </w:pPr>
      <w:r>
        <w:rPr>
          <w:bCs/>
          <w:sz w:val="24"/>
        </w:rPr>
        <w:t>（15）选择、更换律师事务所、会计师事务所、证券经纪商</w:t>
      </w:r>
      <w:r>
        <w:rPr>
          <w:rFonts w:hint="eastAsia"/>
          <w:bCs/>
          <w:sz w:val="24"/>
        </w:rPr>
        <w:t>、期货经纪机构</w:t>
      </w:r>
      <w:r>
        <w:rPr>
          <w:bCs/>
          <w:sz w:val="24"/>
        </w:rPr>
        <w:t>或其他为基金提供服务的外部机构；</w:t>
      </w:r>
      <w:r>
        <w:rPr>
          <w:bCs/>
          <w:sz w:val="24"/>
        </w:rPr>
        <w:tab/>
      </w:r>
    </w:p>
    <w:p>
      <w:pPr>
        <w:adjustRightInd w:val="0"/>
        <w:snapToGrid w:val="0"/>
        <w:spacing w:line="360" w:lineRule="auto"/>
        <w:ind w:firstLine="480" w:firstLineChars="200"/>
        <w:rPr>
          <w:bCs/>
          <w:sz w:val="24"/>
        </w:rPr>
      </w:pPr>
      <w:r>
        <w:rPr>
          <w:bCs/>
          <w:sz w:val="24"/>
        </w:rPr>
        <w:t>（16）在符合有关法律、法规的前提下，制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pPr>
        <w:adjustRightInd w:val="0"/>
        <w:snapToGrid w:val="0"/>
        <w:spacing w:line="360" w:lineRule="auto"/>
        <w:ind w:firstLine="480" w:firstLineChars="200"/>
        <w:rPr>
          <w:bCs/>
          <w:sz w:val="24"/>
        </w:rPr>
      </w:pPr>
      <w:r>
        <w:rPr>
          <w:bCs/>
          <w:sz w:val="24"/>
        </w:rPr>
        <w:t>（17）法律法规及中国证监会规定的和《基金合同》约定的其他权利。</w:t>
      </w:r>
    </w:p>
    <w:p>
      <w:pPr>
        <w:adjustRightInd w:val="0"/>
        <w:snapToGrid w:val="0"/>
        <w:spacing w:line="360" w:lineRule="auto"/>
        <w:ind w:firstLine="480" w:firstLineChars="200"/>
        <w:rPr>
          <w:bCs/>
          <w:sz w:val="24"/>
        </w:rPr>
      </w:pPr>
      <w:r>
        <w:rPr>
          <w:bCs/>
          <w:sz w:val="24"/>
        </w:rPr>
        <w:t>根据《基金法》、《运作办法》及其他有关规定，基金管理人的义务包括但不限于：</w:t>
      </w:r>
    </w:p>
    <w:p>
      <w:pPr>
        <w:adjustRightInd w:val="0"/>
        <w:snapToGrid w:val="0"/>
        <w:spacing w:line="360" w:lineRule="auto"/>
        <w:ind w:firstLine="480" w:firstLineChars="200"/>
        <w:rPr>
          <w:bCs/>
          <w:sz w:val="24"/>
        </w:rPr>
      </w:pPr>
      <w:bookmarkStart w:id="100" w:name="_Hlt88897298"/>
      <w:bookmarkEnd w:id="100"/>
      <w:r>
        <w:rPr>
          <w:rFonts w:hint="eastAsia"/>
          <w:bCs/>
          <w:sz w:val="24"/>
        </w:rPr>
        <w:t>（1）依法募集资金，办理或者委托经中国证监会认定的其他机构办理基金份额的发售、申购、赎回和登记事宜；</w:t>
      </w:r>
    </w:p>
    <w:p>
      <w:pPr>
        <w:adjustRightInd w:val="0"/>
        <w:snapToGrid w:val="0"/>
        <w:spacing w:line="360" w:lineRule="auto"/>
        <w:ind w:firstLine="480" w:firstLineChars="200"/>
        <w:rPr>
          <w:bCs/>
          <w:sz w:val="24"/>
        </w:rPr>
      </w:pPr>
      <w:r>
        <w:rPr>
          <w:rFonts w:hint="eastAsia"/>
          <w:bCs/>
          <w:sz w:val="24"/>
        </w:rPr>
        <w:t>（2）办理基金备案手续；</w:t>
      </w:r>
    </w:p>
    <w:p>
      <w:pPr>
        <w:adjustRightInd w:val="0"/>
        <w:snapToGrid w:val="0"/>
        <w:spacing w:line="360" w:lineRule="auto"/>
        <w:ind w:firstLine="480" w:firstLineChars="200"/>
        <w:rPr>
          <w:bCs/>
          <w:sz w:val="24"/>
        </w:rPr>
      </w:pPr>
      <w:r>
        <w:rPr>
          <w:rFonts w:hint="eastAsia"/>
          <w:bCs/>
          <w:sz w:val="24"/>
        </w:rPr>
        <w:t>（3）自《基金合同》生效之日起，以诚实信用、谨慎勤勉的原则管理和运用基金财产；</w:t>
      </w:r>
    </w:p>
    <w:p>
      <w:pPr>
        <w:adjustRightInd w:val="0"/>
        <w:snapToGrid w:val="0"/>
        <w:spacing w:line="360" w:lineRule="auto"/>
        <w:ind w:firstLine="480" w:firstLineChars="200"/>
        <w:rPr>
          <w:bCs/>
          <w:sz w:val="24"/>
        </w:rPr>
      </w:pPr>
      <w:r>
        <w:rPr>
          <w:rFonts w:hint="eastAsia"/>
          <w:bCs/>
          <w:sz w:val="24"/>
        </w:rPr>
        <w:t>（4）配备足够的具有专业资格的人员进行基金投资分析、决策，以专业化的经营方式管理和运作基金财产；</w:t>
      </w:r>
    </w:p>
    <w:p>
      <w:pPr>
        <w:adjustRightInd w:val="0"/>
        <w:snapToGrid w:val="0"/>
        <w:spacing w:line="360" w:lineRule="auto"/>
        <w:ind w:firstLine="480" w:firstLineChars="200"/>
        <w:rPr>
          <w:bCs/>
          <w:sz w:val="24"/>
        </w:rPr>
      </w:pPr>
      <w:r>
        <w:rPr>
          <w:rFonts w:hint="eastAsia"/>
          <w:bCs/>
          <w:sz w:val="24"/>
        </w:rPr>
        <w:t>（5）建立健全内部风险控制、监察与稽核、财务管理及人事管理等制度，保证所管理的基金财产和基金管理人的财产相互独立，对所管理的不同基金分别管理，分别记账，进行证券投资；</w:t>
      </w:r>
    </w:p>
    <w:p>
      <w:pPr>
        <w:adjustRightInd w:val="0"/>
        <w:snapToGrid w:val="0"/>
        <w:spacing w:line="360" w:lineRule="auto"/>
        <w:ind w:firstLine="480" w:firstLineChars="200"/>
        <w:rPr>
          <w:bCs/>
          <w:sz w:val="24"/>
        </w:rPr>
      </w:pPr>
      <w:r>
        <w:rPr>
          <w:rFonts w:hint="eastAsia"/>
          <w:bCs/>
          <w:sz w:val="24"/>
        </w:rPr>
        <w:t>（6）除依据《基金法》、《基金合同》及其他有关规定外，不得利用基金财产为自己及任何第三人谋取利益，不得委托第三人运作基金财产；</w:t>
      </w:r>
    </w:p>
    <w:p>
      <w:pPr>
        <w:adjustRightInd w:val="0"/>
        <w:snapToGrid w:val="0"/>
        <w:spacing w:line="360" w:lineRule="auto"/>
        <w:ind w:firstLine="480" w:firstLineChars="200"/>
        <w:rPr>
          <w:bCs/>
          <w:sz w:val="24"/>
        </w:rPr>
      </w:pPr>
      <w:r>
        <w:rPr>
          <w:rFonts w:hint="eastAsia"/>
          <w:bCs/>
          <w:sz w:val="24"/>
        </w:rPr>
        <w:t>（7）依法接受基金托管人的监督；</w:t>
      </w:r>
    </w:p>
    <w:p>
      <w:pPr>
        <w:adjustRightInd w:val="0"/>
        <w:snapToGrid w:val="0"/>
        <w:spacing w:line="360" w:lineRule="auto"/>
        <w:ind w:firstLine="480" w:firstLineChars="200"/>
        <w:rPr>
          <w:bCs/>
          <w:sz w:val="24"/>
        </w:rPr>
      </w:pPr>
      <w:r>
        <w:rPr>
          <w:rFonts w:hint="eastAsia"/>
          <w:bCs/>
          <w:sz w:val="24"/>
        </w:rPr>
        <w:t>（8）采取适当合理的措施使计算基金份额认购、申购、赎回和注销价格的方法符合《基金合同》等法律文件的规定，按有关规定计算并公告基金净值信息，确定基金份额申购、赎回的价格；</w:t>
      </w:r>
    </w:p>
    <w:p>
      <w:pPr>
        <w:adjustRightInd w:val="0"/>
        <w:snapToGrid w:val="0"/>
        <w:spacing w:line="360" w:lineRule="auto"/>
        <w:ind w:firstLine="480" w:firstLineChars="200"/>
        <w:rPr>
          <w:bCs/>
          <w:sz w:val="24"/>
        </w:rPr>
      </w:pPr>
      <w:r>
        <w:rPr>
          <w:rFonts w:hint="eastAsia"/>
          <w:bCs/>
          <w:sz w:val="24"/>
        </w:rPr>
        <w:t>（9）进行基金会计核算并编制基金财务会计报告；</w:t>
      </w:r>
    </w:p>
    <w:p>
      <w:pPr>
        <w:adjustRightInd w:val="0"/>
        <w:snapToGrid w:val="0"/>
        <w:spacing w:line="360" w:lineRule="auto"/>
        <w:ind w:firstLine="480" w:firstLineChars="200"/>
        <w:rPr>
          <w:bCs/>
          <w:sz w:val="24"/>
        </w:rPr>
      </w:pPr>
      <w:r>
        <w:rPr>
          <w:rFonts w:hint="eastAsia"/>
          <w:bCs/>
          <w:sz w:val="24"/>
        </w:rPr>
        <w:t>（10）编制季度报告、中期报告和年度报告；</w:t>
      </w:r>
    </w:p>
    <w:p>
      <w:pPr>
        <w:adjustRightInd w:val="0"/>
        <w:snapToGrid w:val="0"/>
        <w:spacing w:line="360" w:lineRule="auto"/>
        <w:ind w:firstLine="480" w:firstLineChars="200"/>
        <w:rPr>
          <w:bCs/>
          <w:sz w:val="24"/>
        </w:rPr>
      </w:pPr>
      <w:r>
        <w:rPr>
          <w:rFonts w:hint="eastAsia"/>
          <w:bCs/>
          <w:sz w:val="24"/>
        </w:rPr>
        <w:t>（11）严格按照《基金法》、《基金合同》及其他有关规定，履行信息披露及报告义务；</w:t>
      </w:r>
    </w:p>
    <w:p>
      <w:pPr>
        <w:adjustRightInd w:val="0"/>
        <w:snapToGrid w:val="0"/>
        <w:spacing w:line="360" w:lineRule="auto"/>
        <w:ind w:firstLine="480" w:firstLineChars="200"/>
        <w:rPr>
          <w:bCs/>
          <w:sz w:val="24"/>
        </w:rPr>
      </w:pPr>
      <w:r>
        <w:rPr>
          <w:rFonts w:hint="eastAsia"/>
          <w:bCs/>
          <w:sz w:val="24"/>
        </w:rPr>
        <w:t>（12）保守基金商业秘密，不泄露基金投资计划、投资意向等。除《基金法》、《基金合同》及其他有关规定另有规定外，在基金信息公开披露前应予保密，不向他人泄露；但根据监管机构、司法机关等有权机关的要求提供，或因审计、法律等外部专业顾问提供服务需要提供的情况除外；</w:t>
      </w:r>
    </w:p>
    <w:p>
      <w:pPr>
        <w:adjustRightInd w:val="0"/>
        <w:snapToGrid w:val="0"/>
        <w:spacing w:line="360" w:lineRule="auto"/>
        <w:ind w:firstLine="480" w:firstLineChars="200"/>
        <w:rPr>
          <w:bCs/>
          <w:sz w:val="24"/>
        </w:rPr>
      </w:pPr>
      <w:r>
        <w:rPr>
          <w:rFonts w:hint="eastAsia"/>
          <w:bCs/>
          <w:sz w:val="24"/>
        </w:rPr>
        <w:t>（13）按《基金合同》的约定确定基金收益分配方案，及时向基金份额持有人分配基金收益；</w:t>
      </w:r>
    </w:p>
    <w:p>
      <w:pPr>
        <w:adjustRightInd w:val="0"/>
        <w:snapToGrid w:val="0"/>
        <w:spacing w:line="360" w:lineRule="auto"/>
        <w:ind w:firstLine="480" w:firstLineChars="200"/>
        <w:rPr>
          <w:bCs/>
          <w:sz w:val="24"/>
        </w:rPr>
      </w:pPr>
      <w:r>
        <w:rPr>
          <w:rFonts w:hint="eastAsia"/>
          <w:bCs/>
          <w:sz w:val="24"/>
        </w:rPr>
        <w:t>（14）按规定受理申购与赎回申请，及时、足额支付赎回款项；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（15）依据《基金法》、《基金合同》及其他有关规定召集基金份额持有人大会或配合基金托管人、基金份额持有人依法召集基金份额持有人大会；</w:t>
      </w:r>
    </w:p>
    <w:p>
      <w:pPr>
        <w:adjustRightInd w:val="0"/>
        <w:snapToGrid w:val="0"/>
        <w:spacing w:line="360" w:lineRule="auto"/>
        <w:ind w:firstLine="480" w:firstLineChars="200"/>
        <w:rPr>
          <w:bCs/>
          <w:sz w:val="24"/>
        </w:rPr>
      </w:pPr>
      <w:r>
        <w:rPr>
          <w:rFonts w:hint="eastAsia"/>
          <w:bCs/>
          <w:sz w:val="24"/>
        </w:rPr>
        <w:t>（16）按规定保存基金财产管理业务活动的会计账册、报表、记录和其他相关资料不低于法律法规规定的最低期限；</w:t>
      </w:r>
    </w:p>
    <w:p>
      <w:pPr>
        <w:adjustRightInd w:val="0"/>
        <w:snapToGrid w:val="0"/>
        <w:spacing w:line="360" w:lineRule="auto"/>
        <w:ind w:firstLine="480" w:firstLineChars="200"/>
        <w:rPr>
          <w:bCs/>
          <w:sz w:val="24"/>
        </w:rPr>
      </w:pPr>
      <w:r>
        <w:rPr>
          <w:rFonts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djustRightInd w:val="0"/>
        <w:snapToGrid w:val="0"/>
        <w:spacing w:line="360" w:lineRule="auto"/>
        <w:ind w:firstLine="480" w:firstLineChars="200"/>
        <w:rPr>
          <w:bCs/>
          <w:sz w:val="24"/>
        </w:rPr>
      </w:pPr>
      <w:r>
        <w:rPr>
          <w:rFonts w:hint="eastAsia"/>
          <w:bCs/>
          <w:sz w:val="24"/>
        </w:rPr>
        <w:t>（18）组织并参加基金财产清算小组，参与基金财产的保管、清理、估价、变现和分配；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（19）面临解散、依法被撤销或者被依法宣告破产时，及时报告中国证监会并通知基金托管人；</w:t>
      </w:r>
    </w:p>
    <w:p>
      <w:pPr>
        <w:adjustRightInd w:val="0"/>
        <w:snapToGrid w:val="0"/>
        <w:spacing w:line="360" w:lineRule="auto"/>
        <w:ind w:firstLine="480" w:firstLineChars="200"/>
        <w:rPr>
          <w:bCs/>
          <w:sz w:val="24"/>
        </w:rPr>
      </w:pPr>
      <w:r>
        <w:rPr>
          <w:rFonts w:hint="eastAsia"/>
          <w:bCs/>
          <w:sz w:val="24"/>
        </w:rPr>
        <w:t>（20）因违反《基金合同》导致基金财产的损失或损害基金份额持有人合法权益时，应当承担赔偿责任，其赔偿责任不因其退任而免除；</w:t>
      </w:r>
    </w:p>
    <w:p>
      <w:pPr>
        <w:adjustRightInd w:val="0"/>
        <w:snapToGrid w:val="0"/>
        <w:spacing w:line="360" w:lineRule="auto"/>
        <w:ind w:firstLine="480" w:firstLineChars="200"/>
        <w:rPr>
          <w:bCs/>
          <w:sz w:val="24"/>
        </w:rPr>
      </w:pPr>
      <w:r>
        <w:rPr>
          <w:rFonts w:hint="eastAsia"/>
          <w:bCs/>
          <w:sz w:val="24"/>
        </w:rPr>
        <w:t>（21）监督基金托管人按法律法规和《基金合同》规定履行自己的义务，基金托管人违反《基金合同》造成基金财产损失时，基金管理人应为基金份额持有人利益向基金托管人追偿；</w:t>
      </w:r>
    </w:p>
    <w:p>
      <w:pPr>
        <w:adjustRightInd w:val="0"/>
        <w:snapToGrid w:val="0"/>
        <w:spacing w:line="360" w:lineRule="auto"/>
        <w:ind w:firstLine="480" w:firstLineChars="200"/>
        <w:rPr>
          <w:bCs/>
          <w:sz w:val="24"/>
        </w:rPr>
      </w:pPr>
      <w:r>
        <w:rPr>
          <w:rFonts w:hint="eastAsia"/>
          <w:bCs/>
          <w:sz w:val="24"/>
        </w:rPr>
        <w:t>（22）当基金管理人将其义务委托第三方处理时，应当对第三方处理有关基金事务的行为承担责任；</w:t>
      </w:r>
    </w:p>
    <w:p>
      <w:pPr>
        <w:adjustRightInd w:val="0"/>
        <w:snapToGrid w:val="0"/>
        <w:spacing w:line="360" w:lineRule="auto"/>
        <w:ind w:firstLine="480" w:firstLineChars="200"/>
        <w:rPr>
          <w:bCs/>
          <w:sz w:val="24"/>
        </w:rPr>
      </w:pPr>
      <w:r>
        <w:rPr>
          <w:rFonts w:hint="eastAsia"/>
          <w:bCs/>
          <w:sz w:val="24"/>
        </w:rPr>
        <w:t>（23）以基金管理人名义，代表基金份额持有人利益行使诉讼权利或实施其他法律行为；</w:t>
      </w:r>
      <w:r>
        <w:rPr>
          <w:rFonts w:hint="eastAsia"/>
          <w:bCs/>
          <w:sz w:val="24"/>
        </w:rPr>
        <w:tab/>
      </w:r>
    </w:p>
    <w:p>
      <w:pPr>
        <w:adjustRightInd w:val="0"/>
        <w:snapToGrid w:val="0"/>
        <w:spacing w:line="360" w:lineRule="auto"/>
        <w:ind w:firstLine="480" w:firstLineChars="200"/>
        <w:rPr>
          <w:bCs/>
          <w:sz w:val="24"/>
        </w:rPr>
      </w:pPr>
      <w:r>
        <w:rPr>
          <w:rFonts w:hint="eastAsia"/>
          <w:bCs/>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adjustRightInd w:val="0"/>
        <w:snapToGrid w:val="0"/>
        <w:spacing w:line="360" w:lineRule="auto"/>
        <w:ind w:firstLine="480" w:firstLineChars="200"/>
        <w:rPr>
          <w:bCs/>
          <w:sz w:val="24"/>
        </w:rPr>
      </w:pPr>
      <w:r>
        <w:rPr>
          <w:rFonts w:hint="eastAsia"/>
          <w:bCs/>
          <w:sz w:val="24"/>
        </w:rPr>
        <w:t>（25）执行生效的基金份额持有人大会的决议；</w:t>
      </w:r>
    </w:p>
    <w:p>
      <w:pPr>
        <w:adjustRightInd w:val="0"/>
        <w:snapToGrid w:val="0"/>
        <w:spacing w:line="360" w:lineRule="auto"/>
        <w:ind w:firstLine="480" w:firstLineChars="200"/>
        <w:rPr>
          <w:bCs/>
          <w:sz w:val="24"/>
        </w:rPr>
      </w:pPr>
      <w:r>
        <w:rPr>
          <w:rFonts w:hint="eastAsia"/>
          <w:bCs/>
          <w:sz w:val="24"/>
        </w:rPr>
        <w:t>（26）建立并保存基金份额持有人名册；</w:t>
      </w:r>
    </w:p>
    <w:p>
      <w:pPr>
        <w:adjustRightInd w:val="0"/>
        <w:snapToGrid w:val="0"/>
        <w:spacing w:line="360" w:lineRule="auto"/>
        <w:ind w:firstLine="480" w:firstLineChars="200"/>
        <w:rPr>
          <w:bCs/>
          <w:sz w:val="24"/>
        </w:rPr>
      </w:pPr>
      <w:r>
        <w:rPr>
          <w:rFonts w:hint="eastAsia"/>
          <w:bCs/>
          <w:sz w:val="24"/>
        </w:rPr>
        <w:t>（27）法律法规及中国证监会规定的和《基金合同》约定的其他义务。</w:t>
      </w:r>
    </w:p>
    <w:p>
      <w:pPr>
        <w:adjustRightInd w:val="0"/>
        <w:snapToGrid w:val="0"/>
        <w:spacing w:line="360" w:lineRule="auto"/>
        <w:ind w:firstLine="480" w:firstLineChars="200"/>
        <w:outlineLvl w:val="2"/>
        <w:rPr>
          <w:bCs/>
          <w:sz w:val="24"/>
        </w:rPr>
      </w:pPr>
      <w:r>
        <w:rPr>
          <w:bCs/>
          <w:sz w:val="24"/>
        </w:rPr>
        <w:t>2、基金托管人的权利与义务</w:t>
      </w:r>
    </w:p>
    <w:p>
      <w:pPr>
        <w:adjustRightInd w:val="0"/>
        <w:snapToGrid w:val="0"/>
        <w:spacing w:line="360" w:lineRule="auto"/>
        <w:ind w:firstLine="480" w:firstLineChars="200"/>
        <w:rPr>
          <w:bCs/>
          <w:sz w:val="24"/>
        </w:rPr>
      </w:pPr>
      <w:r>
        <w:rPr>
          <w:bCs/>
          <w:sz w:val="24"/>
        </w:rPr>
        <w:t>根据《基金法》、《运作办法》及其他有关规定，基金托管人的权利包括但不限于：</w:t>
      </w:r>
    </w:p>
    <w:p>
      <w:pPr>
        <w:adjustRightInd w:val="0"/>
        <w:snapToGrid w:val="0"/>
        <w:spacing w:line="360" w:lineRule="auto"/>
        <w:ind w:firstLine="480" w:firstLineChars="200"/>
        <w:rPr>
          <w:bCs/>
          <w:sz w:val="24"/>
        </w:rPr>
      </w:pPr>
      <w:r>
        <w:rPr>
          <w:rFonts w:hint="eastAsia"/>
          <w:bCs/>
          <w:sz w:val="24"/>
        </w:rPr>
        <w:t>（1）自《基金合同》生效之日起，依法律法规和《基金合同》的规定安全保管基金财产；</w:t>
      </w:r>
    </w:p>
    <w:p>
      <w:pPr>
        <w:adjustRightInd w:val="0"/>
        <w:snapToGrid w:val="0"/>
        <w:spacing w:line="360" w:lineRule="auto"/>
        <w:ind w:firstLine="480" w:firstLineChars="200"/>
        <w:rPr>
          <w:bCs/>
          <w:sz w:val="24"/>
        </w:rPr>
      </w:pPr>
      <w:r>
        <w:rPr>
          <w:rFonts w:hint="eastAsia"/>
          <w:bCs/>
          <w:sz w:val="24"/>
        </w:rPr>
        <w:t>（2）依《基金合同》约定获得基金托管费以及法律法规规定或监管部门批准的其他费用；</w:t>
      </w:r>
    </w:p>
    <w:p>
      <w:pPr>
        <w:adjustRightInd w:val="0"/>
        <w:snapToGrid w:val="0"/>
        <w:spacing w:line="360" w:lineRule="auto"/>
        <w:ind w:firstLine="480" w:firstLineChars="200"/>
        <w:rPr>
          <w:bCs/>
          <w:sz w:val="24"/>
        </w:rPr>
      </w:pPr>
      <w:r>
        <w:rPr>
          <w:rFonts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adjustRightInd w:val="0"/>
        <w:snapToGrid w:val="0"/>
        <w:spacing w:line="360" w:lineRule="auto"/>
        <w:ind w:firstLine="480" w:firstLineChars="200"/>
        <w:rPr>
          <w:bCs/>
          <w:sz w:val="24"/>
        </w:rPr>
      </w:pPr>
      <w:r>
        <w:rPr>
          <w:rFonts w:hint="eastAsia"/>
          <w:bCs/>
          <w:sz w:val="24"/>
        </w:rPr>
        <w:t>（4）根据相关市场规则，为基金开设资金账户、证券账户等投资所需账户，为基金办理证券交易资金清算；</w:t>
      </w:r>
    </w:p>
    <w:p>
      <w:pPr>
        <w:adjustRightInd w:val="0"/>
        <w:snapToGrid w:val="0"/>
        <w:spacing w:line="360" w:lineRule="auto"/>
        <w:ind w:firstLine="480" w:firstLineChars="200"/>
        <w:rPr>
          <w:bCs/>
          <w:sz w:val="24"/>
        </w:rPr>
      </w:pPr>
      <w:r>
        <w:rPr>
          <w:rFonts w:hint="eastAsia"/>
          <w:bCs/>
          <w:sz w:val="24"/>
        </w:rPr>
        <w:t>（5）提议召开或召集基金份额持有人大会；</w:t>
      </w:r>
    </w:p>
    <w:p>
      <w:pPr>
        <w:adjustRightInd w:val="0"/>
        <w:snapToGrid w:val="0"/>
        <w:spacing w:line="360" w:lineRule="auto"/>
        <w:ind w:firstLine="480" w:firstLineChars="200"/>
        <w:rPr>
          <w:bCs/>
          <w:sz w:val="24"/>
        </w:rPr>
      </w:pPr>
      <w:r>
        <w:rPr>
          <w:rFonts w:hint="eastAsia"/>
          <w:bCs/>
          <w:sz w:val="24"/>
        </w:rPr>
        <w:t>（6）在基金管理人更换时，提名新的基金管理人；</w:t>
      </w:r>
    </w:p>
    <w:p>
      <w:pPr>
        <w:adjustRightInd w:val="0"/>
        <w:snapToGrid w:val="0"/>
        <w:spacing w:line="360" w:lineRule="auto"/>
        <w:ind w:firstLine="480" w:firstLineChars="200"/>
        <w:rPr>
          <w:bCs/>
          <w:sz w:val="24"/>
        </w:rPr>
      </w:pPr>
      <w:r>
        <w:rPr>
          <w:rFonts w:hint="eastAsia"/>
          <w:bCs/>
          <w:sz w:val="24"/>
        </w:rPr>
        <w:t>（7）法律法规及中国证监会规定的和《基金合同》约定的其他权利。</w:t>
      </w:r>
    </w:p>
    <w:p>
      <w:pPr>
        <w:adjustRightInd w:val="0"/>
        <w:snapToGrid w:val="0"/>
        <w:spacing w:line="360" w:lineRule="auto"/>
        <w:ind w:firstLine="480" w:firstLineChars="200"/>
        <w:rPr>
          <w:bCs/>
          <w:sz w:val="24"/>
        </w:rPr>
      </w:pPr>
      <w:r>
        <w:rPr>
          <w:bCs/>
          <w:sz w:val="24"/>
        </w:rPr>
        <w:t>根据《基金法》、《运作办法》及其他有关规定，基金托管人的义务包括但不限于：</w:t>
      </w:r>
    </w:p>
    <w:p>
      <w:pPr>
        <w:adjustRightInd w:val="0"/>
        <w:snapToGrid w:val="0"/>
        <w:spacing w:line="360" w:lineRule="auto"/>
        <w:ind w:firstLine="480" w:firstLineChars="200"/>
        <w:rPr>
          <w:bCs/>
          <w:sz w:val="24"/>
        </w:rPr>
      </w:pPr>
      <w:r>
        <w:rPr>
          <w:rFonts w:hint="eastAsia"/>
          <w:bCs/>
          <w:sz w:val="24"/>
        </w:rPr>
        <w:t>（1）以诚实信用、勤勉尽责的原则持有并安全保管基金财产；</w:t>
      </w:r>
    </w:p>
    <w:p>
      <w:pPr>
        <w:adjustRightInd w:val="0"/>
        <w:snapToGrid w:val="0"/>
        <w:spacing w:line="360" w:lineRule="auto"/>
        <w:ind w:firstLine="480" w:firstLineChars="200"/>
        <w:rPr>
          <w:bCs/>
          <w:sz w:val="24"/>
        </w:rPr>
      </w:pPr>
      <w:r>
        <w:rPr>
          <w:rFonts w:hint="eastAsia"/>
          <w:bCs/>
          <w:sz w:val="24"/>
        </w:rPr>
        <w:t>（2）设立专门的基金托管部门，具有符合要求的营业场所，配备足够的、合格的熟悉基金托管业务的专职人员，负责基金财产托管事宜；</w:t>
      </w:r>
    </w:p>
    <w:p>
      <w:pPr>
        <w:adjustRightInd w:val="0"/>
        <w:snapToGrid w:val="0"/>
        <w:spacing w:line="360" w:lineRule="auto"/>
        <w:ind w:firstLine="480" w:firstLineChars="200"/>
        <w:rPr>
          <w:bCs/>
          <w:sz w:val="24"/>
        </w:rPr>
      </w:pPr>
      <w:r>
        <w:rPr>
          <w:rFonts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djustRightInd w:val="0"/>
        <w:snapToGrid w:val="0"/>
        <w:spacing w:line="360" w:lineRule="auto"/>
        <w:ind w:firstLine="480" w:firstLineChars="200"/>
        <w:rPr>
          <w:bCs/>
          <w:sz w:val="24"/>
        </w:rPr>
      </w:pPr>
      <w:r>
        <w:rPr>
          <w:rFonts w:hint="eastAsia"/>
          <w:bCs/>
          <w:sz w:val="24"/>
        </w:rPr>
        <w:t>（4）除依据《基金法》、《基金合同》及其他有关规定外，不得利用基金财产为自己及任何第三人谋取利益，不得委托第三人托管基金财产；</w:t>
      </w:r>
    </w:p>
    <w:p>
      <w:pPr>
        <w:adjustRightInd w:val="0"/>
        <w:snapToGrid w:val="0"/>
        <w:spacing w:line="360" w:lineRule="auto"/>
        <w:ind w:firstLine="480" w:firstLineChars="200"/>
        <w:rPr>
          <w:bCs/>
          <w:sz w:val="24"/>
        </w:rPr>
      </w:pPr>
      <w:r>
        <w:rPr>
          <w:rFonts w:hint="eastAsia"/>
          <w:bCs/>
          <w:sz w:val="24"/>
        </w:rPr>
        <w:t>（5）保管由基金管理人代表基金签订的与基金有关的重大合同及有关凭证；</w:t>
      </w:r>
    </w:p>
    <w:p>
      <w:pPr>
        <w:adjustRightInd w:val="0"/>
        <w:snapToGrid w:val="0"/>
        <w:spacing w:line="360" w:lineRule="auto"/>
        <w:ind w:firstLine="480" w:firstLineChars="200"/>
        <w:rPr>
          <w:bCs/>
          <w:sz w:val="24"/>
        </w:rPr>
      </w:pPr>
      <w:r>
        <w:rPr>
          <w:rFonts w:hint="eastAsia"/>
          <w:bCs/>
          <w:sz w:val="24"/>
        </w:rPr>
        <w:t>（6）按规定开设基金财产的资金账户、证券账户等投资所需账户，按照《基金合同》的约定，根据基金管理人的投资指令，及时办理清算、交割事宜；</w:t>
      </w:r>
    </w:p>
    <w:p>
      <w:pPr>
        <w:adjustRightInd w:val="0"/>
        <w:snapToGrid w:val="0"/>
        <w:spacing w:line="360" w:lineRule="auto"/>
        <w:ind w:firstLine="480" w:firstLineChars="200"/>
        <w:rPr>
          <w:bCs/>
          <w:sz w:val="24"/>
        </w:rPr>
      </w:pPr>
      <w:r>
        <w:rPr>
          <w:rFonts w:hint="eastAsia"/>
          <w:bCs/>
          <w:sz w:val="24"/>
        </w:rPr>
        <w:t>（7）保守基金商业秘密，除《基金法》、《基金合同》及其他有关规定另有规定外，在基金信息公开披露前予以保密，不得向他人泄露；但根据监管机构、司法机关等有权机关的要求提供，或因审计、法律等外部专业顾问提供服务需要提供的情况除外；</w:t>
      </w:r>
    </w:p>
    <w:p>
      <w:pPr>
        <w:adjustRightInd w:val="0"/>
        <w:snapToGrid w:val="0"/>
        <w:spacing w:line="360" w:lineRule="auto"/>
        <w:ind w:firstLine="480" w:firstLineChars="200"/>
        <w:rPr>
          <w:bCs/>
          <w:sz w:val="24"/>
        </w:rPr>
      </w:pPr>
      <w:r>
        <w:rPr>
          <w:rFonts w:hint="eastAsia"/>
          <w:bCs/>
          <w:sz w:val="24"/>
        </w:rPr>
        <w:t>（8）复核、审查基金管理人计算的基金资产净值、基金份额净值、基金份额申购、赎回价格；</w:t>
      </w:r>
    </w:p>
    <w:p>
      <w:pPr>
        <w:adjustRightInd w:val="0"/>
        <w:snapToGrid w:val="0"/>
        <w:spacing w:line="360" w:lineRule="auto"/>
        <w:ind w:firstLine="480" w:firstLineChars="200"/>
        <w:rPr>
          <w:bCs/>
          <w:sz w:val="24"/>
        </w:rPr>
      </w:pPr>
      <w:r>
        <w:rPr>
          <w:rFonts w:hint="eastAsia"/>
          <w:bCs/>
          <w:sz w:val="24"/>
        </w:rPr>
        <w:t>（9）办理与基金托管业务活动有关的信息披露事项；</w:t>
      </w:r>
    </w:p>
    <w:p>
      <w:pPr>
        <w:adjustRightInd w:val="0"/>
        <w:snapToGrid w:val="0"/>
        <w:spacing w:line="360" w:lineRule="auto"/>
        <w:ind w:firstLine="480" w:firstLineChars="200"/>
        <w:rPr>
          <w:bCs/>
          <w:sz w:val="24"/>
        </w:rPr>
      </w:pPr>
      <w:r>
        <w:rPr>
          <w:rFonts w:hint="eastAsia"/>
          <w:bCs/>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djustRightInd w:val="0"/>
        <w:snapToGrid w:val="0"/>
        <w:spacing w:line="360" w:lineRule="auto"/>
        <w:ind w:firstLine="480" w:firstLineChars="200"/>
        <w:rPr>
          <w:bCs/>
          <w:sz w:val="24"/>
        </w:rPr>
      </w:pPr>
      <w:r>
        <w:rPr>
          <w:rFonts w:hint="eastAsia"/>
          <w:bCs/>
          <w:sz w:val="24"/>
        </w:rPr>
        <w:t>（11）保存基金托管业务活动的记录、账册、报表和其他相关资料不低于法律法规规定的最低期限；</w:t>
      </w:r>
    </w:p>
    <w:p>
      <w:pPr>
        <w:adjustRightInd w:val="0"/>
        <w:snapToGrid w:val="0"/>
        <w:spacing w:line="360" w:lineRule="auto"/>
        <w:ind w:firstLine="480" w:firstLineChars="200"/>
        <w:rPr>
          <w:bCs/>
          <w:sz w:val="24"/>
        </w:rPr>
      </w:pPr>
      <w:r>
        <w:rPr>
          <w:rFonts w:hint="eastAsia"/>
          <w:bCs/>
          <w:sz w:val="24"/>
        </w:rPr>
        <w:t>（12）保存基金份额持有人名册；</w:t>
      </w:r>
    </w:p>
    <w:p>
      <w:pPr>
        <w:adjustRightInd w:val="0"/>
        <w:snapToGrid w:val="0"/>
        <w:spacing w:line="360" w:lineRule="auto"/>
        <w:ind w:firstLine="480" w:firstLineChars="200"/>
        <w:rPr>
          <w:bCs/>
          <w:sz w:val="24"/>
        </w:rPr>
      </w:pPr>
      <w:r>
        <w:rPr>
          <w:rFonts w:hint="eastAsia"/>
          <w:bCs/>
          <w:sz w:val="24"/>
        </w:rPr>
        <w:t>（13）按规定制作相关账册并与基金管理人核对；</w:t>
      </w:r>
    </w:p>
    <w:p>
      <w:pPr>
        <w:adjustRightInd w:val="0"/>
        <w:snapToGrid w:val="0"/>
        <w:spacing w:line="360" w:lineRule="auto"/>
        <w:ind w:firstLine="480" w:firstLineChars="200"/>
        <w:rPr>
          <w:bCs/>
          <w:sz w:val="24"/>
        </w:rPr>
      </w:pPr>
      <w:r>
        <w:rPr>
          <w:rFonts w:hint="eastAsia"/>
          <w:bCs/>
          <w:sz w:val="24"/>
        </w:rPr>
        <w:t>（14）依据基金管理人的指令或有关规定向基金份额持有人支付基金收益和赎回款项；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（15）依据《基金法》、《基金合同》及其他有关规定，召集基金份额持有人大会或配合基金管理人、基金份额持有人依法召集基金份额持有人大会；</w:t>
      </w:r>
    </w:p>
    <w:p>
      <w:pPr>
        <w:adjustRightInd w:val="0"/>
        <w:snapToGrid w:val="0"/>
        <w:spacing w:line="360" w:lineRule="auto"/>
        <w:ind w:firstLine="480" w:firstLineChars="200"/>
        <w:rPr>
          <w:bCs/>
          <w:sz w:val="24"/>
        </w:rPr>
      </w:pPr>
      <w:r>
        <w:rPr>
          <w:rFonts w:hint="eastAsia"/>
          <w:bCs/>
          <w:sz w:val="24"/>
        </w:rPr>
        <w:t>（16）按照法律法规和《基金合同》的规定监督基金管理人的投资运作；</w:t>
      </w:r>
    </w:p>
    <w:p>
      <w:pPr>
        <w:adjustRightInd w:val="0"/>
        <w:snapToGrid w:val="0"/>
        <w:spacing w:line="360" w:lineRule="auto"/>
        <w:ind w:firstLine="480" w:firstLineChars="200"/>
        <w:rPr>
          <w:bCs/>
          <w:sz w:val="24"/>
        </w:rPr>
      </w:pPr>
      <w:r>
        <w:rPr>
          <w:rFonts w:hint="eastAsia"/>
          <w:bCs/>
          <w:sz w:val="24"/>
        </w:rPr>
        <w:t>（17）参加基金财产清算小组，参与基金财产的保管、清理、估价、变现和分配；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（18）面临解散、依法被撤销或者被依法宣告破产时，及时报告中国证监会和银行业监督管理机构，并通知基金管理人；</w:t>
      </w:r>
    </w:p>
    <w:p>
      <w:pPr>
        <w:adjustRightInd w:val="0"/>
        <w:snapToGrid w:val="0"/>
        <w:spacing w:line="360" w:lineRule="auto"/>
        <w:ind w:firstLine="480" w:firstLineChars="200"/>
        <w:rPr>
          <w:bCs/>
          <w:sz w:val="24"/>
        </w:rPr>
      </w:pPr>
      <w:r>
        <w:rPr>
          <w:rFonts w:hint="eastAsia"/>
          <w:bCs/>
          <w:sz w:val="24"/>
        </w:rPr>
        <w:t>（19）因违反《基金合同》导致基金财产损失时，应承担赔偿责任，其赔偿责任不因其退任而免除；</w:t>
      </w:r>
    </w:p>
    <w:p>
      <w:pPr>
        <w:adjustRightInd w:val="0"/>
        <w:snapToGrid w:val="0"/>
        <w:spacing w:line="360" w:lineRule="auto"/>
        <w:ind w:firstLine="480" w:firstLineChars="200"/>
        <w:rPr>
          <w:bCs/>
          <w:sz w:val="24"/>
        </w:rPr>
      </w:pPr>
      <w:r>
        <w:rPr>
          <w:rFonts w:hint="eastAsia"/>
          <w:bCs/>
          <w:sz w:val="24"/>
        </w:rPr>
        <w:t>（20）按规定监督基金管理人按法律法规和《基金合同》规定履行自己的义务，基金管理人因违反《基金合同》造成基金财产损失时，应为基金份额持有人利益向基金管理人追偿；</w:t>
      </w:r>
    </w:p>
    <w:p>
      <w:pPr>
        <w:adjustRightInd w:val="0"/>
        <w:snapToGrid w:val="0"/>
        <w:spacing w:line="360" w:lineRule="auto"/>
        <w:ind w:firstLine="480" w:firstLineChars="200"/>
        <w:rPr>
          <w:bCs/>
          <w:sz w:val="24"/>
        </w:rPr>
      </w:pPr>
      <w:r>
        <w:rPr>
          <w:rFonts w:hint="eastAsia"/>
          <w:bCs/>
          <w:sz w:val="24"/>
        </w:rPr>
        <w:t>（21）执行生效的基金份额持有人大会的决议；</w:t>
      </w:r>
    </w:p>
    <w:p>
      <w:pPr>
        <w:adjustRightInd w:val="0"/>
        <w:snapToGrid w:val="0"/>
        <w:spacing w:line="360" w:lineRule="auto"/>
        <w:ind w:firstLine="480" w:firstLineChars="200"/>
        <w:rPr>
          <w:bCs/>
          <w:sz w:val="24"/>
        </w:rPr>
      </w:pPr>
      <w:r>
        <w:rPr>
          <w:rFonts w:hint="eastAsia"/>
          <w:bCs/>
          <w:sz w:val="24"/>
        </w:rPr>
        <w:t>（22）法律法规及中国证监会规定的和《基金合同》约定的其他义务。</w:t>
      </w:r>
    </w:p>
    <w:p>
      <w:pPr>
        <w:adjustRightInd w:val="0"/>
        <w:snapToGrid w:val="0"/>
        <w:spacing w:line="360" w:lineRule="auto"/>
        <w:ind w:firstLine="480" w:firstLineChars="200"/>
        <w:outlineLvl w:val="2"/>
        <w:rPr>
          <w:bCs/>
          <w:sz w:val="24"/>
        </w:rPr>
      </w:pPr>
      <w:r>
        <w:rPr>
          <w:bCs/>
          <w:sz w:val="24"/>
        </w:rPr>
        <w:t>3、基金份额持有人的权利与义务</w:t>
      </w:r>
    </w:p>
    <w:p>
      <w:pPr>
        <w:adjustRightInd w:val="0"/>
        <w:snapToGrid w:val="0"/>
        <w:spacing w:line="360" w:lineRule="auto"/>
        <w:ind w:firstLine="480" w:firstLineChars="200"/>
        <w:rPr>
          <w:bCs/>
          <w:sz w:val="24"/>
        </w:rPr>
      </w:pPr>
      <w:r>
        <w:rPr>
          <w:rFonts w:hint="eastAsia"/>
          <w:bCs/>
          <w:sz w:val="24"/>
        </w:rPr>
        <w:t>基金投资者持有本基金基金份额的行为即视为对《基金合同》的承认和接受，基金投资者自依据《基金合同》取得本基金基金份额，即成为本基金基金份额持有人和《基金合同》的当事人，直至其不再持有本基金的基金份额。基金份额持有人作为《基金合同》当事人并不以在《基金合同》上书面签章或签字为必要条件。</w:t>
      </w:r>
    </w:p>
    <w:p>
      <w:pPr>
        <w:adjustRightInd w:val="0"/>
        <w:snapToGrid w:val="0"/>
        <w:spacing w:line="360" w:lineRule="auto"/>
        <w:ind w:firstLine="480" w:firstLineChars="200"/>
        <w:rPr>
          <w:bCs/>
          <w:sz w:val="24"/>
        </w:rPr>
      </w:pPr>
      <w:r>
        <w:rPr>
          <w:rFonts w:hint="eastAsia"/>
          <w:bCs/>
          <w:sz w:val="24"/>
        </w:rPr>
        <w:t>每份基金份额具有同等的合法权益。</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根据《基金法》、《运作办法》及其他有关规定，基金份额持有人的权利包括但不限于：</w:t>
      </w:r>
    </w:p>
    <w:p>
      <w:pPr>
        <w:adjustRightInd w:val="0"/>
        <w:snapToGrid w:val="0"/>
        <w:spacing w:line="360" w:lineRule="auto"/>
        <w:ind w:firstLine="480" w:firstLineChars="200"/>
        <w:rPr>
          <w:bCs/>
          <w:sz w:val="24"/>
        </w:rPr>
      </w:pPr>
      <w:r>
        <w:rPr>
          <w:rFonts w:hint="eastAsia"/>
          <w:bCs/>
          <w:sz w:val="24"/>
        </w:rPr>
        <w:t>（1）分享基金财产收益；</w:t>
      </w:r>
    </w:p>
    <w:p>
      <w:pPr>
        <w:adjustRightInd w:val="0"/>
        <w:snapToGrid w:val="0"/>
        <w:spacing w:line="360" w:lineRule="auto"/>
        <w:ind w:firstLine="480" w:firstLineChars="200"/>
        <w:rPr>
          <w:bCs/>
          <w:sz w:val="24"/>
        </w:rPr>
      </w:pPr>
      <w:r>
        <w:rPr>
          <w:rFonts w:hint="eastAsia"/>
          <w:bCs/>
          <w:sz w:val="24"/>
        </w:rPr>
        <w:t>（2）参与分配清算后的剩余基金财产；</w:t>
      </w:r>
    </w:p>
    <w:p>
      <w:pPr>
        <w:adjustRightInd w:val="0"/>
        <w:snapToGrid w:val="0"/>
        <w:spacing w:line="360" w:lineRule="auto"/>
        <w:ind w:firstLine="480" w:firstLineChars="200"/>
        <w:rPr>
          <w:bCs/>
          <w:sz w:val="24"/>
        </w:rPr>
      </w:pPr>
      <w:r>
        <w:rPr>
          <w:rFonts w:hint="eastAsia"/>
          <w:bCs/>
          <w:sz w:val="24"/>
        </w:rPr>
        <w:t>（3）依法并按照基金合同和招募说明书的规定转让或者申请赎回其持有的基金份额；</w:t>
      </w:r>
    </w:p>
    <w:p>
      <w:pPr>
        <w:adjustRightInd w:val="0"/>
        <w:snapToGrid w:val="0"/>
        <w:spacing w:line="360" w:lineRule="auto"/>
        <w:ind w:firstLine="480" w:firstLineChars="200"/>
        <w:rPr>
          <w:bCs/>
          <w:sz w:val="24"/>
        </w:rPr>
      </w:pPr>
      <w:r>
        <w:rPr>
          <w:rFonts w:hint="eastAsia"/>
          <w:bCs/>
          <w:sz w:val="24"/>
        </w:rPr>
        <w:t>（4）按照规定要求召开基金份额持有人大会或者召集基金份额持有人大会；</w:t>
      </w:r>
    </w:p>
    <w:p>
      <w:pPr>
        <w:adjustRightInd w:val="0"/>
        <w:snapToGrid w:val="0"/>
        <w:spacing w:line="360" w:lineRule="auto"/>
        <w:ind w:firstLine="480" w:firstLineChars="200"/>
        <w:rPr>
          <w:bCs/>
          <w:sz w:val="24"/>
        </w:rPr>
      </w:pPr>
      <w:r>
        <w:rPr>
          <w:rFonts w:hint="eastAsia"/>
          <w:bCs/>
          <w:sz w:val="24"/>
        </w:rPr>
        <w:t>（5）出席或者委派代表出席基金份额持有人大会，对基金份额持有人大会审议事项行使表决权；</w:t>
      </w:r>
    </w:p>
    <w:p>
      <w:pPr>
        <w:adjustRightInd w:val="0"/>
        <w:snapToGrid w:val="0"/>
        <w:spacing w:line="360" w:lineRule="auto"/>
        <w:ind w:firstLine="480" w:firstLineChars="200"/>
        <w:rPr>
          <w:bCs/>
          <w:sz w:val="24"/>
        </w:rPr>
      </w:pPr>
      <w:r>
        <w:rPr>
          <w:rFonts w:hint="eastAsia"/>
          <w:bCs/>
          <w:sz w:val="24"/>
        </w:rPr>
        <w:t>（6）查阅或者复制公开披露的基金信息资料；</w:t>
      </w:r>
    </w:p>
    <w:p>
      <w:pPr>
        <w:adjustRightInd w:val="0"/>
        <w:snapToGrid w:val="0"/>
        <w:spacing w:line="360" w:lineRule="auto"/>
        <w:ind w:firstLine="480" w:firstLineChars="200"/>
        <w:rPr>
          <w:bCs/>
          <w:sz w:val="24"/>
        </w:rPr>
      </w:pPr>
      <w:r>
        <w:rPr>
          <w:rFonts w:hint="eastAsia"/>
          <w:bCs/>
          <w:sz w:val="24"/>
        </w:rPr>
        <w:t>（7）监督基金管理人的投资运作；</w:t>
      </w:r>
    </w:p>
    <w:p>
      <w:pPr>
        <w:adjustRightInd w:val="0"/>
        <w:snapToGrid w:val="0"/>
        <w:spacing w:line="360" w:lineRule="auto"/>
        <w:ind w:firstLine="480" w:firstLineChars="200"/>
        <w:rPr>
          <w:bCs/>
          <w:sz w:val="24"/>
        </w:rPr>
      </w:pPr>
      <w:r>
        <w:rPr>
          <w:rFonts w:hint="eastAsia"/>
          <w:bCs/>
          <w:sz w:val="24"/>
        </w:rPr>
        <w:t>（8）对基金管理人、基金托管人、基金服务机构损害其合法权益的行为依法提起诉讼或仲裁；</w:t>
      </w:r>
    </w:p>
    <w:p>
      <w:pPr>
        <w:adjustRightInd w:val="0"/>
        <w:snapToGrid w:val="0"/>
        <w:spacing w:line="360" w:lineRule="auto"/>
        <w:ind w:firstLine="480" w:firstLineChars="200"/>
        <w:rPr>
          <w:bCs/>
          <w:sz w:val="24"/>
        </w:rPr>
      </w:pPr>
      <w:r>
        <w:rPr>
          <w:rFonts w:hint="eastAsia"/>
          <w:bCs/>
          <w:sz w:val="24"/>
        </w:rPr>
        <w:t>（9）法律法规及中国证监会规定的和《基金合同》约定的其他权利。</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根据《基金法》、《运作办法》及其他有关规定，基金份额持有人的义务包括但不限于：</w:t>
      </w:r>
    </w:p>
    <w:p>
      <w:pPr>
        <w:adjustRightInd w:val="0"/>
        <w:snapToGrid w:val="0"/>
        <w:spacing w:line="360" w:lineRule="auto"/>
        <w:ind w:firstLine="480" w:firstLineChars="200"/>
        <w:rPr>
          <w:bCs/>
          <w:sz w:val="24"/>
        </w:rPr>
      </w:pPr>
      <w:r>
        <w:rPr>
          <w:rFonts w:hint="eastAsia"/>
          <w:bCs/>
          <w:sz w:val="24"/>
        </w:rPr>
        <w:t>（1）认真阅读并遵守《基金合同》、招募说明书等信息披露文件；</w:t>
      </w:r>
    </w:p>
    <w:p>
      <w:pPr>
        <w:adjustRightInd w:val="0"/>
        <w:snapToGrid w:val="0"/>
        <w:spacing w:line="360" w:lineRule="auto"/>
        <w:ind w:firstLine="480" w:firstLineChars="200"/>
        <w:rPr>
          <w:bCs/>
          <w:sz w:val="24"/>
        </w:rPr>
      </w:pPr>
      <w:r>
        <w:rPr>
          <w:rFonts w:hint="eastAsia"/>
          <w:bCs/>
          <w:sz w:val="24"/>
        </w:rPr>
        <w:t>（2）了解所投资基金产品，了解自身风险承受能力，自主判断基金的投资价值，自主做出投资决策，自行承担投资风险；</w:t>
      </w:r>
    </w:p>
    <w:p>
      <w:pPr>
        <w:adjustRightInd w:val="0"/>
        <w:snapToGrid w:val="0"/>
        <w:spacing w:line="360" w:lineRule="auto"/>
        <w:ind w:firstLine="480" w:firstLineChars="200"/>
        <w:rPr>
          <w:bCs/>
          <w:sz w:val="24"/>
        </w:rPr>
      </w:pPr>
      <w:r>
        <w:rPr>
          <w:rFonts w:hint="eastAsia"/>
          <w:bCs/>
          <w:sz w:val="24"/>
        </w:rPr>
        <w:t>（3）关注基金信息披露，及时行使权利和履行义务；</w:t>
      </w:r>
    </w:p>
    <w:p>
      <w:pPr>
        <w:adjustRightInd w:val="0"/>
        <w:snapToGrid w:val="0"/>
        <w:spacing w:line="360" w:lineRule="auto"/>
        <w:ind w:firstLine="480" w:firstLineChars="200"/>
        <w:rPr>
          <w:bCs/>
          <w:sz w:val="24"/>
        </w:rPr>
      </w:pPr>
      <w:r>
        <w:rPr>
          <w:rFonts w:hint="eastAsia"/>
          <w:bCs/>
          <w:sz w:val="24"/>
        </w:rPr>
        <w:t>（4）交纳基金认购、申购款项及法律法规和《基金合同》所规定的费用；</w:t>
      </w:r>
    </w:p>
    <w:p>
      <w:pPr>
        <w:adjustRightInd w:val="0"/>
        <w:snapToGrid w:val="0"/>
        <w:spacing w:line="360" w:lineRule="auto"/>
        <w:ind w:firstLine="480" w:firstLineChars="200"/>
        <w:rPr>
          <w:bCs/>
          <w:sz w:val="24"/>
        </w:rPr>
      </w:pPr>
      <w:r>
        <w:rPr>
          <w:rFonts w:hint="eastAsia"/>
          <w:bCs/>
          <w:sz w:val="24"/>
        </w:rPr>
        <w:t>（5）在其持有的基金份额范围内，承担基金亏损或者《基金合同》终止的有限责任；</w:t>
      </w:r>
    </w:p>
    <w:p>
      <w:pPr>
        <w:adjustRightInd w:val="0"/>
        <w:snapToGrid w:val="0"/>
        <w:spacing w:line="360" w:lineRule="auto"/>
        <w:ind w:firstLine="480" w:firstLineChars="200"/>
        <w:rPr>
          <w:bCs/>
          <w:sz w:val="24"/>
        </w:rPr>
      </w:pPr>
      <w:r>
        <w:rPr>
          <w:rFonts w:hint="eastAsia"/>
          <w:bCs/>
          <w:sz w:val="24"/>
        </w:rPr>
        <w:t>（6）不从事任何有损基金及其他《基金合同》当事人合法权益的活动；</w:t>
      </w:r>
    </w:p>
    <w:p>
      <w:pPr>
        <w:adjustRightInd w:val="0"/>
        <w:snapToGrid w:val="0"/>
        <w:spacing w:line="360" w:lineRule="auto"/>
        <w:ind w:firstLine="480" w:firstLineChars="200"/>
        <w:rPr>
          <w:bCs/>
          <w:sz w:val="24"/>
        </w:rPr>
      </w:pPr>
      <w:r>
        <w:rPr>
          <w:rFonts w:hint="eastAsia"/>
          <w:bCs/>
          <w:sz w:val="24"/>
        </w:rPr>
        <w:t>（7）执行生效的基金份额持有人大会的决议；</w:t>
      </w:r>
    </w:p>
    <w:p>
      <w:pPr>
        <w:adjustRightInd w:val="0"/>
        <w:snapToGrid w:val="0"/>
        <w:spacing w:line="360" w:lineRule="auto"/>
        <w:ind w:firstLine="480" w:firstLineChars="200"/>
        <w:rPr>
          <w:bCs/>
          <w:sz w:val="24"/>
        </w:rPr>
      </w:pPr>
      <w:r>
        <w:rPr>
          <w:rFonts w:hint="eastAsia"/>
          <w:bCs/>
          <w:sz w:val="24"/>
        </w:rPr>
        <w:t>（8）返还在基金交易过程中因任何原因获得的不当得利；</w:t>
      </w:r>
    </w:p>
    <w:p>
      <w:pPr>
        <w:adjustRightInd w:val="0"/>
        <w:snapToGrid w:val="0"/>
        <w:spacing w:line="360" w:lineRule="auto"/>
        <w:ind w:firstLine="480" w:firstLineChars="200"/>
        <w:rPr>
          <w:bCs/>
          <w:sz w:val="24"/>
        </w:rPr>
      </w:pPr>
      <w:r>
        <w:rPr>
          <w:rFonts w:hint="eastAsia"/>
          <w:bCs/>
          <w:sz w:val="24"/>
        </w:rPr>
        <w:t>（9）遵守基金管理人、基金托管人、销售机构和登记机构的相关交易及业务规则；</w:t>
      </w:r>
    </w:p>
    <w:p>
      <w:pPr>
        <w:adjustRightInd w:val="0"/>
        <w:snapToGrid w:val="0"/>
        <w:spacing w:line="360" w:lineRule="auto"/>
        <w:ind w:firstLine="480" w:firstLineChars="200"/>
        <w:rPr>
          <w:bCs/>
          <w:sz w:val="24"/>
        </w:rPr>
      </w:pPr>
      <w:r>
        <w:rPr>
          <w:rFonts w:hint="eastAsia"/>
          <w:bCs/>
          <w:sz w:val="24"/>
        </w:rPr>
        <w:t>（10）提供基金管理人和监管机构依法要求提供的信息，以及不时的更新和补充，并保证其真实性；</w:t>
      </w:r>
    </w:p>
    <w:p>
      <w:pPr>
        <w:adjustRightInd w:val="0"/>
        <w:snapToGrid w:val="0"/>
        <w:spacing w:line="360" w:lineRule="auto"/>
        <w:ind w:firstLine="480" w:firstLineChars="200"/>
        <w:rPr>
          <w:bCs/>
          <w:sz w:val="24"/>
        </w:rPr>
      </w:pPr>
      <w:r>
        <w:rPr>
          <w:rFonts w:hint="eastAsia"/>
          <w:bCs/>
          <w:sz w:val="24"/>
        </w:rPr>
        <w:t>（11）法律法规及中国证监会规定的和《基金合同》约定的其他义务。</w:t>
      </w:r>
    </w:p>
    <w:p>
      <w:pPr>
        <w:adjustRightInd w:val="0"/>
        <w:snapToGrid w:val="0"/>
        <w:spacing w:line="360" w:lineRule="auto"/>
        <w:ind w:firstLine="482"/>
        <w:outlineLvl w:val="1"/>
        <w:rPr>
          <w:b/>
          <w:bCs/>
          <w:sz w:val="24"/>
        </w:rPr>
      </w:pPr>
      <w:r>
        <w:rPr>
          <w:b/>
          <w:bCs/>
          <w:sz w:val="24"/>
        </w:rPr>
        <w:t>（二）基金份额持有人大会</w:t>
      </w:r>
      <w:r>
        <w:rPr>
          <w:rFonts w:hint="eastAsia"/>
          <w:b/>
          <w:bCs/>
          <w:sz w:val="24"/>
        </w:rPr>
        <w:t>召集、议事及表决的程序和规则</w:t>
      </w:r>
    </w:p>
    <w:p>
      <w:pPr>
        <w:adjustRightInd w:val="0"/>
        <w:snapToGrid w:val="0"/>
        <w:spacing w:line="360" w:lineRule="auto"/>
        <w:ind w:firstLine="480" w:firstLineChars="20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pPr>
        <w:adjustRightInd w:val="0"/>
        <w:snapToGrid w:val="0"/>
        <w:spacing w:line="360" w:lineRule="auto"/>
        <w:ind w:firstLine="480" w:firstLineChars="200"/>
        <w:rPr>
          <w:bCs/>
          <w:sz w:val="24"/>
        </w:rPr>
      </w:pPr>
      <w:r>
        <w:rPr>
          <w:rFonts w:hint="eastAsia"/>
          <w:bCs/>
          <w:sz w:val="24"/>
        </w:rPr>
        <w:t>本基金份额持有人大会不设日常机构。</w:t>
      </w:r>
    </w:p>
    <w:p>
      <w:pPr>
        <w:adjustRightInd w:val="0"/>
        <w:snapToGrid w:val="0"/>
        <w:spacing w:line="360" w:lineRule="auto"/>
        <w:ind w:firstLine="480" w:firstLineChars="200"/>
        <w:outlineLvl w:val="2"/>
        <w:rPr>
          <w:bCs/>
          <w:sz w:val="24"/>
        </w:rPr>
      </w:pPr>
      <w:r>
        <w:rPr>
          <w:bCs/>
          <w:sz w:val="24"/>
        </w:rPr>
        <w:t>1、召开事由</w:t>
      </w:r>
    </w:p>
    <w:p>
      <w:pPr>
        <w:adjustRightInd w:val="0"/>
        <w:snapToGrid w:val="0"/>
        <w:spacing w:line="360" w:lineRule="auto"/>
        <w:ind w:firstLine="480" w:firstLineChars="200"/>
        <w:rPr>
          <w:bCs/>
          <w:sz w:val="24"/>
        </w:rPr>
      </w:pPr>
      <w:r>
        <w:rPr>
          <w:rFonts w:hint="eastAsia"/>
          <w:bCs/>
          <w:sz w:val="24"/>
        </w:rPr>
        <w:t>（1）当出现或需要决定下列事由之一的，应当召开基金份额持有人大会，法律法规、基金合同和中国证监会另有规定的除外：</w:t>
      </w:r>
    </w:p>
    <w:p>
      <w:pPr>
        <w:adjustRightInd w:val="0"/>
        <w:snapToGrid w:val="0"/>
        <w:spacing w:line="360" w:lineRule="auto"/>
        <w:ind w:firstLine="480" w:firstLineChars="200"/>
        <w:rPr>
          <w:bCs/>
          <w:sz w:val="24"/>
        </w:rPr>
      </w:pPr>
      <w:r>
        <w:rPr>
          <w:rFonts w:hint="eastAsia"/>
          <w:bCs/>
          <w:sz w:val="24"/>
        </w:rPr>
        <w:t>1）终止《基金合同》；</w:t>
      </w:r>
    </w:p>
    <w:p>
      <w:pPr>
        <w:adjustRightInd w:val="0"/>
        <w:snapToGrid w:val="0"/>
        <w:spacing w:line="360" w:lineRule="auto"/>
        <w:ind w:firstLine="480" w:firstLineChars="200"/>
        <w:rPr>
          <w:bCs/>
          <w:sz w:val="24"/>
        </w:rPr>
      </w:pPr>
      <w:r>
        <w:rPr>
          <w:rFonts w:hint="eastAsia"/>
          <w:bCs/>
          <w:sz w:val="24"/>
        </w:rPr>
        <w:t>2）更换基金管理人；</w:t>
      </w:r>
    </w:p>
    <w:p>
      <w:pPr>
        <w:adjustRightInd w:val="0"/>
        <w:snapToGrid w:val="0"/>
        <w:spacing w:line="360" w:lineRule="auto"/>
        <w:ind w:firstLine="480" w:firstLineChars="200"/>
        <w:rPr>
          <w:bCs/>
          <w:sz w:val="24"/>
        </w:rPr>
      </w:pPr>
      <w:r>
        <w:rPr>
          <w:rFonts w:hint="eastAsia"/>
          <w:bCs/>
          <w:sz w:val="24"/>
        </w:rPr>
        <w:t>3）更换基金托管人；</w:t>
      </w:r>
    </w:p>
    <w:p>
      <w:pPr>
        <w:adjustRightInd w:val="0"/>
        <w:snapToGrid w:val="0"/>
        <w:spacing w:line="360" w:lineRule="auto"/>
        <w:ind w:firstLine="480" w:firstLineChars="200"/>
        <w:rPr>
          <w:bCs/>
          <w:sz w:val="24"/>
        </w:rPr>
      </w:pPr>
      <w:r>
        <w:rPr>
          <w:rFonts w:hint="eastAsia"/>
          <w:bCs/>
          <w:sz w:val="24"/>
        </w:rPr>
        <w:t>4）转换基金运作方式；</w:t>
      </w:r>
    </w:p>
    <w:p>
      <w:pPr>
        <w:adjustRightInd w:val="0"/>
        <w:snapToGrid w:val="0"/>
        <w:spacing w:line="360" w:lineRule="auto"/>
        <w:ind w:firstLine="480" w:firstLineChars="200"/>
        <w:rPr>
          <w:bCs/>
          <w:sz w:val="24"/>
        </w:rPr>
      </w:pPr>
      <w:r>
        <w:rPr>
          <w:rFonts w:hint="eastAsia"/>
          <w:bCs/>
          <w:sz w:val="24"/>
        </w:rPr>
        <w:t>5）调整基金管理人、基金托管人的报酬标准；</w:t>
      </w:r>
    </w:p>
    <w:p>
      <w:pPr>
        <w:adjustRightInd w:val="0"/>
        <w:snapToGrid w:val="0"/>
        <w:spacing w:line="360" w:lineRule="auto"/>
        <w:ind w:firstLine="480" w:firstLineChars="200"/>
        <w:rPr>
          <w:bCs/>
          <w:sz w:val="24"/>
        </w:rPr>
      </w:pPr>
      <w:r>
        <w:rPr>
          <w:rFonts w:hint="eastAsia"/>
          <w:bCs/>
          <w:sz w:val="24"/>
        </w:rPr>
        <w:t>6）变更基金类别；</w:t>
      </w:r>
    </w:p>
    <w:p>
      <w:pPr>
        <w:adjustRightInd w:val="0"/>
        <w:snapToGrid w:val="0"/>
        <w:spacing w:line="360" w:lineRule="auto"/>
        <w:ind w:firstLine="480" w:firstLineChars="200"/>
        <w:rPr>
          <w:bCs/>
          <w:sz w:val="24"/>
        </w:rPr>
      </w:pPr>
      <w:r>
        <w:rPr>
          <w:rFonts w:hint="eastAsia"/>
          <w:bCs/>
          <w:sz w:val="24"/>
        </w:rPr>
        <w:t>7）本基金与其他基金的合并；</w:t>
      </w:r>
    </w:p>
    <w:p>
      <w:pPr>
        <w:adjustRightInd w:val="0"/>
        <w:snapToGrid w:val="0"/>
        <w:spacing w:line="360" w:lineRule="auto"/>
        <w:ind w:firstLine="480" w:firstLineChars="200"/>
        <w:rPr>
          <w:bCs/>
          <w:sz w:val="24"/>
        </w:rPr>
      </w:pPr>
      <w:r>
        <w:rPr>
          <w:rFonts w:hint="eastAsia"/>
          <w:bCs/>
          <w:sz w:val="24"/>
        </w:rPr>
        <w:t>8）变更基金投资目标、范围或策略；</w:t>
      </w:r>
    </w:p>
    <w:p>
      <w:pPr>
        <w:adjustRightInd w:val="0"/>
        <w:snapToGrid w:val="0"/>
        <w:spacing w:line="360" w:lineRule="auto"/>
        <w:ind w:firstLine="480" w:firstLineChars="200"/>
        <w:rPr>
          <w:bCs/>
          <w:sz w:val="24"/>
        </w:rPr>
      </w:pPr>
      <w:r>
        <w:rPr>
          <w:rFonts w:hint="eastAsia"/>
          <w:bCs/>
          <w:sz w:val="24"/>
        </w:rPr>
        <w:t>9）变更基金份额持有人大会程序；</w:t>
      </w:r>
    </w:p>
    <w:p>
      <w:pPr>
        <w:adjustRightInd w:val="0"/>
        <w:snapToGrid w:val="0"/>
        <w:spacing w:line="360" w:lineRule="auto"/>
        <w:ind w:firstLine="480" w:firstLineChars="200"/>
        <w:rPr>
          <w:bCs/>
          <w:sz w:val="24"/>
        </w:rPr>
      </w:pPr>
      <w:r>
        <w:rPr>
          <w:rFonts w:hint="eastAsia"/>
          <w:bCs/>
          <w:sz w:val="24"/>
        </w:rPr>
        <w:t>10）基金管理人或基金托管人要求召开基金份额持有人大会；</w:t>
      </w:r>
    </w:p>
    <w:p>
      <w:pPr>
        <w:adjustRightInd w:val="0"/>
        <w:snapToGrid w:val="0"/>
        <w:spacing w:line="360" w:lineRule="auto"/>
        <w:ind w:firstLine="480" w:firstLineChars="200"/>
        <w:rPr>
          <w:bCs/>
          <w:sz w:val="24"/>
        </w:rPr>
      </w:pPr>
      <w:r>
        <w:rPr>
          <w:rFonts w:hint="eastAsia"/>
          <w:bCs/>
          <w:sz w:val="24"/>
        </w:rPr>
        <w:t>11）单独或合计持有本基金总份额10%以上（含10%）基金份额的基金份额持有人（以基金管理人收到提议当日的基金份额计算，下同）就同一事项书面要求召开基金份额持有人大会；</w:t>
      </w:r>
    </w:p>
    <w:p>
      <w:pPr>
        <w:adjustRightInd w:val="0"/>
        <w:snapToGrid w:val="0"/>
        <w:spacing w:line="360" w:lineRule="auto"/>
        <w:ind w:firstLine="480" w:firstLineChars="200"/>
        <w:rPr>
          <w:bCs/>
          <w:sz w:val="24"/>
        </w:rPr>
      </w:pPr>
      <w:r>
        <w:rPr>
          <w:rFonts w:hint="eastAsia"/>
          <w:bCs/>
          <w:sz w:val="24"/>
        </w:rPr>
        <w:t>12）对基金合同当事人权利和义务产生重大影响的其他事项；</w:t>
      </w:r>
    </w:p>
    <w:p>
      <w:pPr>
        <w:adjustRightInd w:val="0"/>
        <w:snapToGrid w:val="0"/>
        <w:spacing w:line="360" w:lineRule="auto"/>
        <w:ind w:firstLine="480" w:firstLineChars="200"/>
        <w:rPr>
          <w:bCs/>
          <w:sz w:val="24"/>
        </w:rPr>
      </w:pPr>
      <w:r>
        <w:rPr>
          <w:rFonts w:hint="eastAsia"/>
          <w:bCs/>
          <w:sz w:val="24"/>
        </w:rPr>
        <w:t>13）法律法规、《基金合同》或中国证监会规定的其他应当召开基金份额持有人大会的事项。</w:t>
      </w:r>
    </w:p>
    <w:p>
      <w:pPr>
        <w:adjustRightInd w:val="0"/>
        <w:snapToGrid w:val="0"/>
        <w:spacing w:line="360" w:lineRule="auto"/>
        <w:ind w:firstLine="480" w:firstLineChars="200"/>
        <w:rPr>
          <w:bCs/>
          <w:sz w:val="24"/>
        </w:rPr>
      </w:pPr>
      <w:r>
        <w:rPr>
          <w:rFonts w:hint="eastAsia"/>
          <w:bCs/>
          <w:sz w:val="24"/>
        </w:rPr>
        <w:t>（2）在法律法规规定和《基金合同》约定的范围内且对基金份额持有人利益无实质性不利影响的前提下，以下情况可由基金管理人和基金托管人协商后修改，不需召开基金份额持有人大会：</w:t>
      </w:r>
    </w:p>
    <w:p>
      <w:pPr>
        <w:adjustRightInd w:val="0"/>
        <w:snapToGrid w:val="0"/>
        <w:spacing w:line="360" w:lineRule="auto"/>
        <w:ind w:firstLine="480" w:firstLineChars="200"/>
        <w:rPr>
          <w:bCs/>
          <w:sz w:val="24"/>
        </w:rPr>
      </w:pPr>
      <w:r>
        <w:rPr>
          <w:rFonts w:hint="eastAsia"/>
          <w:bCs/>
          <w:sz w:val="24"/>
        </w:rPr>
        <w:t>1）法律法规要求增加的基金费用的收取；</w:t>
      </w:r>
    </w:p>
    <w:p>
      <w:pPr>
        <w:adjustRightInd w:val="0"/>
        <w:snapToGrid w:val="0"/>
        <w:spacing w:line="360" w:lineRule="auto"/>
        <w:ind w:firstLine="480" w:firstLineChars="200"/>
        <w:rPr>
          <w:bCs/>
          <w:sz w:val="24"/>
        </w:rPr>
      </w:pPr>
      <w:r>
        <w:rPr>
          <w:rFonts w:hint="eastAsia"/>
          <w:bCs/>
          <w:sz w:val="24"/>
        </w:rPr>
        <w:t>2）在法律法规和《基金合同》规定的范围内调整本基金的申购费率、在对现有基金份额持有人利益无实质性不利影响的前提下变更收费方式；</w:t>
      </w:r>
    </w:p>
    <w:p>
      <w:pPr>
        <w:adjustRightInd w:val="0"/>
        <w:snapToGrid w:val="0"/>
        <w:spacing w:line="360" w:lineRule="auto"/>
        <w:ind w:firstLine="480" w:firstLineChars="200"/>
        <w:rPr>
          <w:bCs/>
          <w:sz w:val="24"/>
        </w:rPr>
      </w:pPr>
      <w:r>
        <w:rPr>
          <w:rFonts w:hint="eastAsia"/>
          <w:bCs/>
          <w:sz w:val="24"/>
        </w:rPr>
        <w:t>3）因相应的法律法规、登记机构的相关业务规则发生变动而应当对《基金合同》进行修改；</w:t>
      </w:r>
    </w:p>
    <w:p>
      <w:pPr>
        <w:adjustRightInd w:val="0"/>
        <w:snapToGrid w:val="0"/>
        <w:spacing w:line="360" w:lineRule="auto"/>
        <w:ind w:firstLine="480" w:firstLineChars="200"/>
        <w:rPr>
          <w:bCs/>
          <w:sz w:val="24"/>
        </w:rPr>
      </w:pPr>
      <w:r>
        <w:rPr>
          <w:rFonts w:hint="eastAsia"/>
          <w:bCs/>
          <w:sz w:val="24"/>
        </w:rPr>
        <w:t>4）对《基金合同》的修改对基金份额持有人利益无实质性不利影响或修改不涉及《基金合同》当事人权利义务关系发生重大变化；</w:t>
      </w:r>
    </w:p>
    <w:p>
      <w:pPr>
        <w:adjustRightInd w:val="0"/>
        <w:snapToGrid w:val="0"/>
        <w:spacing w:line="360" w:lineRule="auto"/>
        <w:ind w:firstLine="480" w:firstLineChars="200"/>
        <w:rPr>
          <w:bCs/>
          <w:sz w:val="24"/>
        </w:rPr>
      </w:pPr>
      <w:r>
        <w:rPr>
          <w:rFonts w:hint="eastAsia"/>
          <w:bCs/>
          <w:sz w:val="24"/>
        </w:rPr>
        <w:t>5）在法律法规允许的情况下，且在对现有基金份额持有人利益无实质性不利影响的前提下，在履行适当程序后，基金推出新业务或服务；</w:t>
      </w:r>
    </w:p>
    <w:p>
      <w:pPr>
        <w:adjustRightInd w:val="0"/>
        <w:snapToGrid w:val="0"/>
        <w:spacing w:line="360" w:lineRule="auto"/>
        <w:ind w:firstLine="480" w:firstLineChars="200"/>
        <w:rPr>
          <w:bCs/>
          <w:sz w:val="24"/>
        </w:rPr>
      </w:pPr>
      <w:r>
        <w:rPr>
          <w:rFonts w:hint="eastAsia"/>
          <w:bCs/>
          <w:sz w:val="24"/>
        </w:rPr>
        <w:t>6）在符合法律法规及本基金合同规定、并且对基金份额持有人利益无实质性不利影响的前提下，增加或调整本基金份额类别的设置、对基金份额分类办法及规则进行调整；</w:t>
      </w:r>
    </w:p>
    <w:p>
      <w:pPr>
        <w:adjustRightInd w:val="0"/>
        <w:snapToGrid w:val="0"/>
        <w:spacing w:line="360" w:lineRule="auto"/>
        <w:ind w:firstLine="480" w:firstLineChars="200"/>
        <w:rPr>
          <w:bCs/>
          <w:sz w:val="24"/>
        </w:rPr>
      </w:pPr>
      <w:r>
        <w:rPr>
          <w:rFonts w:hint="eastAsia"/>
          <w:bCs/>
          <w:sz w:val="24"/>
        </w:rPr>
        <w:t>7）在不违反法律法规及对基金份额持有人利益无实质性不利影响的前提下，基金管理人、登记机构、销售机构调整有关基金认购、申购、赎回、转换、收益分配、非交易过户、转托管等业务的规则；</w:t>
      </w:r>
    </w:p>
    <w:p>
      <w:pPr>
        <w:adjustRightInd w:val="0"/>
        <w:snapToGrid w:val="0"/>
        <w:spacing w:line="360" w:lineRule="auto"/>
        <w:ind w:firstLine="480" w:firstLineChars="200"/>
        <w:rPr>
          <w:bCs/>
          <w:sz w:val="24"/>
        </w:rPr>
      </w:pPr>
      <w:r>
        <w:rPr>
          <w:rFonts w:hint="eastAsia"/>
          <w:bCs/>
          <w:sz w:val="24"/>
        </w:rPr>
        <w:t>8）按照法律法规和《基金合同》规定不需召开基金份额持有人大会的其他情形。</w:t>
      </w:r>
    </w:p>
    <w:p>
      <w:pPr>
        <w:adjustRightInd w:val="0"/>
        <w:snapToGrid w:val="0"/>
        <w:spacing w:line="360" w:lineRule="auto"/>
        <w:ind w:firstLine="480" w:firstLineChars="200"/>
        <w:outlineLvl w:val="2"/>
        <w:rPr>
          <w:bCs/>
          <w:sz w:val="24"/>
        </w:rPr>
      </w:pPr>
      <w:r>
        <w:rPr>
          <w:rFonts w:hint="eastAsia"/>
          <w:bCs/>
          <w:sz w:val="24"/>
        </w:rPr>
        <w:t>2、会议召集人及召集方式</w:t>
      </w:r>
    </w:p>
    <w:p>
      <w:pPr>
        <w:adjustRightInd w:val="0"/>
        <w:snapToGrid w:val="0"/>
        <w:spacing w:line="360" w:lineRule="auto"/>
        <w:ind w:firstLine="480" w:firstLineChars="200"/>
        <w:rPr>
          <w:bCs/>
          <w:sz w:val="24"/>
        </w:rPr>
      </w:pPr>
      <w:r>
        <w:rPr>
          <w:rFonts w:hint="eastAsia"/>
          <w:bCs/>
          <w:sz w:val="24"/>
        </w:rPr>
        <w:t>（1）除法律法规规定或《基金合同》另有约定外，基金份额持有人大会由基金管理人召集；</w:t>
      </w:r>
    </w:p>
    <w:p>
      <w:pPr>
        <w:adjustRightInd w:val="0"/>
        <w:snapToGrid w:val="0"/>
        <w:spacing w:line="360" w:lineRule="auto"/>
        <w:ind w:firstLine="480" w:firstLineChars="200"/>
        <w:rPr>
          <w:bCs/>
          <w:sz w:val="24"/>
        </w:rPr>
      </w:pPr>
      <w:r>
        <w:rPr>
          <w:rFonts w:hint="eastAsia"/>
          <w:bCs/>
          <w:sz w:val="24"/>
        </w:rPr>
        <w:t>（2）基金管理人未按规定召集或不能召集时，由基金托管人召集；</w:t>
      </w:r>
    </w:p>
    <w:p>
      <w:pPr>
        <w:adjustRightInd w:val="0"/>
        <w:snapToGrid w:val="0"/>
        <w:spacing w:line="360" w:lineRule="auto"/>
        <w:ind w:firstLine="480" w:firstLineChars="200"/>
        <w:rPr>
          <w:bCs/>
          <w:sz w:val="24"/>
        </w:rPr>
      </w:pPr>
      <w:r>
        <w:rPr>
          <w:rFonts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djustRightInd w:val="0"/>
        <w:snapToGrid w:val="0"/>
        <w:spacing w:line="360" w:lineRule="auto"/>
        <w:ind w:firstLine="480" w:firstLineChars="200"/>
        <w:rPr>
          <w:bCs/>
          <w:sz w:val="24"/>
        </w:rPr>
      </w:pPr>
      <w:r>
        <w:rPr>
          <w:rFonts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djustRightInd w:val="0"/>
        <w:snapToGrid w:val="0"/>
        <w:spacing w:line="360" w:lineRule="auto"/>
        <w:ind w:firstLine="480" w:firstLineChars="200"/>
        <w:rPr>
          <w:bCs/>
          <w:sz w:val="24"/>
        </w:rPr>
      </w:pPr>
      <w:r>
        <w:rPr>
          <w:rFonts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adjustRightInd w:val="0"/>
        <w:snapToGrid w:val="0"/>
        <w:spacing w:line="360" w:lineRule="auto"/>
        <w:ind w:firstLine="480" w:firstLineChars="200"/>
        <w:rPr>
          <w:bCs/>
          <w:sz w:val="24"/>
        </w:rPr>
      </w:pPr>
      <w:r>
        <w:rPr>
          <w:rFonts w:hint="eastAsia"/>
          <w:bCs/>
          <w:sz w:val="24"/>
        </w:rPr>
        <w:t>（6）基金份额持有人会议的召集人负责选择确定开会时间、地点、方式和权益登记日。</w:t>
      </w:r>
    </w:p>
    <w:p>
      <w:pPr>
        <w:adjustRightInd w:val="0"/>
        <w:snapToGrid w:val="0"/>
        <w:spacing w:line="360" w:lineRule="auto"/>
        <w:ind w:firstLine="480" w:firstLineChars="200"/>
        <w:outlineLvl w:val="2"/>
        <w:rPr>
          <w:bCs/>
          <w:sz w:val="24"/>
        </w:rPr>
      </w:pPr>
      <w:r>
        <w:rPr>
          <w:rFonts w:hint="eastAsia"/>
          <w:bCs/>
          <w:sz w:val="24"/>
        </w:rPr>
        <w:t>3、召开基金份额持有人大会的通知时间、通知内容、通知方式</w:t>
      </w:r>
    </w:p>
    <w:p>
      <w:pPr>
        <w:adjustRightInd w:val="0"/>
        <w:snapToGrid w:val="0"/>
        <w:spacing w:line="360" w:lineRule="auto"/>
        <w:ind w:firstLine="480" w:firstLineChars="200"/>
        <w:rPr>
          <w:bCs/>
          <w:sz w:val="24"/>
        </w:rPr>
      </w:pPr>
      <w:r>
        <w:rPr>
          <w:rFonts w:hint="eastAsia"/>
          <w:bCs/>
          <w:sz w:val="24"/>
        </w:rPr>
        <w:t>（1）召开基金份额持有人大会，召集人应于会议召开前30日，在规定媒介公告。基金份额持有人大会通知应至少载明以下内容：</w:t>
      </w:r>
    </w:p>
    <w:p>
      <w:pPr>
        <w:adjustRightInd w:val="0"/>
        <w:snapToGrid w:val="0"/>
        <w:spacing w:line="360" w:lineRule="auto"/>
        <w:ind w:firstLine="480" w:firstLineChars="200"/>
        <w:rPr>
          <w:bCs/>
          <w:sz w:val="24"/>
        </w:rPr>
      </w:pPr>
      <w:r>
        <w:rPr>
          <w:rFonts w:hint="eastAsia"/>
          <w:bCs/>
          <w:sz w:val="24"/>
        </w:rPr>
        <w:t>1）会议召开的时间、地点和会议形式；</w:t>
      </w:r>
    </w:p>
    <w:p>
      <w:pPr>
        <w:adjustRightInd w:val="0"/>
        <w:snapToGrid w:val="0"/>
        <w:spacing w:line="360" w:lineRule="auto"/>
        <w:ind w:firstLine="480" w:firstLineChars="200"/>
        <w:rPr>
          <w:bCs/>
          <w:sz w:val="24"/>
        </w:rPr>
      </w:pPr>
      <w:r>
        <w:rPr>
          <w:rFonts w:hint="eastAsia"/>
          <w:bCs/>
          <w:sz w:val="24"/>
        </w:rPr>
        <w:t>2）会议拟审议的事项、议事程序和表决方式；</w:t>
      </w:r>
    </w:p>
    <w:p>
      <w:pPr>
        <w:adjustRightInd w:val="0"/>
        <w:snapToGrid w:val="0"/>
        <w:spacing w:line="360" w:lineRule="auto"/>
        <w:ind w:firstLine="480" w:firstLineChars="200"/>
        <w:rPr>
          <w:bCs/>
          <w:sz w:val="24"/>
        </w:rPr>
      </w:pPr>
      <w:r>
        <w:rPr>
          <w:rFonts w:hint="eastAsia"/>
          <w:bCs/>
          <w:sz w:val="24"/>
        </w:rPr>
        <w:t>3）有权出席基金份额持有人大会的基金份额持有人的权益登记日；</w:t>
      </w:r>
    </w:p>
    <w:p>
      <w:pPr>
        <w:adjustRightInd w:val="0"/>
        <w:snapToGrid w:val="0"/>
        <w:spacing w:line="360" w:lineRule="auto"/>
        <w:ind w:firstLine="480" w:firstLineChars="200"/>
        <w:rPr>
          <w:bCs/>
          <w:sz w:val="24"/>
        </w:rPr>
      </w:pPr>
      <w:r>
        <w:rPr>
          <w:rFonts w:hint="eastAsia"/>
          <w:bCs/>
          <w:sz w:val="24"/>
        </w:rPr>
        <w:t>4）授权委托证明的内容要求（包括但不限于代理人身份，代理权限和代理有效期限等）、送达时间和地点；</w:t>
      </w:r>
    </w:p>
    <w:p>
      <w:pPr>
        <w:adjustRightInd w:val="0"/>
        <w:snapToGrid w:val="0"/>
        <w:spacing w:line="360" w:lineRule="auto"/>
        <w:ind w:firstLine="480" w:firstLineChars="200"/>
        <w:rPr>
          <w:bCs/>
          <w:sz w:val="24"/>
        </w:rPr>
      </w:pPr>
      <w:r>
        <w:rPr>
          <w:rFonts w:hint="eastAsia"/>
          <w:bCs/>
          <w:sz w:val="24"/>
        </w:rPr>
        <w:t>5）会务常设联系人姓名及联系电话；</w:t>
      </w:r>
    </w:p>
    <w:p>
      <w:pPr>
        <w:adjustRightInd w:val="0"/>
        <w:snapToGrid w:val="0"/>
        <w:spacing w:line="360" w:lineRule="auto"/>
        <w:ind w:firstLine="480" w:firstLineChars="200"/>
        <w:rPr>
          <w:bCs/>
          <w:sz w:val="24"/>
        </w:rPr>
      </w:pPr>
      <w:r>
        <w:rPr>
          <w:rFonts w:hint="eastAsia"/>
          <w:bCs/>
          <w:sz w:val="24"/>
        </w:rPr>
        <w:t>6）出席会议者必须准备的文件和必须履行的手续；</w:t>
      </w:r>
    </w:p>
    <w:p>
      <w:pPr>
        <w:adjustRightInd w:val="0"/>
        <w:snapToGrid w:val="0"/>
        <w:spacing w:line="360" w:lineRule="auto"/>
        <w:ind w:firstLine="480" w:firstLineChars="200"/>
        <w:rPr>
          <w:bCs/>
          <w:sz w:val="24"/>
        </w:rPr>
      </w:pPr>
      <w:r>
        <w:rPr>
          <w:rFonts w:hint="eastAsia"/>
          <w:bCs/>
          <w:sz w:val="24"/>
        </w:rPr>
        <w:t>7）召集人需要通知的其他事项。</w:t>
      </w:r>
    </w:p>
    <w:p>
      <w:pPr>
        <w:adjustRightInd w:val="0"/>
        <w:snapToGrid w:val="0"/>
        <w:spacing w:line="360" w:lineRule="auto"/>
        <w:ind w:firstLine="480" w:firstLineChars="200"/>
        <w:rPr>
          <w:bCs/>
          <w:sz w:val="24"/>
        </w:rPr>
      </w:pPr>
      <w:r>
        <w:rPr>
          <w:rFonts w:hint="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djustRightInd w:val="0"/>
        <w:snapToGrid w:val="0"/>
        <w:spacing w:line="360" w:lineRule="auto"/>
        <w:ind w:firstLine="480" w:firstLineChars="200"/>
        <w:rPr>
          <w:bCs/>
          <w:sz w:val="24"/>
        </w:rPr>
      </w:pPr>
      <w:r>
        <w:rPr>
          <w:rFonts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djustRightInd w:val="0"/>
        <w:snapToGrid w:val="0"/>
        <w:spacing w:line="360" w:lineRule="auto"/>
        <w:ind w:firstLine="480" w:firstLineChars="200"/>
        <w:outlineLvl w:val="2"/>
        <w:rPr>
          <w:bCs/>
          <w:sz w:val="24"/>
        </w:rPr>
      </w:pPr>
      <w:r>
        <w:rPr>
          <w:rFonts w:hint="eastAsia"/>
          <w:bCs/>
          <w:sz w:val="24"/>
        </w:rPr>
        <w:t>4、基金份额持有人出席会议的方式</w:t>
      </w:r>
    </w:p>
    <w:p>
      <w:pPr>
        <w:adjustRightInd w:val="0"/>
        <w:snapToGrid w:val="0"/>
        <w:spacing w:line="360" w:lineRule="auto"/>
        <w:ind w:firstLine="480" w:firstLineChars="200"/>
        <w:rPr>
          <w:bCs/>
          <w:sz w:val="24"/>
        </w:rPr>
      </w:pPr>
      <w:r>
        <w:rPr>
          <w:rFonts w:hint="eastAsia"/>
          <w:bCs/>
          <w:sz w:val="24"/>
        </w:rPr>
        <w:t>基金份额持有人大会可通过现场开会方式、通讯开会方式或法律法规、监管机构允许的其他方式召开，会议的召开方式由会议召集人确定。</w:t>
      </w:r>
    </w:p>
    <w:p>
      <w:pPr>
        <w:adjustRightInd w:val="0"/>
        <w:snapToGrid w:val="0"/>
        <w:spacing w:line="360" w:lineRule="auto"/>
        <w:ind w:firstLine="480" w:firstLineChars="200"/>
        <w:rPr>
          <w:bCs/>
          <w:sz w:val="24"/>
        </w:rPr>
      </w:pPr>
      <w:r>
        <w:rPr>
          <w:rFonts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djustRightInd w:val="0"/>
        <w:snapToGrid w:val="0"/>
        <w:spacing w:line="360" w:lineRule="auto"/>
        <w:ind w:firstLine="480" w:firstLineChars="200"/>
        <w:rPr>
          <w:bCs/>
          <w:sz w:val="24"/>
        </w:rPr>
      </w:pPr>
      <w:r>
        <w:rPr>
          <w:rFonts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djustRightInd w:val="0"/>
        <w:snapToGrid w:val="0"/>
        <w:spacing w:line="360" w:lineRule="auto"/>
        <w:ind w:firstLine="480" w:firstLineChars="200"/>
        <w:rPr>
          <w:bCs/>
          <w:sz w:val="24"/>
        </w:rPr>
      </w:pPr>
      <w:r>
        <w:rPr>
          <w:rFonts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djustRightInd w:val="0"/>
        <w:snapToGrid w:val="0"/>
        <w:spacing w:line="360" w:lineRule="auto"/>
        <w:ind w:firstLine="480" w:firstLineChars="200"/>
        <w:rPr>
          <w:bCs/>
          <w:sz w:val="24"/>
        </w:rPr>
      </w:pPr>
      <w:r>
        <w:rPr>
          <w:rFonts w:hint="eastAsia"/>
          <w:bCs/>
          <w:sz w:val="24"/>
        </w:rPr>
        <w:t>（2）通讯开会。通讯开会系指基金份额持有人将其对表决事项的投票以会议通知载明的形式或基金合同约定的其他方式在表决截止日以前送达至召集人指定的地址或系统。</w:t>
      </w:r>
    </w:p>
    <w:p>
      <w:pPr>
        <w:adjustRightInd w:val="0"/>
        <w:snapToGrid w:val="0"/>
        <w:spacing w:line="360" w:lineRule="auto"/>
        <w:ind w:firstLine="480" w:firstLineChars="200"/>
        <w:rPr>
          <w:bCs/>
          <w:sz w:val="24"/>
        </w:rPr>
      </w:pPr>
      <w:r>
        <w:rPr>
          <w:rFonts w:hint="eastAsia"/>
          <w:bCs/>
          <w:sz w:val="24"/>
        </w:rPr>
        <w:t>在同时符合以下条件时，通讯开会的方式视为有效：</w:t>
      </w:r>
    </w:p>
    <w:p>
      <w:pPr>
        <w:adjustRightInd w:val="0"/>
        <w:snapToGrid w:val="0"/>
        <w:spacing w:line="360" w:lineRule="auto"/>
        <w:ind w:firstLine="480" w:firstLineChars="200"/>
        <w:rPr>
          <w:bCs/>
          <w:sz w:val="24"/>
        </w:rPr>
      </w:pPr>
      <w:r>
        <w:rPr>
          <w:rFonts w:hint="eastAsia"/>
          <w:bCs/>
          <w:sz w:val="24"/>
        </w:rPr>
        <w:t>1）会议召集人按《基金合同》约定公布会议通知后，在2个工作日内连续公布相关提示性公告；</w:t>
      </w:r>
    </w:p>
    <w:p>
      <w:pPr>
        <w:adjustRightInd w:val="0"/>
        <w:snapToGrid w:val="0"/>
        <w:spacing w:line="360" w:lineRule="auto"/>
        <w:ind w:firstLine="480" w:firstLineChars="200"/>
        <w:rPr>
          <w:bCs/>
          <w:sz w:val="24"/>
        </w:rPr>
      </w:pPr>
      <w:r>
        <w:rPr>
          <w:rFonts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djustRightInd w:val="0"/>
        <w:snapToGrid w:val="0"/>
        <w:spacing w:line="360" w:lineRule="auto"/>
        <w:ind w:firstLine="480" w:firstLineChars="200"/>
        <w:rPr>
          <w:bCs/>
          <w:sz w:val="24"/>
        </w:rPr>
      </w:pPr>
      <w:r>
        <w:rPr>
          <w:rFonts w:hint="eastAsia"/>
          <w:bCs/>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adjustRightInd w:val="0"/>
        <w:snapToGrid w:val="0"/>
        <w:spacing w:line="360" w:lineRule="auto"/>
        <w:ind w:firstLine="480" w:firstLineChars="200"/>
        <w:rPr>
          <w:bCs/>
          <w:sz w:val="24"/>
        </w:rPr>
      </w:pPr>
      <w:r>
        <w:rPr>
          <w:rFonts w:hint="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adjustRightInd w:val="0"/>
        <w:snapToGrid w:val="0"/>
        <w:spacing w:line="360" w:lineRule="auto"/>
        <w:ind w:firstLine="480" w:firstLineChars="200"/>
        <w:rPr>
          <w:bCs/>
          <w:sz w:val="24"/>
        </w:rPr>
      </w:pPr>
      <w:r>
        <w:rPr>
          <w:rFonts w:hint="eastAsia"/>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adjustRightInd w:val="0"/>
        <w:snapToGrid w:val="0"/>
        <w:spacing w:line="360" w:lineRule="auto"/>
        <w:ind w:firstLine="480" w:firstLineChars="200"/>
        <w:outlineLvl w:val="2"/>
        <w:rPr>
          <w:bCs/>
          <w:sz w:val="24"/>
        </w:rPr>
      </w:pPr>
      <w:r>
        <w:rPr>
          <w:rFonts w:hint="eastAsia"/>
          <w:bCs/>
          <w:sz w:val="24"/>
        </w:rPr>
        <w:t>5、议事内容与程序</w:t>
      </w:r>
    </w:p>
    <w:p>
      <w:pPr>
        <w:adjustRightInd w:val="0"/>
        <w:snapToGrid w:val="0"/>
        <w:spacing w:line="360" w:lineRule="auto"/>
        <w:ind w:firstLine="480" w:firstLineChars="200"/>
        <w:rPr>
          <w:bCs/>
          <w:sz w:val="24"/>
        </w:rPr>
      </w:pPr>
      <w:r>
        <w:rPr>
          <w:rFonts w:hint="eastAsia"/>
          <w:bCs/>
          <w:sz w:val="24"/>
        </w:rPr>
        <w:t>（1）议事内容及提案权</w:t>
      </w:r>
    </w:p>
    <w:p>
      <w:pPr>
        <w:adjustRightInd w:val="0"/>
        <w:snapToGrid w:val="0"/>
        <w:spacing w:line="360" w:lineRule="auto"/>
        <w:ind w:firstLine="480" w:firstLineChars="20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adjustRightInd w:val="0"/>
        <w:snapToGrid w:val="0"/>
        <w:spacing w:line="360" w:lineRule="auto"/>
        <w:ind w:firstLine="480" w:firstLineChars="200"/>
        <w:rPr>
          <w:bCs/>
          <w:sz w:val="24"/>
        </w:rPr>
      </w:pPr>
      <w:r>
        <w:rPr>
          <w:rFonts w:hint="eastAsia"/>
          <w:bCs/>
          <w:sz w:val="24"/>
        </w:rPr>
        <w:t>基金份额持有人大会的召集人发出召集会议的通知后，对原有提案的修改应当在基金份额持有人大会召开前及时公告。</w:t>
      </w:r>
    </w:p>
    <w:p>
      <w:pPr>
        <w:adjustRightInd w:val="0"/>
        <w:snapToGrid w:val="0"/>
        <w:spacing w:line="360" w:lineRule="auto"/>
        <w:ind w:firstLine="480" w:firstLineChars="200"/>
        <w:rPr>
          <w:bCs/>
          <w:sz w:val="24"/>
        </w:rPr>
      </w:pPr>
      <w:r>
        <w:rPr>
          <w:rFonts w:hint="eastAsia"/>
          <w:bCs/>
          <w:sz w:val="24"/>
        </w:rPr>
        <w:t>基金份额持有人大会不得对未事先公告的议事内容进行表决。</w:t>
      </w:r>
    </w:p>
    <w:p>
      <w:pPr>
        <w:adjustRightInd w:val="0"/>
        <w:snapToGrid w:val="0"/>
        <w:spacing w:line="360" w:lineRule="auto"/>
        <w:ind w:firstLine="480" w:firstLineChars="200"/>
        <w:rPr>
          <w:bCs/>
          <w:sz w:val="24"/>
        </w:rPr>
      </w:pPr>
      <w:r>
        <w:rPr>
          <w:rFonts w:hint="eastAsia"/>
          <w:bCs/>
          <w:sz w:val="24"/>
        </w:rPr>
        <w:t>（2）议事程序</w:t>
      </w:r>
    </w:p>
    <w:p>
      <w:pPr>
        <w:adjustRightInd w:val="0"/>
        <w:snapToGrid w:val="0"/>
        <w:spacing w:line="360" w:lineRule="auto"/>
        <w:ind w:firstLine="480" w:firstLineChars="200"/>
        <w:rPr>
          <w:bCs/>
          <w:sz w:val="24"/>
        </w:rPr>
      </w:pPr>
      <w:r>
        <w:rPr>
          <w:rFonts w:hint="eastAsia"/>
          <w:bCs/>
          <w:sz w:val="24"/>
        </w:rPr>
        <w:t>1）现场开会</w:t>
      </w:r>
    </w:p>
    <w:p>
      <w:pPr>
        <w:adjustRightInd w:val="0"/>
        <w:snapToGrid w:val="0"/>
        <w:spacing w:line="360" w:lineRule="auto"/>
        <w:ind w:firstLine="480" w:firstLineChars="200"/>
        <w:rPr>
          <w:bCs/>
          <w:sz w:val="24"/>
        </w:rPr>
      </w:pPr>
      <w:r>
        <w:rPr>
          <w:rFonts w:hint="eastAsia"/>
          <w:bCs/>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pPr>
        <w:adjustRightInd w:val="0"/>
        <w:snapToGrid w:val="0"/>
        <w:spacing w:line="360" w:lineRule="auto"/>
        <w:ind w:firstLine="480" w:firstLineChars="20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pPr>
        <w:adjustRightInd w:val="0"/>
        <w:snapToGrid w:val="0"/>
        <w:spacing w:line="360" w:lineRule="auto"/>
        <w:ind w:firstLine="480" w:firstLineChars="200"/>
        <w:rPr>
          <w:bCs/>
          <w:sz w:val="24"/>
        </w:rPr>
      </w:pPr>
      <w:r>
        <w:rPr>
          <w:rFonts w:hint="eastAsia"/>
          <w:bCs/>
          <w:sz w:val="24"/>
        </w:rPr>
        <w:t>2）通讯开会</w:t>
      </w:r>
    </w:p>
    <w:p>
      <w:pPr>
        <w:adjustRightInd w:val="0"/>
        <w:snapToGrid w:val="0"/>
        <w:spacing w:line="360" w:lineRule="auto"/>
        <w:ind w:firstLine="480" w:firstLineChars="200"/>
        <w:rPr>
          <w:bCs/>
          <w:sz w:val="24"/>
        </w:rPr>
      </w:pPr>
      <w:r>
        <w:rPr>
          <w:rFonts w:hint="eastAsia"/>
          <w:bCs/>
          <w:sz w:val="24"/>
        </w:rPr>
        <w:t>在通讯开会的情况下，首先由召集人提前30日公布提案，在所通知的表决截止日期后2个工作日内在公证机关监督下由召集人统计全部有效表决，在公证机关监督下形成决议。</w:t>
      </w:r>
    </w:p>
    <w:p>
      <w:pPr>
        <w:adjustRightInd w:val="0"/>
        <w:snapToGrid w:val="0"/>
        <w:spacing w:line="360" w:lineRule="auto"/>
        <w:ind w:firstLine="480" w:firstLineChars="200"/>
        <w:outlineLvl w:val="2"/>
        <w:rPr>
          <w:bCs/>
          <w:sz w:val="24"/>
        </w:rPr>
      </w:pPr>
      <w:r>
        <w:rPr>
          <w:rFonts w:hint="eastAsia"/>
          <w:bCs/>
          <w:sz w:val="24"/>
        </w:rPr>
        <w:t>6、表决</w:t>
      </w:r>
    </w:p>
    <w:p>
      <w:pPr>
        <w:adjustRightInd w:val="0"/>
        <w:snapToGrid w:val="0"/>
        <w:spacing w:line="360" w:lineRule="auto"/>
        <w:ind w:firstLine="480" w:firstLineChars="200"/>
        <w:rPr>
          <w:bCs/>
          <w:sz w:val="24"/>
        </w:rPr>
      </w:pPr>
      <w:r>
        <w:rPr>
          <w:rFonts w:hint="eastAsia"/>
          <w:bCs/>
          <w:sz w:val="24"/>
        </w:rPr>
        <w:t>基金份额持有人所持每份基金份额有一票表决权。</w:t>
      </w:r>
    </w:p>
    <w:p>
      <w:pPr>
        <w:adjustRightInd w:val="0"/>
        <w:snapToGrid w:val="0"/>
        <w:spacing w:line="360" w:lineRule="auto"/>
        <w:ind w:firstLine="480" w:firstLineChars="200"/>
        <w:rPr>
          <w:bCs/>
          <w:sz w:val="24"/>
        </w:rPr>
      </w:pPr>
      <w:r>
        <w:rPr>
          <w:rFonts w:hint="eastAsia"/>
          <w:bCs/>
          <w:sz w:val="24"/>
        </w:rPr>
        <w:t>基金份额持有人大会决议分为一般决议和特别决议：</w:t>
      </w:r>
    </w:p>
    <w:p>
      <w:pPr>
        <w:adjustRightInd w:val="0"/>
        <w:snapToGrid w:val="0"/>
        <w:spacing w:line="360" w:lineRule="auto"/>
        <w:ind w:firstLine="480" w:firstLineChars="200"/>
        <w:rPr>
          <w:bCs/>
          <w:sz w:val="24"/>
        </w:rPr>
      </w:pPr>
      <w:r>
        <w:rPr>
          <w:rFonts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djustRightInd w:val="0"/>
        <w:snapToGrid w:val="0"/>
        <w:spacing w:line="360" w:lineRule="auto"/>
        <w:ind w:firstLine="480" w:firstLineChars="200"/>
        <w:rPr>
          <w:bCs/>
          <w:sz w:val="24"/>
        </w:rPr>
      </w:pPr>
      <w:r>
        <w:rPr>
          <w:rFonts w:hint="eastAsia"/>
          <w:bCs/>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adjustRightInd w:val="0"/>
        <w:snapToGrid w:val="0"/>
        <w:spacing w:line="360" w:lineRule="auto"/>
        <w:ind w:firstLine="480" w:firstLineChars="200"/>
        <w:rPr>
          <w:bCs/>
          <w:sz w:val="24"/>
        </w:rPr>
      </w:pPr>
      <w:r>
        <w:rPr>
          <w:rFonts w:hint="eastAsia"/>
          <w:bCs/>
          <w:sz w:val="24"/>
        </w:rPr>
        <w:t>基金份额持有人大会采取记名方式进行投票表决。</w:t>
      </w:r>
    </w:p>
    <w:p>
      <w:pPr>
        <w:adjustRightInd w:val="0"/>
        <w:snapToGrid w:val="0"/>
        <w:spacing w:line="360" w:lineRule="auto"/>
        <w:ind w:firstLine="480" w:firstLineChars="20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adjustRightInd w:val="0"/>
        <w:snapToGrid w:val="0"/>
        <w:spacing w:line="360" w:lineRule="auto"/>
        <w:ind w:firstLine="480" w:firstLineChars="200"/>
        <w:rPr>
          <w:bCs/>
          <w:sz w:val="24"/>
        </w:rPr>
      </w:pPr>
      <w:r>
        <w:rPr>
          <w:rFonts w:hint="eastAsia"/>
          <w:bCs/>
          <w:sz w:val="24"/>
        </w:rPr>
        <w:t>基金份额持有人大会的各项提案或同一项提案内并列的各项议题应当分开审议、逐项表决。</w:t>
      </w:r>
    </w:p>
    <w:p>
      <w:pPr>
        <w:adjustRightInd w:val="0"/>
        <w:snapToGrid w:val="0"/>
        <w:spacing w:line="360" w:lineRule="auto"/>
        <w:ind w:firstLine="480" w:firstLineChars="200"/>
        <w:outlineLvl w:val="2"/>
        <w:rPr>
          <w:bCs/>
          <w:sz w:val="24"/>
        </w:rPr>
      </w:pPr>
      <w:r>
        <w:rPr>
          <w:rFonts w:hint="eastAsia"/>
          <w:bCs/>
          <w:sz w:val="24"/>
        </w:rPr>
        <w:t>7、计票</w:t>
      </w:r>
    </w:p>
    <w:p>
      <w:pPr>
        <w:adjustRightInd w:val="0"/>
        <w:snapToGrid w:val="0"/>
        <w:spacing w:line="360" w:lineRule="auto"/>
        <w:ind w:firstLine="480" w:firstLineChars="200"/>
        <w:rPr>
          <w:bCs/>
          <w:sz w:val="24"/>
        </w:rPr>
      </w:pPr>
      <w:r>
        <w:rPr>
          <w:rFonts w:hint="eastAsia"/>
          <w:bCs/>
          <w:sz w:val="24"/>
        </w:rPr>
        <w:t>（1）现场开会</w:t>
      </w:r>
    </w:p>
    <w:p>
      <w:pPr>
        <w:adjustRightInd w:val="0"/>
        <w:snapToGrid w:val="0"/>
        <w:spacing w:line="360" w:lineRule="auto"/>
        <w:ind w:firstLine="480" w:firstLineChars="200"/>
        <w:rPr>
          <w:bCs/>
          <w:sz w:val="24"/>
        </w:rPr>
      </w:pPr>
      <w:r>
        <w:rPr>
          <w:rFonts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adjustRightInd w:val="0"/>
        <w:snapToGrid w:val="0"/>
        <w:spacing w:line="360" w:lineRule="auto"/>
        <w:ind w:firstLine="480" w:firstLineChars="200"/>
        <w:rPr>
          <w:bCs/>
          <w:sz w:val="24"/>
        </w:rPr>
      </w:pPr>
      <w:r>
        <w:rPr>
          <w:rFonts w:hint="eastAsia"/>
          <w:bCs/>
          <w:sz w:val="24"/>
        </w:rPr>
        <w:t>2）监票人应当在基金份额持有人表决后立即进行清点并由大会主持人当场公布计票结果。</w:t>
      </w:r>
    </w:p>
    <w:p>
      <w:pPr>
        <w:adjustRightInd w:val="0"/>
        <w:snapToGrid w:val="0"/>
        <w:spacing w:line="360" w:lineRule="auto"/>
        <w:ind w:firstLine="480" w:firstLineChars="200"/>
        <w:rPr>
          <w:bCs/>
          <w:sz w:val="24"/>
        </w:rPr>
      </w:pPr>
      <w:r>
        <w:rPr>
          <w:rFonts w:hint="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djustRightInd w:val="0"/>
        <w:snapToGrid w:val="0"/>
        <w:spacing w:line="360" w:lineRule="auto"/>
        <w:ind w:firstLine="480" w:firstLineChars="200"/>
        <w:rPr>
          <w:bCs/>
          <w:sz w:val="24"/>
        </w:rPr>
      </w:pPr>
      <w:r>
        <w:rPr>
          <w:rFonts w:hint="eastAsia"/>
          <w:bCs/>
          <w:sz w:val="24"/>
        </w:rPr>
        <w:t>4）计票过程应由公证机关予以公证，基金管理人或基金托管人拒不出席大会的，不影响计票的效力。</w:t>
      </w:r>
    </w:p>
    <w:p>
      <w:pPr>
        <w:adjustRightInd w:val="0"/>
        <w:snapToGrid w:val="0"/>
        <w:spacing w:line="360" w:lineRule="auto"/>
        <w:ind w:firstLine="480" w:firstLineChars="200"/>
        <w:rPr>
          <w:bCs/>
          <w:sz w:val="24"/>
        </w:rPr>
      </w:pPr>
      <w:r>
        <w:rPr>
          <w:rFonts w:hint="eastAsia"/>
          <w:bCs/>
          <w:sz w:val="24"/>
        </w:rPr>
        <w:t>（2）通讯开会</w:t>
      </w:r>
    </w:p>
    <w:p>
      <w:pPr>
        <w:adjustRightInd w:val="0"/>
        <w:snapToGrid w:val="0"/>
        <w:spacing w:line="360" w:lineRule="auto"/>
        <w:ind w:firstLine="480" w:firstLineChars="20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adjustRightInd w:val="0"/>
        <w:snapToGrid w:val="0"/>
        <w:spacing w:line="360" w:lineRule="auto"/>
        <w:ind w:firstLine="480" w:firstLineChars="200"/>
        <w:outlineLvl w:val="2"/>
        <w:rPr>
          <w:bCs/>
          <w:sz w:val="24"/>
        </w:rPr>
      </w:pPr>
      <w:r>
        <w:rPr>
          <w:rFonts w:hint="eastAsia"/>
          <w:bCs/>
          <w:sz w:val="24"/>
        </w:rPr>
        <w:t>8、生效与公告</w:t>
      </w:r>
    </w:p>
    <w:p>
      <w:pPr>
        <w:adjustRightInd w:val="0"/>
        <w:snapToGrid w:val="0"/>
        <w:spacing w:line="360" w:lineRule="auto"/>
        <w:ind w:firstLine="480" w:firstLineChars="200"/>
        <w:rPr>
          <w:bCs/>
          <w:sz w:val="24"/>
        </w:rPr>
      </w:pPr>
      <w:r>
        <w:rPr>
          <w:rFonts w:hint="eastAsia"/>
          <w:bCs/>
          <w:sz w:val="24"/>
        </w:rPr>
        <w:t>基金份额持有人大会的决议，召集人应当自通过之日起5日内报中国证监会备案。</w:t>
      </w:r>
    </w:p>
    <w:p>
      <w:pPr>
        <w:adjustRightInd w:val="0"/>
        <w:snapToGrid w:val="0"/>
        <w:spacing w:line="360" w:lineRule="auto"/>
        <w:ind w:firstLine="480" w:firstLineChars="200"/>
        <w:rPr>
          <w:bCs/>
          <w:sz w:val="24"/>
        </w:rPr>
      </w:pPr>
      <w:r>
        <w:rPr>
          <w:rFonts w:hint="eastAsia"/>
          <w:bCs/>
          <w:sz w:val="24"/>
        </w:rPr>
        <w:t>基金份额持有人大会的决议自表决通过之日起生效。法律法规另有规定的，从其规定。</w:t>
      </w:r>
    </w:p>
    <w:p>
      <w:pPr>
        <w:adjustRightInd w:val="0"/>
        <w:snapToGrid w:val="0"/>
        <w:spacing w:line="360" w:lineRule="auto"/>
        <w:ind w:firstLine="480" w:firstLineChars="20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adjustRightInd w:val="0"/>
        <w:snapToGrid w:val="0"/>
        <w:spacing w:line="360" w:lineRule="auto"/>
        <w:ind w:firstLine="480" w:firstLineChars="20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pPr>
        <w:adjustRightInd w:val="0"/>
        <w:snapToGrid w:val="0"/>
        <w:spacing w:line="360" w:lineRule="auto"/>
        <w:ind w:firstLine="480" w:firstLineChars="200"/>
        <w:outlineLvl w:val="2"/>
        <w:rPr>
          <w:bCs/>
          <w:sz w:val="24"/>
        </w:rPr>
      </w:pPr>
      <w:r>
        <w:rPr>
          <w:rFonts w:hint="eastAsia"/>
          <w:bCs/>
          <w:sz w:val="24"/>
        </w:rPr>
        <w:t>9、实施侧袋机制期间基金份额持有人大会的特殊约定</w:t>
      </w:r>
    </w:p>
    <w:p>
      <w:pPr>
        <w:adjustRightInd w:val="0"/>
        <w:snapToGrid w:val="0"/>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adjustRightInd w:val="0"/>
        <w:snapToGrid w:val="0"/>
        <w:spacing w:line="360" w:lineRule="auto"/>
        <w:ind w:firstLine="480" w:firstLineChars="200"/>
        <w:rPr>
          <w:bCs/>
          <w:sz w:val="24"/>
        </w:rPr>
      </w:pPr>
      <w:r>
        <w:rPr>
          <w:rFonts w:hint="eastAsia"/>
          <w:bCs/>
          <w:sz w:val="24"/>
        </w:rPr>
        <w:t>（1）基金份额持有人行使提议权、召集权、提名权所需单独或合计代表相关基金份额10%以上（含10%）；</w:t>
      </w:r>
    </w:p>
    <w:p>
      <w:pPr>
        <w:adjustRightInd w:val="0"/>
        <w:snapToGrid w:val="0"/>
        <w:spacing w:line="360" w:lineRule="auto"/>
        <w:ind w:firstLine="480" w:firstLineChars="200"/>
        <w:rPr>
          <w:bCs/>
          <w:sz w:val="24"/>
        </w:rPr>
      </w:pPr>
      <w:r>
        <w:rPr>
          <w:rFonts w:hint="eastAsia"/>
          <w:bCs/>
          <w:sz w:val="24"/>
        </w:rPr>
        <w:t>（2）现场开会的到会者在权益登记日代表的基金份额不少于本基金在权益登记日相关基金份额的二分之一（含二分之一）；</w:t>
      </w:r>
    </w:p>
    <w:p>
      <w:pPr>
        <w:adjustRightInd w:val="0"/>
        <w:snapToGrid w:val="0"/>
        <w:spacing w:line="360" w:lineRule="auto"/>
        <w:ind w:firstLine="480" w:firstLineChars="200"/>
        <w:rPr>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adjustRightInd w:val="0"/>
        <w:snapToGrid w:val="0"/>
        <w:spacing w:line="360" w:lineRule="auto"/>
        <w:ind w:firstLine="480" w:firstLineChars="200"/>
        <w:rPr>
          <w:bCs/>
          <w:sz w:val="24"/>
        </w:rPr>
      </w:pPr>
      <w:r>
        <w:rPr>
          <w:rFonts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adjustRightInd w:val="0"/>
        <w:snapToGrid w:val="0"/>
        <w:spacing w:line="360" w:lineRule="auto"/>
        <w:ind w:firstLine="480" w:firstLineChars="200"/>
        <w:rPr>
          <w:bCs/>
          <w:sz w:val="24"/>
        </w:rPr>
      </w:pPr>
      <w:r>
        <w:rPr>
          <w:rFonts w:hint="eastAsia"/>
          <w:bCs/>
          <w:sz w:val="24"/>
        </w:rPr>
        <w:t>（5）现场开会由出席大会的基金份额持有人和代理人所持表决权的50%以上（含50%）选举产生一名基金份额持有人或代理人作为该次基金份额持有人大会的主持人；</w:t>
      </w:r>
    </w:p>
    <w:p>
      <w:pPr>
        <w:adjustRightInd w:val="0"/>
        <w:snapToGrid w:val="0"/>
        <w:spacing w:line="360" w:lineRule="auto"/>
        <w:ind w:firstLine="480" w:firstLineChars="200"/>
        <w:rPr>
          <w:bCs/>
          <w:sz w:val="24"/>
        </w:rPr>
      </w:pPr>
      <w:r>
        <w:rPr>
          <w:rFonts w:hint="eastAsia"/>
          <w:bCs/>
          <w:sz w:val="24"/>
        </w:rPr>
        <w:t>（6）一般决议须经参加大会的基金份额持有人或其代理人所持表决权的二分之一以上（含二分之一）通过；</w:t>
      </w:r>
    </w:p>
    <w:p>
      <w:pPr>
        <w:adjustRightInd w:val="0"/>
        <w:snapToGrid w:val="0"/>
        <w:spacing w:line="360" w:lineRule="auto"/>
        <w:ind w:firstLine="480" w:firstLineChars="200"/>
        <w:rPr>
          <w:bCs/>
          <w:sz w:val="24"/>
        </w:rPr>
      </w:pPr>
      <w:r>
        <w:rPr>
          <w:rFonts w:hint="eastAsia"/>
          <w:bCs/>
          <w:sz w:val="24"/>
        </w:rPr>
        <w:t>（7）特别决议应当经参加大会的基金份额持有人或其代理人所持表决权的三分之二以上（含三分之二）通过。</w:t>
      </w:r>
    </w:p>
    <w:p>
      <w:pPr>
        <w:adjustRightInd w:val="0"/>
        <w:snapToGrid w:val="0"/>
        <w:spacing w:line="360" w:lineRule="auto"/>
        <w:ind w:firstLine="480" w:firstLineChars="200"/>
        <w:rPr>
          <w:bCs/>
          <w:sz w:val="24"/>
        </w:rPr>
      </w:pPr>
      <w:r>
        <w:rPr>
          <w:rFonts w:hint="eastAsia"/>
          <w:bCs/>
          <w:sz w:val="24"/>
        </w:rPr>
        <w:t>同一主侧袋账户内的每份基金份额具有平等的表决权。</w:t>
      </w:r>
    </w:p>
    <w:p>
      <w:pPr>
        <w:adjustRightInd w:val="0"/>
        <w:snapToGrid w:val="0"/>
        <w:spacing w:line="360" w:lineRule="auto"/>
        <w:ind w:firstLine="480" w:firstLineChars="200"/>
        <w:rPr>
          <w:bCs/>
          <w:sz w:val="24"/>
        </w:rPr>
      </w:pPr>
      <w:r>
        <w:rPr>
          <w:rFonts w:hint="eastAsia"/>
          <w:bCs/>
          <w:sz w:val="24"/>
        </w:rPr>
        <w:t>1</w:t>
      </w:r>
      <w:r>
        <w:rPr>
          <w:bCs/>
          <w:sz w:val="24"/>
        </w:rPr>
        <w:t>0</w:t>
      </w:r>
      <w:r>
        <w:rPr>
          <w:rFonts w:hint="eastAsia"/>
          <w:bCs/>
          <w:sz w:val="24"/>
        </w:rPr>
        <w:t>、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pPr>
        <w:adjustRightInd w:val="0"/>
        <w:snapToGrid w:val="0"/>
        <w:spacing w:line="360" w:lineRule="auto"/>
        <w:ind w:firstLine="482"/>
        <w:outlineLvl w:val="1"/>
        <w:rPr>
          <w:b/>
          <w:bCs/>
          <w:sz w:val="24"/>
        </w:rPr>
      </w:pPr>
      <w:r>
        <w:rPr>
          <w:rFonts w:hint="eastAsia"/>
          <w:b/>
          <w:bCs/>
          <w:sz w:val="24"/>
        </w:rPr>
        <w:t>（三）基金合同解除和终止的事由、程序</w:t>
      </w:r>
    </w:p>
    <w:p>
      <w:pPr>
        <w:adjustRightInd w:val="0"/>
        <w:snapToGrid w:val="0"/>
        <w:spacing w:line="360" w:lineRule="auto"/>
        <w:ind w:firstLine="480" w:firstLineChars="200"/>
        <w:outlineLvl w:val="2"/>
        <w:rPr>
          <w:bCs/>
          <w:sz w:val="24"/>
        </w:rPr>
      </w:pPr>
      <w:r>
        <w:rPr>
          <w:bCs/>
          <w:sz w:val="24"/>
        </w:rPr>
        <w:t>1、《基金合同》的变更</w:t>
      </w:r>
    </w:p>
    <w:p>
      <w:pPr>
        <w:adjustRightInd w:val="0"/>
        <w:snapToGrid w:val="0"/>
        <w:spacing w:line="360" w:lineRule="auto"/>
        <w:ind w:firstLine="480" w:firstLineChars="200"/>
        <w:rPr>
          <w:bCs/>
          <w:sz w:val="24"/>
        </w:rPr>
      </w:pPr>
      <w:r>
        <w:rPr>
          <w:rFonts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按规定报中国证监会备案。</w:t>
      </w:r>
    </w:p>
    <w:p>
      <w:pPr>
        <w:adjustRightInd w:val="0"/>
        <w:snapToGrid w:val="0"/>
        <w:spacing w:line="360" w:lineRule="auto"/>
        <w:ind w:firstLine="480" w:firstLineChars="200"/>
        <w:rPr>
          <w:bCs/>
          <w:sz w:val="24"/>
        </w:rPr>
      </w:pPr>
      <w:r>
        <w:rPr>
          <w:rFonts w:hint="eastAsia"/>
          <w:bCs/>
          <w:sz w:val="24"/>
        </w:rPr>
        <w:t>（2）关于《基金合同》变更的基金份额持有人大会决议自生效后方可执行，自决议生效后依照《信息披露办法》的规定在规定媒介公告。</w:t>
      </w:r>
    </w:p>
    <w:p>
      <w:pPr>
        <w:adjustRightInd w:val="0"/>
        <w:snapToGrid w:val="0"/>
        <w:spacing w:line="360" w:lineRule="auto"/>
        <w:ind w:firstLine="480" w:firstLineChars="200"/>
        <w:outlineLvl w:val="2"/>
        <w:rPr>
          <w:bCs/>
          <w:sz w:val="24"/>
        </w:rPr>
      </w:pPr>
      <w:r>
        <w:rPr>
          <w:bCs/>
          <w:sz w:val="24"/>
        </w:rPr>
        <w:t>2、《基金合同》的终止事由</w:t>
      </w:r>
    </w:p>
    <w:p>
      <w:pPr>
        <w:adjustRightInd w:val="0"/>
        <w:snapToGrid w:val="0"/>
        <w:spacing w:line="360" w:lineRule="auto"/>
        <w:ind w:firstLine="480" w:firstLineChars="200"/>
        <w:rPr>
          <w:bCs/>
          <w:sz w:val="24"/>
        </w:rPr>
      </w:pPr>
      <w:r>
        <w:rPr>
          <w:rFonts w:hint="eastAsia"/>
          <w:bCs/>
          <w:sz w:val="24"/>
        </w:rPr>
        <w:t>有下列情形之一的，经履行相关程序后，《基金合同》应当终止：</w:t>
      </w:r>
    </w:p>
    <w:p>
      <w:pPr>
        <w:adjustRightInd w:val="0"/>
        <w:snapToGrid w:val="0"/>
        <w:spacing w:line="360" w:lineRule="auto"/>
        <w:ind w:firstLine="480" w:firstLineChars="200"/>
        <w:rPr>
          <w:bCs/>
          <w:sz w:val="24"/>
        </w:rPr>
      </w:pPr>
      <w:r>
        <w:rPr>
          <w:rFonts w:hint="eastAsia"/>
          <w:bCs/>
          <w:sz w:val="24"/>
        </w:rPr>
        <w:t>（1）基金份额持有人大会决定终止的；</w:t>
      </w:r>
    </w:p>
    <w:p>
      <w:pPr>
        <w:adjustRightInd w:val="0"/>
        <w:snapToGrid w:val="0"/>
        <w:spacing w:line="360" w:lineRule="auto"/>
        <w:ind w:firstLine="480" w:firstLineChars="200"/>
        <w:rPr>
          <w:bCs/>
          <w:sz w:val="24"/>
        </w:rPr>
      </w:pPr>
      <w:r>
        <w:rPr>
          <w:rFonts w:hint="eastAsia"/>
          <w:bCs/>
          <w:sz w:val="24"/>
        </w:rPr>
        <w:t>（2）基金管理人、基金托管人职责终止，在6个月内没有新基金管理人、新基金托管人承接的；</w:t>
      </w:r>
    </w:p>
    <w:p>
      <w:pPr>
        <w:adjustRightInd w:val="0"/>
        <w:snapToGrid w:val="0"/>
        <w:spacing w:line="360" w:lineRule="auto"/>
        <w:ind w:firstLine="480" w:firstLineChars="200"/>
        <w:rPr>
          <w:bCs/>
          <w:sz w:val="24"/>
        </w:rPr>
      </w:pPr>
      <w:r>
        <w:rPr>
          <w:rFonts w:hint="eastAsia"/>
          <w:bCs/>
          <w:sz w:val="24"/>
        </w:rPr>
        <w:t>（3）连续50个工作日出现基金份额持有人数量不满200人或者基金资产净值低于5000万元情形的，基金合同终止，不需召开基金份额持有人大会；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bCs/>
          <w:sz w:val="24"/>
        </w:rPr>
      </w:pPr>
      <w:r>
        <w:rPr>
          <w:rFonts w:hint="eastAsia"/>
          <w:bCs/>
          <w:sz w:val="24"/>
        </w:rPr>
        <w:t>（4）《基金合同》约定的其他情形；</w:t>
      </w:r>
    </w:p>
    <w:p>
      <w:pPr>
        <w:adjustRightInd w:val="0"/>
        <w:snapToGrid w:val="0"/>
        <w:spacing w:line="360" w:lineRule="auto"/>
        <w:ind w:firstLine="480" w:firstLineChars="200"/>
        <w:rPr>
          <w:bCs/>
          <w:sz w:val="24"/>
        </w:rPr>
      </w:pPr>
      <w:r>
        <w:rPr>
          <w:rFonts w:hint="eastAsia"/>
          <w:bCs/>
          <w:sz w:val="24"/>
        </w:rPr>
        <w:t>（5）相关法律法规和中国证监会规定的其他情况。</w:t>
      </w:r>
    </w:p>
    <w:p>
      <w:pPr>
        <w:adjustRightInd w:val="0"/>
        <w:snapToGrid w:val="0"/>
        <w:spacing w:line="360" w:lineRule="auto"/>
        <w:ind w:firstLine="480" w:firstLineChars="200"/>
        <w:outlineLvl w:val="2"/>
        <w:rPr>
          <w:bCs/>
          <w:sz w:val="24"/>
        </w:rPr>
      </w:pPr>
      <w:r>
        <w:rPr>
          <w:rFonts w:hint="eastAsia"/>
          <w:bCs/>
          <w:sz w:val="24"/>
        </w:rPr>
        <w:t>3</w:t>
      </w:r>
      <w:r>
        <w:rPr>
          <w:bCs/>
          <w:sz w:val="24"/>
        </w:rPr>
        <w:t>、基金财产的清算</w:t>
      </w:r>
    </w:p>
    <w:p>
      <w:pPr>
        <w:adjustRightInd w:val="0"/>
        <w:snapToGrid w:val="0"/>
        <w:spacing w:line="360" w:lineRule="auto"/>
        <w:ind w:firstLine="480" w:firstLineChars="200"/>
        <w:rPr>
          <w:bCs/>
          <w:sz w:val="24"/>
        </w:rPr>
      </w:pPr>
      <w:r>
        <w:rPr>
          <w:rFonts w:hint="eastAsia"/>
          <w:bCs/>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bCs/>
          <w:sz w:val="24"/>
        </w:rPr>
      </w:pPr>
      <w:r>
        <w:rPr>
          <w:rFonts w:hint="eastAsia"/>
          <w:bCs/>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djustRightInd w:val="0"/>
        <w:snapToGrid w:val="0"/>
        <w:spacing w:line="360" w:lineRule="auto"/>
        <w:ind w:firstLine="480" w:firstLineChars="200"/>
        <w:rPr>
          <w:bCs/>
          <w:sz w:val="24"/>
        </w:rPr>
      </w:pPr>
      <w:r>
        <w:rPr>
          <w:rFonts w:hint="eastAsia"/>
          <w:bCs/>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bCs/>
          <w:sz w:val="24"/>
        </w:rPr>
      </w:pPr>
      <w:r>
        <w:rPr>
          <w:rFonts w:hint="eastAsia"/>
          <w:bCs/>
          <w:sz w:val="24"/>
        </w:rPr>
        <w:t>（4）基金财产清算程序：</w:t>
      </w:r>
    </w:p>
    <w:p>
      <w:pPr>
        <w:adjustRightInd w:val="0"/>
        <w:snapToGrid w:val="0"/>
        <w:spacing w:line="360" w:lineRule="auto"/>
        <w:ind w:firstLine="480" w:firstLineChars="200"/>
        <w:rPr>
          <w:bCs/>
          <w:sz w:val="24"/>
        </w:rPr>
      </w:pPr>
      <w:r>
        <w:rPr>
          <w:rFonts w:hint="eastAsia"/>
          <w:bCs/>
          <w:sz w:val="24"/>
        </w:rPr>
        <w:t>1）《基金合同》终止情形出现时，由基金财产清算小组统一接管基金财产；</w:t>
      </w:r>
    </w:p>
    <w:p>
      <w:pPr>
        <w:adjustRightInd w:val="0"/>
        <w:snapToGrid w:val="0"/>
        <w:spacing w:line="360" w:lineRule="auto"/>
        <w:ind w:firstLine="480" w:firstLineChars="200"/>
        <w:rPr>
          <w:bCs/>
          <w:sz w:val="24"/>
        </w:rPr>
      </w:pPr>
      <w:r>
        <w:rPr>
          <w:rFonts w:hint="eastAsia"/>
          <w:bCs/>
          <w:sz w:val="24"/>
        </w:rPr>
        <w:t>2）对基金财产和债权债务进行清理和确认；</w:t>
      </w:r>
    </w:p>
    <w:p>
      <w:pPr>
        <w:adjustRightInd w:val="0"/>
        <w:snapToGrid w:val="0"/>
        <w:spacing w:line="360" w:lineRule="auto"/>
        <w:ind w:firstLine="480" w:firstLineChars="200"/>
        <w:rPr>
          <w:bCs/>
          <w:sz w:val="24"/>
        </w:rPr>
      </w:pPr>
      <w:r>
        <w:rPr>
          <w:rFonts w:hint="eastAsia"/>
          <w:bCs/>
          <w:sz w:val="24"/>
        </w:rPr>
        <w:t>3）对基金财产进行估值和变现；</w:t>
      </w:r>
    </w:p>
    <w:p>
      <w:pPr>
        <w:adjustRightInd w:val="0"/>
        <w:snapToGrid w:val="0"/>
        <w:spacing w:line="360" w:lineRule="auto"/>
        <w:ind w:firstLine="480" w:firstLineChars="200"/>
        <w:rPr>
          <w:bCs/>
          <w:sz w:val="24"/>
        </w:rPr>
      </w:pPr>
      <w:r>
        <w:rPr>
          <w:rFonts w:hint="eastAsia"/>
          <w:bCs/>
          <w:sz w:val="24"/>
        </w:rPr>
        <w:t>4）制作清算报告；</w:t>
      </w:r>
    </w:p>
    <w:p>
      <w:pPr>
        <w:adjustRightInd w:val="0"/>
        <w:snapToGrid w:val="0"/>
        <w:spacing w:line="360" w:lineRule="auto"/>
        <w:ind w:firstLine="480" w:firstLineChars="200"/>
        <w:rPr>
          <w:bCs/>
          <w:sz w:val="24"/>
        </w:rPr>
      </w:pPr>
      <w:r>
        <w:rPr>
          <w:rFonts w:hint="eastAsia"/>
          <w:bCs/>
          <w:sz w:val="24"/>
        </w:rPr>
        <w:t>5）聘请会计师事务所对清算报告进行外部审计，聘请律师事务所对清算报告出具法律意见书；</w:t>
      </w:r>
    </w:p>
    <w:p>
      <w:pPr>
        <w:adjustRightInd w:val="0"/>
        <w:snapToGrid w:val="0"/>
        <w:spacing w:line="360" w:lineRule="auto"/>
        <w:ind w:firstLine="480" w:firstLineChars="200"/>
        <w:rPr>
          <w:bCs/>
          <w:sz w:val="24"/>
        </w:rPr>
      </w:pPr>
      <w:r>
        <w:rPr>
          <w:rFonts w:hint="eastAsia"/>
          <w:bCs/>
          <w:sz w:val="24"/>
        </w:rPr>
        <w:t>6）将清算报告报中国证监会备案并公告；</w:t>
      </w:r>
    </w:p>
    <w:p>
      <w:pPr>
        <w:adjustRightInd w:val="0"/>
        <w:snapToGrid w:val="0"/>
        <w:spacing w:line="360" w:lineRule="auto"/>
        <w:ind w:firstLine="480" w:firstLineChars="200"/>
        <w:rPr>
          <w:bCs/>
          <w:sz w:val="24"/>
        </w:rPr>
      </w:pPr>
      <w:r>
        <w:rPr>
          <w:rFonts w:hint="eastAsia"/>
          <w:bCs/>
          <w:sz w:val="24"/>
        </w:rPr>
        <w:t>7）对基金剩余财产进行分配。</w:t>
      </w:r>
    </w:p>
    <w:p>
      <w:pPr>
        <w:adjustRightInd w:val="0"/>
        <w:snapToGrid w:val="0"/>
        <w:spacing w:line="360" w:lineRule="auto"/>
        <w:ind w:firstLine="480" w:firstLineChars="200"/>
        <w:rPr>
          <w:bCs/>
          <w:sz w:val="24"/>
        </w:rPr>
      </w:pPr>
      <w:r>
        <w:rPr>
          <w:rFonts w:hint="eastAsia"/>
          <w:bCs/>
          <w:sz w:val="24"/>
        </w:rPr>
        <w:t>（5）基金财产清算的期限为6个月，但因本基金所持证券的流动性受到限制而不能及时变现的，清算期限相应顺延。</w:t>
      </w:r>
    </w:p>
    <w:p>
      <w:pPr>
        <w:adjustRightInd w:val="0"/>
        <w:snapToGrid w:val="0"/>
        <w:spacing w:line="360" w:lineRule="auto"/>
        <w:ind w:firstLine="480" w:firstLineChars="200"/>
        <w:outlineLvl w:val="2"/>
        <w:rPr>
          <w:bCs/>
          <w:sz w:val="24"/>
        </w:rPr>
      </w:pPr>
      <w:r>
        <w:rPr>
          <w:rFonts w:hint="eastAsia"/>
          <w:bCs/>
          <w:sz w:val="24"/>
        </w:rPr>
        <w:t>4</w:t>
      </w:r>
      <w:r>
        <w:rPr>
          <w:bCs/>
          <w:sz w:val="24"/>
        </w:rPr>
        <w:t>、清算费用</w:t>
      </w:r>
    </w:p>
    <w:p>
      <w:pPr>
        <w:adjustRightInd w:val="0"/>
        <w:snapToGrid w:val="0"/>
        <w:spacing w:line="360" w:lineRule="auto"/>
        <w:ind w:firstLine="480" w:firstLineChars="20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清算过程中发生的所有合理费用，清算费用由基金财产清算小组优先从基金财产中支付。</w:t>
      </w:r>
    </w:p>
    <w:p>
      <w:pPr>
        <w:adjustRightInd w:val="0"/>
        <w:snapToGrid w:val="0"/>
        <w:spacing w:line="360" w:lineRule="auto"/>
        <w:ind w:firstLine="480" w:firstLineChars="200"/>
        <w:outlineLvl w:val="2"/>
        <w:rPr>
          <w:bCs/>
          <w:sz w:val="24"/>
        </w:rPr>
      </w:pPr>
      <w:r>
        <w:rPr>
          <w:rFonts w:hint="eastAsia"/>
          <w:bCs/>
          <w:sz w:val="24"/>
        </w:rPr>
        <w:t>5</w:t>
      </w:r>
      <w:r>
        <w:rPr>
          <w:bCs/>
          <w:sz w:val="24"/>
        </w:rPr>
        <w:t>、基金财产清算剩余资产的分配</w:t>
      </w:r>
    </w:p>
    <w:p>
      <w:pPr>
        <w:adjustRightInd w:val="0"/>
        <w:snapToGrid w:val="0"/>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pPr>
        <w:adjustRightInd w:val="0"/>
        <w:snapToGrid w:val="0"/>
        <w:spacing w:line="360" w:lineRule="auto"/>
        <w:ind w:firstLine="480" w:firstLineChars="200"/>
        <w:outlineLvl w:val="2"/>
        <w:rPr>
          <w:bCs/>
          <w:sz w:val="24"/>
        </w:rPr>
      </w:pPr>
      <w:r>
        <w:rPr>
          <w:rFonts w:hint="eastAsia"/>
          <w:bCs/>
          <w:sz w:val="24"/>
        </w:rPr>
        <w:t>6</w:t>
      </w:r>
      <w:r>
        <w:rPr>
          <w:bCs/>
          <w:sz w:val="24"/>
        </w:rPr>
        <w:t>、基金财产清算的公告</w:t>
      </w:r>
    </w:p>
    <w:p>
      <w:pPr>
        <w:adjustRightInd w:val="0"/>
        <w:snapToGrid w:val="0"/>
        <w:spacing w:line="360" w:lineRule="auto"/>
        <w:ind w:firstLine="480" w:firstLineChars="20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pPr>
        <w:adjustRightInd w:val="0"/>
        <w:snapToGrid w:val="0"/>
        <w:spacing w:line="360" w:lineRule="auto"/>
        <w:ind w:firstLine="480" w:firstLineChars="200"/>
        <w:outlineLvl w:val="2"/>
        <w:rPr>
          <w:bCs/>
          <w:sz w:val="24"/>
        </w:rPr>
      </w:pPr>
      <w:r>
        <w:rPr>
          <w:rFonts w:hint="eastAsia"/>
          <w:bCs/>
          <w:sz w:val="24"/>
        </w:rPr>
        <w:t>7</w:t>
      </w:r>
      <w:r>
        <w:rPr>
          <w:bCs/>
          <w:sz w:val="24"/>
        </w:rPr>
        <w:t>、基金财产清算账册及文件的保存</w:t>
      </w:r>
    </w:p>
    <w:p>
      <w:pPr>
        <w:widowControl/>
        <w:adjustRightInd w:val="0"/>
        <w:snapToGrid w:val="0"/>
        <w:spacing w:line="360" w:lineRule="auto"/>
        <w:ind w:firstLine="480" w:firstLineChars="200"/>
        <w:rPr>
          <w:bCs/>
          <w:sz w:val="24"/>
        </w:rPr>
      </w:pPr>
      <w:r>
        <w:rPr>
          <w:rFonts w:hint="eastAsia"/>
          <w:bCs/>
          <w:sz w:val="24"/>
        </w:rPr>
        <w:t>基金财产清算账册及有关文件由基金托管人保存不低于法律法规规定的最低期限。</w:t>
      </w:r>
    </w:p>
    <w:p>
      <w:pPr>
        <w:adjustRightInd w:val="0"/>
        <w:snapToGrid w:val="0"/>
        <w:spacing w:line="360" w:lineRule="auto"/>
        <w:ind w:firstLine="482"/>
        <w:outlineLvl w:val="1"/>
        <w:rPr>
          <w:b/>
          <w:bCs/>
          <w:sz w:val="24"/>
        </w:rPr>
      </w:pPr>
      <w:r>
        <w:rPr>
          <w:b/>
          <w:bCs/>
          <w:sz w:val="24"/>
        </w:rPr>
        <w:t>（四）争议</w:t>
      </w:r>
      <w:r>
        <w:rPr>
          <w:rFonts w:hint="eastAsia"/>
          <w:b/>
          <w:bCs/>
          <w:sz w:val="24"/>
        </w:rPr>
        <w:t>解决方式</w:t>
      </w:r>
    </w:p>
    <w:p>
      <w:pPr>
        <w:adjustRightInd w:val="0"/>
        <w:snapToGrid w:val="0"/>
        <w:spacing w:line="360" w:lineRule="auto"/>
        <w:ind w:firstLine="482" w:firstLineChars="200"/>
        <w:rPr>
          <w:b/>
          <w:bCs w:val="0"/>
          <w:sz w:val="24"/>
        </w:rPr>
      </w:pPr>
      <w:r>
        <w:rPr>
          <w:rFonts w:hint="eastAsia"/>
          <w:b/>
          <w:bCs w:val="0"/>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p>
      <w:pPr>
        <w:adjustRightInd w:val="0"/>
        <w:snapToGrid w:val="0"/>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adjustRightInd w:val="0"/>
        <w:snapToGrid w:val="0"/>
        <w:spacing w:line="360" w:lineRule="auto"/>
        <w:ind w:firstLine="480" w:firstLineChars="200"/>
        <w:rPr>
          <w:bCs/>
          <w:sz w:val="24"/>
        </w:rPr>
      </w:pPr>
      <w:r>
        <w:rPr>
          <w:rFonts w:hint="eastAsia"/>
          <w:bCs/>
          <w:sz w:val="24"/>
        </w:rPr>
        <w:t>《基金合同》受中国法律（为本基金合同之目的，不含港澳台地区法律）管辖并从其解释。</w:t>
      </w:r>
    </w:p>
    <w:p>
      <w:pPr>
        <w:adjustRightInd w:val="0"/>
        <w:snapToGrid w:val="0"/>
        <w:spacing w:line="360" w:lineRule="auto"/>
        <w:ind w:firstLine="482"/>
        <w:outlineLvl w:val="1"/>
        <w:rPr>
          <w:b/>
          <w:bCs/>
          <w:sz w:val="24"/>
        </w:rPr>
      </w:pPr>
      <w:bookmarkStart w:id="101" w:name="_Toc523711688"/>
      <w:r>
        <w:rPr>
          <w:b/>
          <w:bCs/>
          <w:sz w:val="24"/>
        </w:rPr>
        <w:t>（五）基金合同存放地和投资者取得基金合同的方式</w:t>
      </w:r>
    </w:p>
    <w:bookmarkEnd w:id="101"/>
    <w:p>
      <w:pPr>
        <w:adjustRightInd w:val="0"/>
        <w:snapToGrid w:val="0"/>
        <w:spacing w:line="360" w:lineRule="auto"/>
        <w:ind w:firstLine="480" w:firstLineChars="200"/>
        <w:rPr>
          <w:bCs/>
          <w:sz w:val="24"/>
        </w:rPr>
      </w:pPr>
      <w:r>
        <w:rPr>
          <w:rFonts w:hint="eastAsia"/>
          <w:bCs/>
          <w:sz w:val="24"/>
        </w:rPr>
        <w:t>《基金合同》正本一式三份，除上报有关监管机构一份外，基金管理人、基金托管人各持有一份，每份具有同等的法律效力。</w:t>
      </w:r>
    </w:p>
    <w:p>
      <w:pPr>
        <w:adjustRightInd w:val="0"/>
        <w:snapToGrid w:val="0"/>
        <w:spacing w:line="360" w:lineRule="auto"/>
        <w:ind w:firstLine="480" w:firstLineChars="200"/>
        <w:rPr>
          <w:rFonts w:ascii="宋体" w:hAnsi="宋体"/>
          <w:sz w:val="24"/>
        </w:rPr>
      </w:pPr>
      <w:r>
        <w:rPr>
          <w:rFonts w:hint="eastAsia"/>
          <w:bCs/>
          <w:sz w:val="24"/>
        </w:rPr>
        <w:t>《基金合同》可印制成册，供投资者在基金管理人、基金托管人、销售机构的办公场所和营业场所查阅，但应以《基金合同》正本为准。</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2" w:name="_Toc48122021"/>
      <w:r>
        <w:rPr>
          <w:rFonts w:hint="eastAsia" w:ascii="宋体" w:hAnsi="宋体"/>
          <w:b/>
          <w:kern w:val="0"/>
          <w:sz w:val="30"/>
        </w:rPr>
        <w:t>二十、托管协议的内容摘要</w:t>
      </w:r>
      <w:bookmarkEnd w:id="102"/>
    </w:p>
    <w:p>
      <w:pPr>
        <w:adjustRightInd w:val="0"/>
        <w:snapToGrid w:val="0"/>
        <w:spacing w:line="360" w:lineRule="auto"/>
        <w:ind w:firstLine="482"/>
        <w:outlineLvl w:val="1"/>
        <w:rPr>
          <w:b/>
          <w:bCs/>
          <w:sz w:val="24"/>
        </w:rPr>
      </w:pPr>
      <w:r>
        <w:rPr>
          <w:rFonts w:hint="eastAsia"/>
          <w:b/>
          <w:bCs/>
          <w:sz w:val="24"/>
        </w:rPr>
        <w:t>（一）托管协议当事人</w:t>
      </w:r>
    </w:p>
    <w:p>
      <w:pPr>
        <w:widowControl/>
        <w:adjustRightInd w:val="0"/>
        <w:snapToGrid w:val="0"/>
        <w:spacing w:line="360" w:lineRule="auto"/>
        <w:ind w:firstLine="480" w:firstLineChars="200"/>
        <w:outlineLvl w:val="2"/>
        <w:rPr>
          <w:bCs/>
          <w:sz w:val="24"/>
        </w:rPr>
      </w:pPr>
      <w:r>
        <w:rPr>
          <w:rFonts w:hint="eastAsia"/>
          <w:bCs/>
          <w:sz w:val="24"/>
        </w:rPr>
        <w:t>1、基金管理人</w:t>
      </w:r>
    </w:p>
    <w:p>
      <w:pPr>
        <w:widowControl/>
        <w:adjustRightInd w:val="0"/>
        <w:snapToGrid w:val="0"/>
        <w:spacing w:line="360" w:lineRule="auto"/>
        <w:ind w:firstLine="480" w:firstLineChars="200"/>
        <w:rPr>
          <w:bCs/>
          <w:sz w:val="24"/>
        </w:rPr>
      </w:pPr>
      <w:r>
        <w:rPr>
          <w:rFonts w:hint="eastAsia"/>
          <w:bCs/>
          <w:sz w:val="24"/>
        </w:rPr>
        <w:t>名称：交银施罗德基金管理有限公司</w:t>
      </w:r>
    </w:p>
    <w:p>
      <w:pPr>
        <w:widowControl/>
        <w:adjustRightInd w:val="0"/>
        <w:snapToGrid w:val="0"/>
        <w:spacing w:line="360" w:lineRule="auto"/>
        <w:ind w:firstLine="480" w:firstLineChars="200"/>
        <w:rPr>
          <w:bCs/>
          <w:sz w:val="24"/>
        </w:rPr>
      </w:pPr>
      <w:r>
        <w:rPr>
          <w:rFonts w:hint="eastAsia"/>
          <w:bCs/>
          <w:sz w:val="24"/>
        </w:rPr>
        <w:t>住所：中国（上海）自由贸易试验区银城中路188号交通银行大楼二层（裙）</w:t>
      </w:r>
    </w:p>
    <w:p>
      <w:pPr>
        <w:widowControl/>
        <w:adjustRightInd w:val="0"/>
        <w:snapToGrid w:val="0"/>
        <w:spacing w:line="360" w:lineRule="auto"/>
        <w:ind w:firstLine="480" w:firstLineChars="200"/>
        <w:rPr>
          <w:bCs/>
          <w:sz w:val="24"/>
        </w:rPr>
      </w:pPr>
      <w:r>
        <w:rPr>
          <w:rFonts w:hint="eastAsia"/>
          <w:bCs/>
          <w:sz w:val="24"/>
        </w:rPr>
        <w:t>办公地址：上海市浦东新区世纪大道8号国金中心二期21-22楼</w:t>
      </w:r>
    </w:p>
    <w:p>
      <w:pPr>
        <w:widowControl/>
        <w:adjustRightInd w:val="0"/>
        <w:snapToGrid w:val="0"/>
        <w:spacing w:line="360" w:lineRule="auto"/>
        <w:ind w:firstLine="480" w:firstLineChars="200"/>
        <w:rPr>
          <w:bCs/>
          <w:sz w:val="24"/>
        </w:rPr>
      </w:pPr>
      <w:r>
        <w:rPr>
          <w:rFonts w:hint="eastAsia"/>
          <w:bCs/>
          <w:sz w:val="24"/>
        </w:rPr>
        <w:t>邮政编码：200120</w:t>
      </w:r>
    </w:p>
    <w:p>
      <w:pPr>
        <w:widowControl/>
        <w:adjustRightInd w:val="0"/>
        <w:snapToGrid w:val="0"/>
        <w:spacing w:line="360" w:lineRule="auto"/>
        <w:ind w:firstLine="480" w:firstLineChars="200"/>
        <w:rPr>
          <w:bCs/>
          <w:sz w:val="24"/>
        </w:rPr>
      </w:pPr>
      <w:r>
        <w:rPr>
          <w:rFonts w:hint="eastAsia"/>
          <w:bCs/>
          <w:sz w:val="24"/>
        </w:rPr>
        <w:t>法定代表人：张宏良</w:t>
      </w:r>
    </w:p>
    <w:p>
      <w:pPr>
        <w:widowControl/>
        <w:adjustRightInd w:val="0"/>
        <w:snapToGrid w:val="0"/>
        <w:spacing w:line="360" w:lineRule="auto"/>
        <w:ind w:firstLine="480" w:firstLineChars="200"/>
        <w:rPr>
          <w:bCs/>
          <w:sz w:val="24"/>
        </w:rPr>
      </w:pPr>
      <w:r>
        <w:rPr>
          <w:rFonts w:hint="eastAsia"/>
          <w:bCs/>
          <w:sz w:val="24"/>
        </w:rPr>
        <w:t>成立时间：2005年8月4日</w:t>
      </w:r>
    </w:p>
    <w:p>
      <w:pPr>
        <w:widowControl/>
        <w:adjustRightInd w:val="0"/>
        <w:snapToGrid w:val="0"/>
        <w:spacing w:line="360" w:lineRule="auto"/>
        <w:ind w:firstLine="480" w:firstLineChars="200"/>
        <w:rPr>
          <w:bCs/>
          <w:sz w:val="24"/>
        </w:rPr>
      </w:pPr>
      <w:r>
        <w:rPr>
          <w:rFonts w:hint="eastAsia"/>
          <w:bCs/>
          <w:sz w:val="24"/>
        </w:rPr>
        <w:t>批准设立机关：中国证券监督管理委员会</w:t>
      </w:r>
    </w:p>
    <w:p>
      <w:pPr>
        <w:widowControl/>
        <w:adjustRightInd w:val="0"/>
        <w:snapToGrid w:val="0"/>
        <w:spacing w:line="360" w:lineRule="auto"/>
        <w:ind w:firstLine="480" w:firstLineChars="200"/>
        <w:rPr>
          <w:bCs/>
          <w:sz w:val="24"/>
        </w:rPr>
      </w:pPr>
      <w:r>
        <w:rPr>
          <w:rFonts w:hint="eastAsia"/>
          <w:bCs/>
          <w:sz w:val="24"/>
        </w:rPr>
        <w:t>批准设立文号：中国证监会证监基金字[2005]128号</w:t>
      </w:r>
    </w:p>
    <w:p>
      <w:pPr>
        <w:widowControl/>
        <w:adjustRightInd w:val="0"/>
        <w:snapToGrid w:val="0"/>
        <w:spacing w:line="360" w:lineRule="auto"/>
        <w:ind w:firstLine="480" w:firstLineChars="200"/>
        <w:rPr>
          <w:bCs/>
          <w:sz w:val="24"/>
        </w:rPr>
      </w:pPr>
      <w:r>
        <w:rPr>
          <w:rFonts w:hint="eastAsia"/>
          <w:bCs/>
          <w:sz w:val="24"/>
        </w:rPr>
        <w:t>组织形式：有限责任公司</w:t>
      </w:r>
    </w:p>
    <w:p>
      <w:pPr>
        <w:widowControl/>
        <w:adjustRightInd w:val="0"/>
        <w:snapToGrid w:val="0"/>
        <w:spacing w:line="360" w:lineRule="auto"/>
        <w:ind w:firstLine="480" w:firstLineChars="200"/>
        <w:rPr>
          <w:bCs/>
          <w:sz w:val="24"/>
        </w:rPr>
      </w:pPr>
      <w:r>
        <w:rPr>
          <w:rFonts w:hint="eastAsia"/>
          <w:bCs/>
          <w:sz w:val="24"/>
        </w:rPr>
        <w:t>注册资本：2亿元人民币</w:t>
      </w:r>
    </w:p>
    <w:p>
      <w:pPr>
        <w:widowControl/>
        <w:adjustRightInd w:val="0"/>
        <w:snapToGrid w:val="0"/>
        <w:spacing w:line="360" w:lineRule="auto"/>
        <w:ind w:firstLine="480" w:firstLineChars="200"/>
        <w:rPr>
          <w:bCs/>
          <w:sz w:val="24"/>
        </w:rPr>
      </w:pPr>
      <w:r>
        <w:rPr>
          <w:rFonts w:hint="eastAsia"/>
          <w:bCs/>
          <w:sz w:val="24"/>
        </w:rPr>
        <w:t>存续期间：持续经营</w:t>
      </w:r>
    </w:p>
    <w:p>
      <w:pPr>
        <w:widowControl/>
        <w:adjustRightInd w:val="0"/>
        <w:snapToGrid w:val="0"/>
        <w:spacing w:line="360" w:lineRule="auto"/>
        <w:ind w:firstLine="480" w:firstLineChars="200"/>
        <w:rPr>
          <w:bCs/>
          <w:sz w:val="24"/>
        </w:rPr>
      </w:pPr>
      <w:r>
        <w:rPr>
          <w:rFonts w:hint="eastAsia"/>
          <w:bCs/>
          <w:sz w:val="24"/>
        </w:rPr>
        <w:t>经营范围：基金募集、基金销售、资产管理和中国证监会许可的其他业务。</w:t>
      </w:r>
    </w:p>
    <w:p>
      <w:pPr>
        <w:widowControl/>
        <w:adjustRightInd w:val="0"/>
        <w:snapToGrid w:val="0"/>
        <w:spacing w:line="360" w:lineRule="auto"/>
        <w:ind w:firstLine="480" w:firstLineChars="200"/>
        <w:outlineLvl w:val="2"/>
        <w:rPr>
          <w:bCs/>
          <w:sz w:val="24"/>
        </w:rPr>
      </w:pPr>
      <w:r>
        <w:rPr>
          <w:rFonts w:hint="eastAsia"/>
          <w:bCs/>
          <w:sz w:val="24"/>
        </w:rPr>
        <w:t>2、基金托管人</w:t>
      </w:r>
    </w:p>
    <w:p>
      <w:pPr>
        <w:widowControl/>
        <w:adjustRightInd w:val="0"/>
        <w:snapToGrid w:val="0"/>
        <w:spacing w:line="360" w:lineRule="auto"/>
        <w:ind w:firstLine="480" w:firstLineChars="200"/>
        <w:rPr>
          <w:bCs/>
          <w:sz w:val="24"/>
        </w:rPr>
      </w:pPr>
      <w:r>
        <w:rPr>
          <w:rFonts w:hint="eastAsia"/>
          <w:bCs/>
          <w:sz w:val="24"/>
        </w:rPr>
        <w:t>名称：招商银行股份有限公司</w:t>
      </w:r>
    </w:p>
    <w:p>
      <w:pPr>
        <w:widowControl/>
        <w:adjustRightInd w:val="0"/>
        <w:snapToGrid w:val="0"/>
        <w:spacing w:line="360" w:lineRule="auto"/>
        <w:ind w:firstLine="480" w:firstLineChars="200"/>
        <w:rPr>
          <w:bCs/>
          <w:sz w:val="24"/>
        </w:rPr>
      </w:pPr>
      <w:r>
        <w:rPr>
          <w:rFonts w:hint="eastAsia"/>
          <w:bCs/>
          <w:sz w:val="24"/>
        </w:rPr>
        <w:t>住所：深圳市深南大道7088号招商银行大厦</w:t>
      </w:r>
    </w:p>
    <w:p>
      <w:pPr>
        <w:widowControl/>
        <w:adjustRightInd w:val="0"/>
        <w:snapToGrid w:val="0"/>
        <w:spacing w:line="360" w:lineRule="auto"/>
        <w:ind w:firstLine="480" w:firstLineChars="200"/>
        <w:rPr>
          <w:bCs/>
          <w:sz w:val="24"/>
        </w:rPr>
      </w:pPr>
      <w:r>
        <w:rPr>
          <w:rFonts w:hint="eastAsia"/>
          <w:bCs/>
          <w:sz w:val="24"/>
        </w:rPr>
        <w:t>办公地址：深圳市深南大道7088号招商银行大厦</w:t>
      </w:r>
    </w:p>
    <w:p>
      <w:pPr>
        <w:widowControl/>
        <w:adjustRightInd w:val="0"/>
        <w:snapToGrid w:val="0"/>
        <w:spacing w:line="360" w:lineRule="auto"/>
        <w:ind w:firstLine="480" w:firstLineChars="200"/>
        <w:rPr>
          <w:bCs/>
          <w:sz w:val="24"/>
        </w:rPr>
      </w:pPr>
      <w:r>
        <w:rPr>
          <w:rFonts w:hint="eastAsia"/>
          <w:bCs/>
          <w:sz w:val="24"/>
        </w:rPr>
        <w:t>邮政编码：518040</w:t>
      </w:r>
    </w:p>
    <w:p>
      <w:pPr>
        <w:widowControl/>
        <w:adjustRightInd w:val="0"/>
        <w:snapToGrid w:val="0"/>
        <w:spacing w:line="360" w:lineRule="auto"/>
        <w:ind w:firstLine="480" w:firstLineChars="200"/>
        <w:rPr>
          <w:bCs/>
          <w:sz w:val="24"/>
        </w:rPr>
      </w:pPr>
      <w:r>
        <w:rPr>
          <w:rFonts w:hint="eastAsia"/>
          <w:bCs/>
          <w:sz w:val="24"/>
        </w:rPr>
        <w:t>法定代表人：缪建民</w:t>
      </w:r>
    </w:p>
    <w:p>
      <w:pPr>
        <w:widowControl/>
        <w:adjustRightInd w:val="0"/>
        <w:snapToGrid w:val="0"/>
        <w:spacing w:line="360" w:lineRule="auto"/>
        <w:ind w:firstLine="480" w:firstLineChars="200"/>
        <w:rPr>
          <w:bCs/>
          <w:sz w:val="24"/>
        </w:rPr>
      </w:pPr>
      <w:r>
        <w:rPr>
          <w:rFonts w:hint="eastAsia"/>
          <w:bCs/>
          <w:sz w:val="24"/>
        </w:rPr>
        <w:t>成立时间：1987年4月8日</w:t>
      </w:r>
    </w:p>
    <w:p>
      <w:pPr>
        <w:widowControl/>
        <w:adjustRightInd w:val="0"/>
        <w:snapToGrid w:val="0"/>
        <w:spacing w:line="360" w:lineRule="auto"/>
        <w:ind w:firstLine="480" w:firstLineChars="200"/>
        <w:rPr>
          <w:bCs/>
          <w:sz w:val="24"/>
        </w:rPr>
      </w:pPr>
      <w:r>
        <w:rPr>
          <w:rFonts w:hint="eastAsia"/>
          <w:bCs/>
          <w:sz w:val="24"/>
        </w:rPr>
        <w:t>批准设立机关和批准设立文号：中国人民银行银复字（1986）175号文、银复（1987）86号文</w:t>
      </w:r>
    </w:p>
    <w:p>
      <w:pPr>
        <w:widowControl/>
        <w:adjustRightInd w:val="0"/>
        <w:snapToGrid w:val="0"/>
        <w:spacing w:line="360" w:lineRule="auto"/>
        <w:ind w:firstLine="480" w:firstLineChars="200"/>
        <w:rPr>
          <w:bCs/>
          <w:sz w:val="24"/>
        </w:rPr>
      </w:pPr>
      <w:r>
        <w:rPr>
          <w:rFonts w:hint="eastAsia"/>
          <w:bCs/>
          <w:sz w:val="24"/>
        </w:rPr>
        <w:t>基金托管业务批准文号：证监基金字[2002]83号</w:t>
      </w:r>
    </w:p>
    <w:p>
      <w:pPr>
        <w:widowControl/>
        <w:adjustRightInd w:val="0"/>
        <w:snapToGrid w:val="0"/>
        <w:spacing w:line="360" w:lineRule="auto"/>
        <w:ind w:firstLine="480" w:firstLineChars="200"/>
        <w:rPr>
          <w:bCs/>
          <w:sz w:val="24"/>
        </w:rPr>
      </w:pPr>
      <w:r>
        <w:rPr>
          <w:rFonts w:hint="eastAsia"/>
          <w:bCs/>
          <w:sz w:val="24"/>
        </w:rPr>
        <w:t>组织形式：股份有限公司</w:t>
      </w:r>
    </w:p>
    <w:p>
      <w:pPr>
        <w:widowControl/>
        <w:adjustRightInd w:val="0"/>
        <w:snapToGrid w:val="0"/>
        <w:spacing w:line="360" w:lineRule="auto"/>
        <w:ind w:firstLine="480" w:firstLineChars="200"/>
        <w:rPr>
          <w:bCs/>
          <w:sz w:val="24"/>
        </w:rPr>
      </w:pPr>
      <w:r>
        <w:rPr>
          <w:rFonts w:hint="eastAsia"/>
          <w:bCs/>
          <w:sz w:val="24"/>
        </w:rPr>
        <w:t>注册资本：人民币252.20亿元</w:t>
      </w:r>
    </w:p>
    <w:p>
      <w:pPr>
        <w:widowControl/>
        <w:adjustRightInd w:val="0"/>
        <w:snapToGrid w:val="0"/>
        <w:spacing w:line="360" w:lineRule="auto"/>
        <w:ind w:firstLine="480" w:firstLineChars="200"/>
        <w:rPr>
          <w:bCs/>
          <w:sz w:val="24"/>
        </w:rPr>
      </w:pPr>
      <w:r>
        <w:rPr>
          <w:rFonts w:hint="eastAsia"/>
          <w:bCs/>
          <w:sz w:val="24"/>
        </w:rPr>
        <w:t>存续期间：持续经营</w:t>
      </w:r>
    </w:p>
    <w:p>
      <w:pPr>
        <w:adjustRightInd w:val="0"/>
        <w:snapToGrid w:val="0"/>
        <w:spacing w:line="360" w:lineRule="auto"/>
        <w:ind w:firstLine="482"/>
        <w:outlineLvl w:val="1"/>
        <w:rPr>
          <w:b/>
          <w:bCs/>
          <w:sz w:val="24"/>
        </w:rPr>
      </w:pPr>
      <w:r>
        <w:rPr>
          <w:rFonts w:hint="eastAsia"/>
          <w:b/>
          <w:bCs/>
          <w:sz w:val="24"/>
        </w:rPr>
        <w:t>（二）基金托管人对基金管理人的业务监督和核查</w:t>
      </w:r>
    </w:p>
    <w:p>
      <w:pPr>
        <w:adjustRightInd w:val="0"/>
        <w:snapToGrid w:val="0"/>
        <w:spacing w:line="360" w:lineRule="auto"/>
        <w:ind w:firstLine="482"/>
        <w:rPr>
          <w:rFonts w:ascii="宋体" w:hAnsi="宋体"/>
          <w:sz w:val="24"/>
          <w:szCs w:val="24"/>
        </w:rPr>
      </w:pPr>
      <w:r>
        <w:rPr>
          <w:rFonts w:hint="eastAsia" w:ascii="宋体" w:hAnsi="宋体"/>
          <w:sz w:val="24"/>
          <w:szCs w:val="24"/>
        </w:rPr>
        <w:t>1、基金托管人根据有关法律法规的规定以及《基金合同》的约定，对基金投资范围、投资比例、投资限制、关联方交易等进行监督。</w:t>
      </w:r>
    </w:p>
    <w:p>
      <w:pPr>
        <w:adjustRightInd w:val="0"/>
        <w:snapToGrid w:val="0"/>
        <w:spacing w:line="360" w:lineRule="auto"/>
        <w:ind w:firstLine="482"/>
        <w:rPr>
          <w:rFonts w:ascii="宋体" w:hAnsi="宋体"/>
          <w:sz w:val="24"/>
          <w:szCs w:val="24"/>
        </w:rPr>
      </w:pPr>
      <w:r>
        <w:rPr>
          <w:rFonts w:hint="eastAsia" w:ascii="宋体" w:hAnsi="宋体"/>
          <w:sz w:val="24"/>
          <w:szCs w:val="24"/>
        </w:rPr>
        <w:t>（1）本基金的投资范围为：</w:t>
      </w:r>
    </w:p>
    <w:p>
      <w:pPr>
        <w:adjustRightInd w:val="0"/>
        <w:snapToGrid w:val="0"/>
        <w:spacing w:line="360" w:lineRule="auto"/>
        <w:ind w:firstLine="482"/>
        <w:rPr>
          <w:rFonts w:ascii="宋体" w:hAnsi="宋体"/>
          <w:sz w:val="24"/>
          <w:szCs w:val="24"/>
        </w:rPr>
      </w:pPr>
      <w:r>
        <w:rPr>
          <w:rFonts w:hint="eastAsia" w:ascii="宋体" w:hAnsi="宋体"/>
          <w:sz w:val="24"/>
          <w:szCs w:val="24"/>
        </w:rPr>
        <w:t>本基金的投资范围为具有良好流动性的金融工具，包括国内依法发行上市的股票（含主板、创业板、科创板及其他经中国证监会核准或注册上市的股票</w:t>
      </w:r>
      <w:r>
        <w:rPr>
          <w:rFonts w:hint="eastAsia"/>
          <w:bCs/>
          <w:sz w:val="24"/>
        </w:rPr>
        <w:t>、存托凭证</w:t>
      </w:r>
      <w:r>
        <w:rPr>
          <w:rFonts w:hint="eastAsia" w:ascii="宋体" w:hAnsi="宋体"/>
          <w:sz w:val="24"/>
          <w:szCs w:val="24"/>
        </w:rPr>
        <w:t>）、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adjustRightInd w:val="0"/>
        <w:snapToGrid w:val="0"/>
        <w:spacing w:line="360" w:lineRule="auto"/>
        <w:ind w:firstLine="482"/>
        <w:rPr>
          <w:rFonts w:ascii="宋体" w:hAnsi="宋体"/>
          <w:sz w:val="24"/>
          <w:szCs w:val="24"/>
        </w:rPr>
      </w:pPr>
      <w:r>
        <w:rPr>
          <w:rFonts w:hint="eastAsia" w:ascii="宋体" w:hAnsi="宋体"/>
          <w:sz w:val="24"/>
          <w:szCs w:val="24"/>
        </w:rPr>
        <w:t>如法律法规或监管机构以后允许基金投资其他品种，基金管理人在履行适当程序后，可以将其纳入投资范围。</w:t>
      </w:r>
    </w:p>
    <w:p>
      <w:pPr>
        <w:adjustRightInd w:val="0"/>
        <w:snapToGrid w:val="0"/>
        <w:spacing w:line="360" w:lineRule="auto"/>
        <w:ind w:firstLine="482"/>
        <w:rPr>
          <w:rFonts w:ascii="宋体" w:hAnsi="宋体"/>
          <w:sz w:val="24"/>
          <w:szCs w:val="24"/>
        </w:rPr>
      </w:pPr>
      <w:r>
        <w:rPr>
          <w:rFonts w:hint="eastAsia" w:ascii="宋体" w:hAnsi="宋体"/>
          <w:sz w:val="24"/>
          <w:szCs w:val="24"/>
        </w:rPr>
        <w:t>（2）本基金各类品种的投资比例、投资限制为：</w:t>
      </w:r>
    </w:p>
    <w:p>
      <w:pPr>
        <w:adjustRightInd w:val="0"/>
        <w:snapToGrid w:val="0"/>
        <w:spacing w:line="360" w:lineRule="auto"/>
        <w:ind w:firstLine="482"/>
        <w:rPr>
          <w:rFonts w:ascii="宋体" w:hAnsi="宋体"/>
          <w:sz w:val="24"/>
          <w:szCs w:val="24"/>
        </w:rPr>
      </w:pPr>
      <w:r>
        <w:rPr>
          <w:rFonts w:hint="eastAsia" w:ascii="宋体" w:hAnsi="宋体"/>
          <w:sz w:val="24"/>
          <w:szCs w:val="24"/>
        </w:rPr>
        <w:t>基金的投资组合比例为：股票投资</w:t>
      </w:r>
      <w:r>
        <w:rPr>
          <w:rFonts w:hint="eastAsia"/>
          <w:bCs/>
          <w:sz w:val="24"/>
        </w:rPr>
        <w:t>（</w:t>
      </w:r>
      <w:r>
        <w:rPr>
          <w:bCs/>
          <w:sz w:val="24"/>
        </w:rPr>
        <w:t>含存托凭证</w:t>
      </w:r>
      <w:r>
        <w:rPr>
          <w:rFonts w:hint="eastAsia"/>
          <w:bCs/>
          <w:sz w:val="24"/>
        </w:rPr>
        <w:t>）</w:t>
      </w:r>
      <w:r>
        <w:rPr>
          <w:rFonts w:hint="eastAsia" w:ascii="宋体" w:hAnsi="宋体"/>
          <w:sz w:val="24"/>
          <w:szCs w:val="24"/>
        </w:rPr>
        <w:t>占基金资产的比例为60%-95%</w:t>
      </w:r>
      <w:r>
        <w:rPr>
          <w:rFonts w:hint="eastAsia" w:ascii="宋体" w:hAnsi="宋体"/>
          <w:sz w:val="24"/>
          <w:szCs w:val="24"/>
          <w:lang w:eastAsia="zh-CN"/>
        </w:rPr>
        <w:t>，</w:t>
      </w:r>
      <w:r>
        <w:rPr>
          <w:rFonts w:hint="eastAsia" w:ascii="宋体" w:hAnsi="宋体"/>
          <w:sz w:val="24"/>
          <w:szCs w:val="24"/>
        </w:rPr>
        <w:t>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adjustRightInd w:val="0"/>
        <w:snapToGrid w:val="0"/>
        <w:spacing w:line="360" w:lineRule="auto"/>
        <w:ind w:firstLine="482"/>
        <w:rPr>
          <w:rFonts w:ascii="宋体" w:hAnsi="宋体"/>
          <w:sz w:val="24"/>
          <w:szCs w:val="24"/>
        </w:rPr>
      </w:pPr>
      <w:r>
        <w:rPr>
          <w:rFonts w:hint="eastAsia" w:ascii="宋体" w:hAnsi="宋体"/>
          <w:sz w:val="24"/>
          <w:szCs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2"/>
        <w:rPr>
          <w:rFonts w:ascii="宋体" w:hAnsi="宋体"/>
          <w:sz w:val="24"/>
          <w:szCs w:val="24"/>
        </w:rPr>
      </w:pPr>
      <w:r>
        <w:rPr>
          <w:rFonts w:hint="eastAsia" w:ascii="宋体" w:hAnsi="宋体"/>
          <w:sz w:val="24"/>
          <w:szCs w:val="24"/>
        </w:rPr>
        <w:t>基金的投资组合应遵循以下限制：</w:t>
      </w:r>
    </w:p>
    <w:p>
      <w:pPr>
        <w:adjustRightInd w:val="0"/>
        <w:snapToGrid w:val="0"/>
        <w:spacing w:line="360" w:lineRule="auto"/>
        <w:ind w:firstLine="482"/>
        <w:rPr>
          <w:rFonts w:ascii="宋体" w:hAnsi="宋体"/>
          <w:sz w:val="24"/>
          <w:szCs w:val="24"/>
        </w:rPr>
      </w:pPr>
      <w:r>
        <w:rPr>
          <w:rFonts w:hint="eastAsia" w:ascii="宋体" w:hAnsi="宋体"/>
          <w:sz w:val="24"/>
          <w:szCs w:val="24"/>
        </w:rPr>
        <w:t>1）股票投资（含存托凭证）占基金资产的比例为60%-95%</w:t>
      </w:r>
      <w:r>
        <w:rPr>
          <w:rFonts w:hint="eastAsia" w:ascii="宋体" w:hAnsi="宋体"/>
          <w:sz w:val="24"/>
          <w:szCs w:val="24"/>
          <w:lang w:eastAsia="zh-CN"/>
        </w:rPr>
        <w:t>，</w:t>
      </w:r>
      <w:r>
        <w:rPr>
          <w:rFonts w:hint="eastAsia" w:ascii="宋体" w:hAnsi="宋体"/>
          <w:sz w:val="24"/>
          <w:szCs w:val="24"/>
        </w:rPr>
        <w:t>其中投资于港股通标的股票的比例占股票资产的0%-50%；</w:t>
      </w:r>
    </w:p>
    <w:p>
      <w:pPr>
        <w:adjustRightInd w:val="0"/>
        <w:snapToGrid w:val="0"/>
        <w:spacing w:line="360" w:lineRule="auto"/>
        <w:ind w:firstLine="482"/>
        <w:rPr>
          <w:rFonts w:ascii="宋体" w:hAnsi="宋体"/>
          <w:sz w:val="24"/>
          <w:szCs w:val="24"/>
        </w:rPr>
      </w:pPr>
      <w:r>
        <w:rPr>
          <w:rFonts w:hint="eastAsia" w:ascii="宋体" w:hAnsi="宋体"/>
          <w:sz w:val="24"/>
          <w:szCs w:val="24"/>
        </w:rPr>
        <w:t>2）每个交易日日终在扣除股指期货合约需缴纳的交易保证金后，本基金持有的现金或者到期日在一年以内的政府债券的比例合计不低于基金资产净值的5%</w:t>
      </w:r>
      <w:r>
        <w:rPr>
          <w:rFonts w:hint="eastAsia"/>
          <w:bCs/>
          <w:sz w:val="24"/>
        </w:rPr>
        <w:t>，</w:t>
      </w:r>
      <w:r>
        <w:rPr>
          <w:rFonts w:hint="eastAsia" w:ascii="宋体" w:hAnsi="宋体"/>
          <w:sz w:val="24"/>
          <w:szCs w:val="24"/>
        </w:rPr>
        <w:t>其中现金不包括结算备付金、存出保证金、应收申购款等；</w:t>
      </w:r>
    </w:p>
    <w:p>
      <w:pPr>
        <w:adjustRightInd w:val="0"/>
        <w:snapToGrid w:val="0"/>
        <w:spacing w:line="360" w:lineRule="auto"/>
        <w:ind w:firstLine="482"/>
        <w:rPr>
          <w:rFonts w:ascii="宋体" w:hAnsi="宋体"/>
          <w:sz w:val="24"/>
          <w:szCs w:val="24"/>
        </w:rPr>
      </w:pPr>
      <w:r>
        <w:rPr>
          <w:rFonts w:hint="eastAsia" w:ascii="宋体" w:hAnsi="宋体"/>
          <w:sz w:val="24"/>
          <w:szCs w:val="24"/>
        </w:rPr>
        <w:t>3）本基金持有一家公司发行的证券（同一家公司在内地和香港同时上市的A+H股合计计算），其市值不超过基金资产净值的10％；</w:t>
      </w:r>
    </w:p>
    <w:p>
      <w:pPr>
        <w:adjustRightInd w:val="0"/>
        <w:snapToGrid w:val="0"/>
        <w:spacing w:line="360" w:lineRule="auto"/>
        <w:ind w:firstLine="482"/>
        <w:rPr>
          <w:rFonts w:ascii="宋体" w:hAnsi="宋体"/>
          <w:sz w:val="24"/>
          <w:szCs w:val="24"/>
        </w:rPr>
      </w:pPr>
      <w:r>
        <w:rPr>
          <w:rFonts w:hint="eastAsia" w:ascii="宋体" w:hAnsi="宋体"/>
          <w:sz w:val="24"/>
          <w:szCs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adjustRightInd w:val="0"/>
        <w:snapToGrid w:val="0"/>
        <w:spacing w:line="360" w:lineRule="auto"/>
        <w:ind w:firstLine="482"/>
        <w:rPr>
          <w:rFonts w:ascii="宋体" w:hAnsi="宋体"/>
          <w:sz w:val="24"/>
          <w:szCs w:val="24"/>
        </w:rPr>
      </w:pPr>
      <w:r>
        <w:rPr>
          <w:rFonts w:hint="eastAsia" w:ascii="宋体" w:hAnsi="宋体"/>
          <w:sz w:val="24"/>
          <w:szCs w:val="24"/>
        </w:rPr>
        <w:t>5）本基金投资于同一原始权益人的各类资产支持证券的比例，不得超过基金资产净值的10％；</w:t>
      </w:r>
    </w:p>
    <w:p>
      <w:pPr>
        <w:adjustRightInd w:val="0"/>
        <w:snapToGrid w:val="0"/>
        <w:spacing w:line="360" w:lineRule="auto"/>
        <w:ind w:firstLine="482"/>
        <w:rPr>
          <w:rFonts w:ascii="宋体" w:hAnsi="宋体"/>
          <w:sz w:val="24"/>
          <w:szCs w:val="24"/>
        </w:rPr>
      </w:pPr>
      <w:r>
        <w:rPr>
          <w:rFonts w:hint="eastAsia" w:ascii="宋体" w:hAnsi="宋体"/>
          <w:sz w:val="24"/>
          <w:szCs w:val="24"/>
        </w:rPr>
        <w:t>6）本基金持有的全部资产支持证券，其市值不得超过基金资产净值的20％；</w:t>
      </w:r>
    </w:p>
    <w:p>
      <w:pPr>
        <w:adjustRightInd w:val="0"/>
        <w:snapToGrid w:val="0"/>
        <w:spacing w:line="360" w:lineRule="auto"/>
        <w:ind w:firstLine="482"/>
        <w:rPr>
          <w:rFonts w:ascii="宋体" w:hAnsi="宋体"/>
          <w:sz w:val="24"/>
          <w:szCs w:val="24"/>
        </w:rPr>
      </w:pPr>
      <w:r>
        <w:rPr>
          <w:rFonts w:hint="eastAsia" w:ascii="宋体" w:hAnsi="宋体"/>
          <w:sz w:val="24"/>
          <w:szCs w:val="24"/>
        </w:rPr>
        <w:t>7）本基金持有的同一（指同一信用级别）资产支持证券的比例，不得超过该资产支持证券规模的10％；</w:t>
      </w:r>
    </w:p>
    <w:p>
      <w:pPr>
        <w:adjustRightInd w:val="0"/>
        <w:snapToGrid w:val="0"/>
        <w:spacing w:line="360" w:lineRule="auto"/>
        <w:ind w:firstLine="482"/>
        <w:rPr>
          <w:rFonts w:ascii="宋体" w:hAnsi="宋体"/>
          <w:sz w:val="24"/>
          <w:szCs w:val="24"/>
        </w:rPr>
      </w:pPr>
      <w:r>
        <w:rPr>
          <w:rFonts w:hint="eastAsia" w:ascii="宋体" w:hAnsi="宋体"/>
          <w:sz w:val="24"/>
          <w:szCs w:val="24"/>
        </w:rPr>
        <w:t>8）本基金管理人管理的全部基金投资于同一原始权益人的各类资产支持证券，不得超过其各类资产支持证券合计规模的10％；</w:t>
      </w:r>
    </w:p>
    <w:p>
      <w:pPr>
        <w:adjustRightInd w:val="0"/>
        <w:snapToGrid w:val="0"/>
        <w:spacing w:line="360" w:lineRule="auto"/>
        <w:ind w:firstLine="482"/>
        <w:rPr>
          <w:rFonts w:ascii="宋体" w:hAnsi="宋体"/>
          <w:sz w:val="24"/>
          <w:szCs w:val="24"/>
        </w:rPr>
      </w:pPr>
      <w:r>
        <w:rPr>
          <w:rFonts w:hint="eastAsia" w:ascii="宋体" w:hAnsi="宋体"/>
          <w:sz w:val="24"/>
          <w:szCs w:val="24"/>
        </w:rPr>
        <w:t>9）本基金应投资于信用级别评级为BBB以上（含BBB）的资产支持证券。基金持有资产支持证券期间，如果其信用等级下降、不再符合投资标准，应在评级报告发布之日起3个月内予以全部卖出；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2"/>
        <w:rPr>
          <w:rFonts w:ascii="宋体" w:hAnsi="宋体"/>
          <w:sz w:val="24"/>
          <w:szCs w:val="24"/>
        </w:rPr>
      </w:pPr>
      <w:r>
        <w:rPr>
          <w:rFonts w:hint="eastAsia" w:ascii="宋体" w:hAnsi="宋体"/>
          <w:sz w:val="24"/>
          <w:szCs w:val="24"/>
        </w:rPr>
        <w:t>10）基金财产参与股票发行申购，本基金所申报的金额不超过本基金的总资产，本基金所申报的股票数量不超过拟发行股票公司本次发行股票的总量；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2"/>
        <w:rPr>
          <w:rFonts w:ascii="宋体" w:hAnsi="宋体"/>
          <w:sz w:val="24"/>
          <w:szCs w:val="24"/>
        </w:rPr>
      </w:pPr>
      <w:r>
        <w:rPr>
          <w:rFonts w:hint="eastAsia" w:ascii="宋体" w:hAnsi="宋体"/>
          <w:sz w:val="24"/>
          <w:szCs w:val="24"/>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djustRightInd w:val="0"/>
        <w:snapToGrid w:val="0"/>
        <w:spacing w:line="360" w:lineRule="auto"/>
        <w:ind w:firstLine="482"/>
        <w:rPr>
          <w:rFonts w:ascii="宋体" w:hAnsi="宋体"/>
          <w:sz w:val="24"/>
          <w:szCs w:val="24"/>
        </w:rPr>
      </w:pPr>
      <w:r>
        <w:rPr>
          <w:rFonts w:hint="eastAsia" w:ascii="宋体" w:hAnsi="宋体"/>
          <w:sz w:val="24"/>
          <w:szCs w:val="24"/>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2"/>
        <w:rPr>
          <w:rFonts w:ascii="宋体" w:hAnsi="宋体"/>
          <w:sz w:val="24"/>
          <w:szCs w:val="24"/>
        </w:rPr>
      </w:pPr>
      <w:r>
        <w:rPr>
          <w:rFonts w:hint="eastAsia" w:ascii="宋体" w:hAnsi="宋体"/>
          <w:sz w:val="24"/>
          <w:szCs w:val="24"/>
        </w:rPr>
        <w:t>13）本基金与私募类证券资管产品及中国证监会认定的其他主体为交易对手开展逆回购交易的，可接受质押品的资质要求应当与基金合同约定的投资范围保持一致；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2"/>
        <w:rPr>
          <w:rFonts w:ascii="宋体" w:hAnsi="宋体"/>
          <w:sz w:val="24"/>
          <w:szCs w:val="24"/>
        </w:rPr>
      </w:pPr>
      <w:r>
        <w:rPr>
          <w:rFonts w:hint="eastAsia" w:ascii="宋体" w:hAnsi="宋体"/>
          <w:sz w:val="24"/>
          <w:szCs w:val="24"/>
        </w:rPr>
        <w:t>14）若本基金参与股指期货交易，则：</w:t>
      </w:r>
    </w:p>
    <w:p>
      <w:pPr>
        <w:adjustRightInd w:val="0"/>
        <w:snapToGrid w:val="0"/>
        <w:spacing w:line="360" w:lineRule="auto"/>
        <w:ind w:firstLine="482"/>
        <w:rPr>
          <w:rFonts w:ascii="宋体" w:hAnsi="宋体"/>
          <w:sz w:val="24"/>
          <w:szCs w:val="24"/>
        </w:rPr>
      </w:pPr>
      <w:r>
        <w:rPr>
          <w:rFonts w:ascii="宋体" w:hAnsi="宋体"/>
          <w:sz w:val="24"/>
          <w:szCs w:val="24"/>
        </w:rPr>
        <w:t>a.</w:t>
      </w:r>
      <w:r>
        <w:rPr>
          <w:rFonts w:hint="eastAsia" w:ascii="宋体" w:hAnsi="宋体"/>
          <w:sz w:val="24"/>
          <w:szCs w:val="24"/>
        </w:rPr>
        <w:t>本基金在任何交易日日终，持有的买入股指期货合约价值，不得超过基金资产净值的10%；</w:t>
      </w:r>
    </w:p>
    <w:p>
      <w:pPr>
        <w:adjustRightInd w:val="0"/>
        <w:snapToGrid w:val="0"/>
        <w:spacing w:line="360" w:lineRule="auto"/>
        <w:ind w:firstLine="482"/>
        <w:rPr>
          <w:rFonts w:ascii="宋体" w:hAnsi="宋体"/>
          <w:sz w:val="24"/>
          <w:szCs w:val="24"/>
        </w:rPr>
      </w:pPr>
      <w:r>
        <w:rPr>
          <w:rFonts w:ascii="宋体" w:hAnsi="宋体"/>
          <w:sz w:val="24"/>
          <w:szCs w:val="24"/>
        </w:rPr>
        <w:t>b.</w:t>
      </w:r>
      <w:r>
        <w:rPr>
          <w:rFonts w:hint="eastAsia" w:ascii="宋体" w:hAnsi="宋体"/>
          <w:sz w:val="24"/>
          <w:szCs w:val="24"/>
        </w:rPr>
        <w:t>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djustRightInd w:val="0"/>
        <w:snapToGrid w:val="0"/>
        <w:spacing w:line="360" w:lineRule="auto"/>
        <w:ind w:firstLine="482"/>
        <w:rPr>
          <w:rFonts w:ascii="宋体" w:hAnsi="宋体"/>
          <w:sz w:val="24"/>
          <w:szCs w:val="24"/>
        </w:rPr>
      </w:pPr>
      <w:r>
        <w:rPr>
          <w:rFonts w:ascii="宋体" w:hAnsi="宋体"/>
          <w:sz w:val="24"/>
          <w:szCs w:val="24"/>
        </w:rPr>
        <w:t>c.</w:t>
      </w:r>
      <w:r>
        <w:rPr>
          <w:rFonts w:hint="eastAsia" w:ascii="宋体" w:hAnsi="宋体"/>
          <w:sz w:val="24"/>
          <w:szCs w:val="24"/>
        </w:rPr>
        <w:t>本基金在任何交易日日终，持有的卖出股指期货合约价值不得超过基金持有的股票总市值的20%；</w:t>
      </w:r>
    </w:p>
    <w:p>
      <w:pPr>
        <w:adjustRightInd w:val="0"/>
        <w:snapToGrid w:val="0"/>
        <w:spacing w:line="360" w:lineRule="auto"/>
        <w:ind w:firstLine="482"/>
        <w:rPr>
          <w:rFonts w:ascii="宋体" w:hAnsi="宋体"/>
          <w:sz w:val="24"/>
          <w:szCs w:val="24"/>
        </w:rPr>
      </w:pPr>
      <w:r>
        <w:rPr>
          <w:rFonts w:ascii="宋体" w:hAnsi="宋体"/>
          <w:sz w:val="24"/>
          <w:szCs w:val="24"/>
        </w:rPr>
        <w:t>d.</w:t>
      </w:r>
      <w:r>
        <w:rPr>
          <w:rFonts w:hint="eastAsia" w:ascii="宋体" w:hAnsi="宋体"/>
          <w:sz w:val="24"/>
          <w:szCs w:val="24"/>
        </w:rPr>
        <w:t>本基金所持有的股票市值和买入、卖出股指期货合约价值，合计（轧差计算）应当符合基金合同关于股票投资比例的有关约定；</w:t>
      </w:r>
    </w:p>
    <w:p>
      <w:pPr>
        <w:adjustRightInd w:val="0"/>
        <w:snapToGrid w:val="0"/>
        <w:spacing w:line="360" w:lineRule="auto"/>
        <w:ind w:firstLine="482"/>
        <w:rPr>
          <w:rFonts w:ascii="宋体" w:hAnsi="宋体"/>
          <w:sz w:val="24"/>
          <w:szCs w:val="24"/>
        </w:rPr>
      </w:pPr>
      <w:r>
        <w:rPr>
          <w:rFonts w:ascii="宋体" w:hAnsi="宋体"/>
          <w:sz w:val="24"/>
          <w:szCs w:val="24"/>
        </w:rPr>
        <w:t>e.</w:t>
      </w:r>
      <w:r>
        <w:rPr>
          <w:rFonts w:hint="eastAsia" w:ascii="宋体" w:hAnsi="宋体"/>
          <w:sz w:val="24"/>
          <w:szCs w:val="24"/>
        </w:rPr>
        <w:t>本基金在任何交易日内交易（不包括平仓）的股指期货合约的成交金额不得超过上一交易日基金资产净值的20%；</w:t>
      </w:r>
    </w:p>
    <w:p>
      <w:pPr>
        <w:adjustRightInd w:val="0"/>
        <w:snapToGrid w:val="0"/>
        <w:spacing w:line="360" w:lineRule="auto"/>
        <w:ind w:firstLine="482"/>
        <w:rPr>
          <w:rFonts w:ascii="宋体" w:hAnsi="宋体"/>
          <w:sz w:val="24"/>
          <w:szCs w:val="24"/>
        </w:rPr>
      </w:pPr>
      <w:r>
        <w:rPr>
          <w:rFonts w:hint="eastAsia" w:ascii="宋体" w:hAnsi="宋体"/>
          <w:sz w:val="24"/>
          <w:szCs w:val="24"/>
        </w:rPr>
        <w:t>15）本基金资产总值不超过基金资产净值的140%；</w:t>
      </w:r>
    </w:p>
    <w:p>
      <w:pPr>
        <w:adjustRightInd w:val="0"/>
        <w:snapToGrid w:val="0"/>
        <w:spacing w:line="360" w:lineRule="auto"/>
        <w:ind w:firstLine="482"/>
        <w:rPr>
          <w:rFonts w:ascii="宋体" w:hAnsi="宋体"/>
          <w:sz w:val="24"/>
          <w:szCs w:val="24"/>
        </w:rPr>
      </w:pPr>
      <w:r>
        <w:rPr>
          <w:rFonts w:hint="eastAsia" w:ascii="宋体" w:hAnsi="宋体"/>
          <w:sz w:val="24"/>
          <w:szCs w:val="24"/>
        </w:rPr>
        <w:t>16）本基金投资存托凭证的比例限制依照境内上市交易的股票执行；</w:t>
      </w:r>
    </w:p>
    <w:p>
      <w:pPr>
        <w:adjustRightInd w:val="0"/>
        <w:snapToGrid w:val="0"/>
        <w:spacing w:line="360" w:lineRule="auto"/>
        <w:ind w:firstLine="482"/>
        <w:rPr>
          <w:rFonts w:ascii="宋体" w:hAnsi="宋体"/>
          <w:sz w:val="24"/>
          <w:szCs w:val="24"/>
        </w:rPr>
      </w:pPr>
      <w:r>
        <w:rPr>
          <w:rFonts w:hint="eastAsia" w:ascii="宋体" w:hAnsi="宋体"/>
          <w:sz w:val="24"/>
          <w:szCs w:val="24"/>
        </w:rPr>
        <w:t>17）法律法规及中国证监会规定的和《基金合同》约定的其他投资限制。</w:t>
      </w:r>
    </w:p>
    <w:p>
      <w:pPr>
        <w:adjustRightInd w:val="0"/>
        <w:snapToGrid w:val="0"/>
        <w:spacing w:line="360" w:lineRule="auto"/>
        <w:ind w:firstLine="482"/>
        <w:rPr>
          <w:rFonts w:ascii="宋体" w:hAnsi="宋体"/>
          <w:sz w:val="24"/>
          <w:szCs w:val="24"/>
        </w:rPr>
      </w:pPr>
      <w:r>
        <w:rPr>
          <w:rFonts w:hint="eastAsia" w:ascii="宋体" w:hAnsi="宋体"/>
          <w:sz w:val="24"/>
          <w:szCs w:val="24"/>
        </w:rPr>
        <w:t>除上述2）、9）、12）、13）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djustRightInd w:val="0"/>
        <w:snapToGrid w:val="0"/>
        <w:spacing w:line="360" w:lineRule="auto"/>
        <w:ind w:firstLine="482"/>
        <w:rPr>
          <w:rFonts w:ascii="宋体" w:hAnsi="宋体"/>
          <w:sz w:val="24"/>
          <w:szCs w:val="24"/>
        </w:rPr>
      </w:pPr>
      <w:r>
        <w:rPr>
          <w:rFonts w:hint="eastAsia" w:ascii="宋体" w:hAnsi="宋体"/>
          <w:sz w:val="24"/>
          <w:szCs w:val="24"/>
        </w:rPr>
        <w:t>（3）本基金财产不得用于以下投资或者活动：</w:t>
      </w:r>
    </w:p>
    <w:p>
      <w:pPr>
        <w:adjustRightInd w:val="0"/>
        <w:snapToGrid w:val="0"/>
        <w:spacing w:line="360" w:lineRule="auto"/>
        <w:ind w:firstLine="482"/>
        <w:rPr>
          <w:rFonts w:ascii="宋体" w:hAnsi="宋体"/>
          <w:sz w:val="24"/>
          <w:szCs w:val="24"/>
        </w:rPr>
      </w:pPr>
      <w:r>
        <w:rPr>
          <w:rFonts w:hint="eastAsia" w:ascii="宋体" w:hAnsi="宋体"/>
          <w:sz w:val="24"/>
          <w:szCs w:val="24"/>
        </w:rPr>
        <w:t>1）承销证券；</w:t>
      </w:r>
    </w:p>
    <w:p>
      <w:pPr>
        <w:adjustRightInd w:val="0"/>
        <w:snapToGrid w:val="0"/>
        <w:spacing w:line="360" w:lineRule="auto"/>
        <w:ind w:firstLine="482"/>
        <w:rPr>
          <w:rFonts w:ascii="宋体" w:hAnsi="宋体"/>
          <w:sz w:val="24"/>
          <w:szCs w:val="24"/>
        </w:rPr>
      </w:pPr>
      <w:r>
        <w:rPr>
          <w:rFonts w:hint="eastAsia" w:ascii="宋体" w:hAnsi="宋体"/>
          <w:sz w:val="24"/>
          <w:szCs w:val="24"/>
        </w:rPr>
        <w:t>2）违反规定向他人贷款或者提供担保；</w:t>
      </w:r>
    </w:p>
    <w:p>
      <w:pPr>
        <w:adjustRightInd w:val="0"/>
        <w:snapToGrid w:val="0"/>
        <w:spacing w:line="360" w:lineRule="auto"/>
        <w:ind w:firstLine="482"/>
        <w:rPr>
          <w:rFonts w:ascii="宋体" w:hAnsi="宋体"/>
          <w:sz w:val="24"/>
          <w:szCs w:val="24"/>
        </w:rPr>
      </w:pPr>
      <w:r>
        <w:rPr>
          <w:rFonts w:hint="eastAsia" w:ascii="宋体" w:hAnsi="宋体"/>
          <w:sz w:val="24"/>
          <w:szCs w:val="24"/>
        </w:rPr>
        <w:t>3）从事承担无限责任的投资；</w:t>
      </w:r>
    </w:p>
    <w:p>
      <w:pPr>
        <w:adjustRightInd w:val="0"/>
        <w:snapToGrid w:val="0"/>
        <w:spacing w:line="360" w:lineRule="auto"/>
        <w:ind w:firstLine="482"/>
        <w:rPr>
          <w:rFonts w:ascii="宋体" w:hAnsi="宋体"/>
          <w:sz w:val="24"/>
          <w:szCs w:val="24"/>
        </w:rPr>
      </w:pPr>
      <w:r>
        <w:rPr>
          <w:rFonts w:hint="eastAsia" w:ascii="宋体" w:hAnsi="宋体"/>
          <w:sz w:val="24"/>
          <w:szCs w:val="24"/>
        </w:rPr>
        <w:t>4）买卖其他基金份额，但是中国证监会另有规定的除外；</w:t>
      </w:r>
    </w:p>
    <w:p>
      <w:pPr>
        <w:adjustRightInd w:val="0"/>
        <w:snapToGrid w:val="0"/>
        <w:spacing w:line="360" w:lineRule="auto"/>
        <w:ind w:firstLine="482"/>
        <w:rPr>
          <w:rFonts w:ascii="宋体" w:hAnsi="宋体"/>
          <w:sz w:val="24"/>
          <w:szCs w:val="24"/>
        </w:rPr>
      </w:pPr>
      <w:r>
        <w:rPr>
          <w:rFonts w:hint="eastAsia" w:ascii="宋体" w:hAnsi="宋体"/>
          <w:sz w:val="24"/>
          <w:szCs w:val="24"/>
        </w:rPr>
        <w:t>5）向其基金管理人、基金托管人出资；</w:t>
      </w:r>
    </w:p>
    <w:p>
      <w:pPr>
        <w:adjustRightInd w:val="0"/>
        <w:snapToGrid w:val="0"/>
        <w:spacing w:line="360" w:lineRule="auto"/>
        <w:ind w:firstLine="482"/>
        <w:rPr>
          <w:rFonts w:ascii="宋体" w:hAnsi="宋体"/>
          <w:sz w:val="24"/>
          <w:szCs w:val="24"/>
        </w:rPr>
      </w:pPr>
      <w:r>
        <w:rPr>
          <w:rFonts w:hint="eastAsia" w:ascii="宋体" w:hAnsi="宋体"/>
          <w:sz w:val="24"/>
          <w:szCs w:val="24"/>
        </w:rPr>
        <w:t>6）从事内幕交易、操纵证券交易价格及其他不正当的证券交易活动；</w:t>
      </w:r>
    </w:p>
    <w:p>
      <w:pPr>
        <w:adjustRightInd w:val="0"/>
        <w:snapToGrid w:val="0"/>
        <w:spacing w:line="360" w:lineRule="auto"/>
        <w:ind w:firstLine="482"/>
        <w:rPr>
          <w:rFonts w:ascii="宋体" w:hAnsi="宋体"/>
          <w:sz w:val="24"/>
          <w:szCs w:val="24"/>
        </w:rPr>
      </w:pPr>
      <w:r>
        <w:rPr>
          <w:rFonts w:hint="eastAsia" w:ascii="宋体" w:hAnsi="宋体"/>
          <w:sz w:val="24"/>
          <w:szCs w:val="24"/>
        </w:rPr>
        <w:t>7）法律、行政法规和中国证监会规定禁止的其他活动。</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spacing w:line="360" w:lineRule="auto"/>
        <w:ind w:firstLine="482"/>
        <w:rPr>
          <w:rFonts w:ascii="宋体" w:hAnsi="宋体"/>
          <w:sz w:val="24"/>
          <w:szCs w:val="24"/>
        </w:rPr>
      </w:pPr>
      <w:r>
        <w:rPr>
          <w:rFonts w:hint="eastAsia" w:ascii="宋体" w:hAnsi="宋体"/>
          <w:sz w:val="24"/>
          <w:szCs w:val="24"/>
        </w:rPr>
        <w:t>如法律、行政法规或监管部门取消或变更上述规定，如适用于本基金，基金管理人在履行适当程序后，本基金可不受上述规定的限制或以变更后的规定为准。</w:t>
      </w:r>
    </w:p>
    <w:p>
      <w:pPr>
        <w:adjustRightInd w:val="0"/>
        <w:snapToGrid w:val="0"/>
        <w:spacing w:line="360" w:lineRule="auto"/>
        <w:ind w:firstLine="482"/>
        <w:rPr>
          <w:rFonts w:ascii="宋体" w:hAnsi="宋体"/>
          <w:sz w:val="24"/>
          <w:szCs w:val="24"/>
        </w:rPr>
      </w:pPr>
      <w:r>
        <w:rPr>
          <w:rFonts w:hint="eastAsia" w:ascii="宋体" w:hAnsi="宋体"/>
          <w:sz w:val="24"/>
          <w:szCs w:val="24"/>
        </w:rPr>
        <w:t>（4）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pPr>
        <w:adjustRightInd w:val="0"/>
        <w:snapToGrid w:val="0"/>
        <w:spacing w:line="360" w:lineRule="auto"/>
        <w:ind w:firstLine="482"/>
        <w:rPr>
          <w:rFonts w:ascii="宋体" w:hAnsi="宋体"/>
          <w:sz w:val="24"/>
          <w:szCs w:val="24"/>
        </w:rPr>
      </w:pPr>
      <w:r>
        <w:rPr>
          <w:rFonts w:hint="eastAsia" w:ascii="宋体" w:hAnsi="宋体"/>
          <w:sz w:val="24"/>
          <w:szCs w:val="24"/>
        </w:rPr>
        <w:t>（5）法律法规或监管部门取消或变更上述投资组合比例限制，如适用于本基金，基金管理人在履行适当程序后，则本基金投资不再受相关限制或以变更后的规定为准。</w:t>
      </w:r>
    </w:p>
    <w:p>
      <w:pPr>
        <w:adjustRightInd w:val="0"/>
        <w:snapToGrid w:val="0"/>
        <w:spacing w:line="360" w:lineRule="auto"/>
        <w:ind w:firstLine="482"/>
        <w:rPr>
          <w:rFonts w:ascii="宋体" w:hAnsi="宋体"/>
          <w:sz w:val="24"/>
          <w:szCs w:val="24"/>
        </w:rPr>
      </w:pPr>
      <w:r>
        <w:rPr>
          <w:rFonts w:hint="eastAsia" w:ascii="宋体" w:hAnsi="宋体"/>
          <w:sz w:val="24"/>
          <w:szCs w:val="24"/>
        </w:rPr>
        <w:t>2、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pPr>
        <w:adjustRightInd w:val="0"/>
        <w:snapToGrid w:val="0"/>
        <w:spacing w:line="360" w:lineRule="auto"/>
        <w:ind w:firstLine="482"/>
        <w:rPr>
          <w:rFonts w:ascii="宋体" w:hAnsi="宋体"/>
          <w:sz w:val="24"/>
          <w:szCs w:val="24"/>
        </w:rPr>
      </w:pPr>
      <w:r>
        <w:rPr>
          <w:rFonts w:hint="eastAsia" w:ascii="宋体" w:hAnsi="宋体"/>
          <w:sz w:val="24"/>
          <w:szCs w:val="24"/>
        </w:rPr>
        <w:t>本基金投资银行存款应符合如下规定：</w:t>
      </w:r>
    </w:p>
    <w:p>
      <w:pPr>
        <w:adjustRightInd w:val="0"/>
        <w:snapToGrid w:val="0"/>
        <w:spacing w:line="360" w:lineRule="auto"/>
        <w:ind w:firstLine="482"/>
        <w:rPr>
          <w:rFonts w:ascii="宋体" w:hAnsi="宋体"/>
          <w:sz w:val="24"/>
          <w:szCs w:val="24"/>
        </w:rPr>
      </w:pPr>
      <w:r>
        <w:rPr>
          <w:rFonts w:hint="eastAsia" w:ascii="宋体" w:hAnsi="宋体"/>
          <w:sz w:val="24"/>
          <w:szCs w:val="24"/>
        </w:rPr>
        <w:t>（1）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pPr>
        <w:adjustRightInd w:val="0"/>
        <w:snapToGrid w:val="0"/>
        <w:spacing w:line="360" w:lineRule="auto"/>
        <w:ind w:firstLine="482"/>
        <w:rPr>
          <w:rFonts w:ascii="宋体" w:hAnsi="宋体"/>
          <w:sz w:val="24"/>
          <w:szCs w:val="24"/>
        </w:rPr>
      </w:pPr>
      <w:r>
        <w:rPr>
          <w:rFonts w:hint="eastAsia" w:ascii="宋体" w:hAnsi="宋体"/>
          <w:sz w:val="24"/>
          <w:szCs w:val="24"/>
        </w:rPr>
        <w:t>有关法律法规或监管部门制定或修改新的定期存款投资政策，基金管理人履行适当程序后，可相应调整投资组合限制的规定。</w:t>
      </w:r>
    </w:p>
    <w:p>
      <w:pPr>
        <w:adjustRightInd w:val="0"/>
        <w:snapToGrid w:val="0"/>
        <w:spacing w:line="360" w:lineRule="auto"/>
        <w:ind w:firstLine="482"/>
        <w:rPr>
          <w:rFonts w:ascii="宋体" w:hAnsi="宋体"/>
          <w:sz w:val="24"/>
          <w:szCs w:val="24"/>
        </w:rPr>
      </w:pPr>
      <w:r>
        <w:rPr>
          <w:rFonts w:hint="eastAsia" w:ascii="宋体" w:hAnsi="宋体"/>
          <w:sz w:val="24"/>
          <w:szCs w:val="24"/>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pPr>
        <w:adjustRightInd w:val="0"/>
        <w:snapToGrid w:val="0"/>
        <w:spacing w:line="360" w:lineRule="auto"/>
        <w:ind w:firstLine="482"/>
        <w:rPr>
          <w:rFonts w:ascii="宋体" w:hAnsi="宋体"/>
          <w:sz w:val="24"/>
          <w:szCs w:val="24"/>
        </w:rPr>
      </w:pPr>
      <w:r>
        <w:rPr>
          <w:rFonts w:hint="eastAsia" w:ascii="宋体" w:hAnsi="宋体"/>
          <w:sz w:val="24"/>
          <w:szCs w:val="24"/>
        </w:rPr>
        <w:t>1）基金管理人负责控制信用风险。信用风险主要包括存款银行的信用等级、存款银行的支付能力等涉及到存款银行选择方面的风险。因选择存款银行不当造成基金财产损失的，由基金管理人承担责任。</w:t>
      </w:r>
    </w:p>
    <w:p>
      <w:pPr>
        <w:adjustRightInd w:val="0"/>
        <w:snapToGrid w:val="0"/>
        <w:spacing w:line="360" w:lineRule="auto"/>
        <w:ind w:firstLine="482"/>
        <w:rPr>
          <w:rFonts w:ascii="宋体" w:hAnsi="宋体"/>
          <w:sz w:val="24"/>
          <w:szCs w:val="24"/>
        </w:rPr>
      </w:pPr>
      <w:r>
        <w:rPr>
          <w:rFonts w:hint="eastAsia" w:ascii="宋体" w:hAnsi="宋体"/>
          <w:sz w:val="24"/>
          <w:szCs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pPr>
        <w:adjustRightInd w:val="0"/>
        <w:snapToGrid w:val="0"/>
        <w:spacing w:line="360" w:lineRule="auto"/>
        <w:ind w:firstLine="482"/>
        <w:rPr>
          <w:rFonts w:ascii="宋体" w:hAnsi="宋体"/>
          <w:sz w:val="24"/>
          <w:szCs w:val="24"/>
        </w:rPr>
      </w:pPr>
      <w:r>
        <w:rPr>
          <w:rFonts w:hint="eastAsia" w:ascii="宋体" w:hAnsi="宋体"/>
          <w:sz w:val="24"/>
          <w:szCs w:val="24"/>
        </w:rPr>
        <w:t>3）基金管理人须加强内部风险控制制度的建设。如因基金管理人员工职务行为导致基金财产受到损失的，需由基金管理人承担由此造成的损失。</w:t>
      </w:r>
    </w:p>
    <w:p>
      <w:pPr>
        <w:adjustRightInd w:val="0"/>
        <w:snapToGrid w:val="0"/>
        <w:spacing w:line="360" w:lineRule="auto"/>
        <w:ind w:firstLine="482"/>
        <w:rPr>
          <w:rFonts w:ascii="宋体" w:hAnsi="宋体"/>
          <w:sz w:val="24"/>
          <w:szCs w:val="24"/>
        </w:rPr>
      </w:pPr>
      <w:r>
        <w:rPr>
          <w:rFonts w:hint="eastAsia" w:ascii="宋体" w:hAnsi="宋体"/>
          <w:sz w:val="24"/>
          <w:szCs w:val="24"/>
        </w:rPr>
        <w:t>4）基金管理人与基金托管人在开展基金存款业务时，应严格遵守《基金法》、《运作办法》等有关法律法规，以及国家有关账户管理、利率管理、支付结算等的各项规定。</w:t>
      </w:r>
    </w:p>
    <w:p>
      <w:pPr>
        <w:adjustRightInd w:val="0"/>
        <w:snapToGrid w:val="0"/>
        <w:spacing w:line="360" w:lineRule="auto"/>
        <w:ind w:firstLine="482"/>
        <w:rPr>
          <w:rFonts w:ascii="宋体" w:hAnsi="宋体"/>
          <w:sz w:val="24"/>
          <w:szCs w:val="24"/>
        </w:rPr>
      </w:pPr>
      <w:r>
        <w:rPr>
          <w:rFonts w:hint="eastAsia" w:ascii="宋体" w:hAnsi="宋体"/>
          <w:sz w:val="24"/>
          <w:szCs w:val="24"/>
        </w:rPr>
        <w:t>3、基金投资银行存款协议的签订、账户开设与管理、投资指令与资金划付、账目核对、到期兑付、提前支取、基金投资银行存款的监督</w:t>
      </w:r>
    </w:p>
    <w:p>
      <w:pPr>
        <w:adjustRightInd w:val="0"/>
        <w:snapToGrid w:val="0"/>
        <w:spacing w:line="360" w:lineRule="auto"/>
        <w:ind w:firstLine="482"/>
        <w:rPr>
          <w:rFonts w:ascii="宋体" w:hAnsi="宋体"/>
          <w:sz w:val="24"/>
          <w:szCs w:val="24"/>
        </w:rPr>
      </w:pPr>
      <w:r>
        <w:rPr>
          <w:rFonts w:hint="eastAsia" w:ascii="宋体" w:hAnsi="宋体"/>
          <w:sz w:val="24"/>
          <w:szCs w:val="24"/>
        </w:rPr>
        <w:t>（1）基金投资银行存款协议的签订</w:t>
      </w:r>
    </w:p>
    <w:p>
      <w:pPr>
        <w:adjustRightInd w:val="0"/>
        <w:snapToGrid w:val="0"/>
        <w:spacing w:line="360" w:lineRule="auto"/>
        <w:ind w:firstLine="482"/>
        <w:rPr>
          <w:rFonts w:ascii="宋体" w:hAnsi="宋体"/>
          <w:sz w:val="24"/>
          <w:szCs w:val="24"/>
        </w:rPr>
      </w:pPr>
      <w:r>
        <w:rPr>
          <w:rFonts w:hint="eastAsia" w:ascii="宋体" w:hAnsi="宋体"/>
          <w:sz w:val="24"/>
          <w:szCs w:val="24"/>
        </w:rPr>
        <w:t>1）基金管理人应与符合资格的存款银行总行或其授权分行签订（《基金存款业务总体合作协议》（以下简称《总体合作协议》），确定《存款协议书》的格式范本。《总体合作协议》的格式范本由基金托管人、基金管理人、存款银行总行或其授权分行共同商定。</w:t>
      </w:r>
    </w:p>
    <w:p>
      <w:pPr>
        <w:adjustRightInd w:val="0"/>
        <w:snapToGrid w:val="0"/>
        <w:spacing w:line="360" w:lineRule="auto"/>
        <w:ind w:firstLine="482"/>
        <w:rPr>
          <w:rFonts w:ascii="宋体" w:hAnsi="宋体"/>
          <w:sz w:val="24"/>
          <w:szCs w:val="24"/>
        </w:rPr>
      </w:pPr>
      <w:r>
        <w:rPr>
          <w:rFonts w:hint="eastAsia" w:ascii="宋体" w:hAnsi="宋体"/>
          <w:sz w:val="24"/>
          <w:szCs w:val="24"/>
        </w:rPr>
        <w:t>2）基金托管人依据相关法规对《总体合作协议》和《存款协议书》的内容进行复核，审查存款银行资格等。</w:t>
      </w:r>
    </w:p>
    <w:p>
      <w:pPr>
        <w:adjustRightInd w:val="0"/>
        <w:snapToGrid w:val="0"/>
        <w:spacing w:line="360" w:lineRule="auto"/>
        <w:ind w:firstLine="482"/>
        <w:rPr>
          <w:rFonts w:ascii="宋体" w:hAnsi="宋体"/>
          <w:sz w:val="24"/>
          <w:szCs w:val="24"/>
        </w:rPr>
      </w:pPr>
      <w:r>
        <w:rPr>
          <w:rFonts w:hint="eastAsia" w:ascii="宋体" w:hAnsi="宋体"/>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pPr>
        <w:adjustRightInd w:val="0"/>
        <w:snapToGrid w:val="0"/>
        <w:spacing w:line="360" w:lineRule="auto"/>
        <w:ind w:firstLine="482"/>
        <w:rPr>
          <w:rFonts w:ascii="宋体" w:hAnsi="宋体"/>
          <w:sz w:val="24"/>
          <w:szCs w:val="24"/>
        </w:rPr>
      </w:pPr>
      <w:r>
        <w:rPr>
          <w:rFonts w:hint="eastAsia" w:ascii="宋体" w:hAnsi="宋体"/>
          <w:sz w:val="24"/>
          <w:szCs w:val="24"/>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pPr>
        <w:adjustRightInd w:val="0"/>
        <w:snapToGrid w:val="0"/>
        <w:spacing w:line="360" w:lineRule="auto"/>
        <w:ind w:firstLine="482"/>
        <w:rPr>
          <w:rFonts w:ascii="宋体" w:hAnsi="宋体"/>
          <w:sz w:val="24"/>
          <w:szCs w:val="24"/>
        </w:rPr>
      </w:pPr>
      <w:r>
        <w:rPr>
          <w:rFonts w:hint="eastAsia" w:ascii="宋体" w:hAnsi="宋体"/>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pPr>
        <w:adjustRightInd w:val="0"/>
        <w:snapToGrid w:val="0"/>
        <w:spacing w:line="360" w:lineRule="auto"/>
        <w:ind w:firstLine="482"/>
        <w:rPr>
          <w:rFonts w:ascii="宋体" w:hAnsi="宋体"/>
          <w:sz w:val="24"/>
          <w:szCs w:val="24"/>
        </w:rPr>
      </w:pPr>
      <w:r>
        <w:rPr>
          <w:rFonts w:hint="eastAsia" w:ascii="宋体" w:hAnsi="宋体"/>
          <w:sz w:val="24"/>
          <w:szCs w:val="24"/>
        </w:rPr>
        <w:t>6）基金管理人应在《存款协议书》中规定，在存期内，如本基金银行账户、预留印鉴发生变更，基金管理人应及时书面通知存款银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及基金管理人。</w:t>
      </w:r>
    </w:p>
    <w:p>
      <w:pPr>
        <w:adjustRightInd w:val="0"/>
        <w:snapToGrid w:val="0"/>
        <w:spacing w:line="360" w:lineRule="auto"/>
        <w:ind w:firstLine="482"/>
        <w:rPr>
          <w:rFonts w:ascii="宋体" w:hAnsi="宋体"/>
          <w:sz w:val="24"/>
          <w:szCs w:val="24"/>
        </w:rPr>
      </w:pPr>
      <w:r>
        <w:rPr>
          <w:rFonts w:hint="eastAsia" w:ascii="宋体" w:hAnsi="宋体"/>
          <w:sz w:val="24"/>
          <w:szCs w:val="24"/>
        </w:rPr>
        <w:t>7）基金管理人应在《存款协议书》中规定，因定期存款产生的存单不得被质押或以任何方式被抵押，不得用于转让和背书。</w:t>
      </w:r>
    </w:p>
    <w:p>
      <w:pPr>
        <w:adjustRightInd w:val="0"/>
        <w:snapToGrid w:val="0"/>
        <w:spacing w:line="360" w:lineRule="auto"/>
        <w:ind w:firstLine="482"/>
        <w:rPr>
          <w:rFonts w:ascii="宋体" w:hAnsi="宋体"/>
          <w:sz w:val="24"/>
          <w:szCs w:val="24"/>
        </w:rPr>
      </w:pPr>
      <w:r>
        <w:rPr>
          <w:rFonts w:hint="eastAsia" w:ascii="宋体" w:hAnsi="宋体"/>
          <w:sz w:val="24"/>
          <w:szCs w:val="24"/>
        </w:rPr>
        <w:t>（2）基金投资银行存款时的账户开设与管理</w:t>
      </w:r>
    </w:p>
    <w:p>
      <w:pPr>
        <w:adjustRightInd w:val="0"/>
        <w:snapToGrid w:val="0"/>
        <w:spacing w:line="360" w:lineRule="auto"/>
        <w:ind w:firstLine="482"/>
        <w:rPr>
          <w:rFonts w:ascii="宋体" w:hAnsi="宋体"/>
          <w:sz w:val="24"/>
          <w:szCs w:val="24"/>
        </w:rPr>
      </w:pPr>
      <w:r>
        <w:rPr>
          <w:rFonts w:hint="eastAsia" w:ascii="宋体" w:hAnsi="宋体"/>
          <w:sz w:val="24"/>
          <w:szCs w:val="24"/>
        </w:rPr>
        <w:t>1）基金投资于银行存款时，基金管理人应当依据基金管理人与存款银行签订的《总体合作协议》和《存款协议书》等，以基金的名义在存款银行总行或授权分行指定的分支机构开立银行账户。</w:t>
      </w:r>
    </w:p>
    <w:p>
      <w:pPr>
        <w:adjustRightInd w:val="0"/>
        <w:snapToGrid w:val="0"/>
        <w:spacing w:line="360" w:lineRule="auto"/>
        <w:ind w:firstLine="482"/>
        <w:rPr>
          <w:rFonts w:ascii="宋体" w:hAnsi="宋体"/>
          <w:sz w:val="24"/>
          <w:szCs w:val="24"/>
        </w:rPr>
      </w:pPr>
      <w:r>
        <w:rPr>
          <w:rFonts w:hint="eastAsia" w:ascii="宋体" w:hAnsi="宋体"/>
          <w:sz w:val="24"/>
          <w:szCs w:val="24"/>
        </w:rPr>
        <w:t>2）基金投资于银行存款时的预留印鉴由基金托管人保管和使用。</w:t>
      </w:r>
    </w:p>
    <w:p>
      <w:pPr>
        <w:adjustRightInd w:val="0"/>
        <w:snapToGrid w:val="0"/>
        <w:spacing w:line="360" w:lineRule="auto"/>
        <w:ind w:firstLine="482"/>
        <w:rPr>
          <w:rFonts w:ascii="宋体" w:hAnsi="宋体"/>
          <w:sz w:val="24"/>
          <w:szCs w:val="24"/>
        </w:rPr>
      </w:pPr>
      <w:r>
        <w:rPr>
          <w:rFonts w:hint="eastAsia" w:ascii="宋体" w:hAnsi="宋体"/>
          <w:sz w:val="24"/>
          <w:szCs w:val="24"/>
        </w:rPr>
        <w:t>（3）存款凭证传递、账目核对及到期兑付</w:t>
      </w:r>
    </w:p>
    <w:p>
      <w:pPr>
        <w:adjustRightInd w:val="0"/>
        <w:snapToGrid w:val="0"/>
        <w:spacing w:line="360" w:lineRule="auto"/>
        <w:ind w:firstLine="482"/>
        <w:rPr>
          <w:rFonts w:ascii="宋体" w:hAnsi="宋体"/>
          <w:sz w:val="24"/>
          <w:szCs w:val="24"/>
        </w:rPr>
      </w:pPr>
      <w:r>
        <w:rPr>
          <w:rFonts w:hint="eastAsia" w:ascii="宋体" w:hAnsi="宋体"/>
          <w:sz w:val="24"/>
          <w:szCs w:val="24"/>
        </w:rPr>
        <w:t>1）存款证实书等存款凭证传递</w:t>
      </w:r>
    </w:p>
    <w:p>
      <w:pPr>
        <w:adjustRightInd w:val="0"/>
        <w:snapToGrid w:val="0"/>
        <w:spacing w:line="360" w:lineRule="auto"/>
        <w:ind w:firstLine="482"/>
        <w:rPr>
          <w:rFonts w:ascii="宋体" w:hAnsi="宋体"/>
          <w:sz w:val="24"/>
          <w:szCs w:val="24"/>
        </w:rPr>
      </w:pPr>
      <w:r>
        <w:rPr>
          <w:rFonts w:hint="eastAsia" w:ascii="宋体" w:hAnsi="宋体"/>
          <w:sz w:val="24"/>
          <w:szCs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pPr>
        <w:adjustRightInd w:val="0"/>
        <w:snapToGrid w:val="0"/>
        <w:spacing w:line="360" w:lineRule="auto"/>
        <w:ind w:firstLine="482"/>
        <w:rPr>
          <w:rFonts w:ascii="宋体" w:hAnsi="宋体"/>
          <w:sz w:val="24"/>
          <w:szCs w:val="24"/>
        </w:rPr>
      </w:pPr>
      <w:r>
        <w:rPr>
          <w:rFonts w:hint="eastAsia" w:ascii="宋体" w:hAnsi="宋体"/>
          <w:sz w:val="24"/>
          <w:szCs w:val="24"/>
        </w:rPr>
        <w:t>2）存款凭证的遗失补办</w:t>
      </w:r>
    </w:p>
    <w:p>
      <w:pPr>
        <w:adjustRightInd w:val="0"/>
        <w:snapToGrid w:val="0"/>
        <w:spacing w:line="360" w:lineRule="auto"/>
        <w:ind w:firstLine="482"/>
        <w:rPr>
          <w:rFonts w:ascii="宋体" w:hAnsi="宋体"/>
          <w:sz w:val="24"/>
          <w:szCs w:val="24"/>
        </w:rPr>
      </w:pPr>
      <w:r>
        <w:rPr>
          <w:rFonts w:hint="eastAsia" w:ascii="宋体" w:hAnsi="宋体"/>
          <w:sz w:val="24"/>
          <w:szCs w:val="24"/>
        </w:rPr>
        <w:t>存款凭证在邮寄过程中遗失的，由基金管理人向存款银行提出补办申请，基金管理人应督促存款银行尽快补办存款凭证，并按以上1）的方式快递或上门交付至基金托管人，原存款凭证自动作废。</w:t>
      </w:r>
    </w:p>
    <w:p>
      <w:pPr>
        <w:adjustRightInd w:val="0"/>
        <w:snapToGrid w:val="0"/>
        <w:spacing w:line="360" w:lineRule="auto"/>
        <w:ind w:firstLine="482"/>
        <w:rPr>
          <w:rFonts w:ascii="宋体" w:hAnsi="宋体"/>
          <w:sz w:val="24"/>
          <w:szCs w:val="24"/>
        </w:rPr>
      </w:pPr>
      <w:r>
        <w:rPr>
          <w:rFonts w:hint="eastAsia" w:ascii="宋体" w:hAnsi="宋体"/>
          <w:sz w:val="24"/>
          <w:szCs w:val="24"/>
        </w:rPr>
        <w:t>3）账目核对</w:t>
      </w:r>
    </w:p>
    <w:p>
      <w:pPr>
        <w:adjustRightInd w:val="0"/>
        <w:snapToGrid w:val="0"/>
        <w:spacing w:line="360" w:lineRule="auto"/>
        <w:ind w:firstLine="482"/>
        <w:rPr>
          <w:rFonts w:ascii="宋体" w:hAnsi="宋体"/>
          <w:sz w:val="24"/>
          <w:szCs w:val="24"/>
        </w:rPr>
      </w:pPr>
      <w:r>
        <w:rPr>
          <w:rFonts w:hint="eastAsia" w:ascii="宋体" w:hAnsi="宋体"/>
          <w:sz w:val="24"/>
          <w:szCs w:val="24"/>
        </w:rPr>
        <w:t>每个工作日，基金管理人应与基金托管人核对各项银行存款投资余额及应计利息。</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应在《存款协议书》中规定，对于存期超过3个月的定期存款，基金托管人于每季度向存款银行发起查询查复，存款银行应按照中国人民银行查询查复的有关时限要求及时回复。基金管理人有责任督促存款银行及时回复查询查复。因存款银行未及时回复造成的资金被挪用、盗取的责任由存款银行承担。</w:t>
      </w:r>
    </w:p>
    <w:p>
      <w:pPr>
        <w:adjustRightInd w:val="0"/>
        <w:snapToGrid w:val="0"/>
        <w:spacing w:line="360" w:lineRule="auto"/>
        <w:ind w:firstLine="482"/>
        <w:rPr>
          <w:rFonts w:ascii="宋体" w:hAnsi="宋体"/>
          <w:sz w:val="24"/>
          <w:szCs w:val="24"/>
        </w:rPr>
      </w:pPr>
      <w:r>
        <w:rPr>
          <w:rFonts w:hint="eastAsia" w:ascii="宋体" w:hAnsi="宋体"/>
          <w:sz w:val="24"/>
          <w:szCs w:val="24"/>
        </w:rPr>
        <w:t>存款银行应配合基金托管人对存款凭证的询证，并在询证函上加盖存款银行公章寄送至基金托管人指定联系人。</w:t>
      </w:r>
    </w:p>
    <w:p>
      <w:pPr>
        <w:adjustRightInd w:val="0"/>
        <w:snapToGrid w:val="0"/>
        <w:spacing w:line="360" w:lineRule="auto"/>
        <w:ind w:firstLine="482"/>
        <w:rPr>
          <w:rFonts w:ascii="宋体" w:hAnsi="宋体"/>
          <w:sz w:val="24"/>
          <w:szCs w:val="24"/>
        </w:rPr>
      </w:pPr>
      <w:r>
        <w:rPr>
          <w:rFonts w:hint="eastAsia" w:ascii="宋体" w:hAnsi="宋体"/>
          <w:sz w:val="24"/>
          <w:szCs w:val="24"/>
        </w:rPr>
        <w:t>4）到期兑付</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pPr>
        <w:adjustRightInd w:val="0"/>
        <w:snapToGrid w:val="0"/>
        <w:spacing w:line="360" w:lineRule="auto"/>
        <w:ind w:firstLine="482"/>
        <w:rPr>
          <w:rFonts w:ascii="宋体" w:hAnsi="宋体"/>
          <w:sz w:val="24"/>
          <w:szCs w:val="24"/>
        </w:rPr>
      </w:pPr>
      <w:r>
        <w:rPr>
          <w:rFonts w:hint="eastAsia" w:ascii="宋体" w:hAnsi="宋体"/>
          <w:sz w:val="24"/>
          <w:szCs w:val="24"/>
        </w:rPr>
        <w:t>如果存款到期日为法定节假日，存款银行顺延至到期后第一个工作日支付，存款银行需按原协议约定利率和实际延期天数支付延期利息。</w:t>
      </w:r>
    </w:p>
    <w:p>
      <w:pPr>
        <w:adjustRightInd w:val="0"/>
        <w:snapToGrid w:val="0"/>
        <w:spacing w:line="360" w:lineRule="auto"/>
        <w:ind w:firstLine="482"/>
        <w:rPr>
          <w:rFonts w:ascii="宋体" w:hAnsi="宋体"/>
          <w:sz w:val="24"/>
          <w:szCs w:val="24"/>
        </w:rPr>
      </w:pPr>
      <w:r>
        <w:rPr>
          <w:rFonts w:hint="eastAsia" w:ascii="宋体" w:hAnsi="宋体"/>
          <w:sz w:val="24"/>
          <w:szCs w:val="24"/>
        </w:rPr>
        <w:t>（4）提前支取</w:t>
      </w:r>
    </w:p>
    <w:p>
      <w:pPr>
        <w:adjustRightInd w:val="0"/>
        <w:snapToGrid w:val="0"/>
        <w:spacing w:line="360" w:lineRule="auto"/>
        <w:ind w:firstLine="482"/>
        <w:rPr>
          <w:rFonts w:ascii="宋体" w:hAnsi="宋体"/>
          <w:sz w:val="24"/>
          <w:szCs w:val="24"/>
        </w:rPr>
      </w:pPr>
      <w:r>
        <w:rPr>
          <w:rFonts w:hint="eastAsia" w:ascii="宋体" w:hAnsi="宋体"/>
          <w:sz w:val="24"/>
          <w:szCs w:val="24"/>
        </w:rPr>
        <w:t>如果在存款期限内，由于基金规模发生缩减的原因或者出于流动性管理的需要等原因，基金管理人可以提前支取全部或部分资金。</w:t>
      </w:r>
    </w:p>
    <w:p>
      <w:pPr>
        <w:adjustRightInd w:val="0"/>
        <w:snapToGrid w:val="0"/>
        <w:spacing w:line="360" w:lineRule="auto"/>
        <w:ind w:firstLine="482"/>
        <w:rPr>
          <w:rFonts w:ascii="宋体" w:hAnsi="宋体"/>
          <w:sz w:val="24"/>
          <w:szCs w:val="24"/>
        </w:rPr>
      </w:pPr>
      <w:r>
        <w:rPr>
          <w:rFonts w:hint="eastAsia" w:ascii="宋体" w:hAnsi="宋体"/>
          <w:sz w:val="24"/>
          <w:szCs w:val="24"/>
        </w:rPr>
        <w:t>提前支取的具体事项按照基金管理人与存款银行签订的《存款协议书》执行。</w:t>
      </w:r>
    </w:p>
    <w:p>
      <w:pPr>
        <w:adjustRightInd w:val="0"/>
        <w:snapToGrid w:val="0"/>
        <w:spacing w:line="360" w:lineRule="auto"/>
        <w:ind w:firstLine="482"/>
        <w:rPr>
          <w:rFonts w:ascii="宋体" w:hAnsi="宋体"/>
          <w:sz w:val="24"/>
          <w:szCs w:val="24"/>
        </w:rPr>
      </w:pPr>
      <w:r>
        <w:rPr>
          <w:rFonts w:hint="eastAsia" w:ascii="宋体" w:hAnsi="宋体"/>
          <w:sz w:val="24"/>
          <w:szCs w:val="24"/>
        </w:rPr>
        <w:t>（5）基金投资银行存款的监督</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人拒不执行造成基金财产损失的，相关损失由基金管理人承担，基金托管人不承担责任。</w:t>
      </w:r>
    </w:p>
    <w:p>
      <w:pPr>
        <w:adjustRightInd w:val="0"/>
        <w:snapToGrid w:val="0"/>
        <w:spacing w:line="360" w:lineRule="auto"/>
        <w:ind w:firstLine="482"/>
        <w:rPr>
          <w:rFonts w:ascii="宋体" w:hAnsi="宋体"/>
          <w:sz w:val="24"/>
          <w:szCs w:val="24"/>
        </w:rPr>
      </w:pPr>
      <w:r>
        <w:rPr>
          <w:rFonts w:hint="eastAsia" w:ascii="宋体" w:hAnsi="宋体"/>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如基金管理人在基金投资运作之前未向基金托管人提供银行间债券市场交易对手名单的，视为基金管理人认可全市场交易对手。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提前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损失和责任。</w:t>
      </w:r>
    </w:p>
    <w:p>
      <w:pPr>
        <w:adjustRightInd w:val="0"/>
        <w:snapToGrid w:val="0"/>
        <w:spacing w:line="360" w:lineRule="auto"/>
        <w:ind w:firstLine="482"/>
        <w:rPr>
          <w:rFonts w:ascii="宋体" w:hAnsi="宋体"/>
          <w:sz w:val="24"/>
          <w:szCs w:val="24"/>
        </w:rPr>
      </w:pPr>
      <w:r>
        <w:rPr>
          <w:rFonts w:hint="eastAsia" w:ascii="宋体" w:hAnsi="宋体"/>
          <w:sz w:val="24"/>
          <w:szCs w:val="24"/>
        </w:rPr>
        <w:t>5、本基金投资流通受限证券，应遵守《关于基金投资非公开发行股票等流通受限证券有关问题的通知》等有关监管规定。</w:t>
      </w:r>
    </w:p>
    <w:p>
      <w:pPr>
        <w:adjustRightInd w:val="0"/>
        <w:snapToGrid w:val="0"/>
        <w:spacing w:line="360" w:lineRule="auto"/>
        <w:ind w:firstLine="482"/>
        <w:rPr>
          <w:rFonts w:ascii="宋体" w:hAnsi="宋体"/>
          <w:sz w:val="24"/>
          <w:szCs w:val="24"/>
        </w:rPr>
      </w:pPr>
      <w:r>
        <w:rPr>
          <w:rFonts w:hint="eastAsia" w:ascii="宋体" w:hAnsi="宋体"/>
          <w:sz w:val="24"/>
          <w:szCs w:val="24"/>
        </w:rPr>
        <w:t>（1）流通受限证券包括由相关法律法规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adjustRightInd w:val="0"/>
        <w:snapToGrid w:val="0"/>
        <w:spacing w:line="360" w:lineRule="auto"/>
        <w:ind w:firstLine="482"/>
        <w:rPr>
          <w:rFonts w:ascii="宋体" w:hAnsi="宋体"/>
          <w:sz w:val="24"/>
          <w:szCs w:val="24"/>
        </w:rPr>
      </w:pPr>
      <w:r>
        <w:rPr>
          <w:rFonts w:hint="eastAsia" w:ascii="宋体" w:hAnsi="宋体"/>
          <w:sz w:val="24"/>
          <w:szCs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pPr>
        <w:adjustRightInd w:val="0"/>
        <w:snapToGrid w:val="0"/>
        <w:spacing w:line="360" w:lineRule="auto"/>
        <w:ind w:firstLine="482"/>
        <w:rPr>
          <w:rFonts w:ascii="宋体" w:hAnsi="宋体"/>
          <w:sz w:val="24"/>
          <w:szCs w:val="24"/>
        </w:rPr>
      </w:pPr>
      <w:r>
        <w:rPr>
          <w:rFonts w:hint="eastAsia" w:ascii="宋体" w:hAnsi="宋体"/>
          <w:sz w:val="24"/>
          <w:szCs w:val="24"/>
        </w:rPr>
        <w:t>本基金不得投资未经中国证监会批准的非公开发行证券。</w:t>
      </w:r>
    </w:p>
    <w:p>
      <w:pPr>
        <w:adjustRightInd w:val="0"/>
        <w:snapToGrid w:val="0"/>
        <w:spacing w:line="360" w:lineRule="auto"/>
        <w:ind w:firstLine="482"/>
        <w:rPr>
          <w:rFonts w:ascii="宋体" w:hAnsi="宋体"/>
          <w:sz w:val="24"/>
          <w:szCs w:val="24"/>
        </w:rPr>
      </w:pPr>
      <w:r>
        <w:rPr>
          <w:rFonts w:hint="eastAsia" w:ascii="宋体" w:hAnsi="宋体"/>
          <w:sz w:val="24"/>
          <w:szCs w:val="24"/>
        </w:rPr>
        <w:t>本基金不得投资有锁定期但锁定期不明确的证券。</w:t>
      </w:r>
    </w:p>
    <w:p>
      <w:pPr>
        <w:adjustRightInd w:val="0"/>
        <w:snapToGrid w:val="0"/>
        <w:spacing w:line="360" w:lineRule="auto"/>
        <w:ind w:firstLine="482"/>
        <w:rPr>
          <w:rFonts w:ascii="宋体" w:hAnsi="宋体"/>
          <w:sz w:val="24"/>
          <w:szCs w:val="24"/>
        </w:rPr>
      </w:pPr>
      <w:r>
        <w:rPr>
          <w:rFonts w:hint="eastAsia" w:ascii="宋体" w:hAnsi="宋体"/>
          <w:sz w:val="24"/>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相应损失。对本基金因投资流通受限证券导致的流动性风险，基金托管人不承担任何责任。</w:t>
      </w:r>
    </w:p>
    <w:p>
      <w:pPr>
        <w:adjustRightInd w:val="0"/>
        <w:snapToGrid w:val="0"/>
        <w:spacing w:line="360" w:lineRule="auto"/>
        <w:ind w:firstLine="482"/>
        <w:rPr>
          <w:rFonts w:ascii="宋体" w:hAnsi="宋体"/>
          <w:sz w:val="24"/>
          <w:szCs w:val="24"/>
        </w:rPr>
      </w:pPr>
      <w:r>
        <w:rPr>
          <w:rFonts w:hint="eastAsia" w:ascii="宋体" w:hAnsi="宋体"/>
          <w:sz w:val="24"/>
          <w:szCs w:val="24"/>
        </w:rPr>
        <w:t>（3）基金投资非公开发行股票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pPr>
        <w:adjustRightInd w:val="0"/>
        <w:snapToGrid w:val="0"/>
        <w:spacing w:line="360" w:lineRule="auto"/>
        <w:ind w:firstLine="482"/>
        <w:rPr>
          <w:rFonts w:ascii="宋体" w:hAnsi="宋体"/>
          <w:sz w:val="24"/>
          <w:szCs w:val="24"/>
        </w:rPr>
      </w:pPr>
      <w:r>
        <w:rPr>
          <w:rFonts w:hint="eastAsia" w:ascii="宋体" w:hAnsi="宋体"/>
          <w:sz w:val="24"/>
          <w:szCs w:val="24"/>
        </w:rPr>
        <w:t>由于基金管理人未及时提供有关证券的具体的必要的信息，致使基金托管人无法审核认购指令而影响认购款项划拨的，基金托管人免于承担责任。</w:t>
      </w:r>
    </w:p>
    <w:p>
      <w:pPr>
        <w:adjustRightInd w:val="0"/>
        <w:snapToGrid w:val="0"/>
        <w:spacing w:line="360" w:lineRule="auto"/>
        <w:ind w:firstLine="482"/>
        <w:rPr>
          <w:rFonts w:ascii="宋体" w:hAnsi="宋体"/>
          <w:sz w:val="24"/>
          <w:szCs w:val="24"/>
        </w:rPr>
      </w:pPr>
      <w:r>
        <w:rPr>
          <w:rFonts w:hint="eastAsia" w:ascii="宋体" w:hAnsi="宋体"/>
          <w:sz w:val="24"/>
          <w:szCs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pPr>
        <w:adjustRightInd w:val="0"/>
        <w:snapToGrid w:val="0"/>
        <w:spacing w:line="360" w:lineRule="auto"/>
        <w:ind w:firstLine="482"/>
        <w:rPr>
          <w:rFonts w:ascii="宋体" w:hAnsi="宋体"/>
          <w:sz w:val="24"/>
          <w:szCs w:val="24"/>
        </w:rPr>
      </w:pPr>
      <w:r>
        <w:rPr>
          <w:rFonts w:hint="eastAsia" w:ascii="宋体" w:hAnsi="宋体"/>
          <w:sz w:val="24"/>
          <w:szCs w:val="24"/>
        </w:rPr>
        <w:t>（5）基金管理人应在基金投资非公开发行股票后按照法律法规规定的期限，在中国证监会规定媒介披露所投资非公开发行股票的名称、数量、总成本、账面价值，以及总成本和账面价值占基金资产净值的比例、锁定期等信息。</w:t>
      </w:r>
    </w:p>
    <w:p>
      <w:pPr>
        <w:adjustRightInd w:val="0"/>
        <w:snapToGrid w:val="0"/>
        <w:spacing w:line="360" w:lineRule="auto"/>
        <w:ind w:firstLine="482"/>
        <w:rPr>
          <w:rFonts w:ascii="宋体" w:hAnsi="宋体"/>
          <w:sz w:val="24"/>
          <w:szCs w:val="24"/>
        </w:rPr>
      </w:pPr>
      <w:r>
        <w:rPr>
          <w:rFonts w:hint="eastAsia" w:ascii="宋体" w:hAnsi="宋体"/>
          <w:sz w:val="24"/>
          <w:szCs w:val="24"/>
        </w:rPr>
        <w:t>6、基金管理人应当对投资中期票据业务进行研究，认真评估中期票据投资业务的风险，本着审慎、勤勉尽责的原则进行中期票据的投资业务，并应符合法律法规及监管机构的相关规定。</w:t>
      </w:r>
    </w:p>
    <w:p>
      <w:pPr>
        <w:adjustRightInd w:val="0"/>
        <w:snapToGrid w:val="0"/>
        <w:spacing w:line="360" w:lineRule="auto"/>
        <w:ind w:firstLine="482"/>
        <w:rPr>
          <w:rFonts w:ascii="宋体" w:hAnsi="宋体"/>
          <w:sz w:val="24"/>
          <w:szCs w:val="24"/>
        </w:rPr>
      </w:pPr>
      <w:r>
        <w:rPr>
          <w:rFonts w:hint="eastAsia" w:ascii="宋体" w:hAnsi="宋体"/>
          <w:sz w:val="24"/>
          <w:szCs w:val="24"/>
        </w:rPr>
        <w:t>7、基金托管人根据有关法律法规的规定及《基金合同》的约定，对基金资产净值计算及基金份额净值计算、基金费用开支及收入确定、基金收益分配、相关信息披露、基金宣传推介材料中登载基金业绩表现数据等进行监督和核查。</w:t>
      </w:r>
    </w:p>
    <w:p>
      <w:pPr>
        <w:adjustRightInd w:val="0"/>
        <w:snapToGrid w:val="0"/>
        <w:spacing w:line="360" w:lineRule="auto"/>
        <w:ind w:firstLine="482"/>
        <w:rPr>
          <w:rFonts w:ascii="宋体" w:hAnsi="宋体"/>
          <w:sz w:val="24"/>
          <w:szCs w:val="24"/>
        </w:rPr>
      </w:pPr>
      <w:r>
        <w:rPr>
          <w:rFonts w:hint="eastAsia" w:ascii="宋体" w:hAnsi="宋体"/>
          <w:sz w:val="24"/>
          <w:szCs w:val="24"/>
        </w:rPr>
        <w:t>8、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pPr>
        <w:adjustRightInd w:val="0"/>
        <w:snapToGrid w:val="0"/>
        <w:spacing w:line="360" w:lineRule="auto"/>
        <w:ind w:firstLine="482"/>
        <w:rPr>
          <w:rFonts w:ascii="宋体" w:hAnsi="宋体"/>
          <w:sz w:val="24"/>
          <w:szCs w:val="24"/>
        </w:rPr>
      </w:pPr>
      <w:r>
        <w:rPr>
          <w:rFonts w:hint="eastAsia" w:ascii="宋体" w:hAnsi="宋体"/>
          <w:sz w:val="24"/>
          <w:szCs w:val="24"/>
        </w:rPr>
        <w:t>9、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adjustRightInd w:val="0"/>
        <w:snapToGrid w:val="0"/>
        <w:spacing w:line="360" w:lineRule="auto"/>
        <w:ind w:firstLine="482"/>
        <w:rPr>
          <w:rFonts w:ascii="宋体" w:hAnsi="宋体"/>
          <w:sz w:val="24"/>
          <w:szCs w:val="24"/>
        </w:rPr>
      </w:pPr>
      <w:r>
        <w:rPr>
          <w:rFonts w:hint="eastAsia" w:ascii="宋体" w:hAnsi="宋体"/>
          <w:sz w:val="24"/>
          <w:szCs w:val="24"/>
        </w:rPr>
        <w:t>10、若基金托管人发现基金管理人依据交易程序已经生效的指令违反法律、行政法规和其他有关规定，或者违反基金合同约定的，应当立即通知基金管理人及时纠正，由此造成的损失由基金管理人承担，基金托管人在履行其通知义务后，予以免责。</w:t>
      </w:r>
    </w:p>
    <w:p>
      <w:pPr>
        <w:adjustRightInd w:val="0"/>
        <w:snapToGrid w:val="0"/>
        <w:spacing w:line="360" w:lineRule="auto"/>
        <w:ind w:firstLine="480"/>
        <w:rPr>
          <w:rFonts w:ascii="宋体" w:hAnsi="宋体"/>
          <w:sz w:val="24"/>
          <w:szCs w:val="24"/>
        </w:rPr>
      </w:pPr>
      <w:r>
        <w:rPr>
          <w:rFonts w:hint="eastAsia" w:ascii="宋体" w:hAnsi="宋体"/>
          <w:sz w:val="24"/>
          <w:szCs w:val="24"/>
        </w:rPr>
        <w:t>11、基金托管人发现基金管理人有重大违规行为，应及时报告中国证监会，同时通知基金管理人限期纠正。</w:t>
      </w:r>
    </w:p>
    <w:p>
      <w:pPr>
        <w:adjustRightInd w:val="0"/>
        <w:snapToGrid w:val="0"/>
        <w:spacing w:line="360" w:lineRule="auto"/>
        <w:ind w:firstLine="480"/>
        <w:rPr>
          <w:rFonts w:ascii="宋体" w:hAnsi="宋体"/>
          <w:sz w:val="24"/>
          <w:szCs w:val="24"/>
        </w:rPr>
      </w:pPr>
      <w:r>
        <w:rPr>
          <w:rFonts w:hint="eastAsia" w:ascii="宋体" w:hAnsi="宋体"/>
          <w:sz w:val="24"/>
          <w:szCs w:val="24"/>
        </w:rPr>
        <w:t>12、侧袋机制的实施和投资运作安排</w:t>
      </w:r>
    </w:p>
    <w:p>
      <w:pPr>
        <w:adjustRightInd w:val="0"/>
        <w:snapToGrid w:val="0"/>
        <w:spacing w:line="360" w:lineRule="auto"/>
        <w:ind w:firstLine="480"/>
        <w:rPr>
          <w:rFonts w:ascii="宋体" w:hAnsi="宋体"/>
          <w:sz w:val="24"/>
          <w:szCs w:val="24"/>
        </w:rPr>
      </w:pPr>
      <w:r>
        <w:rPr>
          <w:rFonts w:hint="eastAsia" w:ascii="宋体" w:hAnsi="宋体"/>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rPr>
          <w:rFonts w:ascii="宋体" w:hAnsi="宋体"/>
          <w:sz w:val="24"/>
          <w:szCs w:val="24"/>
        </w:rPr>
      </w:pPr>
      <w:r>
        <w:rPr>
          <w:rFonts w:hint="eastAsia" w:ascii="宋体" w:hAnsi="宋体"/>
          <w:sz w:val="24"/>
          <w:szCs w:val="24"/>
        </w:rPr>
        <w:t>侧袋机制实施期间，基金合同约定的投资组合比例、投资策略、组合限制、业绩比较基准、风险收益特征等约定仅适用于主袋账户。</w:t>
      </w:r>
    </w:p>
    <w:p>
      <w:pPr>
        <w:adjustRightInd w:val="0"/>
        <w:snapToGrid w:val="0"/>
        <w:spacing w:line="360" w:lineRule="auto"/>
        <w:ind w:firstLine="480"/>
        <w:rPr>
          <w:rFonts w:ascii="宋体" w:hAnsi="宋体"/>
          <w:sz w:val="24"/>
          <w:szCs w:val="24"/>
        </w:rPr>
      </w:pPr>
      <w:r>
        <w:rPr>
          <w:rFonts w:hint="eastAsia" w:ascii="宋体" w:hAnsi="宋体"/>
          <w:sz w:val="24"/>
          <w:szCs w:val="24"/>
        </w:rPr>
        <w:t>侧袋账户的实施条件、实施程序、运作安排、投资安排、特定资产的处置变现和支付等对投资者权益有重大影响的事项详见招募说明书的规定。</w:t>
      </w:r>
    </w:p>
    <w:p>
      <w:pPr>
        <w:adjustRightInd w:val="0"/>
        <w:snapToGrid w:val="0"/>
        <w:spacing w:line="360" w:lineRule="auto"/>
        <w:ind w:firstLine="482"/>
        <w:outlineLvl w:val="1"/>
        <w:rPr>
          <w:b/>
          <w:bCs/>
          <w:sz w:val="24"/>
        </w:rPr>
      </w:pPr>
      <w:r>
        <w:rPr>
          <w:rFonts w:hint="eastAsia"/>
          <w:b/>
          <w:bCs/>
          <w:sz w:val="24"/>
        </w:rPr>
        <w:t>（三）基金管理人对基金托管人的业务核查</w:t>
      </w:r>
    </w:p>
    <w:p>
      <w:pPr>
        <w:adjustRightInd w:val="0"/>
        <w:snapToGrid w:val="0"/>
        <w:spacing w:line="360" w:lineRule="auto"/>
        <w:ind w:firstLine="482"/>
        <w:rPr>
          <w:rFonts w:ascii="宋体" w:hAnsi="宋体"/>
          <w:sz w:val="24"/>
          <w:szCs w:val="24"/>
        </w:rPr>
      </w:pPr>
      <w:r>
        <w:rPr>
          <w:rFonts w:hint="eastAsia" w:ascii="宋体" w:hAnsi="宋体"/>
          <w:sz w:val="24"/>
          <w:szCs w:val="24"/>
        </w:rPr>
        <w:t>1、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pPr>
        <w:adjustRightInd w:val="0"/>
        <w:snapToGrid w:val="0"/>
        <w:spacing w:line="360" w:lineRule="auto"/>
        <w:ind w:firstLine="482"/>
        <w:rPr>
          <w:rFonts w:ascii="宋体" w:hAnsi="宋体"/>
          <w:sz w:val="24"/>
          <w:szCs w:val="24"/>
        </w:rPr>
      </w:pPr>
      <w:r>
        <w:rPr>
          <w:rFonts w:hint="eastAsia" w:ascii="宋体" w:hAnsi="宋体"/>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pPr>
        <w:adjustRightInd w:val="0"/>
        <w:snapToGrid w:val="0"/>
        <w:spacing w:line="360" w:lineRule="auto"/>
        <w:ind w:firstLine="482"/>
        <w:rPr>
          <w:rFonts w:ascii="宋体" w:hAnsi="宋体"/>
          <w:sz w:val="24"/>
          <w:szCs w:val="24"/>
        </w:rPr>
      </w:pPr>
      <w:r>
        <w:rPr>
          <w:rFonts w:hint="eastAsia" w:ascii="宋体" w:hAnsi="宋体"/>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pPr>
        <w:adjustRightInd w:val="0"/>
        <w:snapToGrid w:val="0"/>
        <w:spacing w:line="360" w:lineRule="auto"/>
        <w:ind w:firstLine="482"/>
        <w:rPr>
          <w:rFonts w:ascii="宋体" w:hAnsi="宋体"/>
          <w:sz w:val="24"/>
          <w:szCs w:val="24"/>
        </w:rPr>
      </w:pPr>
      <w:r>
        <w:rPr>
          <w:rFonts w:hint="eastAsia" w:ascii="宋体" w:hAnsi="宋体"/>
          <w:sz w:val="24"/>
          <w:szCs w:val="24"/>
        </w:rPr>
        <w:t>4、基金管理人发现基金托管人有重大违规行为，应及时报告中国证监会，同时通知基金托管人限期纠正，并将纠正结果报告中国证监会。</w:t>
      </w:r>
    </w:p>
    <w:p>
      <w:pPr>
        <w:adjustRightInd w:val="0"/>
        <w:snapToGrid w:val="0"/>
        <w:spacing w:line="360" w:lineRule="auto"/>
        <w:ind w:firstLine="482"/>
        <w:outlineLvl w:val="1"/>
        <w:rPr>
          <w:b/>
          <w:bCs/>
          <w:sz w:val="24"/>
        </w:rPr>
      </w:pPr>
      <w:r>
        <w:rPr>
          <w:rFonts w:hint="eastAsia"/>
          <w:b/>
          <w:bCs/>
          <w:sz w:val="24"/>
        </w:rPr>
        <w:t>（四）基金财产保管</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1、基金财产保管的原则</w:t>
      </w:r>
    </w:p>
    <w:p>
      <w:pPr>
        <w:adjustRightInd w:val="0"/>
        <w:snapToGrid w:val="0"/>
        <w:spacing w:line="360" w:lineRule="auto"/>
        <w:ind w:firstLine="482"/>
        <w:rPr>
          <w:rFonts w:ascii="宋体" w:hAnsi="宋体"/>
          <w:sz w:val="24"/>
          <w:szCs w:val="24"/>
        </w:rPr>
      </w:pPr>
      <w:r>
        <w:rPr>
          <w:rFonts w:hint="eastAsia" w:ascii="宋体" w:hAnsi="宋体"/>
          <w:sz w:val="24"/>
          <w:szCs w:val="24"/>
        </w:rPr>
        <w:t>（1）基金财产应独立于基金管理人、基金托管人的固有财产。</w:t>
      </w:r>
    </w:p>
    <w:p>
      <w:pPr>
        <w:adjustRightInd w:val="0"/>
        <w:snapToGrid w:val="0"/>
        <w:spacing w:line="360" w:lineRule="auto"/>
        <w:ind w:firstLine="482"/>
        <w:rPr>
          <w:rFonts w:ascii="宋体" w:hAnsi="宋体"/>
          <w:sz w:val="24"/>
          <w:szCs w:val="24"/>
        </w:rPr>
      </w:pPr>
      <w:r>
        <w:rPr>
          <w:rFonts w:hint="eastAsia" w:ascii="宋体" w:hAnsi="宋体"/>
          <w:sz w:val="24"/>
          <w:szCs w:val="24"/>
        </w:rPr>
        <w:t>（2）基金托管人应安全保管基金财产。</w:t>
      </w:r>
    </w:p>
    <w:p>
      <w:pPr>
        <w:adjustRightInd w:val="0"/>
        <w:snapToGrid w:val="0"/>
        <w:spacing w:line="360" w:lineRule="auto"/>
        <w:ind w:firstLine="482"/>
        <w:rPr>
          <w:rFonts w:ascii="宋体" w:hAnsi="宋体"/>
          <w:sz w:val="24"/>
          <w:szCs w:val="24"/>
        </w:rPr>
      </w:pPr>
      <w:r>
        <w:rPr>
          <w:rFonts w:hint="eastAsia" w:ascii="宋体" w:hAnsi="宋体"/>
          <w:sz w:val="24"/>
          <w:szCs w:val="24"/>
        </w:rPr>
        <w:t>（3）基金托管人按照规定开设基金财产的资金账户、证券账户等投资所需的相关账户。</w:t>
      </w:r>
    </w:p>
    <w:p>
      <w:pPr>
        <w:adjustRightInd w:val="0"/>
        <w:snapToGrid w:val="0"/>
        <w:spacing w:line="360" w:lineRule="auto"/>
        <w:ind w:firstLine="482"/>
        <w:rPr>
          <w:rFonts w:ascii="宋体" w:hAnsi="宋体"/>
          <w:sz w:val="24"/>
          <w:szCs w:val="24"/>
        </w:rPr>
      </w:pPr>
      <w:r>
        <w:rPr>
          <w:rFonts w:hint="eastAsia" w:ascii="宋体" w:hAnsi="宋体"/>
          <w:sz w:val="24"/>
          <w:szCs w:val="24"/>
        </w:rPr>
        <w:t>（4）基金托管人对所托管的不同基金财产分别设置账户，独立核算，分账管理，确保基金财产的完整与独立。</w:t>
      </w:r>
    </w:p>
    <w:p>
      <w:pPr>
        <w:adjustRightInd w:val="0"/>
        <w:snapToGrid w:val="0"/>
        <w:spacing w:line="360" w:lineRule="auto"/>
        <w:ind w:firstLine="482"/>
        <w:rPr>
          <w:rFonts w:ascii="宋体" w:hAnsi="宋体"/>
          <w:sz w:val="24"/>
          <w:szCs w:val="24"/>
        </w:rPr>
      </w:pPr>
      <w:r>
        <w:rPr>
          <w:rFonts w:hint="eastAsia" w:ascii="宋体" w:hAnsi="宋体"/>
          <w:sz w:val="24"/>
          <w:szCs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pPr>
        <w:adjustRightInd w:val="0"/>
        <w:snapToGrid w:val="0"/>
        <w:spacing w:line="360" w:lineRule="auto"/>
        <w:ind w:firstLine="482"/>
        <w:rPr>
          <w:rFonts w:ascii="宋体" w:hAnsi="宋体"/>
          <w:sz w:val="24"/>
          <w:szCs w:val="24"/>
        </w:rPr>
      </w:pPr>
      <w:r>
        <w:rPr>
          <w:rFonts w:hint="eastAsia" w:ascii="宋体" w:hAnsi="宋体"/>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基金托管人应给予必要的协助。</w:t>
      </w:r>
    </w:p>
    <w:p>
      <w:pPr>
        <w:adjustRightInd w:val="0"/>
        <w:snapToGrid w:val="0"/>
        <w:spacing w:line="360" w:lineRule="auto"/>
        <w:ind w:firstLine="482"/>
        <w:rPr>
          <w:rFonts w:ascii="宋体" w:hAnsi="宋体"/>
          <w:sz w:val="24"/>
          <w:szCs w:val="24"/>
        </w:rPr>
      </w:pPr>
      <w:r>
        <w:rPr>
          <w:rFonts w:hint="eastAsia" w:ascii="宋体" w:hAnsi="宋体"/>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pPr>
        <w:adjustRightInd w:val="0"/>
        <w:snapToGrid w:val="0"/>
        <w:spacing w:line="360" w:lineRule="auto"/>
        <w:ind w:firstLine="482"/>
        <w:rPr>
          <w:rFonts w:ascii="宋体" w:hAnsi="宋体"/>
          <w:sz w:val="24"/>
          <w:szCs w:val="24"/>
        </w:rPr>
      </w:pPr>
      <w:r>
        <w:rPr>
          <w:rFonts w:hint="eastAsia" w:ascii="宋体" w:hAnsi="宋体"/>
          <w:sz w:val="24"/>
          <w:szCs w:val="24"/>
        </w:rPr>
        <w:t>（8）除依据法律法规和基金合同的规定外，基金托管人不得委托第三人托管基金财产。</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2、基金募集期间及募集资金的验资</w:t>
      </w:r>
    </w:p>
    <w:p>
      <w:pPr>
        <w:adjustRightInd w:val="0"/>
        <w:snapToGrid w:val="0"/>
        <w:spacing w:line="360" w:lineRule="auto"/>
        <w:ind w:firstLine="482"/>
        <w:rPr>
          <w:rFonts w:ascii="宋体" w:hAnsi="宋体"/>
          <w:sz w:val="24"/>
          <w:szCs w:val="24"/>
        </w:rPr>
      </w:pPr>
      <w:r>
        <w:rPr>
          <w:rFonts w:hint="eastAsia" w:ascii="宋体" w:hAnsi="宋体"/>
          <w:sz w:val="24"/>
          <w:szCs w:val="24"/>
        </w:rPr>
        <w:t>（1）基金募集期间募集认购款项应开立“基金募集专户”。该账户由基金管理人或基金管理人委托的登记机构开立并管理。</w:t>
      </w:r>
    </w:p>
    <w:p>
      <w:pPr>
        <w:adjustRightInd w:val="0"/>
        <w:snapToGrid w:val="0"/>
        <w:spacing w:line="360" w:lineRule="auto"/>
        <w:ind w:firstLine="482"/>
        <w:rPr>
          <w:rFonts w:ascii="宋体" w:hAnsi="宋体"/>
          <w:sz w:val="24"/>
          <w:szCs w:val="24"/>
        </w:rPr>
      </w:pPr>
      <w:r>
        <w:rPr>
          <w:rFonts w:hint="eastAsia" w:ascii="宋体" w:hAnsi="宋体"/>
          <w:sz w:val="24"/>
          <w:szCs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2名或2名以上中国注册会计师签字方为有效。</w:t>
      </w:r>
    </w:p>
    <w:p>
      <w:pPr>
        <w:adjustRightInd w:val="0"/>
        <w:snapToGrid w:val="0"/>
        <w:spacing w:line="360" w:lineRule="auto"/>
        <w:ind w:firstLine="482"/>
        <w:rPr>
          <w:rFonts w:ascii="宋体" w:hAnsi="宋体"/>
          <w:sz w:val="24"/>
          <w:szCs w:val="24"/>
        </w:rPr>
      </w:pPr>
      <w:r>
        <w:rPr>
          <w:rFonts w:hint="eastAsia" w:ascii="宋体" w:hAnsi="宋体"/>
          <w:sz w:val="24"/>
          <w:szCs w:val="24"/>
        </w:rPr>
        <w:t>（3）若基金募集期限届满，未能达到基金</w:t>
      </w:r>
      <w:r>
        <w:rPr>
          <w:rFonts w:hint="eastAsia" w:ascii="宋体" w:hAnsi="宋体"/>
          <w:sz w:val="24"/>
        </w:rPr>
        <w:t>合同生效</w:t>
      </w:r>
      <w:r>
        <w:rPr>
          <w:rFonts w:hint="eastAsia" w:ascii="宋体" w:hAnsi="宋体"/>
          <w:sz w:val="24"/>
          <w:szCs w:val="24"/>
        </w:rPr>
        <w:t>的条件，由基金管理人按规定办理退款等事宜，基金托管人应当予以必要的协助和配合。</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3、基金资金账户的开立和管理</w:t>
      </w:r>
    </w:p>
    <w:p>
      <w:pPr>
        <w:adjustRightInd w:val="0"/>
        <w:snapToGrid w:val="0"/>
        <w:spacing w:line="360" w:lineRule="auto"/>
        <w:ind w:firstLine="482"/>
        <w:rPr>
          <w:rFonts w:ascii="宋体" w:hAnsi="宋体"/>
          <w:sz w:val="24"/>
          <w:szCs w:val="24"/>
        </w:rPr>
      </w:pPr>
      <w:r>
        <w:rPr>
          <w:rFonts w:hint="eastAsia" w:ascii="宋体" w:hAnsi="宋体"/>
          <w:sz w:val="24"/>
          <w:szCs w:val="24"/>
        </w:rPr>
        <w:t>（1）基金托管人以本基金的名义在其营业机构开立基金的资金账户（也可称为“托管账户”），保管基金的银行存款，并根据基金管理人的指令办理资金收付。托管账户名称应为“交银施罗德产业臻选混合型证券投资基金”，预留印鉴为基金托管人印章。</w:t>
      </w:r>
    </w:p>
    <w:p>
      <w:pPr>
        <w:adjustRightInd w:val="0"/>
        <w:snapToGrid w:val="0"/>
        <w:spacing w:line="360" w:lineRule="auto"/>
        <w:ind w:firstLine="482"/>
        <w:rPr>
          <w:rFonts w:ascii="宋体" w:hAnsi="宋体"/>
          <w:sz w:val="24"/>
          <w:szCs w:val="24"/>
        </w:rPr>
      </w:pPr>
      <w:r>
        <w:rPr>
          <w:rFonts w:hint="eastAsia" w:ascii="宋体" w:hAnsi="宋体"/>
          <w:sz w:val="24"/>
          <w:szCs w:val="24"/>
        </w:rPr>
        <w:t>（2）基金资金账户的开立和使用，限于满足开展本基金业务的需要。基金托管人和基金管理人不得假借本基金的名义开立任何其他银行账户；亦不得使用基金的任何账户进行本基金业务以外的活动。</w:t>
      </w:r>
    </w:p>
    <w:p>
      <w:pPr>
        <w:adjustRightInd w:val="0"/>
        <w:snapToGrid w:val="0"/>
        <w:spacing w:line="360" w:lineRule="auto"/>
        <w:ind w:firstLine="482"/>
        <w:rPr>
          <w:rFonts w:ascii="宋体" w:hAnsi="宋体"/>
          <w:sz w:val="24"/>
          <w:szCs w:val="24"/>
        </w:rPr>
      </w:pPr>
      <w:r>
        <w:rPr>
          <w:rFonts w:hint="eastAsia" w:ascii="宋体" w:hAnsi="宋体"/>
          <w:sz w:val="24"/>
          <w:szCs w:val="24"/>
        </w:rPr>
        <w:t>（3）基金资金账户的开立和管理应符合法律法规及银行业监督管理机构的有关规定。</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4、基金证券账户和结算备付金账户的开立和管理</w:t>
      </w:r>
    </w:p>
    <w:p>
      <w:pPr>
        <w:adjustRightInd w:val="0"/>
        <w:snapToGrid w:val="0"/>
        <w:spacing w:line="360" w:lineRule="auto"/>
        <w:ind w:firstLine="482"/>
        <w:rPr>
          <w:rFonts w:ascii="宋体" w:hAnsi="宋体"/>
          <w:sz w:val="24"/>
          <w:szCs w:val="24"/>
        </w:rPr>
      </w:pPr>
      <w:r>
        <w:rPr>
          <w:rFonts w:hint="eastAsia" w:ascii="宋体" w:hAnsi="宋体"/>
          <w:sz w:val="24"/>
          <w:szCs w:val="24"/>
        </w:rPr>
        <w:t>（1）基金托管人在中国证券登记结算有限责任公司上海分公司、深圳分公司为基金开立基金托管人与基金联名的证券账户。</w:t>
      </w:r>
    </w:p>
    <w:p>
      <w:pPr>
        <w:adjustRightInd w:val="0"/>
        <w:snapToGrid w:val="0"/>
        <w:spacing w:line="360" w:lineRule="auto"/>
        <w:ind w:firstLine="482"/>
        <w:rPr>
          <w:rFonts w:ascii="宋体" w:hAnsi="宋体"/>
          <w:sz w:val="24"/>
          <w:szCs w:val="24"/>
        </w:rPr>
      </w:pPr>
      <w:r>
        <w:rPr>
          <w:rFonts w:hint="eastAsia" w:ascii="宋体" w:hAnsi="宋体"/>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pPr>
        <w:adjustRightInd w:val="0"/>
        <w:snapToGrid w:val="0"/>
        <w:spacing w:line="360" w:lineRule="auto"/>
        <w:ind w:firstLine="482"/>
        <w:rPr>
          <w:rFonts w:ascii="宋体" w:hAnsi="宋体"/>
          <w:sz w:val="24"/>
          <w:szCs w:val="24"/>
        </w:rPr>
      </w:pPr>
      <w:r>
        <w:rPr>
          <w:rFonts w:hint="eastAsia" w:ascii="宋体" w:hAnsi="宋体"/>
          <w:sz w:val="24"/>
          <w:szCs w:val="24"/>
        </w:rPr>
        <w:t>（3）基金证券账户的开立和证券账户卡的保管由基金托管人负责，账户资产的管理和运用由基金管理人负责。</w:t>
      </w:r>
    </w:p>
    <w:p>
      <w:pPr>
        <w:adjustRightInd w:val="0"/>
        <w:snapToGrid w:val="0"/>
        <w:spacing w:line="360" w:lineRule="auto"/>
        <w:ind w:firstLine="482"/>
        <w:rPr>
          <w:rFonts w:ascii="宋体" w:hAnsi="宋体"/>
          <w:sz w:val="24"/>
          <w:szCs w:val="24"/>
        </w:rPr>
      </w:pPr>
      <w:r>
        <w:rPr>
          <w:rFonts w:hint="eastAsia" w:ascii="宋体" w:hAnsi="宋体"/>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pPr>
        <w:adjustRightInd w:val="0"/>
        <w:snapToGrid w:val="0"/>
        <w:spacing w:line="360" w:lineRule="auto"/>
        <w:ind w:firstLine="482"/>
        <w:rPr>
          <w:rFonts w:ascii="宋体" w:hAnsi="宋体"/>
          <w:sz w:val="24"/>
          <w:szCs w:val="24"/>
        </w:rPr>
      </w:pPr>
      <w:r>
        <w:rPr>
          <w:rFonts w:hint="eastAsia" w:ascii="宋体" w:hAnsi="宋体"/>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5、债券托管账户的开设和管理</w:t>
      </w:r>
    </w:p>
    <w:p>
      <w:pPr>
        <w:adjustRightInd w:val="0"/>
        <w:snapToGrid w:val="0"/>
        <w:spacing w:line="360" w:lineRule="auto"/>
        <w:ind w:firstLine="482"/>
        <w:rPr>
          <w:rFonts w:ascii="宋体" w:hAnsi="宋体"/>
          <w:sz w:val="24"/>
          <w:szCs w:val="24"/>
        </w:rPr>
      </w:pPr>
      <w:r>
        <w:rPr>
          <w:rFonts w:hint="eastAsia" w:ascii="宋体" w:hAnsi="宋体"/>
          <w:sz w:val="24"/>
          <w:szCs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6、其他账户的开立和管理</w:t>
      </w:r>
    </w:p>
    <w:p>
      <w:pPr>
        <w:adjustRightInd w:val="0"/>
        <w:snapToGrid w:val="0"/>
        <w:spacing w:line="360" w:lineRule="auto"/>
        <w:ind w:firstLine="482"/>
        <w:rPr>
          <w:rFonts w:ascii="宋体" w:hAnsi="宋体"/>
          <w:sz w:val="24"/>
          <w:szCs w:val="24"/>
        </w:rPr>
      </w:pPr>
      <w:r>
        <w:rPr>
          <w:rFonts w:hint="eastAsia" w:ascii="宋体" w:hAnsi="宋体"/>
          <w:sz w:val="24"/>
          <w:szCs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基金托管人。</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pPr>
        <w:adjustRightInd w:val="0"/>
        <w:snapToGrid w:val="0"/>
        <w:spacing w:line="360" w:lineRule="auto"/>
        <w:ind w:firstLine="482"/>
        <w:rPr>
          <w:rFonts w:ascii="宋体" w:hAnsi="宋体"/>
          <w:sz w:val="24"/>
          <w:szCs w:val="24"/>
        </w:rPr>
      </w:pPr>
      <w:r>
        <w:rPr>
          <w:rFonts w:hint="eastAsia" w:ascii="宋体" w:hAnsi="宋体"/>
          <w:sz w:val="24"/>
          <w:szCs w:val="24"/>
        </w:rPr>
        <w:t>（2）因业务发展需要而开立的其他账户，可以根据法律法规和基金合同的规定，由基金管理人协助基金托管人按照有关法律法规和本协议的约定协商后开立。新账户按有关规定使用并管理。</w:t>
      </w:r>
    </w:p>
    <w:p>
      <w:pPr>
        <w:adjustRightInd w:val="0"/>
        <w:snapToGrid w:val="0"/>
        <w:spacing w:line="360" w:lineRule="auto"/>
        <w:ind w:firstLine="482"/>
        <w:rPr>
          <w:rFonts w:ascii="宋体" w:hAnsi="宋体"/>
          <w:sz w:val="24"/>
          <w:szCs w:val="24"/>
        </w:rPr>
      </w:pPr>
      <w:r>
        <w:rPr>
          <w:rFonts w:hint="eastAsia" w:ascii="宋体" w:hAnsi="宋体"/>
          <w:sz w:val="24"/>
          <w:szCs w:val="24"/>
        </w:rPr>
        <w:t>（3）法律法规等有关规定对相关账户的开立和管理另有规定的，从其规定办理。</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7、基金财产投资的有关有价凭证等的保管</w:t>
      </w:r>
    </w:p>
    <w:p>
      <w:pPr>
        <w:adjustRightInd w:val="0"/>
        <w:snapToGrid w:val="0"/>
        <w:spacing w:line="360" w:lineRule="auto"/>
        <w:ind w:firstLine="482"/>
        <w:rPr>
          <w:rFonts w:ascii="宋体" w:hAnsi="宋体"/>
          <w:sz w:val="24"/>
          <w:szCs w:val="24"/>
        </w:rPr>
      </w:pPr>
      <w:r>
        <w:rPr>
          <w:rFonts w:hint="eastAsia" w:ascii="宋体" w:hAnsi="宋体"/>
          <w:sz w:val="24"/>
          <w:szCs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8、与基金财产有关的重大合同的保管</w:t>
      </w:r>
    </w:p>
    <w:p>
      <w:pPr>
        <w:adjustRightInd w:val="0"/>
        <w:snapToGrid w:val="0"/>
        <w:spacing w:line="360" w:lineRule="auto"/>
        <w:ind w:firstLine="482"/>
        <w:rPr>
          <w:rFonts w:ascii="宋体" w:hAnsi="宋体"/>
          <w:sz w:val="24"/>
          <w:szCs w:val="24"/>
        </w:rPr>
      </w:pPr>
      <w:r>
        <w:rPr>
          <w:rFonts w:hint="eastAsia" w:ascii="宋体" w:hAnsi="宋体"/>
          <w:sz w:val="24"/>
          <w:szCs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低于法律法规规定的最低期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pPr>
        <w:adjustRightInd w:val="0"/>
        <w:snapToGrid w:val="0"/>
        <w:spacing w:line="360" w:lineRule="auto"/>
        <w:ind w:firstLine="482"/>
        <w:outlineLvl w:val="1"/>
        <w:rPr>
          <w:b/>
          <w:bCs/>
          <w:sz w:val="24"/>
        </w:rPr>
      </w:pPr>
      <w:r>
        <w:rPr>
          <w:b/>
          <w:bCs/>
          <w:sz w:val="24"/>
        </w:rPr>
        <w:t>（五）基金资产净值</w:t>
      </w:r>
      <w:r>
        <w:rPr>
          <w:rFonts w:hint="eastAsia"/>
          <w:b/>
          <w:bCs/>
          <w:sz w:val="24"/>
        </w:rPr>
        <w:t>计算、估值和会计核算</w:t>
      </w:r>
    </w:p>
    <w:p>
      <w:pPr>
        <w:adjustRightInd w:val="0"/>
        <w:snapToGrid w:val="0"/>
        <w:spacing w:line="360" w:lineRule="auto"/>
        <w:ind w:firstLine="480" w:firstLineChars="200"/>
        <w:rPr>
          <w:rFonts w:ascii="宋体" w:hAnsi="宋体"/>
          <w:sz w:val="24"/>
        </w:rPr>
      </w:pPr>
      <w:r>
        <w:rPr>
          <w:rFonts w:hint="eastAsia" w:ascii="宋体" w:hAnsi="宋体"/>
          <w:sz w:val="24"/>
        </w:rPr>
        <w:t>1、基金资产净值的计算、复核</w:t>
      </w:r>
      <w:r>
        <w:rPr>
          <w:rFonts w:hint="eastAsia" w:ascii="宋体" w:hAnsi="宋体" w:cs="Arial"/>
          <w:sz w:val="24"/>
        </w:rPr>
        <w:t>与完成</w:t>
      </w:r>
      <w:r>
        <w:rPr>
          <w:rFonts w:hint="eastAsia" w:ascii="宋体" w:hAnsi="宋体"/>
          <w:sz w:val="24"/>
        </w:rPr>
        <w:t>的时间</w:t>
      </w:r>
      <w:r>
        <w:rPr>
          <w:rFonts w:hint="eastAsia" w:ascii="宋体" w:hAnsi="宋体" w:cs="Arial"/>
          <w:sz w:val="24"/>
        </w:rPr>
        <w:t>及</w:t>
      </w:r>
      <w:r>
        <w:rPr>
          <w:rFonts w:hint="eastAsia" w:ascii="宋体" w:hAnsi="宋体"/>
          <w:sz w:val="24"/>
        </w:rPr>
        <w:t>程序</w:t>
      </w:r>
    </w:p>
    <w:p>
      <w:pPr>
        <w:adjustRightInd w:val="0"/>
        <w:snapToGrid w:val="0"/>
        <w:spacing w:line="360" w:lineRule="auto"/>
        <w:ind w:firstLine="480" w:firstLineChars="200"/>
        <w:rPr>
          <w:rFonts w:ascii="宋体" w:hAnsi="宋体" w:cs="Arial"/>
          <w:sz w:val="24"/>
        </w:rPr>
      </w:pPr>
      <w:r>
        <w:rPr>
          <w:rFonts w:hint="eastAsia" w:ascii="宋体" w:hAnsi="宋体"/>
          <w:sz w:val="24"/>
        </w:rPr>
        <w:t>（1）基金资产净值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基金资产净值是指基金资产总值减去基金负债后的价值。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份额净值是按照每个工作日闭市后，基金资产净值除以当日基金份额的余额数量计算，精确到0.0001元，小数点后第五位四舍五入。基金管理人可以设立大额赎回情形下的净值精度应急调整机制，具体可参见相关公告。国家另有规定的，从其规定。</w:t>
      </w:r>
    </w:p>
    <w:p>
      <w:pPr>
        <w:adjustRightInd w:val="0"/>
        <w:snapToGrid w:val="0"/>
        <w:spacing w:line="360" w:lineRule="auto"/>
        <w:ind w:firstLine="480" w:firstLineChars="200"/>
        <w:rPr>
          <w:rFonts w:ascii="宋体" w:hAnsi="宋体"/>
          <w:sz w:val="24"/>
        </w:rPr>
      </w:pPr>
      <w:r>
        <w:rPr>
          <w:rFonts w:hint="eastAsia" w:ascii="宋体" w:hAnsi="宋体" w:cs="Arial"/>
          <w:sz w:val="24"/>
        </w:rPr>
        <w:t>基金管理人于每个工作日计算基金资产净值、基金份额净值，经基金托管人复核，按规定公告，但基金管理人根据法律法规或基金合同的规定暂停估值时除外。</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复核</w:t>
      </w:r>
      <w:r>
        <w:rPr>
          <w:rFonts w:hint="eastAsia" w:ascii="宋体" w:hAnsi="宋体" w:cs="Arial"/>
          <w:sz w:val="24"/>
        </w:rPr>
        <w:t>程序</w:t>
      </w:r>
    </w:p>
    <w:p>
      <w:pPr>
        <w:adjustRightInd w:val="0"/>
        <w:snapToGrid w:val="0"/>
        <w:spacing w:line="360" w:lineRule="auto"/>
        <w:ind w:firstLine="480" w:firstLineChars="200"/>
        <w:rPr>
          <w:rFonts w:ascii="宋体" w:hAnsi="宋体"/>
          <w:sz w:val="24"/>
        </w:rPr>
      </w:pPr>
      <w:r>
        <w:rPr>
          <w:rFonts w:hint="eastAsia" w:ascii="宋体" w:hAnsi="宋体"/>
          <w:sz w:val="24"/>
        </w:rPr>
        <w:t>基金管理人每个工作日对基金资产进行估值后，将基金资产净值、基金份额净值发送基金托管人，经基金托管人复核无误后，由基金管理人依据基金合同和相关法律法规的规定对外公布。</w:t>
      </w:r>
    </w:p>
    <w:p>
      <w:pPr>
        <w:adjustRightInd w:val="0"/>
        <w:snapToGrid w:val="0"/>
        <w:spacing w:line="360" w:lineRule="auto"/>
        <w:ind w:firstLine="480" w:firstLineChars="200"/>
        <w:rPr>
          <w:rFonts w:ascii="宋体" w:hAnsi="宋体"/>
          <w:sz w:val="24"/>
        </w:rPr>
      </w:pPr>
      <w:r>
        <w:rPr>
          <w:rFonts w:hint="eastAsia" w:ascii="宋体" w:hAnsi="宋体" w:cs="Arial"/>
          <w:sz w:val="24"/>
        </w:rPr>
        <w:t>（</w:t>
      </w:r>
      <w:r>
        <w:rPr>
          <w:rFonts w:hint="eastAsia"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2、基金资产的</w:t>
      </w:r>
      <w:r>
        <w:rPr>
          <w:rFonts w:hint="eastAsia" w:ascii="宋体" w:hAnsi="宋体"/>
          <w:sz w:val="24"/>
        </w:rPr>
        <w:t>估值</w:t>
      </w:r>
    </w:p>
    <w:p>
      <w:pPr>
        <w:adjustRightInd w:val="0"/>
        <w:snapToGrid w:val="0"/>
        <w:spacing w:line="360" w:lineRule="auto"/>
        <w:ind w:firstLine="480" w:firstLineChars="200"/>
        <w:rPr>
          <w:rStyle w:val="33"/>
          <w:rFonts w:ascii="宋体" w:hAnsi="宋体"/>
          <w:sz w:val="24"/>
        </w:rPr>
      </w:pPr>
      <w:r>
        <w:rPr>
          <w:rFonts w:hint="eastAsia"/>
          <w:sz w:val="24"/>
        </w:rPr>
        <w:t>基金管理人及基金托管人应当按照《基金合同》的约定进行估值。</w:t>
      </w:r>
    </w:p>
    <w:p>
      <w:pPr>
        <w:adjustRightInd w:val="0"/>
        <w:snapToGrid w:val="0"/>
        <w:spacing w:line="360" w:lineRule="auto"/>
        <w:ind w:firstLine="480" w:firstLineChars="200"/>
        <w:rPr>
          <w:rFonts w:ascii="宋体" w:hAnsi="宋体"/>
          <w:sz w:val="24"/>
        </w:rPr>
      </w:pPr>
      <w:r>
        <w:rPr>
          <w:rFonts w:hint="eastAsia" w:ascii="宋体" w:hAnsi="宋体" w:cs="Arial"/>
          <w:sz w:val="24"/>
        </w:rPr>
        <w:t>3、基金份额净值</w:t>
      </w:r>
      <w:r>
        <w:rPr>
          <w:rFonts w:hint="eastAsia" w:ascii="宋体" w:hAnsi="宋体"/>
          <w:sz w:val="24"/>
        </w:rPr>
        <w:t>错误</w:t>
      </w:r>
      <w:r>
        <w:rPr>
          <w:rFonts w:hint="eastAsia" w:ascii="宋体" w:hAnsi="宋体" w:cs="Arial"/>
          <w:sz w:val="24"/>
        </w:rPr>
        <w:t>的</w:t>
      </w:r>
      <w:r>
        <w:rPr>
          <w:rFonts w:hint="eastAsia" w:ascii="宋体" w:hAnsi="宋体"/>
          <w:sz w:val="24"/>
        </w:rPr>
        <w:t>处理</w:t>
      </w:r>
      <w:r>
        <w:rPr>
          <w:rFonts w:hint="eastAsia" w:ascii="宋体" w:hAnsi="宋体" w:cs="Arial"/>
          <w:sz w:val="24"/>
        </w:rPr>
        <w:t>方式</w:t>
      </w:r>
    </w:p>
    <w:p>
      <w:pPr>
        <w:adjustRightInd w:val="0"/>
        <w:snapToGrid w:val="0"/>
        <w:spacing w:line="360" w:lineRule="auto"/>
        <w:ind w:firstLine="480" w:firstLineChars="200"/>
        <w:rPr>
          <w:rFonts w:ascii="宋体" w:hAnsi="宋体"/>
          <w:sz w:val="24"/>
        </w:rPr>
      </w:pPr>
      <w:r>
        <w:rPr>
          <w:rFonts w:hint="eastAsia"/>
          <w:sz w:val="24"/>
        </w:rPr>
        <w:t>基金管理人及基金托管人应当按照《基金合同》的约定处理基金份额净值错误。</w:t>
      </w:r>
    </w:p>
    <w:p>
      <w:pPr>
        <w:adjustRightInd w:val="0"/>
        <w:snapToGrid w:val="0"/>
        <w:spacing w:line="360" w:lineRule="auto"/>
        <w:ind w:firstLine="480" w:firstLineChars="200"/>
        <w:rPr>
          <w:rFonts w:ascii="宋体" w:hAnsi="宋体" w:cs="Arial"/>
          <w:sz w:val="24"/>
        </w:rPr>
      </w:pPr>
      <w:r>
        <w:rPr>
          <w:rFonts w:hint="eastAsia" w:ascii="宋体" w:hAnsi="宋体" w:cs="Arial"/>
          <w:sz w:val="24"/>
        </w:rPr>
        <w:t>4、基金会计制度</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按国家有关部门规定的会计制度执行。</w:t>
      </w:r>
    </w:p>
    <w:p>
      <w:pPr>
        <w:adjustRightInd w:val="0"/>
        <w:snapToGrid w:val="0"/>
        <w:spacing w:line="360" w:lineRule="auto"/>
        <w:ind w:firstLine="480" w:firstLineChars="200"/>
        <w:rPr>
          <w:rFonts w:ascii="宋体" w:hAnsi="宋体"/>
          <w:sz w:val="24"/>
        </w:rPr>
      </w:pPr>
      <w:r>
        <w:rPr>
          <w:rFonts w:hint="eastAsia" w:ascii="宋体" w:hAnsi="宋体" w:cs="Arial"/>
          <w:sz w:val="24"/>
        </w:rPr>
        <w:t>5</w:t>
      </w:r>
      <w:r>
        <w:rPr>
          <w:rFonts w:hint="eastAsia" w:ascii="宋体" w:hAnsi="宋体"/>
          <w:sz w:val="24"/>
        </w:rPr>
        <w:t>、基金账册的建立</w:t>
      </w:r>
    </w:p>
    <w:p>
      <w:pPr>
        <w:adjustRightInd w:val="0"/>
        <w:snapToGrid w:val="0"/>
        <w:spacing w:line="360" w:lineRule="auto"/>
        <w:ind w:firstLine="480" w:firstLineChars="200"/>
        <w:rPr>
          <w:rFonts w:ascii="宋体" w:hAnsi="宋体"/>
          <w:sz w:val="24"/>
        </w:rPr>
      </w:pPr>
      <w:r>
        <w:rPr>
          <w:rFonts w:hint="eastAsia" w:ascii="宋体" w:hAnsi="宋体"/>
          <w:sz w:val="24"/>
        </w:rPr>
        <w:t>基金管理人和基金托管人在基金合同生效后，应按照</w:t>
      </w:r>
      <w:r>
        <w:rPr>
          <w:rFonts w:hint="eastAsia" w:ascii="宋体" w:hAnsi="宋体" w:cs="Arial"/>
          <w:sz w:val="24"/>
        </w:rPr>
        <w:t>双方</w:t>
      </w:r>
      <w:r>
        <w:rPr>
          <w:rFonts w:hint="eastAsia" w:ascii="宋体" w:hAnsi="宋体"/>
          <w:sz w:val="24"/>
        </w:rPr>
        <w:t>约定的同一记账方法和会计处理原则，分别独立地设置、</w:t>
      </w:r>
      <w:r>
        <w:rPr>
          <w:rFonts w:hint="eastAsia" w:ascii="宋体" w:hAnsi="宋体" w:cs="Arial"/>
          <w:sz w:val="24"/>
        </w:rPr>
        <w:t>记录</w:t>
      </w:r>
      <w:r>
        <w:rPr>
          <w:rFonts w:hint="eastAsia" w:ascii="宋体" w:hAnsi="宋体"/>
          <w:sz w:val="24"/>
        </w:rPr>
        <w:t>和保管本基金的全套账册，对相关各方各自的账册定期进行核对，互相监督，以保证基金资产的安全。</w:t>
      </w:r>
    </w:p>
    <w:p>
      <w:pPr>
        <w:adjustRightInd w:val="0"/>
        <w:snapToGrid w:val="0"/>
        <w:spacing w:line="360" w:lineRule="auto"/>
        <w:ind w:firstLine="480" w:firstLineChars="200"/>
        <w:rPr>
          <w:rFonts w:ascii="宋体" w:hAnsi="宋体"/>
          <w:sz w:val="24"/>
        </w:rPr>
      </w:pPr>
      <w:r>
        <w:rPr>
          <w:rFonts w:hint="eastAsia" w:ascii="宋体" w:hAnsi="宋体" w:cs="Arial"/>
          <w:sz w:val="24"/>
        </w:rPr>
        <w:t>6、基金财务报表与</w:t>
      </w:r>
      <w:r>
        <w:rPr>
          <w:rFonts w:hint="eastAsia" w:ascii="宋体" w:hAnsi="宋体"/>
          <w:sz w:val="24"/>
        </w:rPr>
        <w:t>报告的编制和复核</w:t>
      </w:r>
    </w:p>
    <w:p>
      <w:pPr>
        <w:adjustRightInd w:val="0"/>
        <w:snapToGrid w:val="0"/>
        <w:spacing w:line="360" w:lineRule="auto"/>
        <w:ind w:firstLine="480" w:firstLineChars="200"/>
        <w:outlineLvl w:val="2"/>
        <w:rPr>
          <w:rFonts w:ascii="宋体" w:hAnsi="宋体" w:cs="Arial"/>
          <w:sz w:val="24"/>
        </w:rPr>
      </w:pPr>
      <w:r>
        <w:rPr>
          <w:rFonts w:hint="eastAsia" w:ascii="宋体" w:hAnsi="宋体"/>
          <w:sz w:val="24"/>
        </w:rPr>
        <w:t>（1）</w:t>
      </w:r>
      <w:r>
        <w:rPr>
          <w:rFonts w:hint="eastAsia" w:ascii="宋体" w:hAnsi="宋体" w:cs="Arial"/>
          <w:sz w:val="24"/>
        </w:rPr>
        <w:t>财务报表的编制</w:t>
      </w:r>
    </w:p>
    <w:p>
      <w:pPr>
        <w:adjustRightInd w:val="0"/>
        <w:snapToGrid w:val="0"/>
        <w:spacing w:line="360" w:lineRule="auto"/>
        <w:ind w:firstLine="480" w:firstLineChars="200"/>
        <w:rPr>
          <w:rFonts w:ascii="宋体" w:hAnsi="宋体" w:cs="Arial"/>
          <w:sz w:val="24"/>
        </w:rPr>
      </w:pPr>
      <w:r>
        <w:rPr>
          <w:rFonts w:hint="eastAsia" w:ascii="宋体" w:hAnsi="宋体"/>
          <w:sz w:val="24"/>
        </w:rPr>
        <w:t>基金财务报表由基金管理</w:t>
      </w:r>
      <w:r>
        <w:rPr>
          <w:rFonts w:hint="eastAsia" w:ascii="宋体" w:hAnsi="宋体" w:cs="Arial"/>
          <w:sz w:val="24"/>
        </w:rPr>
        <w:t>人编制，基金托管人复核。</w:t>
      </w:r>
    </w:p>
    <w:p>
      <w:pPr>
        <w:adjustRightInd w:val="0"/>
        <w:snapToGrid w:val="0"/>
        <w:spacing w:line="360" w:lineRule="auto"/>
        <w:ind w:firstLine="480" w:firstLineChars="200"/>
        <w:outlineLvl w:val="2"/>
        <w:rPr>
          <w:rFonts w:ascii="宋体" w:hAnsi="宋体" w:cs="Arial"/>
          <w:sz w:val="24"/>
        </w:rPr>
      </w:pPr>
      <w:r>
        <w:rPr>
          <w:rFonts w:hint="eastAsia" w:ascii="宋体" w:hAnsi="宋体" w:cs="Arial"/>
          <w:sz w:val="24"/>
        </w:rPr>
        <w:t>（2）报表复核</w:t>
      </w:r>
    </w:p>
    <w:p>
      <w:pPr>
        <w:adjustRightInd w:val="0"/>
        <w:snapToGrid w:val="0"/>
        <w:spacing w:line="360" w:lineRule="auto"/>
        <w:ind w:firstLine="480" w:firstLineChars="200"/>
        <w:rPr>
          <w:rFonts w:ascii="宋体" w:hAnsi="宋体" w:cs="Arial"/>
          <w:sz w:val="24"/>
        </w:rPr>
      </w:pPr>
      <w:r>
        <w:rPr>
          <w:rFonts w:hint="eastAsia" w:ascii="宋体" w:hAnsi="宋体"/>
          <w:sz w:val="24"/>
        </w:rPr>
        <w:t>基金托管人</w:t>
      </w:r>
      <w:r>
        <w:rPr>
          <w:rFonts w:hint="eastAsia" w:ascii="宋体" w:hAnsi="宋体" w:cs="Arial"/>
          <w:sz w:val="24"/>
        </w:rPr>
        <w:t>在收到基金管理人编制的基金财务报表后，进行独立的复核。核对不符时，应及时通知基金管理人共同查出原因，进行调整，直至双方数据完全一致。</w:t>
      </w:r>
    </w:p>
    <w:p>
      <w:pPr>
        <w:adjustRightInd w:val="0"/>
        <w:snapToGrid w:val="0"/>
        <w:spacing w:line="360" w:lineRule="auto"/>
        <w:ind w:firstLine="480" w:firstLineChars="200"/>
        <w:outlineLvl w:val="2"/>
        <w:rPr>
          <w:rFonts w:ascii="宋体" w:hAnsi="宋体" w:cs="Arial"/>
          <w:sz w:val="24"/>
        </w:rPr>
      </w:pPr>
      <w:r>
        <w:rPr>
          <w:rFonts w:hint="eastAsia" w:ascii="宋体" w:hAnsi="宋体" w:cs="Arial"/>
          <w:sz w:val="24"/>
        </w:rPr>
        <w:t>（3）财务报表的编制与复核时间安排</w:t>
      </w:r>
    </w:p>
    <w:p>
      <w:pPr>
        <w:adjustRightInd w:val="0"/>
        <w:snapToGrid w:val="0"/>
        <w:spacing w:line="360" w:lineRule="auto"/>
        <w:ind w:firstLine="480" w:firstLineChars="200"/>
        <w:rPr>
          <w:rFonts w:ascii="宋体" w:hAnsi="宋体"/>
          <w:sz w:val="24"/>
        </w:rPr>
      </w:pPr>
      <w:r>
        <w:rPr>
          <w:rFonts w:hint="eastAsia" w:ascii="宋体" w:hAnsi="宋体" w:cs="Arial"/>
          <w:sz w:val="24"/>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pPr>
        <w:adjustRightInd w:val="0"/>
        <w:snapToGrid w:val="0"/>
        <w:spacing w:line="360" w:lineRule="auto"/>
        <w:ind w:firstLine="482"/>
        <w:rPr>
          <w:rFonts w:ascii="宋体" w:hAnsi="宋体"/>
          <w:sz w:val="24"/>
        </w:rPr>
      </w:pPr>
      <w:r>
        <w:rPr>
          <w:rFonts w:hint="eastAsia" w:ascii="宋体" w:hAnsi="宋体" w:cs="Arial"/>
          <w:sz w:val="24"/>
        </w:rPr>
        <w:t>7、在有需要时</w:t>
      </w:r>
      <w:r>
        <w:rPr>
          <w:rFonts w:hint="eastAsia" w:ascii="宋体" w:hAnsi="宋体"/>
          <w:sz w:val="24"/>
        </w:rPr>
        <w:t>，基金</w:t>
      </w:r>
      <w:r>
        <w:rPr>
          <w:rFonts w:hint="eastAsia" w:ascii="宋体" w:hAnsi="宋体" w:cs="Arial"/>
          <w:sz w:val="24"/>
        </w:rPr>
        <w:t>管理人应每季度向基金</w:t>
      </w:r>
      <w:r>
        <w:rPr>
          <w:rFonts w:hint="eastAsia" w:ascii="宋体" w:hAnsi="宋体"/>
          <w:sz w:val="24"/>
        </w:rPr>
        <w:t>托管人提供基金</w:t>
      </w:r>
      <w:r>
        <w:rPr>
          <w:rFonts w:hint="eastAsia" w:ascii="宋体" w:hAnsi="宋体" w:cs="Arial"/>
          <w:sz w:val="24"/>
        </w:rPr>
        <w:t>业绩比较基准的基础数据</w:t>
      </w:r>
      <w:r>
        <w:rPr>
          <w:rFonts w:hint="eastAsia" w:ascii="宋体" w:hAnsi="宋体"/>
          <w:sz w:val="24"/>
        </w:rPr>
        <w:t>和</w:t>
      </w:r>
      <w:r>
        <w:rPr>
          <w:rFonts w:hint="eastAsia" w:ascii="宋体" w:hAnsi="宋体" w:cs="Arial"/>
          <w:sz w:val="24"/>
        </w:rPr>
        <w:t>编制结果</w:t>
      </w:r>
      <w:r>
        <w:rPr>
          <w:rFonts w:hint="eastAsia" w:ascii="宋体" w:hAnsi="宋体"/>
          <w:sz w:val="24"/>
        </w:rPr>
        <w:t>。</w:t>
      </w:r>
    </w:p>
    <w:p>
      <w:pPr>
        <w:adjustRightInd w:val="0"/>
        <w:snapToGrid w:val="0"/>
        <w:spacing w:line="360" w:lineRule="auto"/>
        <w:ind w:firstLine="482"/>
        <w:rPr>
          <w:rFonts w:ascii="宋体" w:hAnsi="宋体"/>
          <w:sz w:val="24"/>
        </w:rPr>
      </w:pPr>
      <w:r>
        <w:rPr>
          <w:rFonts w:ascii="宋体" w:hAnsi="宋体"/>
          <w:sz w:val="24"/>
        </w:rPr>
        <w:t>8</w:t>
      </w:r>
      <w:r>
        <w:rPr>
          <w:rFonts w:hint="eastAsia" w:ascii="宋体" w:hAnsi="宋体" w:cs="Arial"/>
          <w:sz w:val="24"/>
        </w:rPr>
        <w:t>、</w:t>
      </w:r>
      <w:r>
        <w:rPr>
          <w:rFonts w:hint="eastAsia" w:ascii="宋体" w:hAnsi="宋体"/>
          <w:sz w:val="24"/>
        </w:rPr>
        <w:t>实施侧袋机制期间的基金资产估值</w:t>
      </w:r>
    </w:p>
    <w:p>
      <w:pPr>
        <w:adjustRightInd w:val="0"/>
        <w:snapToGrid w:val="0"/>
        <w:spacing w:line="360" w:lineRule="auto"/>
        <w:ind w:firstLine="482"/>
        <w:rPr>
          <w:rFonts w:ascii="宋体" w:hAnsi="宋体"/>
          <w:sz w:val="24"/>
        </w:rPr>
      </w:pPr>
      <w:r>
        <w:rPr>
          <w:rFonts w:hint="eastAsia" w:ascii="宋体" w:hAnsi="宋体"/>
          <w:sz w:val="24"/>
        </w:rPr>
        <w:t>本基金实施侧袋机制的，应根据基金合同的约定对主袋账户资产进行估值并披露主袋账户的基金净值信息，暂停披露侧袋账户份额净值。</w:t>
      </w:r>
    </w:p>
    <w:p>
      <w:pPr>
        <w:adjustRightInd w:val="0"/>
        <w:snapToGrid w:val="0"/>
        <w:spacing w:line="360" w:lineRule="auto"/>
        <w:ind w:firstLine="482"/>
        <w:outlineLvl w:val="1"/>
        <w:rPr>
          <w:b/>
          <w:bCs/>
          <w:sz w:val="24"/>
        </w:rPr>
      </w:pPr>
      <w:r>
        <w:rPr>
          <w:b/>
          <w:bCs/>
          <w:sz w:val="24"/>
        </w:rPr>
        <w:t>（六）基金份额持有人名册的保管</w:t>
      </w:r>
    </w:p>
    <w:p>
      <w:pPr>
        <w:adjustRightInd w:val="0"/>
        <w:snapToGrid w:val="0"/>
        <w:spacing w:line="360" w:lineRule="auto"/>
        <w:ind w:firstLine="480" w:firstLineChars="200"/>
        <w:rPr>
          <w:rFonts w:ascii="宋体" w:hAnsi="宋体"/>
          <w:kern w:val="0"/>
          <w:sz w:val="24"/>
          <w:szCs w:val="24"/>
        </w:rPr>
      </w:pPr>
      <w:r>
        <w:rPr>
          <w:rFonts w:hint="eastAsia" w:ascii="宋体" w:hAnsi="宋体"/>
          <w:kern w:val="0"/>
          <w:sz w:val="24"/>
        </w:rPr>
        <w:t>基金份额持有人名册</w:t>
      </w:r>
      <w:r>
        <w:rPr>
          <w:rFonts w:hint="eastAsia" w:ascii="宋体" w:hAnsi="宋体"/>
          <w:kern w:val="0"/>
          <w:sz w:val="24"/>
          <w:szCs w:val="24"/>
        </w:rPr>
        <w:t>至少应</w:t>
      </w:r>
      <w:r>
        <w:rPr>
          <w:rFonts w:hint="eastAsia" w:ascii="宋体" w:hAnsi="宋体"/>
          <w:kern w:val="0"/>
          <w:sz w:val="24"/>
        </w:rPr>
        <w:t>包括基金份额持有人的名称</w:t>
      </w:r>
      <w:r>
        <w:rPr>
          <w:rFonts w:hint="eastAsia" w:ascii="宋体" w:hAnsi="宋体"/>
          <w:kern w:val="0"/>
          <w:sz w:val="24"/>
          <w:szCs w:val="24"/>
        </w:rPr>
        <w:t>、证件号码</w:t>
      </w:r>
      <w:r>
        <w:rPr>
          <w:rFonts w:hint="eastAsia" w:ascii="宋体" w:hAnsi="宋体"/>
          <w:kern w:val="0"/>
          <w:sz w:val="24"/>
        </w:rPr>
        <w:t>和持有的基金份额。基金份额持有人名册由基金登记机构根据基金管理人的指令编制和保管，基金管理人和基金托管人应</w:t>
      </w:r>
      <w:r>
        <w:rPr>
          <w:rFonts w:hint="eastAsia" w:ascii="宋体" w:hAnsi="宋体"/>
          <w:kern w:val="0"/>
          <w:sz w:val="24"/>
          <w:szCs w:val="24"/>
        </w:rPr>
        <w:t>分别保管基金份额持有人名册，保存期不低于法律法规规定的最低年限。如不能妥善保管，则按</w:t>
      </w:r>
      <w:r>
        <w:rPr>
          <w:rFonts w:hint="eastAsia" w:ascii="宋体" w:hAnsi="宋体"/>
          <w:kern w:val="0"/>
          <w:sz w:val="24"/>
        </w:rPr>
        <w:t>相关</w:t>
      </w:r>
      <w:r>
        <w:rPr>
          <w:rFonts w:hint="eastAsia" w:ascii="宋体" w:hAnsi="宋体"/>
          <w:kern w:val="0"/>
          <w:sz w:val="24"/>
          <w:szCs w:val="24"/>
        </w:rPr>
        <w:t>法律法规承担责任。</w:t>
      </w:r>
    </w:p>
    <w:p>
      <w:pPr>
        <w:adjustRightInd w:val="0"/>
        <w:snapToGrid w:val="0"/>
        <w:spacing w:line="360" w:lineRule="auto"/>
        <w:ind w:firstLine="480" w:firstLineChars="200"/>
        <w:rPr>
          <w:rFonts w:ascii="宋体" w:hAnsi="宋体"/>
          <w:strike/>
          <w:kern w:val="0"/>
          <w:sz w:val="24"/>
        </w:rPr>
      </w:pPr>
      <w:r>
        <w:rPr>
          <w:rFonts w:hint="eastAsia" w:ascii="宋体" w:hAnsi="宋体"/>
          <w:sz w:val="24"/>
        </w:rPr>
        <w:t>在基金托管人要求或编制中期报告及年度报告前</w:t>
      </w:r>
      <w:r>
        <w:rPr>
          <w:rFonts w:hint="eastAsia" w:ascii="宋体" w:hAnsi="宋体"/>
          <w:kern w:val="0"/>
          <w:sz w:val="24"/>
          <w:szCs w:val="24"/>
        </w:rPr>
        <w:t>，</w:t>
      </w:r>
      <w:r>
        <w:rPr>
          <w:rFonts w:hint="eastAsia" w:ascii="宋体" w:hAnsi="宋体"/>
          <w:kern w:val="0"/>
          <w:sz w:val="24"/>
        </w:rPr>
        <w:t>基金管理人</w:t>
      </w:r>
      <w:r>
        <w:rPr>
          <w:rFonts w:hint="eastAsia" w:ascii="宋体" w:hAnsi="宋体"/>
          <w:kern w:val="0"/>
          <w:sz w:val="24"/>
          <w:szCs w:val="24"/>
        </w:rPr>
        <w:t>应将有关资料送交</w:t>
      </w:r>
      <w:r>
        <w:rPr>
          <w:rFonts w:hint="eastAsia" w:ascii="宋体" w:hAnsi="宋体"/>
          <w:kern w:val="0"/>
          <w:sz w:val="24"/>
        </w:rPr>
        <w:t>基金托管人</w:t>
      </w:r>
      <w:r>
        <w:rPr>
          <w:rFonts w:hint="eastAsia" w:ascii="宋体" w:hAnsi="宋体"/>
          <w:kern w:val="0"/>
          <w:sz w:val="24"/>
          <w:szCs w:val="24"/>
        </w:rPr>
        <w:t>，不得无故拒绝</w:t>
      </w:r>
      <w:r>
        <w:rPr>
          <w:rFonts w:hint="eastAsia" w:ascii="宋体" w:hAnsi="宋体"/>
          <w:kern w:val="0"/>
          <w:sz w:val="24"/>
        </w:rPr>
        <w:t>或</w:t>
      </w:r>
      <w:r>
        <w:rPr>
          <w:rFonts w:hint="eastAsia" w:ascii="宋体" w:hAnsi="宋体"/>
          <w:kern w:val="0"/>
          <w:sz w:val="24"/>
          <w:szCs w:val="24"/>
        </w:rPr>
        <w:t>延误提供，并保证其真实性、准确性和完整性。基金管理人和基金</w:t>
      </w:r>
      <w:r>
        <w:rPr>
          <w:rFonts w:hint="eastAsia" w:ascii="宋体" w:hAnsi="宋体"/>
          <w:kern w:val="0"/>
          <w:sz w:val="24"/>
        </w:rPr>
        <w:t>托管人不得将所保管的基金份额持有人名册用于基金托管业务以外的其他用途，并应遵守保密义务。</w:t>
      </w:r>
    </w:p>
    <w:p>
      <w:pPr>
        <w:adjustRightInd w:val="0"/>
        <w:snapToGrid w:val="0"/>
        <w:spacing w:line="360" w:lineRule="auto"/>
        <w:ind w:firstLine="482"/>
        <w:outlineLvl w:val="1"/>
        <w:rPr>
          <w:b/>
          <w:bCs/>
          <w:sz w:val="24"/>
        </w:rPr>
      </w:pPr>
      <w:r>
        <w:rPr>
          <w:b/>
          <w:bCs/>
          <w:sz w:val="24"/>
        </w:rPr>
        <w:t>（七）争议解决方式</w:t>
      </w:r>
    </w:p>
    <w:p>
      <w:pPr>
        <w:adjustRightInd w:val="0"/>
        <w:snapToGrid w:val="0"/>
        <w:spacing w:line="360" w:lineRule="auto"/>
        <w:ind w:firstLine="480" w:firstLineChars="200"/>
        <w:rPr>
          <w:rFonts w:ascii="宋体" w:hAnsi="宋体"/>
          <w:color w:val="0D0D0D"/>
          <w:sz w:val="24"/>
          <w:szCs w:val="24"/>
        </w:rPr>
      </w:pPr>
      <w:r>
        <w:rPr>
          <w:rFonts w:hint="eastAsia" w:ascii="宋体" w:hAnsi="宋体"/>
          <w:color w:val="0D0D0D"/>
          <w:sz w:val="24"/>
          <w:szCs w:val="24"/>
        </w:rPr>
        <w:t>双方当事人同意，因本协议而产生的或与本协议有关的一切争议，如经友好协商未能解决的，</w:t>
      </w:r>
      <w:r>
        <w:rPr>
          <w:rFonts w:hint="eastAsia" w:ascii="宋体" w:hAnsi="宋体"/>
          <w:sz w:val="24"/>
        </w:rPr>
        <w:t>任何一方均有权将争议提交</w:t>
      </w:r>
      <w:r>
        <w:rPr>
          <w:rFonts w:hint="eastAsia"/>
          <w:bCs/>
          <w:sz w:val="24"/>
        </w:rPr>
        <w:t>深圳国际仲裁院</w:t>
      </w:r>
      <w:r>
        <w:rPr>
          <w:rFonts w:hint="eastAsia" w:ascii="宋体" w:hAnsi="宋体"/>
          <w:sz w:val="24"/>
        </w:rPr>
        <w:t>，按照</w:t>
      </w:r>
      <w:r>
        <w:rPr>
          <w:rFonts w:hint="eastAsia"/>
          <w:bCs/>
          <w:sz w:val="24"/>
        </w:rPr>
        <w:t>深圳国际仲裁院</w:t>
      </w:r>
      <w:r>
        <w:rPr>
          <w:rFonts w:hint="eastAsia" w:ascii="宋体" w:hAnsi="宋体"/>
          <w:sz w:val="24"/>
        </w:rPr>
        <w:t>届时有效的仲裁规则进行仲裁。仲裁地点为</w:t>
      </w:r>
      <w:r>
        <w:rPr>
          <w:rFonts w:hint="eastAsia" w:ascii="宋体" w:hAnsi="宋体" w:cs="Arial"/>
          <w:sz w:val="24"/>
        </w:rPr>
        <w:t>深圳市</w:t>
      </w:r>
      <w:r>
        <w:rPr>
          <w:rFonts w:hint="eastAsia" w:ascii="宋体" w:hAnsi="宋体"/>
          <w:sz w:val="24"/>
        </w:rPr>
        <w:t>。</w:t>
      </w:r>
      <w:r>
        <w:rPr>
          <w:rFonts w:hint="eastAsia" w:ascii="宋体" w:hAnsi="宋体"/>
          <w:color w:val="0D0D0D"/>
          <w:sz w:val="24"/>
          <w:szCs w:val="24"/>
        </w:rPr>
        <w:t>仲裁裁决是终局的，对双方当事人均有约束力，</w:t>
      </w:r>
      <w:r>
        <w:rPr>
          <w:rFonts w:hint="eastAsia" w:hAnsi="宋体"/>
          <w:kern w:val="0"/>
          <w:sz w:val="24"/>
        </w:rPr>
        <w:t>除非仲裁裁决另有规定，</w:t>
      </w:r>
      <w:r>
        <w:rPr>
          <w:rFonts w:hint="eastAsia" w:ascii="宋体" w:hAnsi="宋体"/>
          <w:color w:val="0D0D0D"/>
          <w:sz w:val="24"/>
          <w:szCs w:val="24"/>
        </w:rPr>
        <w:t>仲裁费用由败诉方承担。</w:t>
      </w:r>
    </w:p>
    <w:p>
      <w:pPr>
        <w:adjustRightInd w:val="0"/>
        <w:snapToGrid w:val="0"/>
        <w:spacing w:line="360" w:lineRule="auto"/>
        <w:ind w:firstLine="480" w:firstLineChars="200"/>
        <w:rPr>
          <w:rFonts w:ascii="宋体" w:hAnsi="宋体"/>
          <w:color w:val="0D0D0D"/>
          <w:sz w:val="24"/>
          <w:szCs w:val="24"/>
        </w:rPr>
      </w:pPr>
      <w:r>
        <w:rPr>
          <w:rFonts w:hint="eastAsia" w:ascii="宋体" w:hAnsi="宋体"/>
          <w:color w:val="0D0D0D"/>
          <w:sz w:val="24"/>
          <w:szCs w:val="24"/>
        </w:rPr>
        <w:t>争议处理期间，双方当事人应恪守基金管理人和基金托管人职责，各自继续忠实、勤勉、尽责地履行基金合同和本托管协议规定的义务，维护基金份额持有人的合法权益。</w:t>
      </w:r>
    </w:p>
    <w:p>
      <w:pPr>
        <w:adjustRightInd w:val="0"/>
        <w:snapToGrid w:val="0"/>
        <w:spacing w:line="360" w:lineRule="auto"/>
        <w:ind w:firstLine="480" w:firstLineChars="200"/>
        <w:rPr>
          <w:rFonts w:ascii="宋体" w:hAnsi="宋体"/>
          <w:kern w:val="0"/>
          <w:sz w:val="24"/>
          <w:szCs w:val="24"/>
        </w:rPr>
      </w:pPr>
      <w:r>
        <w:rPr>
          <w:rFonts w:hint="eastAsia" w:ascii="宋体" w:hAnsi="宋体"/>
          <w:color w:val="0D0D0D"/>
          <w:sz w:val="24"/>
          <w:szCs w:val="24"/>
        </w:rPr>
        <w:t>本协议受</w:t>
      </w:r>
      <w:r>
        <w:rPr>
          <w:rFonts w:hint="eastAsia" w:ascii="宋体" w:hAnsi="宋体" w:cs="Arial"/>
          <w:sz w:val="24"/>
        </w:rPr>
        <w:t>中华人民共和国</w:t>
      </w:r>
      <w:r>
        <w:rPr>
          <w:rFonts w:hint="eastAsia" w:ascii="宋体" w:hAnsi="宋体"/>
          <w:color w:val="0D0D0D"/>
          <w:sz w:val="24"/>
          <w:szCs w:val="24"/>
        </w:rPr>
        <w:t>法律</w:t>
      </w:r>
      <w:r>
        <w:rPr>
          <w:rFonts w:hint="eastAsia" w:ascii="宋体" w:hAnsi="宋体" w:cs="Arial"/>
          <w:sz w:val="24"/>
        </w:rPr>
        <w:t>（为本托管协议之目的，不含港澳台地区</w:t>
      </w:r>
      <w:r>
        <w:rPr>
          <w:rFonts w:hint="eastAsia" w:ascii="宋体" w:hAnsi="宋体"/>
          <w:sz w:val="24"/>
        </w:rPr>
        <w:t>法律</w:t>
      </w:r>
      <w:r>
        <w:rPr>
          <w:rFonts w:hint="eastAsia" w:ascii="宋体" w:hAnsi="宋体" w:cs="Arial"/>
          <w:sz w:val="24"/>
        </w:rPr>
        <w:t>）</w:t>
      </w:r>
      <w:r>
        <w:rPr>
          <w:rFonts w:hint="eastAsia" w:ascii="宋体" w:hAnsi="宋体"/>
          <w:color w:val="0D0D0D"/>
          <w:sz w:val="24"/>
          <w:szCs w:val="24"/>
        </w:rPr>
        <w:t>管辖并从其解释。</w:t>
      </w:r>
    </w:p>
    <w:p>
      <w:pPr>
        <w:adjustRightInd w:val="0"/>
        <w:snapToGrid w:val="0"/>
        <w:spacing w:line="360" w:lineRule="auto"/>
        <w:ind w:firstLine="482" w:firstLineChars="200"/>
        <w:outlineLvl w:val="1"/>
        <w:rPr>
          <w:rFonts w:ascii="宋体" w:hAnsi="宋体"/>
          <w:b/>
          <w:kern w:val="0"/>
          <w:sz w:val="24"/>
          <w:szCs w:val="24"/>
        </w:rPr>
      </w:pPr>
      <w:r>
        <w:rPr>
          <w:rFonts w:ascii="宋体" w:hAnsi="宋体"/>
          <w:b/>
          <w:kern w:val="0"/>
          <w:sz w:val="24"/>
          <w:szCs w:val="24"/>
        </w:rPr>
        <w:t>（八）托管协议</w:t>
      </w:r>
      <w:r>
        <w:rPr>
          <w:rFonts w:hint="eastAsia" w:ascii="宋体" w:hAnsi="宋体"/>
          <w:b/>
          <w:kern w:val="0"/>
          <w:sz w:val="24"/>
          <w:szCs w:val="24"/>
        </w:rPr>
        <w:t>的变更、终止与基金财产的清算</w:t>
      </w:r>
    </w:p>
    <w:p>
      <w:pPr>
        <w:adjustRightInd w:val="0"/>
        <w:snapToGrid w:val="0"/>
        <w:spacing w:line="360" w:lineRule="auto"/>
        <w:ind w:firstLine="480" w:firstLineChars="200"/>
        <w:outlineLvl w:val="2"/>
        <w:rPr>
          <w:rFonts w:ascii="宋体" w:hAnsi="宋体"/>
          <w:color w:val="0D0D0D"/>
          <w:sz w:val="24"/>
          <w:szCs w:val="24"/>
        </w:rPr>
      </w:pPr>
      <w:r>
        <w:rPr>
          <w:rFonts w:hint="eastAsia"/>
          <w:color w:val="0D0D0D"/>
          <w:sz w:val="24"/>
          <w:szCs w:val="24"/>
        </w:rPr>
        <w:t>1、</w:t>
      </w:r>
      <w:r>
        <w:rPr>
          <w:rFonts w:hint="eastAsia" w:ascii="宋体" w:hAnsi="宋体"/>
          <w:color w:val="0D0D0D"/>
          <w:sz w:val="24"/>
          <w:szCs w:val="24"/>
        </w:rPr>
        <w:t>托管协议的变更程序</w:t>
      </w:r>
    </w:p>
    <w:p>
      <w:pPr>
        <w:adjustRightInd w:val="0"/>
        <w:snapToGrid w:val="0"/>
        <w:spacing w:line="360" w:lineRule="auto"/>
        <w:ind w:firstLine="480" w:firstLineChars="200"/>
        <w:rPr>
          <w:rFonts w:ascii="宋体" w:hAnsi="宋体"/>
          <w:sz w:val="24"/>
        </w:rPr>
      </w:pPr>
      <w:r>
        <w:rPr>
          <w:rFonts w:hint="eastAsia" w:ascii="宋体" w:hAnsi="宋体"/>
          <w:sz w:val="24"/>
        </w:rPr>
        <w:t>本协议双方当事人经协商一致，可以对协议进行</w:t>
      </w:r>
      <w:r>
        <w:rPr>
          <w:rFonts w:hint="eastAsia" w:ascii="宋体" w:hAnsi="宋体" w:cs="Arial"/>
          <w:sz w:val="24"/>
        </w:rPr>
        <w:t>修改。修改</w:t>
      </w:r>
      <w:r>
        <w:rPr>
          <w:rFonts w:hint="eastAsia" w:ascii="宋体" w:hAnsi="宋体"/>
          <w:sz w:val="24"/>
        </w:rPr>
        <w:t>后的</w:t>
      </w:r>
      <w:r>
        <w:rPr>
          <w:rFonts w:hint="eastAsia" w:ascii="宋体" w:hAnsi="宋体" w:cs="Arial"/>
          <w:sz w:val="24"/>
        </w:rPr>
        <w:t>新</w:t>
      </w:r>
      <w:r>
        <w:rPr>
          <w:rFonts w:hint="eastAsia" w:ascii="宋体" w:hAnsi="宋体"/>
          <w:sz w:val="24"/>
        </w:rPr>
        <w:t>协议，其内容不得与基金合同的规定有任何冲突。</w:t>
      </w:r>
      <w:r>
        <w:rPr>
          <w:rFonts w:hint="eastAsia" w:ascii="宋体" w:hAnsi="宋体" w:cs="Arial"/>
          <w:sz w:val="24"/>
        </w:rPr>
        <w:t>基金</w:t>
      </w:r>
      <w:r>
        <w:rPr>
          <w:rFonts w:hint="eastAsia" w:ascii="宋体" w:hAnsi="宋体"/>
          <w:sz w:val="24"/>
        </w:rPr>
        <w:t>托管协议的变更</w:t>
      </w:r>
      <w:r>
        <w:rPr>
          <w:rFonts w:hint="eastAsia" w:ascii="宋体" w:hAnsi="宋体" w:cs="Arial"/>
          <w:sz w:val="24"/>
        </w:rPr>
        <w:t>应按规定</w:t>
      </w:r>
      <w:r>
        <w:rPr>
          <w:rFonts w:hint="eastAsia" w:ascii="宋体" w:hAnsi="宋体"/>
          <w:sz w:val="24"/>
        </w:rPr>
        <w:t>报中国证监会备案。</w:t>
      </w:r>
    </w:p>
    <w:p>
      <w:pPr>
        <w:adjustRightInd w:val="0"/>
        <w:snapToGrid w:val="0"/>
        <w:spacing w:line="360" w:lineRule="auto"/>
        <w:ind w:firstLine="480" w:firstLineChars="200"/>
        <w:outlineLvl w:val="2"/>
        <w:rPr>
          <w:rFonts w:ascii="宋体" w:hAnsi="宋体"/>
          <w:sz w:val="24"/>
        </w:rPr>
      </w:pPr>
      <w:r>
        <w:rPr>
          <w:rFonts w:hint="eastAsia" w:ascii="宋体" w:hAnsi="宋体"/>
          <w:sz w:val="24"/>
        </w:rPr>
        <w:t>2、基金托管协议终止的情形</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《基金合同》终止；</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2）基金托管人</w:t>
      </w:r>
      <w:r>
        <w:rPr>
          <w:rFonts w:hint="eastAsia" w:ascii="宋体" w:hAnsi="宋体"/>
          <w:sz w:val="24"/>
        </w:rPr>
        <w:t>因解散、破产、撤销等事由，不能继续担任基金托管人的职务，而在6个月内无其他适当的托管机构承接其原有权利义务；</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3）基金管理人</w:t>
      </w:r>
      <w:r>
        <w:rPr>
          <w:rFonts w:hint="eastAsia" w:ascii="宋体" w:hAnsi="宋体"/>
          <w:sz w:val="24"/>
        </w:rPr>
        <w:t>因解散、破产、撤销等事由，不能继续担任基金管理人的职务，而在6个月内无其他适当的基金管理机构承接其原有权利义务；</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4）发生法律法规或</w:t>
      </w:r>
      <w:r>
        <w:rPr>
          <w:rFonts w:hint="eastAsia" w:ascii="宋体" w:hAnsi="宋体"/>
          <w:sz w:val="24"/>
        </w:rPr>
        <w:t>《基金合同》规定的其他终止事项。</w:t>
      </w:r>
    </w:p>
    <w:p>
      <w:pPr>
        <w:adjustRightInd w:val="0"/>
        <w:snapToGrid w:val="0"/>
        <w:spacing w:line="360" w:lineRule="auto"/>
        <w:ind w:firstLine="480" w:firstLineChars="200"/>
        <w:outlineLvl w:val="2"/>
        <w:rPr>
          <w:rFonts w:ascii="宋体" w:hAnsi="宋体"/>
          <w:sz w:val="24"/>
        </w:rPr>
      </w:pPr>
      <w:r>
        <w:rPr>
          <w:rFonts w:hint="eastAsia" w:ascii="宋体" w:hAnsi="宋体"/>
          <w:sz w:val="24"/>
        </w:rPr>
        <w:t>3、基金财产的清算</w:t>
      </w:r>
    </w:p>
    <w:p>
      <w:pPr>
        <w:adjustRightInd w:val="0"/>
        <w:snapToGrid w:val="0"/>
        <w:spacing w:line="360" w:lineRule="auto"/>
        <w:ind w:firstLine="480" w:firstLineChars="200"/>
        <w:rPr>
          <w:rFonts w:ascii="宋体" w:hAnsi="宋体"/>
          <w:sz w:val="24"/>
        </w:rPr>
      </w:pPr>
      <w:r>
        <w:rPr>
          <w:rFonts w:hint="eastAsia" w:ascii="宋体" w:hAnsi="宋体"/>
          <w:sz w:val="24"/>
        </w:rPr>
        <w:t>基金管理人与基金托管人按照《基金合同》的约定处理基金财产的清算。</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3" w:name="_Toc48122022"/>
      <w:r>
        <w:rPr>
          <w:rFonts w:hint="eastAsia" w:ascii="宋体" w:hAnsi="宋体"/>
          <w:b/>
          <w:kern w:val="0"/>
          <w:sz w:val="30"/>
        </w:rPr>
        <w:t>二十一、对基金份额持有人的服务</w:t>
      </w:r>
      <w:bookmarkEnd w:id="103"/>
    </w:p>
    <w:p>
      <w:pPr>
        <w:widowControl/>
        <w:adjustRightInd w:val="0"/>
        <w:snapToGrid w:val="0"/>
        <w:spacing w:line="360" w:lineRule="auto"/>
        <w:ind w:firstLine="480" w:firstLineChars="20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p>
    <w:p>
      <w:pPr>
        <w:widowControl/>
        <w:adjustRightInd w:val="0"/>
        <w:snapToGrid w:val="0"/>
        <w:spacing w:line="360" w:lineRule="auto"/>
        <w:ind w:firstLine="482" w:firstLineChars="200"/>
        <w:rPr>
          <w:rFonts w:hAnsi="宋体"/>
          <w:b/>
          <w:kern w:val="0"/>
          <w:sz w:val="24"/>
        </w:rPr>
      </w:pPr>
      <w:r>
        <w:rPr>
          <w:rFonts w:hAnsi="宋体"/>
          <w:b/>
          <w:kern w:val="0"/>
          <w:sz w:val="24"/>
        </w:rPr>
        <w:t>（一）</w:t>
      </w:r>
      <w:r>
        <w:rPr>
          <w:rFonts w:hint="eastAsia" w:hAnsi="宋体"/>
          <w:b/>
          <w:kern w:val="0"/>
          <w:sz w:val="24"/>
        </w:rPr>
        <w:t>基金募集客户服务相关准备工作</w:t>
      </w:r>
    </w:p>
    <w:p>
      <w:pPr>
        <w:widowControl/>
        <w:adjustRightInd w:val="0"/>
        <w:snapToGrid w:val="0"/>
        <w:spacing w:line="360" w:lineRule="auto"/>
        <w:ind w:firstLine="480" w:firstLineChars="200"/>
        <w:rPr>
          <w:rFonts w:hAnsi="宋体"/>
          <w:kern w:val="0"/>
          <w:sz w:val="24"/>
        </w:rPr>
      </w:pPr>
      <w:r>
        <w:rPr>
          <w:rFonts w:hint="eastAsia" w:hAnsi="宋体"/>
          <w:kern w:val="0"/>
          <w:sz w:val="24"/>
        </w:rPr>
        <w:t>基金管理人将通过客户服务电话、公司网站、手机短信及其他服务形式，向投资者提供关于基金募集的信息咨询服务，并为投资者办理基金募集相关业务提供协助。</w:t>
      </w:r>
    </w:p>
    <w:p>
      <w:pPr>
        <w:widowControl/>
        <w:adjustRightInd w:val="0"/>
        <w:snapToGrid w:val="0"/>
        <w:spacing w:line="360" w:lineRule="auto"/>
        <w:ind w:firstLine="482" w:firstLineChars="200"/>
        <w:rPr>
          <w:rFonts w:hAnsi="宋体"/>
          <w:b/>
          <w:kern w:val="0"/>
          <w:sz w:val="24"/>
        </w:rPr>
      </w:pPr>
      <w:r>
        <w:rPr>
          <w:rFonts w:hAnsi="宋体"/>
          <w:b/>
          <w:kern w:val="0"/>
          <w:sz w:val="24"/>
        </w:rPr>
        <w:t>（二）网上</w:t>
      </w:r>
      <w:r>
        <w:rPr>
          <w:rFonts w:hint="eastAsia" w:hAnsi="宋体"/>
          <w:b/>
          <w:kern w:val="0"/>
          <w:sz w:val="24"/>
        </w:rPr>
        <w:t>直销</w:t>
      </w:r>
      <w:r>
        <w:rPr>
          <w:rFonts w:hAnsi="宋体"/>
          <w:b/>
          <w:kern w:val="0"/>
          <w:sz w:val="24"/>
        </w:rPr>
        <w:t>服务</w:t>
      </w:r>
    </w:p>
    <w:p>
      <w:pPr>
        <w:widowControl/>
        <w:adjustRightInd w:val="0"/>
        <w:snapToGrid w:val="0"/>
        <w:spacing w:line="360" w:lineRule="auto"/>
        <w:ind w:firstLine="480" w:firstLineChars="200"/>
        <w:rPr>
          <w:rFonts w:hAnsi="宋体"/>
          <w:kern w:val="0"/>
          <w:sz w:val="24"/>
        </w:rPr>
      </w:pPr>
      <w:r>
        <w:rPr>
          <w:rFonts w:hAnsi="宋体"/>
          <w:kern w:val="0"/>
          <w:sz w:val="24"/>
        </w:rPr>
        <w:t>本基金管理人已开通基金网上直销</w:t>
      </w:r>
      <w:r>
        <w:rPr>
          <w:rFonts w:hint="eastAsia" w:hAnsi="宋体"/>
          <w:kern w:val="0"/>
          <w:sz w:val="24"/>
        </w:rPr>
        <w:t>服务</w:t>
      </w:r>
      <w:r>
        <w:rPr>
          <w:rFonts w:hAnsi="宋体"/>
          <w:kern w:val="0"/>
          <w:sz w:val="24"/>
        </w:rPr>
        <w:t>，个人投资者可以直接通过本基金管理人的</w:t>
      </w:r>
      <w:r>
        <w:rPr>
          <w:rFonts w:hint="eastAsia" w:hAnsi="宋体"/>
          <w:kern w:val="0"/>
          <w:sz w:val="24"/>
        </w:rPr>
        <w:t>网上直销交易平台</w:t>
      </w:r>
      <w:r>
        <w:rPr>
          <w:rFonts w:hAnsi="宋体"/>
          <w:kern w:val="0"/>
          <w:sz w:val="24"/>
        </w:rPr>
        <w:t>办理开户手续，并在本基金募集期间</w:t>
      </w:r>
      <w:r>
        <w:rPr>
          <w:rFonts w:hint="eastAsia" w:hAnsi="宋体"/>
          <w:kern w:val="0"/>
          <w:sz w:val="24"/>
        </w:rPr>
        <w:t>通过网上直销交易平台</w:t>
      </w:r>
      <w:r>
        <w:rPr>
          <w:rFonts w:hAnsi="宋体"/>
          <w:kern w:val="0"/>
          <w:sz w:val="24"/>
        </w:rPr>
        <w:t>办理</w:t>
      </w:r>
      <w:r>
        <w:rPr>
          <w:rFonts w:hint="eastAsia" w:hAnsi="宋体"/>
          <w:kern w:val="0"/>
          <w:sz w:val="24"/>
        </w:rPr>
        <w:t>本基金的认购业务，在本基金</w:t>
      </w:r>
      <w:r>
        <w:rPr>
          <w:rFonts w:hAnsi="宋体"/>
          <w:kern w:val="0"/>
          <w:sz w:val="24"/>
        </w:rPr>
        <w:t>开放日常申购和赎回等业务后</w:t>
      </w:r>
      <w:r>
        <w:rPr>
          <w:rFonts w:hint="eastAsia" w:hAnsi="宋体"/>
          <w:kern w:val="0"/>
          <w:sz w:val="24"/>
        </w:rPr>
        <w:t>通过网上直销交易平台</w:t>
      </w:r>
      <w:r>
        <w:rPr>
          <w:rFonts w:hAnsi="宋体"/>
          <w:kern w:val="0"/>
          <w:sz w:val="24"/>
        </w:rPr>
        <w:t>办理</w:t>
      </w:r>
      <w:r>
        <w:rPr>
          <w:rFonts w:hint="eastAsia" w:hAnsi="宋体"/>
          <w:kern w:val="0"/>
          <w:sz w:val="24"/>
        </w:rPr>
        <w:t>本基金的申购和赎回等业务</w:t>
      </w:r>
      <w:r>
        <w:rPr>
          <w:rFonts w:hAnsi="宋体"/>
          <w:kern w:val="0"/>
          <w:sz w:val="24"/>
        </w:rPr>
        <w:t>，有关详情可参见相关公告。</w:t>
      </w:r>
    </w:p>
    <w:p>
      <w:pPr>
        <w:widowControl/>
        <w:adjustRightInd w:val="0"/>
        <w:snapToGrid w:val="0"/>
        <w:spacing w:line="360" w:lineRule="auto"/>
        <w:ind w:firstLine="480" w:firstLineChars="200"/>
        <w:rPr>
          <w:rFonts w:hAnsi="宋体"/>
          <w:kern w:val="0"/>
          <w:sz w:val="24"/>
        </w:rPr>
      </w:pPr>
      <w:r>
        <w:rPr>
          <w:rFonts w:hAnsi="宋体"/>
          <w:kern w:val="0"/>
          <w:sz w:val="24"/>
        </w:rPr>
        <w:t>基金网上直销</w:t>
      </w:r>
      <w:r>
        <w:rPr>
          <w:rFonts w:hint="eastAsia" w:hAnsi="宋体"/>
          <w:kern w:val="0"/>
          <w:sz w:val="24"/>
        </w:rPr>
        <w:t>交易平台</w:t>
      </w:r>
      <w:r>
        <w:rPr>
          <w:rFonts w:hAnsi="宋体"/>
          <w:kern w:val="0"/>
          <w:sz w:val="24"/>
        </w:rPr>
        <w:t>已开通的银行卡及各银行卡交易金额限额请参阅本</w:t>
      </w:r>
      <w:r>
        <w:rPr>
          <w:rFonts w:hint="eastAsia" w:hAnsi="宋体"/>
          <w:kern w:val="0"/>
          <w:sz w:val="24"/>
        </w:rPr>
        <w:t>基金管理人</w:t>
      </w:r>
      <w:r>
        <w:rPr>
          <w:rFonts w:hAnsi="宋体"/>
          <w:kern w:val="0"/>
          <w:sz w:val="24"/>
        </w:rPr>
        <w:t>网站。</w:t>
      </w:r>
    </w:p>
    <w:p>
      <w:pPr>
        <w:widowControl/>
        <w:adjustRightInd w:val="0"/>
        <w:snapToGrid w:val="0"/>
        <w:spacing w:line="360" w:lineRule="auto"/>
        <w:ind w:firstLine="480" w:firstLineChars="200"/>
        <w:rPr>
          <w:rFonts w:hAnsi="宋体"/>
          <w:kern w:val="0"/>
          <w:sz w:val="24"/>
        </w:rPr>
      </w:pPr>
      <w:r>
        <w:rPr>
          <w:rFonts w:hAnsi="宋体"/>
          <w:kern w:val="0"/>
          <w:sz w:val="24"/>
        </w:rPr>
        <w:t>在条件成熟的时候，本基金管理人将根据基金网上</w:t>
      </w:r>
      <w:r>
        <w:rPr>
          <w:rFonts w:hint="eastAsia" w:hAnsi="宋体"/>
          <w:kern w:val="0"/>
          <w:sz w:val="24"/>
        </w:rPr>
        <w:t>直销</w:t>
      </w:r>
      <w:r>
        <w:rPr>
          <w:rFonts w:hAnsi="宋体"/>
          <w:kern w:val="0"/>
          <w:sz w:val="24"/>
        </w:rPr>
        <w:t>业务的发展状况，适时</w:t>
      </w:r>
      <w:r>
        <w:rPr>
          <w:rFonts w:hint="eastAsia" w:hAnsi="宋体"/>
          <w:kern w:val="0"/>
          <w:sz w:val="24"/>
        </w:rPr>
        <w:t>调整</w:t>
      </w:r>
      <w:r>
        <w:rPr>
          <w:rFonts w:hAnsi="宋体"/>
          <w:kern w:val="0"/>
          <w:sz w:val="24"/>
        </w:rPr>
        <w:t>可用于</w:t>
      </w:r>
      <w:r>
        <w:rPr>
          <w:rFonts w:hint="eastAsia" w:hAnsi="宋体"/>
          <w:kern w:val="0"/>
          <w:sz w:val="24"/>
        </w:rPr>
        <w:t>网上直销交易平台</w:t>
      </w:r>
      <w:r>
        <w:rPr>
          <w:rFonts w:hAnsi="宋体"/>
          <w:kern w:val="0"/>
          <w:sz w:val="24"/>
        </w:rPr>
        <w:t>的银行卡种类，敬请投资人留意相关公告。</w:t>
      </w:r>
    </w:p>
    <w:p>
      <w:pPr>
        <w:widowControl/>
        <w:adjustRightInd w:val="0"/>
        <w:snapToGrid w:val="0"/>
        <w:spacing w:line="360" w:lineRule="auto"/>
        <w:ind w:firstLine="482" w:firstLineChars="200"/>
        <w:rPr>
          <w:rFonts w:hAnsi="宋体"/>
          <w:b/>
          <w:kern w:val="0"/>
          <w:sz w:val="24"/>
        </w:rPr>
      </w:pPr>
      <w:r>
        <w:rPr>
          <w:rFonts w:hAnsi="宋体"/>
          <w:b/>
          <w:kern w:val="0"/>
          <w:sz w:val="24"/>
        </w:rPr>
        <w:t>（三）信息咨询、查询服务</w:t>
      </w:r>
    </w:p>
    <w:p>
      <w:pPr>
        <w:widowControl/>
        <w:adjustRightInd w:val="0"/>
        <w:snapToGrid w:val="0"/>
        <w:spacing w:line="360" w:lineRule="auto"/>
        <w:ind w:firstLine="480" w:firstLineChars="200"/>
        <w:rPr>
          <w:kern w:val="0"/>
          <w:sz w:val="24"/>
        </w:rPr>
      </w:pPr>
      <w:r>
        <w:rPr>
          <w:rFonts w:hAnsi="宋体"/>
          <w:kern w:val="0"/>
          <w:sz w:val="24"/>
        </w:rPr>
        <w:t>投资人如果想查询基金账户余额、基金产品与服务等信息，请拨打本基金管理人客户服务电话（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p>
    <w:p>
      <w:pPr>
        <w:widowControl/>
        <w:adjustRightInd w:val="0"/>
        <w:snapToGrid w:val="0"/>
        <w:spacing w:line="360" w:lineRule="auto"/>
        <w:ind w:firstLine="480" w:firstLineChars="20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pPr>
        <w:widowControl/>
        <w:adjustRightInd w:val="0"/>
        <w:snapToGrid w:val="0"/>
        <w:spacing w:line="360" w:lineRule="auto"/>
        <w:ind w:firstLine="480" w:firstLineChars="200"/>
        <w:rPr>
          <w:kern w:val="0"/>
          <w:sz w:val="24"/>
        </w:rPr>
      </w:pPr>
      <w:r>
        <w:rPr>
          <w:kern w:val="0"/>
          <w:sz w:val="24"/>
        </w:rPr>
        <w:t>投资人可以拨打本基金管理人客户服务电话投诉直销机构的人员和服务。</w:t>
      </w:r>
    </w:p>
    <w:p>
      <w:pPr>
        <w:widowControl/>
        <w:adjustRightInd w:val="0"/>
        <w:snapToGrid w:val="0"/>
        <w:spacing w:line="360" w:lineRule="auto"/>
        <w:ind w:firstLine="482" w:firstLineChars="200"/>
        <w:rPr>
          <w:rFonts w:hAnsi="宋体"/>
          <w:b/>
          <w:kern w:val="0"/>
          <w:sz w:val="24"/>
        </w:rPr>
      </w:pPr>
      <w:r>
        <w:rPr>
          <w:rFonts w:hAnsi="宋体"/>
          <w:b/>
          <w:kern w:val="0"/>
          <w:sz w:val="24"/>
        </w:rPr>
        <w:t>（四）基金红利再投资</w:t>
      </w:r>
    </w:p>
    <w:p>
      <w:pPr>
        <w:widowControl/>
        <w:adjustRightInd w:val="0"/>
        <w:snapToGrid w:val="0"/>
        <w:spacing w:line="360" w:lineRule="auto"/>
        <w:ind w:firstLine="480" w:firstLineChars="200"/>
        <w:rPr>
          <w:kern w:val="0"/>
          <w:sz w:val="24"/>
        </w:rPr>
      </w:pPr>
      <w:r>
        <w:rPr>
          <w:kern w:val="0"/>
          <w:sz w:val="24"/>
        </w:rPr>
        <w:t>本基金收益分配时，</w:t>
      </w:r>
      <w:r>
        <w:rPr>
          <w:rFonts w:hint="eastAsia"/>
          <w:kern w:val="0"/>
          <w:sz w:val="24"/>
        </w:rPr>
        <w:t>基金份额持有人持有的基金份额可选择现金红利或选择红利再投将现金红利自动转为基金份额进行再投资，若投资人不选择，本基金默认的收益分配方式是现金分红。再投资红利按红利再投日（即除息日）除息后的基金份额净值自动转为基金份额，并免收申购费用。</w:t>
      </w:r>
    </w:p>
    <w:p>
      <w:pPr>
        <w:widowControl/>
        <w:adjustRightInd w:val="0"/>
        <w:snapToGrid w:val="0"/>
        <w:spacing w:line="360" w:lineRule="auto"/>
        <w:ind w:firstLine="482" w:firstLineChars="200"/>
        <w:rPr>
          <w:rFonts w:hAnsi="宋体"/>
          <w:b/>
          <w:kern w:val="0"/>
          <w:sz w:val="24"/>
        </w:rPr>
      </w:pPr>
      <w:r>
        <w:rPr>
          <w:rFonts w:hAnsi="宋体"/>
          <w:b/>
          <w:kern w:val="0"/>
          <w:sz w:val="24"/>
        </w:rPr>
        <w:t>（五）定期定额投资计划</w:t>
      </w:r>
    </w:p>
    <w:p>
      <w:pPr>
        <w:widowControl/>
        <w:adjustRightInd w:val="0"/>
        <w:snapToGrid w:val="0"/>
        <w:spacing w:line="360" w:lineRule="auto"/>
        <w:ind w:firstLine="480" w:firstLineChars="200"/>
        <w:rPr>
          <w:kern w:val="0"/>
          <w:sz w:val="24"/>
        </w:rPr>
      </w:pPr>
      <w:r>
        <w:rPr>
          <w:kern w:val="0"/>
          <w:sz w:val="24"/>
        </w:rPr>
        <w:t>待技术条件成熟时，基金</w:t>
      </w:r>
      <w:bookmarkStart w:id="104" w:name="OLE_LINK11"/>
      <w:r>
        <w:rPr>
          <w:kern w:val="0"/>
          <w:sz w:val="24"/>
        </w:rPr>
        <w:t>管理人可通过销售机构为投资人提供定期定额投资的服务。通过定期定额</w:t>
      </w:r>
      <w:bookmarkEnd w:id="104"/>
      <w:r>
        <w:rPr>
          <w:kern w:val="0"/>
          <w:sz w:val="24"/>
        </w:rPr>
        <w:t>投资计划，投资人可以定期定额申购基金份额，具体实施方法另行公告。</w:t>
      </w:r>
    </w:p>
    <w:p>
      <w:pPr>
        <w:widowControl/>
        <w:adjustRightInd w:val="0"/>
        <w:snapToGrid w:val="0"/>
        <w:spacing w:line="360" w:lineRule="auto"/>
        <w:ind w:firstLine="480" w:firstLineChars="200"/>
        <w:rPr>
          <w:kern w:val="0"/>
          <w:sz w:val="24"/>
        </w:rPr>
      </w:pPr>
      <w:r>
        <w:rPr>
          <w:rFonts w:hAnsi="宋体"/>
          <w:kern w:val="0"/>
          <w:sz w:val="24"/>
        </w:rPr>
        <w:t>服务联系方式：</w:t>
      </w:r>
    </w:p>
    <w:p>
      <w:pPr>
        <w:widowControl/>
        <w:adjustRightInd w:val="0"/>
        <w:snapToGrid w:val="0"/>
        <w:spacing w:line="360" w:lineRule="auto"/>
        <w:ind w:firstLine="480" w:firstLineChars="200"/>
        <w:rPr>
          <w:kern w:val="0"/>
          <w:sz w:val="24"/>
        </w:rPr>
      </w:pPr>
      <w:r>
        <w:rPr>
          <w:rFonts w:hAnsi="宋体"/>
          <w:kern w:val="0"/>
          <w:sz w:val="24"/>
        </w:rPr>
        <w:t>本基金管理人的互联网地址及电子信箱</w:t>
      </w:r>
    </w:p>
    <w:p>
      <w:pPr>
        <w:widowControl/>
        <w:adjustRightInd w:val="0"/>
        <w:snapToGrid w:val="0"/>
        <w:spacing w:line="360" w:lineRule="auto"/>
        <w:ind w:firstLine="480" w:firstLineChars="200"/>
        <w:rPr>
          <w:kern w:val="0"/>
          <w:sz w:val="24"/>
        </w:rPr>
      </w:pPr>
      <w:r>
        <w:rPr>
          <w:rFonts w:hAnsi="宋体"/>
          <w:kern w:val="0"/>
          <w:sz w:val="24"/>
        </w:rPr>
        <w:t>网址：</w:t>
      </w:r>
      <w:r>
        <w:fldChar w:fldCharType="begin"/>
      </w:r>
      <w:r>
        <w:instrText xml:space="preserve"> HYPERLINK "http://www.jysld.com或www.bocomschroder.com" </w:instrText>
      </w:r>
      <w:r>
        <w:fldChar w:fldCharType="separate"/>
      </w:r>
      <w:r>
        <w:rPr>
          <w:sz w:val="24"/>
        </w:rPr>
        <w:t>www.fund001.com</w:t>
      </w:r>
      <w:r>
        <w:rPr>
          <w:sz w:val="24"/>
        </w:rPr>
        <w:fldChar w:fldCharType="end"/>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电子信箱：</w:t>
      </w:r>
      <w:r>
        <w:rPr>
          <w:sz w:val="24"/>
        </w:rPr>
        <w:t>services@jysld.com</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投资者也可登录本基金管理人网站，直接提出有关本基金的问题和建议。</w:t>
      </w:r>
    </w:p>
    <w:p>
      <w:pPr>
        <w:widowControl/>
        <w:adjustRightInd w:val="0"/>
        <w:snapToGrid w:val="0"/>
        <w:spacing w:line="360" w:lineRule="auto"/>
        <w:ind w:firstLine="482" w:firstLineChars="200"/>
        <w:rPr>
          <w:rFonts w:ascii="宋体" w:hAnsi="宋体"/>
          <w:b/>
          <w:kern w:val="0"/>
          <w:sz w:val="24"/>
        </w:rPr>
      </w:pPr>
      <w:r>
        <w:rPr>
          <w:rFonts w:hint="eastAsia" w:hAnsi="宋体"/>
          <w:b/>
          <w:kern w:val="0"/>
          <w:sz w:val="24"/>
        </w:rPr>
        <w:t>（六）如本招募说明书存在任何您</w:t>
      </w:r>
      <w:r>
        <w:rPr>
          <w:rFonts w:hAnsi="宋体"/>
          <w:b/>
          <w:kern w:val="0"/>
          <w:sz w:val="24"/>
        </w:rPr>
        <w:t>/</w:t>
      </w:r>
      <w:r>
        <w:rPr>
          <w:rFonts w:hint="eastAsia" w:hAnsi="宋体"/>
          <w:b/>
          <w:kern w:val="0"/>
          <w:sz w:val="24"/>
        </w:rPr>
        <w:t>贵机构无法理解的内容，请通过上述方式联系基金管理人。请确保投资前，您</w:t>
      </w:r>
      <w:r>
        <w:rPr>
          <w:rFonts w:hAnsi="宋体"/>
          <w:b/>
          <w:kern w:val="0"/>
          <w:sz w:val="24"/>
        </w:rPr>
        <w:t>/</w:t>
      </w:r>
      <w:r>
        <w:rPr>
          <w:rFonts w:hint="eastAsia" w:hAnsi="宋体"/>
          <w:b/>
          <w:kern w:val="0"/>
          <w:sz w:val="24"/>
        </w:rPr>
        <w:t>贵机构已经全面理解了本招募说明书。</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5" w:name="_Toc48122023"/>
      <w:r>
        <w:rPr>
          <w:rFonts w:hint="eastAsia" w:ascii="宋体" w:hAnsi="宋体"/>
          <w:b/>
          <w:kern w:val="0"/>
          <w:sz w:val="30"/>
        </w:rPr>
        <w:t>二十二、其他应披露事项</w:t>
      </w:r>
      <w:bookmarkEnd w:id="105"/>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基金合同如有未尽事宜，由基金合同当事人各方按有关法律法规协商解决。</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6" w:name="_Toc48122024"/>
      <w:r>
        <w:rPr>
          <w:rFonts w:hint="eastAsia" w:ascii="宋体" w:hAnsi="宋体"/>
          <w:b/>
          <w:kern w:val="0"/>
          <w:sz w:val="30"/>
        </w:rPr>
        <w:t>二十三、招募说明书的存放及查阅方式</w:t>
      </w:r>
      <w:bookmarkEnd w:id="106"/>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hint="eastAsia" w:ascii="宋体" w:hAnsi="宋体"/>
          <w:kern w:val="0"/>
          <w:sz w:val="24"/>
        </w:rPr>
        <w:t>办公</w:t>
      </w:r>
      <w:r>
        <w:rPr>
          <w:rFonts w:ascii="宋体" w:hAnsi="宋体"/>
          <w:kern w:val="0"/>
          <w:sz w:val="24"/>
        </w:rPr>
        <w:t>场所，投资人可在办公时间查阅；投资人在支付工本费后，可在合理时</w:t>
      </w:r>
      <w:bookmarkStart w:id="107" w:name="_Toc109537401"/>
      <w:r>
        <w:rPr>
          <w:rFonts w:ascii="宋体" w:hAnsi="宋体"/>
          <w:kern w:val="0"/>
          <w:sz w:val="24"/>
        </w:rPr>
        <w:t>间内取得上述文件复制件</w:t>
      </w:r>
      <w:bookmarkEnd w:id="107"/>
      <w:r>
        <w:rPr>
          <w:rFonts w:ascii="宋体" w:hAnsi="宋体"/>
          <w:kern w:val="0"/>
          <w:sz w:val="24"/>
        </w:rPr>
        <w:t>或复印件。对投资人按此种方式所获得的文件及其复印件，基金管理人和基金托管人</w:t>
      </w:r>
      <w:bookmarkStart w:id="108" w:name="_Toc109537402"/>
      <w:r>
        <w:rPr>
          <w:rFonts w:ascii="宋体" w:hAnsi="宋体"/>
          <w:kern w:val="0"/>
          <w:sz w:val="24"/>
        </w:rPr>
        <w:t>保证文本的内容与所公告的内容完全一</w:t>
      </w:r>
      <w:bookmarkEnd w:id="108"/>
      <w:r>
        <w:rPr>
          <w:rFonts w:ascii="宋体" w:hAnsi="宋体"/>
          <w:kern w:val="0"/>
          <w:sz w:val="24"/>
        </w:rPr>
        <w:t>致。</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投资人还可以直接登录基金管理人的网站（</w:t>
      </w:r>
      <w:r>
        <w:fldChar w:fldCharType="begin"/>
      </w:r>
      <w:r>
        <w:instrText xml:space="preserve"> HYPERLINK "http://www.fund001.com，www.bocomschroder.com" </w:instrText>
      </w:r>
      <w:r>
        <w:fldChar w:fldCharType="separate"/>
      </w:r>
      <w:r>
        <w:rPr>
          <w:rStyle w:val="31"/>
          <w:color w:val="auto"/>
          <w:sz w:val="24"/>
          <w:u w:val="none"/>
        </w:rPr>
        <w:t>www.fund001.com</w:t>
      </w:r>
      <w:r>
        <w:rPr>
          <w:rStyle w:val="31"/>
          <w:color w:val="auto"/>
          <w:sz w:val="24"/>
          <w:u w:val="none"/>
        </w:rPr>
        <w:fldChar w:fldCharType="end"/>
      </w:r>
      <w:r>
        <w:rPr>
          <w:rStyle w:val="31"/>
          <w:color w:val="auto"/>
          <w:u w:val="none"/>
        </w:rPr>
        <w:t>）</w:t>
      </w:r>
      <w:r>
        <w:rPr>
          <w:rFonts w:ascii="宋体" w:hAnsi="宋体"/>
          <w:kern w:val="0"/>
          <w:sz w:val="24"/>
        </w:rPr>
        <w:t>查阅和下载招募说明书。</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9" w:name="_Toc48122025"/>
      <w:r>
        <w:rPr>
          <w:rFonts w:hint="eastAsia" w:ascii="宋体" w:hAnsi="宋体"/>
          <w:b/>
          <w:kern w:val="0"/>
          <w:sz w:val="30"/>
        </w:rPr>
        <w:t>二十四、备查文件</w:t>
      </w:r>
      <w:bookmarkEnd w:id="109"/>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以下备查文件存放在基金管理人的办公场所，在办公时间可供免费查阅。</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（一）中国证监会</w:t>
      </w:r>
      <w:r>
        <w:rPr>
          <w:rFonts w:hint="eastAsia" w:ascii="宋体" w:hAnsi="宋体"/>
          <w:kern w:val="0"/>
          <w:sz w:val="24"/>
          <w:szCs w:val="24"/>
        </w:rPr>
        <w:t>准予</w:t>
      </w:r>
      <w:r>
        <w:rPr>
          <w:rFonts w:ascii="宋体" w:hAnsi="宋体"/>
          <w:kern w:val="0"/>
          <w:sz w:val="24"/>
        </w:rPr>
        <w:t>交银施罗德</w:t>
      </w:r>
      <w:r>
        <w:rPr>
          <w:rFonts w:hint="eastAsia" w:ascii="宋体" w:hAnsi="宋体"/>
          <w:kern w:val="0"/>
          <w:sz w:val="24"/>
        </w:rPr>
        <w:t>产业臻选</w:t>
      </w:r>
      <w:r>
        <w:rPr>
          <w:rFonts w:ascii="宋体" w:hAnsi="宋体"/>
          <w:kern w:val="0"/>
          <w:sz w:val="24"/>
        </w:rPr>
        <w:t>混合型证券投资基金募集</w:t>
      </w:r>
      <w:r>
        <w:rPr>
          <w:rFonts w:hint="eastAsia" w:ascii="宋体" w:hAnsi="宋体"/>
          <w:kern w:val="0"/>
          <w:sz w:val="24"/>
          <w:szCs w:val="24"/>
        </w:rPr>
        <w:t>注册</w:t>
      </w:r>
      <w:r>
        <w:rPr>
          <w:rFonts w:ascii="宋体" w:hAnsi="宋体"/>
          <w:kern w:val="0"/>
          <w:sz w:val="24"/>
        </w:rPr>
        <w:t>的文件</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（二）《交银施罗德</w:t>
      </w:r>
      <w:r>
        <w:rPr>
          <w:rFonts w:hint="eastAsia" w:ascii="宋体" w:hAnsi="宋体"/>
          <w:kern w:val="0"/>
          <w:sz w:val="24"/>
        </w:rPr>
        <w:t>产业臻选</w:t>
      </w:r>
      <w:r>
        <w:rPr>
          <w:rFonts w:ascii="宋体" w:hAnsi="宋体"/>
          <w:kern w:val="0"/>
          <w:sz w:val="24"/>
        </w:rPr>
        <w:t>混合型证券投资基金基金合同》</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三</w:t>
      </w:r>
      <w:r>
        <w:rPr>
          <w:rFonts w:hint="eastAsia" w:ascii="宋体" w:hAnsi="宋体"/>
          <w:kern w:val="0"/>
          <w:sz w:val="24"/>
        </w:rPr>
        <w:t>）</w:t>
      </w:r>
      <w:r>
        <w:rPr>
          <w:rFonts w:ascii="宋体" w:hAnsi="宋体"/>
          <w:kern w:val="0"/>
          <w:sz w:val="24"/>
        </w:rPr>
        <w:t>《交银施罗德</w:t>
      </w:r>
      <w:r>
        <w:rPr>
          <w:rFonts w:hint="eastAsia" w:ascii="宋体" w:hAnsi="宋体"/>
          <w:kern w:val="0"/>
          <w:sz w:val="24"/>
        </w:rPr>
        <w:t>产业臻选</w:t>
      </w:r>
      <w:r>
        <w:rPr>
          <w:rFonts w:ascii="宋体" w:hAnsi="宋体"/>
          <w:kern w:val="0"/>
          <w:sz w:val="24"/>
        </w:rPr>
        <w:t>混合型证券投资基金托管协议》</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（四）</w:t>
      </w:r>
      <w:r>
        <w:rPr>
          <w:rFonts w:ascii="宋体" w:hAnsi="宋体"/>
          <w:kern w:val="0"/>
          <w:sz w:val="24"/>
        </w:rPr>
        <w:t>基金管理人业务资格批件、营业执照</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五</w:t>
      </w:r>
      <w:r>
        <w:rPr>
          <w:rFonts w:ascii="宋体" w:hAnsi="宋体"/>
          <w:kern w:val="0"/>
          <w:sz w:val="24"/>
        </w:rPr>
        <w:t>）基金托管人业务资格批件、营业执照</w:t>
      </w:r>
    </w:p>
    <w:p>
      <w:pPr>
        <w:widowControl/>
        <w:adjustRightInd w:val="0"/>
        <w:snapToGrid w:val="0"/>
        <w:spacing w:line="360" w:lineRule="auto"/>
        <w:ind w:firstLine="480" w:firstLineChars="200"/>
      </w:pPr>
      <w:r>
        <w:rPr>
          <w:rFonts w:ascii="宋体" w:hAnsi="宋体"/>
          <w:kern w:val="0"/>
          <w:sz w:val="24"/>
        </w:rPr>
        <w:t>（</w:t>
      </w:r>
      <w:r>
        <w:rPr>
          <w:rFonts w:hint="eastAsia" w:ascii="宋体" w:hAnsi="宋体"/>
          <w:kern w:val="0"/>
          <w:sz w:val="24"/>
        </w:rPr>
        <w:t>六</w:t>
      </w:r>
      <w:r>
        <w:rPr>
          <w:rFonts w:ascii="宋体" w:hAnsi="宋体"/>
          <w:kern w:val="0"/>
          <w:sz w:val="24"/>
        </w:rPr>
        <w:t>）关于</w:t>
      </w:r>
      <w:r>
        <w:rPr>
          <w:rFonts w:hint="eastAsia" w:ascii="宋体" w:hAnsi="宋体"/>
          <w:kern w:val="0"/>
          <w:sz w:val="24"/>
        </w:rPr>
        <w:t>申请</w:t>
      </w:r>
      <w:r>
        <w:rPr>
          <w:rFonts w:ascii="宋体" w:hAnsi="宋体"/>
          <w:kern w:val="0"/>
          <w:sz w:val="24"/>
        </w:rPr>
        <w:t>募集</w:t>
      </w:r>
      <w:r>
        <w:rPr>
          <w:rFonts w:hint="eastAsia" w:ascii="宋体" w:hAnsi="宋体"/>
          <w:kern w:val="0"/>
          <w:sz w:val="24"/>
          <w:szCs w:val="24"/>
        </w:rPr>
        <w:t>注册</w:t>
      </w:r>
      <w:r>
        <w:rPr>
          <w:rFonts w:ascii="宋体" w:hAnsi="宋体"/>
          <w:kern w:val="0"/>
          <w:sz w:val="24"/>
        </w:rPr>
        <w:t>交银施罗德</w:t>
      </w:r>
      <w:r>
        <w:rPr>
          <w:rFonts w:hint="eastAsia" w:ascii="宋体" w:hAnsi="宋体"/>
          <w:kern w:val="0"/>
          <w:sz w:val="24"/>
        </w:rPr>
        <w:t>产业臻选</w:t>
      </w:r>
      <w:r>
        <w:rPr>
          <w:rFonts w:ascii="宋体" w:hAnsi="宋体"/>
          <w:kern w:val="0"/>
          <w:sz w:val="24"/>
        </w:rPr>
        <w:t>混合型证券投资基金</w:t>
      </w:r>
      <w:r>
        <w:rPr>
          <w:rFonts w:hint="eastAsia" w:ascii="宋体" w:hAnsi="宋体"/>
          <w:kern w:val="0"/>
          <w:sz w:val="24"/>
        </w:rPr>
        <w:t>的</w:t>
      </w:r>
      <w:r>
        <w:rPr>
          <w:rFonts w:ascii="宋体" w:hAnsi="宋体"/>
          <w:kern w:val="0"/>
          <w:sz w:val="24"/>
        </w:rPr>
        <w:t>法律意见书</w:t>
      </w:r>
    </w:p>
    <w:sectPr>
      <w:headerReference r:id="rId3" w:type="default"/>
      <w:footerReference r:id="rId4" w:type="default"/>
      <w:pgSz w:w="12240" w:h="15840"/>
      <w:pgMar w:top="1440" w:right="1800" w:bottom="1440" w:left="1800" w:header="720" w:footer="720"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五">
    <w:altName w:val="等线"/>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t>20</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交银施罗德产业臻选混合型证券投资基金招募说明书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415BF"/>
    <w:multiLevelType w:val="multilevel"/>
    <w:tmpl w:val="4AC415B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D25"/>
    <w:rsid w:val="00002218"/>
    <w:rsid w:val="000023B4"/>
    <w:rsid w:val="00002D5D"/>
    <w:rsid w:val="000036ED"/>
    <w:rsid w:val="00004BC7"/>
    <w:rsid w:val="00004F21"/>
    <w:rsid w:val="00006546"/>
    <w:rsid w:val="000073BB"/>
    <w:rsid w:val="000077E2"/>
    <w:rsid w:val="00007B19"/>
    <w:rsid w:val="00012036"/>
    <w:rsid w:val="000129AD"/>
    <w:rsid w:val="00013380"/>
    <w:rsid w:val="00013CF1"/>
    <w:rsid w:val="00014138"/>
    <w:rsid w:val="000141E9"/>
    <w:rsid w:val="000142D4"/>
    <w:rsid w:val="000142FC"/>
    <w:rsid w:val="00014A8B"/>
    <w:rsid w:val="00015379"/>
    <w:rsid w:val="00015550"/>
    <w:rsid w:val="00015DB8"/>
    <w:rsid w:val="00016BA8"/>
    <w:rsid w:val="000207B0"/>
    <w:rsid w:val="00020C01"/>
    <w:rsid w:val="00021295"/>
    <w:rsid w:val="0002132B"/>
    <w:rsid w:val="00021950"/>
    <w:rsid w:val="00022409"/>
    <w:rsid w:val="00023E32"/>
    <w:rsid w:val="00023E75"/>
    <w:rsid w:val="000248AB"/>
    <w:rsid w:val="00025854"/>
    <w:rsid w:val="00025D7E"/>
    <w:rsid w:val="00026566"/>
    <w:rsid w:val="00027709"/>
    <w:rsid w:val="0003244B"/>
    <w:rsid w:val="00032B65"/>
    <w:rsid w:val="00032ED5"/>
    <w:rsid w:val="00033D71"/>
    <w:rsid w:val="00034F61"/>
    <w:rsid w:val="0003520D"/>
    <w:rsid w:val="00035769"/>
    <w:rsid w:val="000359D6"/>
    <w:rsid w:val="0003639E"/>
    <w:rsid w:val="00037275"/>
    <w:rsid w:val="000376EB"/>
    <w:rsid w:val="000404B6"/>
    <w:rsid w:val="0004125B"/>
    <w:rsid w:val="00041E92"/>
    <w:rsid w:val="00042121"/>
    <w:rsid w:val="000437B3"/>
    <w:rsid w:val="00043A36"/>
    <w:rsid w:val="0004506F"/>
    <w:rsid w:val="00045328"/>
    <w:rsid w:val="000461B1"/>
    <w:rsid w:val="000467E8"/>
    <w:rsid w:val="000469CF"/>
    <w:rsid w:val="00047E47"/>
    <w:rsid w:val="00050316"/>
    <w:rsid w:val="000507CD"/>
    <w:rsid w:val="00051857"/>
    <w:rsid w:val="00051A7C"/>
    <w:rsid w:val="00051C43"/>
    <w:rsid w:val="0005284A"/>
    <w:rsid w:val="000531A3"/>
    <w:rsid w:val="00053490"/>
    <w:rsid w:val="00054043"/>
    <w:rsid w:val="00055357"/>
    <w:rsid w:val="000563F7"/>
    <w:rsid w:val="00056533"/>
    <w:rsid w:val="0005668A"/>
    <w:rsid w:val="00057796"/>
    <w:rsid w:val="00061974"/>
    <w:rsid w:val="00061F72"/>
    <w:rsid w:val="000635F3"/>
    <w:rsid w:val="00065B95"/>
    <w:rsid w:val="000663E4"/>
    <w:rsid w:val="0006649F"/>
    <w:rsid w:val="00066B5D"/>
    <w:rsid w:val="0006727E"/>
    <w:rsid w:val="0006731B"/>
    <w:rsid w:val="00067AC9"/>
    <w:rsid w:val="000706E3"/>
    <w:rsid w:val="000708B0"/>
    <w:rsid w:val="00070905"/>
    <w:rsid w:val="0007099B"/>
    <w:rsid w:val="00070B46"/>
    <w:rsid w:val="00070FCE"/>
    <w:rsid w:val="000712BC"/>
    <w:rsid w:val="00071F2F"/>
    <w:rsid w:val="00072162"/>
    <w:rsid w:val="0007227C"/>
    <w:rsid w:val="00072525"/>
    <w:rsid w:val="00073820"/>
    <w:rsid w:val="00073EE0"/>
    <w:rsid w:val="0007459F"/>
    <w:rsid w:val="000746DA"/>
    <w:rsid w:val="00074E2E"/>
    <w:rsid w:val="00075DD9"/>
    <w:rsid w:val="000760FB"/>
    <w:rsid w:val="000766E4"/>
    <w:rsid w:val="00080148"/>
    <w:rsid w:val="0008018D"/>
    <w:rsid w:val="000808ED"/>
    <w:rsid w:val="000816D0"/>
    <w:rsid w:val="00081717"/>
    <w:rsid w:val="000825D3"/>
    <w:rsid w:val="00082AB1"/>
    <w:rsid w:val="00082BA8"/>
    <w:rsid w:val="00084506"/>
    <w:rsid w:val="00084CED"/>
    <w:rsid w:val="0008593A"/>
    <w:rsid w:val="000866EF"/>
    <w:rsid w:val="00087169"/>
    <w:rsid w:val="00087B7B"/>
    <w:rsid w:val="0009088F"/>
    <w:rsid w:val="000910DF"/>
    <w:rsid w:val="000915E8"/>
    <w:rsid w:val="00091D59"/>
    <w:rsid w:val="000925B0"/>
    <w:rsid w:val="00092E94"/>
    <w:rsid w:val="00092EBF"/>
    <w:rsid w:val="00093020"/>
    <w:rsid w:val="00093082"/>
    <w:rsid w:val="0009347A"/>
    <w:rsid w:val="00093761"/>
    <w:rsid w:val="00094D28"/>
    <w:rsid w:val="000951DC"/>
    <w:rsid w:val="000957B2"/>
    <w:rsid w:val="00095A8B"/>
    <w:rsid w:val="00096172"/>
    <w:rsid w:val="00096665"/>
    <w:rsid w:val="000967C1"/>
    <w:rsid w:val="0009775F"/>
    <w:rsid w:val="00097984"/>
    <w:rsid w:val="000A1D6B"/>
    <w:rsid w:val="000A1DC7"/>
    <w:rsid w:val="000A21D3"/>
    <w:rsid w:val="000A277C"/>
    <w:rsid w:val="000A2FD3"/>
    <w:rsid w:val="000A3044"/>
    <w:rsid w:val="000A365C"/>
    <w:rsid w:val="000A36E6"/>
    <w:rsid w:val="000A3BF2"/>
    <w:rsid w:val="000A3CA6"/>
    <w:rsid w:val="000A3FB4"/>
    <w:rsid w:val="000A5051"/>
    <w:rsid w:val="000A775B"/>
    <w:rsid w:val="000B07CA"/>
    <w:rsid w:val="000B086A"/>
    <w:rsid w:val="000B0A66"/>
    <w:rsid w:val="000B1A18"/>
    <w:rsid w:val="000B26A8"/>
    <w:rsid w:val="000B3D39"/>
    <w:rsid w:val="000B4C2D"/>
    <w:rsid w:val="000B4FB6"/>
    <w:rsid w:val="000B6967"/>
    <w:rsid w:val="000B78FB"/>
    <w:rsid w:val="000C0148"/>
    <w:rsid w:val="000C1A8D"/>
    <w:rsid w:val="000C2295"/>
    <w:rsid w:val="000C2DD2"/>
    <w:rsid w:val="000C4E01"/>
    <w:rsid w:val="000C650A"/>
    <w:rsid w:val="000C7711"/>
    <w:rsid w:val="000C7F7F"/>
    <w:rsid w:val="000D0D52"/>
    <w:rsid w:val="000D0ED3"/>
    <w:rsid w:val="000D1375"/>
    <w:rsid w:val="000D2EDE"/>
    <w:rsid w:val="000D37C6"/>
    <w:rsid w:val="000D3A89"/>
    <w:rsid w:val="000D49D5"/>
    <w:rsid w:val="000D52A6"/>
    <w:rsid w:val="000D5329"/>
    <w:rsid w:val="000D5EB3"/>
    <w:rsid w:val="000D6B73"/>
    <w:rsid w:val="000D6FC7"/>
    <w:rsid w:val="000D76D1"/>
    <w:rsid w:val="000E03C3"/>
    <w:rsid w:val="000E1323"/>
    <w:rsid w:val="000E32F8"/>
    <w:rsid w:val="000E3675"/>
    <w:rsid w:val="000E3794"/>
    <w:rsid w:val="000E3A6B"/>
    <w:rsid w:val="000E4049"/>
    <w:rsid w:val="000E4073"/>
    <w:rsid w:val="000E410D"/>
    <w:rsid w:val="000E456C"/>
    <w:rsid w:val="000E53EB"/>
    <w:rsid w:val="000E57A1"/>
    <w:rsid w:val="000E7980"/>
    <w:rsid w:val="000F1411"/>
    <w:rsid w:val="000F1899"/>
    <w:rsid w:val="000F2783"/>
    <w:rsid w:val="000F5072"/>
    <w:rsid w:val="000F525A"/>
    <w:rsid w:val="000F5363"/>
    <w:rsid w:val="000F603F"/>
    <w:rsid w:val="000F6855"/>
    <w:rsid w:val="000F7635"/>
    <w:rsid w:val="00100052"/>
    <w:rsid w:val="001005E7"/>
    <w:rsid w:val="0010062F"/>
    <w:rsid w:val="00100DB6"/>
    <w:rsid w:val="00100FB6"/>
    <w:rsid w:val="00101DDD"/>
    <w:rsid w:val="00102F17"/>
    <w:rsid w:val="001032A4"/>
    <w:rsid w:val="0010389E"/>
    <w:rsid w:val="00103B2F"/>
    <w:rsid w:val="00104092"/>
    <w:rsid w:val="0010554E"/>
    <w:rsid w:val="00105E2F"/>
    <w:rsid w:val="00106936"/>
    <w:rsid w:val="00106E70"/>
    <w:rsid w:val="0010779D"/>
    <w:rsid w:val="00107C20"/>
    <w:rsid w:val="00107D4B"/>
    <w:rsid w:val="00107D54"/>
    <w:rsid w:val="00107EED"/>
    <w:rsid w:val="001103F7"/>
    <w:rsid w:val="00110805"/>
    <w:rsid w:val="001110CF"/>
    <w:rsid w:val="00111562"/>
    <w:rsid w:val="00111801"/>
    <w:rsid w:val="00112984"/>
    <w:rsid w:val="00115252"/>
    <w:rsid w:val="0011591F"/>
    <w:rsid w:val="0011593B"/>
    <w:rsid w:val="00115C4B"/>
    <w:rsid w:val="00115DD2"/>
    <w:rsid w:val="001166C2"/>
    <w:rsid w:val="00116B1B"/>
    <w:rsid w:val="00117D50"/>
    <w:rsid w:val="00120A92"/>
    <w:rsid w:val="001211C6"/>
    <w:rsid w:val="001213A9"/>
    <w:rsid w:val="001214B9"/>
    <w:rsid w:val="00122CF1"/>
    <w:rsid w:val="00122E51"/>
    <w:rsid w:val="00122FD4"/>
    <w:rsid w:val="001242AF"/>
    <w:rsid w:val="0012435E"/>
    <w:rsid w:val="00124732"/>
    <w:rsid w:val="0012504C"/>
    <w:rsid w:val="00125194"/>
    <w:rsid w:val="00125F07"/>
    <w:rsid w:val="001266C3"/>
    <w:rsid w:val="0012671A"/>
    <w:rsid w:val="00126BA9"/>
    <w:rsid w:val="00131F2A"/>
    <w:rsid w:val="00132012"/>
    <w:rsid w:val="001325E6"/>
    <w:rsid w:val="00132970"/>
    <w:rsid w:val="001336A1"/>
    <w:rsid w:val="00134304"/>
    <w:rsid w:val="001347F3"/>
    <w:rsid w:val="00136501"/>
    <w:rsid w:val="00136C37"/>
    <w:rsid w:val="00140449"/>
    <w:rsid w:val="00140C46"/>
    <w:rsid w:val="001411CF"/>
    <w:rsid w:val="00141A31"/>
    <w:rsid w:val="00141A52"/>
    <w:rsid w:val="001435CB"/>
    <w:rsid w:val="001448F2"/>
    <w:rsid w:val="00145F60"/>
    <w:rsid w:val="001467EE"/>
    <w:rsid w:val="00146C8F"/>
    <w:rsid w:val="0014735A"/>
    <w:rsid w:val="001473F8"/>
    <w:rsid w:val="001479F5"/>
    <w:rsid w:val="0015001D"/>
    <w:rsid w:val="001504A3"/>
    <w:rsid w:val="0015091E"/>
    <w:rsid w:val="00150999"/>
    <w:rsid w:val="00150B74"/>
    <w:rsid w:val="00151D76"/>
    <w:rsid w:val="00151FEC"/>
    <w:rsid w:val="00153CA3"/>
    <w:rsid w:val="00153D9D"/>
    <w:rsid w:val="00154147"/>
    <w:rsid w:val="001541E5"/>
    <w:rsid w:val="001544C5"/>
    <w:rsid w:val="00154516"/>
    <w:rsid w:val="0015477B"/>
    <w:rsid w:val="001551F2"/>
    <w:rsid w:val="00155489"/>
    <w:rsid w:val="0015580D"/>
    <w:rsid w:val="0015580E"/>
    <w:rsid w:val="00155C90"/>
    <w:rsid w:val="00155C9F"/>
    <w:rsid w:val="001560E8"/>
    <w:rsid w:val="00156CDE"/>
    <w:rsid w:val="001577C7"/>
    <w:rsid w:val="00157AAF"/>
    <w:rsid w:val="00160163"/>
    <w:rsid w:val="00160996"/>
    <w:rsid w:val="00160A24"/>
    <w:rsid w:val="00160DEF"/>
    <w:rsid w:val="001623B0"/>
    <w:rsid w:val="001629C9"/>
    <w:rsid w:val="001629DE"/>
    <w:rsid w:val="00163E0D"/>
    <w:rsid w:val="001648AA"/>
    <w:rsid w:val="001651A4"/>
    <w:rsid w:val="00165F32"/>
    <w:rsid w:val="0016659C"/>
    <w:rsid w:val="00166E4B"/>
    <w:rsid w:val="00167015"/>
    <w:rsid w:val="001670ED"/>
    <w:rsid w:val="0017072D"/>
    <w:rsid w:val="001723A3"/>
    <w:rsid w:val="00172632"/>
    <w:rsid w:val="00172A27"/>
    <w:rsid w:val="00172E25"/>
    <w:rsid w:val="00172E34"/>
    <w:rsid w:val="00172FA0"/>
    <w:rsid w:val="001732A9"/>
    <w:rsid w:val="00174853"/>
    <w:rsid w:val="00175439"/>
    <w:rsid w:val="00175E1A"/>
    <w:rsid w:val="001760E1"/>
    <w:rsid w:val="00176574"/>
    <w:rsid w:val="00176E7D"/>
    <w:rsid w:val="001773F2"/>
    <w:rsid w:val="00180387"/>
    <w:rsid w:val="0018056C"/>
    <w:rsid w:val="00180E0A"/>
    <w:rsid w:val="00181528"/>
    <w:rsid w:val="001820F6"/>
    <w:rsid w:val="00182281"/>
    <w:rsid w:val="001829F1"/>
    <w:rsid w:val="00182BCF"/>
    <w:rsid w:val="00184093"/>
    <w:rsid w:val="00184B24"/>
    <w:rsid w:val="00184DB7"/>
    <w:rsid w:val="001854DC"/>
    <w:rsid w:val="00185FFD"/>
    <w:rsid w:val="00186102"/>
    <w:rsid w:val="00186FD4"/>
    <w:rsid w:val="00190429"/>
    <w:rsid w:val="001907EB"/>
    <w:rsid w:val="0019090C"/>
    <w:rsid w:val="00190E90"/>
    <w:rsid w:val="00191CCD"/>
    <w:rsid w:val="0019213F"/>
    <w:rsid w:val="001923D6"/>
    <w:rsid w:val="00193A52"/>
    <w:rsid w:val="001940CA"/>
    <w:rsid w:val="0019505F"/>
    <w:rsid w:val="00195AEF"/>
    <w:rsid w:val="001961EE"/>
    <w:rsid w:val="0019658D"/>
    <w:rsid w:val="0019719A"/>
    <w:rsid w:val="001A1652"/>
    <w:rsid w:val="001A191E"/>
    <w:rsid w:val="001A2DD1"/>
    <w:rsid w:val="001A3878"/>
    <w:rsid w:val="001A39CE"/>
    <w:rsid w:val="001A401D"/>
    <w:rsid w:val="001A49AE"/>
    <w:rsid w:val="001A57CF"/>
    <w:rsid w:val="001A58FE"/>
    <w:rsid w:val="001B1F5F"/>
    <w:rsid w:val="001B2567"/>
    <w:rsid w:val="001B30C8"/>
    <w:rsid w:val="001B33A8"/>
    <w:rsid w:val="001B4357"/>
    <w:rsid w:val="001B46A1"/>
    <w:rsid w:val="001B480D"/>
    <w:rsid w:val="001B5948"/>
    <w:rsid w:val="001B63A2"/>
    <w:rsid w:val="001B65BB"/>
    <w:rsid w:val="001B7CA2"/>
    <w:rsid w:val="001C3484"/>
    <w:rsid w:val="001C3695"/>
    <w:rsid w:val="001C3EAB"/>
    <w:rsid w:val="001C53B5"/>
    <w:rsid w:val="001C5648"/>
    <w:rsid w:val="001C651B"/>
    <w:rsid w:val="001C6BF8"/>
    <w:rsid w:val="001D025D"/>
    <w:rsid w:val="001D06DB"/>
    <w:rsid w:val="001D0792"/>
    <w:rsid w:val="001D0A65"/>
    <w:rsid w:val="001D115D"/>
    <w:rsid w:val="001D125E"/>
    <w:rsid w:val="001D187F"/>
    <w:rsid w:val="001D1B9E"/>
    <w:rsid w:val="001D23C8"/>
    <w:rsid w:val="001D25DC"/>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E48D3"/>
    <w:rsid w:val="001E58CD"/>
    <w:rsid w:val="001E7026"/>
    <w:rsid w:val="001F103E"/>
    <w:rsid w:val="001F1BCF"/>
    <w:rsid w:val="001F267C"/>
    <w:rsid w:val="001F2812"/>
    <w:rsid w:val="001F3D5E"/>
    <w:rsid w:val="001F4DF7"/>
    <w:rsid w:val="001F52BC"/>
    <w:rsid w:val="001F6638"/>
    <w:rsid w:val="001F6E63"/>
    <w:rsid w:val="00200729"/>
    <w:rsid w:val="0020102F"/>
    <w:rsid w:val="00201A69"/>
    <w:rsid w:val="00201F37"/>
    <w:rsid w:val="002022D7"/>
    <w:rsid w:val="002027A1"/>
    <w:rsid w:val="00202A26"/>
    <w:rsid w:val="00204157"/>
    <w:rsid w:val="0020442C"/>
    <w:rsid w:val="00204B5D"/>
    <w:rsid w:val="002053F4"/>
    <w:rsid w:val="00205728"/>
    <w:rsid w:val="002065B3"/>
    <w:rsid w:val="00206F43"/>
    <w:rsid w:val="00207118"/>
    <w:rsid w:val="00207297"/>
    <w:rsid w:val="00210B24"/>
    <w:rsid w:val="00210B5D"/>
    <w:rsid w:val="002112D0"/>
    <w:rsid w:val="00211327"/>
    <w:rsid w:val="0021175A"/>
    <w:rsid w:val="00211DDD"/>
    <w:rsid w:val="00211F3B"/>
    <w:rsid w:val="002130F3"/>
    <w:rsid w:val="00213CA7"/>
    <w:rsid w:val="002148CD"/>
    <w:rsid w:val="002159EF"/>
    <w:rsid w:val="002164DD"/>
    <w:rsid w:val="002172D5"/>
    <w:rsid w:val="00217B49"/>
    <w:rsid w:val="00217E1A"/>
    <w:rsid w:val="002201B8"/>
    <w:rsid w:val="0022028D"/>
    <w:rsid w:val="00220FBF"/>
    <w:rsid w:val="00221127"/>
    <w:rsid w:val="002213BF"/>
    <w:rsid w:val="00221F92"/>
    <w:rsid w:val="002224EC"/>
    <w:rsid w:val="00222727"/>
    <w:rsid w:val="002229B0"/>
    <w:rsid w:val="00222DC0"/>
    <w:rsid w:val="00223DD8"/>
    <w:rsid w:val="002244C7"/>
    <w:rsid w:val="0022464C"/>
    <w:rsid w:val="00225114"/>
    <w:rsid w:val="0022586B"/>
    <w:rsid w:val="00227112"/>
    <w:rsid w:val="0022796A"/>
    <w:rsid w:val="00227CDA"/>
    <w:rsid w:val="00231247"/>
    <w:rsid w:val="00233758"/>
    <w:rsid w:val="002339A6"/>
    <w:rsid w:val="002344C9"/>
    <w:rsid w:val="00234677"/>
    <w:rsid w:val="0023502A"/>
    <w:rsid w:val="00236DFE"/>
    <w:rsid w:val="0023706F"/>
    <w:rsid w:val="0023763D"/>
    <w:rsid w:val="00237DF6"/>
    <w:rsid w:val="00240E2A"/>
    <w:rsid w:val="002413EE"/>
    <w:rsid w:val="00243B84"/>
    <w:rsid w:val="002445B0"/>
    <w:rsid w:val="0024511C"/>
    <w:rsid w:val="002466BD"/>
    <w:rsid w:val="00246BFC"/>
    <w:rsid w:val="00246F1D"/>
    <w:rsid w:val="00246FAA"/>
    <w:rsid w:val="00247917"/>
    <w:rsid w:val="00247E3B"/>
    <w:rsid w:val="00250C7F"/>
    <w:rsid w:val="00250E84"/>
    <w:rsid w:val="00251639"/>
    <w:rsid w:val="00251677"/>
    <w:rsid w:val="0025234F"/>
    <w:rsid w:val="00253250"/>
    <w:rsid w:val="0025340B"/>
    <w:rsid w:val="002535F7"/>
    <w:rsid w:val="00253CD8"/>
    <w:rsid w:val="002553F3"/>
    <w:rsid w:val="00256021"/>
    <w:rsid w:val="002564B8"/>
    <w:rsid w:val="00256ACE"/>
    <w:rsid w:val="0025795A"/>
    <w:rsid w:val="00261278"/>
    <w:rsid w:val="00261B98"/>
    <w:rsid w:val="0026254E"/>
    <w:rsid w:val="002635A6"/>
    <w:rsid w:val="002635EC"/>
    <w:rsid w:val="00264191"/>
    <w:rsid w:val="00264AD1"/>
    <w:rsid w:val="00265A1F"/>
    <w:rsid w:val="00265FD2"/>
    <w:rsid w:val="00266078"/>
    <w:rsid w:val="002661A3"/>
    <w:rsid w:val="00266ACE"/>
    <w:rsid w:val="00266B21"/>
    <w:rsid w:val="00272220"/>
    <w:rsid w:val="002724C0"/>
    <w:rsid w:val="00273181"/>
    <w:rsid w:val="00274044"/>
    <w:rsid w:val="002802E4"/>
    <w:rsid w:val="00281F8E"/>
    <w:rsid w:val="00282F4D"/>
    <w:rsid w:val="00283237"/>
    <w:rsid w:val="002860B5"/>
    <w:rsid w:val="002869FF"/>
    <w:rsid w:val="00287E74"/>
    <w:rsid w:val="00290B48"/>
    <w:rsid w:val="002920F3"/>
    <w:rsid w:val="00292156"/>
    <w:rsid w:val="00292A42"/>
    <w:rsid w:val="0029355B"/>
    <w:rsid w:val="00293BC8"/>
    <w:rsid w:val="00296193"/>
    <w:rsid w:val="0029691D"/>
    <w:rsid w:val="00296B45"/>
    <w:rsid w:val="002979EB"/>
    <w:rsid w:val="002A0507"/>
    <w:rsid w:val="002A071E"/>
    <w:rsid w:val="002A1944"/>
    <w:rsid w:val="002A25B1"/>
    <w:rsid w:val="002A2657"/>
    <w:rsid w:val="002A4A10"/>
    <w:rsid w:val="002A4E3E"/>
    <w:rsid w:val="002A5387"/>
    <w:rsid w:val="002A6364"/>
    <w:rsid w:val="002A6B5C"/>
    <w:rsid w:val="002B02A1"/>
    <w:rsid w:val="002B0DD7"/>
    <w:rsid w:val="002B0F37"/>
    <w:rsid w:val="002B180D"/>
    <w:rsid w:val="002B21F1"/>
    <w:rsid w:val="002B2AC2"/>
    <w:rsid w:val="002B2F63"/>
    <w:rsid w:val="002B37CD"/>
    <w:rsid w:val="002B537B"/>
    <w:rsid w:val="002B7181"/>
    <w:rsid w:val="002B74A2"/>
    <w:rsid w:val="002B78F9"/>
    <w:rsid w:val="002C01CE"/>
    <w:rsid w:val="002C08AA"/>
    <w:rsid w:val="002C0BB9"/>
    <w:rsid w:val="002C4278"/>
    <w:rsid w:val="002C5B7B"/>
    <w:rsid w:val="002C6411"/>
    <w:rsid w:val="002C650B"/>
    <w:rsid w:val="002C7039"/>
    <w:rsid w:val="002C77BA"/>
    <w:rsid w:val="002C7A89"/>
    <w:rsid w:val="002C7C77"/>
    <w:rsid w:val="002D17E5"/>
    <w:rsid w:val="002D193A"/>
    <w:rsid w:val="002D19CB"/>
    <w:rsid w:val="002D1D28"/>
    <w:rsid w:val="002D2527"/>
    <w:rsid w:val="002D355B"/>
    <w:rsid w:val="002D3C9F"/>
    <w:rsid w:val="002D4CAA"/>
    <w:rsid w:val="002D541C"/>
    <w:rsid w:val="002D55B3"/>
    <w:rsid w:val="002D5E5D"/>
    <w:rsid w:val="002D781E"/>
    <w:rsid w:val="002D7F04"/>
    <w:rsid w:val="002E0AE6"/>
    <w:rsid w:val="002E14C0"/>
    <w:rsid w:val="002E1513"/>
    <w:rsid w:val="002E1AC9"/>
    <w:rsid w:val="002E2738"/>
    <w:rsid w:val="002E298C"/>
    <w:rsid w:val="002E4571"/>
    <w:rsid w:val="002E4942"/>
    <w:rsid w:val="002E4A43"/>
    <w:rsid w:val="002E50C1"/>
    <w:rsid w:val="002E609E"/>
    <w:rsid w:val="002E6305"/>
    <w:rsid w:val="002E72C3"/>
    <w:rsid w:val="002E7F7C"/>
    <w:rsid w:val="002F0BA6"/>
    <w:rsid w:val="002F12C9"/>
    <w:rsid w:val="002F2ADF"/>
    <w:rsid w:val="002F3CDD"/>
    <w:rsid w:val="002F3D6F"/>
    <w:rsid w:val="002F3DC0"/>
    <w:rsid w:val="002F5679"/>
    <w:rsid w:val="002F579F"/>
    <w:rsid w:val="002F5CD3"/>
    <w:rsid w:val="002F60EF"/>
    <w:rsid w:val="002F63F1"/>
    <w:rsid w:val="0030037A"/>
    <w:rsid w:val="00301328"/>
    <w:rsid w:val="00301E2D"/>
    <w:rsid w:val="00302ABF"/>
    <w:rsid w:val="00302D39"/>
    <w:rsid w:val="00302EB3"/>
    <w:rsid w:val="00304168"/>
    <w:rsid w:val="00304456"/>
    <w:rsid w:val="00306876"/>
    <w:rsid w:val="00310001"/>
    <w:rsid w:val="00310863"/>
    <w:rsid w:val="00310C7F"/>
    <w:rsid w:val="003117F5"/>
    <w:rsid w:val="003122E8"/>
    <w:rsid w:val="003122FA"/>
    <w:rsid w:val="00312A59"/>
    <w:rsid w:val="00312D62"/>
    <w:rsid w:val="0031526E"/>
    <w:rsid w:val="00315B95"/>
    <w:rsid w:val="00316510"/>
    <w:rsid w:val="003166AE"/>
    <w:rsid w:val="00316FC1"/>
    <w:rsid w:val="00320B50"/>
    <w:rsid w:val="003221C1"/>
    <w:rsid w:val="00322B67"/>
    <w:rsid w:val="00322DA4"/>
    <w:rsid w:val="00323072"/>
    <w:rsid w:val="00323779"/>
    <w:rsid w:val="0032438F"/>
    <w:rsid w:val="00324B77"/>
    <w:rsid w:val="003255EA"/>
    <w:rsid w:val="00327520"/>
    <w:rsid w:val="00327D52"/>
    <w:rsid w:val="0033022C"/>
    <w:rsid w:val="00330610"/>
    <w:rsid w:val="00330B7B"/>
    <w:rsid w:val="0033142F"/>
    <w:rsid w:val="003315C6"/>
    <w:rsid w:val="00332FA9"/>
    <w:rsid w:val="0033329C"/>
    <w:rsid w:val="00333470"/>
    <w:rsid w:val="0033396F"/>
    <w:rsid w:val="0033398B"/>
    <w:rsid w:val="00333C94"/>
    <w:rsid w:val="00333DB6"/>
    <w:rsid w:val="003343B7"/>
    <w:rsid w:val="00334DC0"/>
    <w:rsid w:val="00335497"/>
    <w:rsid w:val="00335EC0"/>
    <w:rsid w:val="003365C0"/>
    <w:rsid w:val="003403CE"/>
    <w:rsid w:val="00340B73"/>
    <w:rsid w:val="00341663"/>
    <w:rsid w:val="00341688"/>
    <w:rsid w:val="00342792"/>
    <w:rsid w:val="00343650"/>
    <w:rsid w:val="003447A5"/>
    <w:rsid w:val="00344829"/>
    <w:rsid w:val="00344A3B"/>
    <w:rsid w:val="00345EBD"/>
    <w:rsid w:val="00347CC6"/>
    <w:rsid w:val="00347DD1"/>
    <w:rsid w:val="003500D3"/>
    <w:rsid w:val="00350193"/>
    <w:rsid w:val="003517A0"/>
    <w:rsid w:val="00352C90"/>
    <w:rsid w:val="00354040"/>
    <w:rsid w:val="003540D3"/>
    <w:rsid w:val="00354142"/>
    <w:rsid w:val="00354164"/>
    <w:rsid w:val="00354B5F"/>
    <w:rsid w:val="003550FC"/>
    <w:rsid w:val="0035527F"/>
    <w:rsid w:val="00355952"/>
    <w:rsid w:val="00355C70"/>
    <w:rsid w:val="00355F44"/>
    <w:rsid w:val="003560DC"/>
    <w:rsid w:val="003575F1"/>
    <w:rsid w:val="00357DC4"/>
    <w:rsid w:val="00357EBD"/>
    <w:rsid w:val="00360AFF"/>
    <w:rsid w:val="003612DB"/>
    <w:rsid w:val="003613ED"/>
    <w:rsid w:val="00362C07"/>
    <w:rsid w:val="00362F93"/>
    <w:rsid w:val="003634CE"/>
    <w:rsid w:val="003636C2"/>
    <w:rsid w:val="00363BA1"/>
    <w:rsid w:val="00364553"/>
    <w:rsid w:val="00365456"/>
    <w:rsid w:val="00365D8B"/>
    <w:rsid w:val="00366575"/>
    <w:rsid w:val="003665B0"/>
    <w:rsid w:val="0036688E"/>
    <w:rsid w:val="00367342"/>
    <w:rsid w:val="003677A2"/>
    <w:rsid w:val="003709B2"/>
    <w:rsid w:val="00372916"/>
    <w:rsid w:val="00372E5D"/>
    <w:rsid w:val="00372E9D"/>
    <w:rsid w:val="0037356F"/>
    <w:rsid w:val="003745A7"/>
    <w:rsid w:val="00374ABC"/>
    <w:rsid w:val="003750FA"/>
    <w:rsid w:val="00375104"/>
    <w:rsid w:val="00375A29"/>
    <w:rsid w:val="00375DCF"/>
    <w:rsid w:val="00375ECD"/>
    <w:rsid w:val="0037714B"/>
    <w:rsid w:val="003775BF"/>
    <w:rsid w:val="00380AF9"/>
    <w:rsid w:val="00381452"/>
    <w:rsid w:val="0038287E"/>
    <w:rsid w:val="00383134"/>
    <w:rsid w:val="0038394E"/>
    <w:rsid w:val="00384AEF"/>
    <w:rsid w:val="00384D22"/>
    <w:rsid w:val="00385221"/>
    <w:rsid w:val="00385C62"/>
    <w:rsid w:val="00385CDC"/>
    <w:rsid w:val="00387671"/>
    <w:rsid w:val="00387ABE"/>
    <w:rsid w:val="003909E2"/>
    <w:rsid w:val="00391677"/>
    <w:rsid w:val="00392C8E"/>
    <w:rsid w:val="00393344"/>
    <w:rsid w:val="003938FC"/>
    <w:rsid w:val="003946F2"/>
    <w:rsid w:val="003950D0"/>
    <w:rsid w:val="003956C4"/>
    <w:rsid w:val="003957F2"/>
    <w:rsid w:val="00395800"/>
    <w:rsid w:val="00395B30"/>
    <w:rsid w:val="00395CB2"/>
    <w:rsid w:val="00396121"/>
    <w:rsid w:val="00396296"/>
    <w:rsid w:val="00397050"/>
    <w:rsid w:val="00397941"/>
    <w:rsid w:val="003A0F7F"/>
    <w:rsid w:val="003A13EF"/>
    <w:rsid w:val="003A167C"/>
    <w:rsid w:val="003A189F"/>
    <w:rsid w:val="003A1D49"/>
    <w:rsid w:val="003A1FE0"/>
    <w:rsid w:val="003A2026"/>
    <w:rsid w:val="003A2405"/>
    <w:rsid w:val="003A2955"/>
    <w:rsid w:val="003A2B26"/>
    <w:rsid w:val="003A2B4A"/>
    <w:rsid w:val="003A333A"/>
    <w:rsid w:val="003A36DB"/>
    <w:rsid w:val="003A4B60"/>
    <w:rsid w:val="003A5CAC"/>
    <w:rsid w:val="003A63FD"/>
    <w:rsid w:val="003A74EE"/>
    <w:rsid w:val="003B02F9"/>
    <w:rsid w:val="003B0B0C"/>
    <w:rsid w:val="003B28BE"/>
    <w:rsid w:val="003B2C40"/>
    <w:rsid w:val="003B37E7"/>
    <w:rsid w:val="003B4153"/>
    <w:rsid w:val="003B4E47"/>
    <w:rsid w:val="003B64DF"/>
    <w:rsid w:val="003B66E3"/>
    <w:rsid w:val="003B7286"/>
    <w:rsid w:val="003C048E"/>
    <w:rsid w:val="003C0901"/>
    <w:rsid w:val="003C0ED9"/>
    <w:rsid w:val="003C0F87"/>
    <w:rsid w:val="003C250D"/>
    <w:rsid w:val="003C2778"/>
    <w:rsid w:val="003C2DAE"/>
    <w:rsid w:val="003C2E24"/>
    <w:rsid w:val="003C32EA"/>
    <w:rsid w:val="003C354F"/>
    <w:rsid w:val="003C3F39"/>
    <w:rsid w:val="003C4D79"/>
    <w:rsid w:val="003C6226"/>
    <w:rsid w:val="003C7623"/>
    <w:rsid w:val="003D0009"/>
    <w:rsid w:val="003D00C6"/>
    <w:rsid w:val="003D08F8"/>
    <w:rsid w:val="003D0EF7"/>
    <w:rsid w:val="003D1A34"/>
    <w:rsid w:val="003D1D93"/>
    <w:rsid w:val="003D1E48"/>
    <w:rsid w:val="003D24DF"/>
    <w:rsid w:val="003D5261"/>
    <w:rsid w:val="003D5457"/>
    <w:rsid w:val="003D54ED"/>
    <w:rsid w:val="003D5728"/>
    <w:rsid w:val="003D5A80"/>
    <w:rsid w:val="003D686E"/>
    <w:rsid w:val="003D7221"/>
    <w:rsid w:val="003E1676"/>
    <w:rsid w:val="003E1CAC"/>
    <w:rsid w:val="003E2863"/>
    <w:rsid w:val="003E3F93"/>
    <w:rsid w:val="003E44F3"/>
    <w:rsid w:val="003E47F7"/>
    <w:rsid w:val="003E5507"/>
    <w:rsid w:val="003E5FEA"/>
    <w:rsid w:val="003E63B2"/>
    <w:rsid w:val="003E6434"/>
    <w:rsid w:val="003E6C43"/>
    <w:rsid w:val="003F0417"/>
    <w:rsid w:val="003F0623"/>
    <w:rsid w:val="003F0BB2"/>
    <w:rsid w:val="003F0BCA"/>
    <w:rsid w:val="003F0EB4"/>
    <w:rsid w:val="003F14E9"/>
    <w:rsid w:val="003F1B62"/>
    <w:rsid w:val="003F4168"/>
    <w:rsid w:val="003F416E"/>
    <w:rsid w:val="003F5225"/>
    <w:rsid w:val="003F54A3"/>
    <w:rsid w:val="003F5FB7"/>
    <w:rsid w:val="003F6A96"/>
    <w:rsid w:val="003F6DDA"/>
    <w:rsid w:val="003F6DDC"/>
    <w:rsid w:val="003F71DE"/>
    <w:rsid w:val="003F774F"/>
    <w:rsid w:val="003F7C6A"/>
    <w:rsid w:val="0040058D"/>
    <w:rsid w:val="004007B8"/>
    <w:rsid w:val="0040380B"/>
    <w:rsid w:val="004058F5"/>
    <w:rsid w:val="00406408"/>
    <w:rsid w:val="00407006"/>
    <w:rsid w:val="004071E4"/>
    <w:rsid w:val="004073E1"/>
    <w:rsid w:val="00407976"/>
    <w:rsid w:val="00407A35"/>
    <w:rsid w:val="004104FD"/>
    <w:rsid w:val="004106AA"/>
    <w:rsid w:val="004106FE"/>
    <w:rsid w:val="004112DB"/>
    <w:rsid w:val="00411CED"/>
    <w:rsid w:val="00412865"/>
    <w:rsid w:val="00413E5F"/>
    <w:rsid w:val="0041460D"/>
    <w:rsid w:val="004151D7"/>
    <w:rsid w:val="0041611F"/>
    <w:rsid w:val="00417462"/>
    <w:rsid w:val="00420BF4"/>
    <w:rsid w:val="00423237"/>
    <w:rsid w:val="00424BE4"/>
    <w:rsid w:val="00424ED2"/>
    <w:rsid w:val="004250A5"/>
    <w:rsid w:val="0042524B"/>
    <w:rsid w:val="00425EA8"/>
    <w:rsid w:val="004260C7"/>
    <w:rsid w:val="00426254"/>
    <w:rsid w:val="004276F1"/>
    <w:rsid w:val="00427CBF"/>
    <w:rsid w:val="0043062F"/>
    <w:rsid w:val="00430A2C"/>
    <w:rsid w:val="00431A31"/>
    <w:rsid w:val="00431D0B"/>
    <w:rsid w:val="00431FE5"/>
    <w:rsid w:val="0043218B"/>
    <w:rsid w:val="004326E3"/>
    <w:rsid w:val="00432883"/>
    <w:rsid w:val="00434113"/>
    <w:rsid w:val="00434203"/>
    <w:rsid w:val="00435C3A"/>
    <w:rsid w:val="00437030"/>
    <w:rsid w:val="004370A4"/>
    <w:rsid w:val="00437AD4"/>
    <w:rsid w:val="004403D5"/>
    <w:rsid w:val="0044052F"/>
    <w:rsid w:val="00440BB2"/>
    <w:rsid w:val="00440F8C"/>
    <w:rsid w:val="004414C4"/>
    <w:rsid w:val="0044187C"/>
    <w:rsid w:val="004419AE"/>
    <w:rsid w:val="0044390E"/>
    <w:rsid w:val="00443C68"/>
    <w:rsid w:val="00443D1C"/>
    <w:rsid w:val="0044415F"/>
    <w:rsid w:val="004452BC"/>
    <w:rsid w:val="004457B1"/>
    <w:rsid w:val="00445D20"/>
    <w:rsid w:val="004461DC"/>
    <w:rsid w:val="004465B3"/>
    <w:rsid w:val="00447B3F"/>
    <w:rsid w:val="004509A7"/>
    <w:rsid w:val="004517A6"/>
    <w:rsid w:val="0045195C"/>
    <w:rsid w:val="0045254B"/>
    <w:rsid w:val="0045443A"/>
    <w:rsid w:val="00454AED"/>
    <w:rsid w:val="00454D7C"/>
    <w:rsid w:val="00456C57"/>
    <w:rsid w:val="00456E6D"/>
    <w:rsid w:val="00456FD9"/>
    <w:rsid w:val="004575A1"/>
    <w:rsid w:val="00457F1F"/>
    <w:rsid w:val="00461527"/>
    <w:rsid w:val="00463671"/>
    <w:rsid w:val="00463C82"/>
    <w:rsid w:val="00463CC8"/>
    <w:rsid w:val="004645F7"/>
    <w:rsid w:val="004647A4"/>
    <w:rsid w:val="00464A24"/>
    <w:rsid w:val="00464FF1"/>
    <w:rsid w:val="00465A95"/>
    <w:rsid w:val="00465F6F"/>
    <w:rsid w:val="00466384"/>
    <w:rsid w:val="00467282"/>
    <w:rsid w:val="00470D6C"/>
    <w:rsid w:val="0047104C"/>
    <w:rsid w:val="00471F0A"/>
    <w:rsid w:val="0047277B"/>
    <w:rsid w:val="00472839"/>
    <w:rsid w:val="00473C4C"/>
    <w:rsid w:val="00473F40"/>
    <w:rsid w:val="004742B0"/>
    <w:rsid w:val="00474423"/>
    <w:rsid w:val="00474FD3"/>
    <w:rsid w:val="00476194"/>
    <w:rsid w:val="00476370"/>
    <w:rsid w:val="00482082"/>
    <w:rsid w:val="00482544"/>
    <w:rsid w:val="00485CB4"/>
    <w:rsid w:val="00486983"/>
    <w:rsid w:val="00486AEC"/>
    <w:rsid w:val="00487F1C"/>
    <w:rsid w:val="00490994"/>
    <w:rsid w:val="00490A0E"/>
    <w:rsid w:val="004915F3"/>
    <w:rsid w:val="00491993"/>
    <w:rsid w:val="00494682"/>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2724"/>
    <w:rsid w:val="004A32C4"/>
    <w:rsid w:val="004A3306"/>
    <w:rsid w:val="004A4FD3"/>
    <w:rsid w:val="004A5896"/>
    <w:rsid w:val="004A5A4F"/>
    <w:rsid w:val="004A5ACF"/>
    <w:rsid w:val="004A6F6A"/>
    <w:rsid w:val="004A6FB2"/>
    <w:rsid w:val="004A70BC"/>
    <w:rsid w:val="004A7D37"/>
    <w:rsid w:val="004B0A0B"/>
    <w:rsid w:val="004B10BE"/>
    <w:rsid w:val="004B1225"/>
    <w:rsid w:val="004B1B07"/>
    <w:rsid w:val="004B1B99"/>
    <w:rsid w:val="004B35FB"/>
    <w:rsid w:val="004B3EF9"/>
    <w:rsid w:val="004B4A08"/>
    <w:rsid w:val="004B550D"/>
    <w:rsid w:val="004B5FD6"/>
    <w:rsid w:val="004B7D31"/>
    <w:rsid w:val="004B7DC4"/>
    <w:rsid w:val="004C36B3"/>
    <w:rsid w:val="004C36BB"/>
    <w:rsid w:val="004C3A7E"/>
    <w:rsid w:val="004C3BF1"/>
    <w:rsid w:val="004C3D0A"/>
    <w:rsid w:val="004C5241"/>
    <w:rsid w:val="004C5F6D"/>
    <w:rsid w:val="004C7F8A"/>
    <w:rsid w:val="004D340D"/>
    <w:rsid w:val="004D34F3"/>
    <w:rsid w:val="004D4851"/>
    <w:rsid w:val="004D5C36"/>
    <w:rsid w:val="004D5DE3"/>
    <w:rsid w:val="004D5FBE"/>
    <w:rsid w:val="004D711C"/>
    <w:rsid w:val="004D7630"/>
    <w:rsid w:val="004E192B"/>
    <w:rsid w:val="004E2222"/>
    <w:rsid w:val="004E29FD"/>
    <w:rsid w:val="004E365D"/>
    <w:rsid w:val="004E3A88"/>
    <w:rsid w:val="004E47B0"/>
    <w:rsid w:val="004E5302"/>
    <w:rsid w:val="004E592A"/>
    <w:rsid w:val="004E66D9"/>
    <w:rsid w:val="004E6CFB"/>
    <w:rsid w:val="004E708A"/>
    <w:rsid w:val="004E7380"/>
    <w:rsid w:val="004E758C"/>
    <w:rsid w:val="004E7A10"/>
    <w:rsid w:val="004E7F44"/>
    <w:rsid w:val="004E7FB4"/>
    <w:rsid w:val="004F0BCF"/>
    <w:rsid w:val="004F0D4B"/>
    <w:rsid w:val="004F2C9E"/>
    <w:rsid w:val="004F3089"/>
    <w:rsid w:val="004F30F2"/>
    <w:rsid w:val="004F3CB8"/>
    <w:rsid w:val="004F495B"/>
    <w:rsid w:val="004F4D77"/>
    <w:rsid w:val="004F5D44"/>
    <w:rsid w:val="004F72EB"/>
    <w:rsid w:val="004F7BFD"/>
    <w:rsid w:val="004F7F45"/>
    <w:rsid w:val="005019DC"/>
    <w:rsid w:val="00501C88"/>
    <w:rsid w:val="0050281E"/>
    <w:rsid w:val="00502B26"/>
    <w:rsid w:val="00502BFA"/>
    <w:rsid w:val="00503097"/>
    <w:rsid w:val="005036C2"/>
    <w:rsid w:val="00503FFA"/>
    <w:rsid w:val="00504BDF"/>
    <w:rsid w:val="00505214"/>
    <w:rsid w:val="00505A18"/>
    <w:rsid w:val="00505AE1"/>
    <w:rsid w:val="00505F1A"/>
    <w:rsid w:val="0050666F"/>
    <w:rsid w:val="00506A30"/>
    <w:rsid w:val="00506A86"/>
    <w:rsid w:val="005119F7"/>
    <w:rsid w:val="005120D4"/>
    <w:rsid w:val="005135AA"/>
    <w:rsid w:val="005145B4"/>
    <w:rsid w:val="005158B6"/>
    <w:rsid w:val="00515D02"/>
    <w:rsid w:val="005176CA"/>
    <w:rsid w:val="00517AF3"/>
    <w:rsid w:val="005204D3"/>
    <w:rsid w:val="0052209D"/>
    <w:rsid w:val="00522E7B"/>
    <w:rsid w:val="0052347F"/>
    <w:rsid w:val="005243A5"/>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8"/>
    <w:rsid w:val="00544B5A"/>
    <w:rsid w:val="00544D2E"/>
    <w:rsid w:val="00544E5D"/>
    <w:rsid w:val="0054537D"/>
    <w:rsid w:val="00545B39"/>
    <w:rsid w:val="00547CBE"/>
    <w:rsid w:val="0055062D"/>
    <w:rsid w:val="0055069B"/>
    <w:rsid w:val="00550BC2"/>
    <w:rsid w:val="00551290"/>
    <w:rsid w:val="00551870"/>
    <w:rsid w:val="00552A56"/>
    <w:rsid w:val="00552FC3"/>
    <w:rsid w:val="00552FD0"/>
    <w:rsid w:val="00554639"/>
    <w:rsid w:val="00554C85"/>
    <w:rsid w:val="005550E5"/>
    <w:rsid w:val="0055516B"/>
    <w:rsid w:val="005552C2"/>
    <w:rsid w:val="00555B84"/>
    <w:rsid w:val="00555F2C"/>
    <w:rsid w:val="005565C9"/>
    <w:rsid w:val="00556A03"/>
    <w:rsid w:val="00557E93"/>
    <w:rsid w:val="00560B59"/>
    <w:rsid w:val="00560C9F"/>
    <w:rsid w:val="005616E3"/>
    <w:rsid w:val="00561BD1"/>
    <w:rsid w:val="005621CB"/>
    <w:rsid w:val="00563FF2"/>
    <w:rsid w:val="005643A7"/>
    <w:rsid w:val="0056490B"/>
    <w:rsid w:val="00565375"/>
    <w:rsid w:val="005658AE"/>
    <w:rsid w:val="00566FCD"/>
    <w:rsid w:val="0056784C"/>
    <w:rsid w:val="00567B83"/>
    <w:rsid w:val="00570788"/>
    <w:rsid w:val="00571009"/>
    <w:rsid w:val="00571221"/>
    <w:rsid w:val="00571556"/>
    <w:rsid w:val="00571B4E"/>
    <w:rsid w:val="00571E51"/>
    <w:rsid w:val="005723FD"/>
    <w:rsid w:val="00572BF8"/>
    <w:rsid w:val="00572EF5"/>
    <w:rsid w:val="005732A2"/>
    <w:rsid w:val="0057377B"/>
    <w:rsid w:val="00574190"/>
    <w:rsid w:val="00574893"/>
    <w:rsid w:val="00575FD9"/>
    <w:rsid w:val="00576842"/>
    <w:rsid w:val="005778A7"/>
    <w:rsid w:val="0058033F"/>
    <w:rsid w:val="005814BD"/>
    <w:rsid w:val="00581FBF"/>
    <w:rsid w:val="00582518"/>
    <w:rsid w:val="005829DC"/>
    <w:rsid w:val="00583F3A"/>
    <w:rsid w:val="00585772"/>
    <w:rsid w:val="005857B3"/>
    <w:rsid w:val="0058672E"/>
    <w:rsid w:val="0058765F"/>
    <w:rsid w:val="0059002B"/>
    <w:rsid w:val="005906B2"/>
    <w:rsid w:val="005907BE"/>
    <w:rsid w:val="0059094D"/>
    <w:rsid w:val="005914C2"/>
    <w:rsid w:val="00592EA6"/>
    <w:rsid w:val="00594537"/>
    <w:rsid w:val="00594CF0"/>
    <w:rsid w:val="0059512B"/>
    <w:rsid w:val="005955CB"/>
    <w:rsid w:val="0059588C"/>
    <w:rsid w:val="0059618D"/>
    <w:rsid w:val="0059638A"/>
    <w:rsid w:val="00597184"/>
    <w:rsid w:val="00597F66"/>
    <w:rsid w:val="005A030B"/>
    <w:rsid w:val="005A1727"/>
    <w:rsid w:val="005A19FA"/>
    <w:rsid w:val="005A1C30"/>
    <w:rsid w:val="005A248A"/>
    <w:rsid w:val="005A27A0"/>
    <w:rsid w:val="005A2945"/>
    <w:rsid w:val="005A3655"/>
    <w:rsid w:val="005A392B"/>
    <w:rsid w:val="005A3F7F"/>
    <w:rsid w:val="005A5571"/>
    <w:rsid w:val="005A647E"/>
    <w:rsid w:val="005B045A"/>
    <w:rsid w:val="005B08C1"/>
    <w:rsid w:val="005B1595"/>
    <w:rsid w:val="005B17F8"/>
    <w:rsid w:val="005B1A6B"/>
    <w:rsid w:val="005B1E60"/>
    <w:rsid w:val="005B20B8"/>
    <w:rsid w:val="005B2470"/>
    <w:rsid w:val="005B31F6"/>
    <w:rsid w:val="005B4BF0"/>
    <w:rsid w:val="005B554D"/>
    <w:rsid w:val="005B5BA9"/>
    <w:rsid w:val="005B64C2"/>
    <w:rsid w:val="005B65AC"/>
    <w:rsid w:val="005B7856"/>
    <w:rsid w:val="005C1554"/>
    <w:rsid w:val="005C1EA1"/>
    <w:rsid w:val="005C1F8C"/>
    <w:rsid w:val="005C1FF8"/>
    <w:rsid w:val="005C3188"/>
    <w:rsid w:val="005C3296"/>
    <w:rsid w:val="005C59EB"/>
    <w:rsid w:val="005C68CC"/>
    <w:rsid w:val="005C69D8"/>
    <w:rsid w:val="005C6C99"/>
    <w:rsid w:val="005C6EB8"/>
    <w:rsid w:val="005C79D9"/>
    <w:rsid w:val="005D0045"/>
    <w:rsid w:val="005D03FE"/>
    <w:rsid w:val="005D04D6"/>
    <w:rsid w:val="005D0A1C"/>
    <w:rsid w:val="005D0FAA"/>
    <w:rsid w:val="005D1849"/>
    <w:rsid w:val="005D1922"/>
    <w:rsid w:val="005D1F48"/>
    <w:rsid w:val="005D1FA3"/>
    <w:rsid w:val="005D23D9"/>
    <w:rsid w:val="005D244A"/>
    <w:rsid w:val="005D2D1F"/>
    <w:rsid w:val="005D3E26"/>
    <w:rsid w:val="005D3E58"/>
    <w:rsid w:val="005D44BD"/>
    <w:rsid w:val="005D50DE"/>
    <w:rsid w:val="005D5D38"/>
    <w:rsid w:val="005D7F7E"/>
    <w:rsid w:val="005E114F"/>
    <w:rsid w:val="005E1585"/>
    <w:rsid w:val="005E2182"/>
    <w:rsid w:val="005E23A3"/>
    <w:rsid w:val="005E23C6"/>
    <w:rsid w:val="005E4189"/>
    <w:rsid w:val="005E4237"/>
    <w:rsid w:val="005E4D0A"/>
    <w:rsid w:val="005E5BAA"/>
    <w:rsid w:val="005E672A"/>
    <w:rsid w:val="005E6C6B"/>
    <w:rsid w:val="005F0530"/>
    <w:rsid w:val="005F083B"/>
    <w:rsid w:val="005F1408"/>
    <w:rsid w:val="005F1A0A"/>
    <w:rsid w:val="005F2CE0"/>
    <w:rsid w:val="005F3A68"/>
    <w:rsid w:val="005F3BD1"/>
    <w:rsid w:val="005F4D9E"/>
    <w:rsid w:val="005F505B"/>
    <w:rsid w:val="005F7265"/>
    <w:rsid w:val="00601868"/>
    <w:rsid w:val="0060212D"/>
    <w:rsid w:val="006022FE"/>
    <w:rsid w:val="00602DB2"/>
    <w:rsid w:val="00602EFA"/>
    <w:rsid w:val="00605792"/>
    <w:rsid w:val="00606059"/>
    <w:rsid w:val="006066A1"/>
    <w:rsid w:val="00607BFE"/>
    <w:rsid w:val="0061036D"/>
    <w:rsid w:val="006104C3"/>
    <w:rsid w:val="00611F66"/>
    <w:rsid w:val="00612C6B"/>
    <w:rsid w:val="00613A1C"/>
    <w:rsid w:val="00614214"/>
    <w:rsid w:val="00614256"/>
    <w:rsid w:val="006147DD"/>
    <w:rsid w:val="00614933"/>
    <w:rsid w:val="00614FB2"/>
    <w:rsid w:val="00615406"/>
    <w:rsid w:val="006165FC"/>
    <w:rsid w:val="006175E7"/>
    <w:rsid w:val="00620F08"/>
    <w:rsid w:val="00621D49"/>
    <w:rsid w:val="0062244C"/>
    <w:rsid w:val="0062463B"/>
    <w:rsid w:val="00624A86"/>
    <w:rsid w:val="00626415"/>
    <w:rsid w:val="00626C74"/>
    <w:rsid w:val="00626E14"/>
    <w:rsid w:val="00627D7E"/>
    <w:rsid w:val="00630233"/>
    <w:rsid w:val="00631663"/>
    <w:rsid w:val="00631AE9"/>
    <w:rsid w:val="006336B5"/>
    <w:rsid w:val="006342EB"/>
    <w:rsid w:val="0063466A"/>
    <w:rsid w:val="00634A6B"/>
    <w:rsid w:val="0063532E"/>
    <w:rsid w:val="0063638D"/>
    <w:rsid w:val="00636754"/>
    <w:rsid w:val="00636B31"/>
    <w:rsid w:val="0064002B"/>
    <w:rsid w:val="00641789"/>
    <w:rsid w:val="0064179F"/>
    <w:rsid w:val="006423D5"/>
    <w:rsid w:val="00643AD4"/>
    <w:rsid w:val="00643F16"/>
    <w:rsid w:val="00645542"/>
    <w:rsid w:val="006456EC"/>
    <w:rsid w:val="00645D5F"/>
    <w:rsid w:val="0064774A"/>
    <w:rsid w:val="0065008F"/>
    <w:rsid w:val="00650D60"/>
    <w:rsid w:val="00650E37"/>
    <w:rsid w:val="006519E1"/>
    <w:rsid w:val="00652829"/>
    <w:rsid w:val="006529B8"/>
    <w:rsid w:val="00652EE1"/>
    <w:rsid w:val="00653919"/>
    <w:rsid w:val="00653AE2"/>
    <w:rsid w:val="00654817"/>
    <w:rsid w:val="00654F6A"/>
    <w:rsid w:val="00654FC7"/>
    <w:rsid w:val="00655AEC"/>
    <w:rsid w:val="00655BE9"/>
    <w:rsid w:val="00655FDD"/>
    <w:rsid w:val="00657EB0"/>
    <w:rsid w:val="00660F7D"/>
    <w:rsid w:val="0066106E"/>
    <w:rsid w:val="006618D8"/>
    <w:rsid w:val="00661B3B"/>
    <w:rsid w:val="006621AB"/>
    <w:rsid w:val="006621F2"/>
    <w:rsid w:val="0066308B"/>
    <w:rsid w:val="00663FAA"/>
    <w:rsid w:val="0066474C"/>
    <w:rsid w:val="00664B05"/>
    <w:rsid w:val="006652DE"/>
    <w:rsid w:val="00665BB1"/>
    <w:rsid w:val="00665BEB"/>
    <w:rsid w:val="00666A5B"/>
    <w:rsid w:val="00666AB3"/>
    <w:rsid w:val="006674A2"/>
    <w:rsid w:val="00667F13"/>
    <w:rsid w:val="0067087C"/>
    <w:rsid w:val="00670F48"/>
    <w:rsid w:val="00671603"/>
    <w:rsid w:val="0067415B"/>
    <w:rsid w:val="006744F8"/>
    <w:rsid w:val="00675DC1"/>
    <w:rsid w:val="0068073C"/>
    <w:rsid w:val="006811F4"/>
    <w:rsid w:val="00681610"/>
    <w:rsid w:val="00681F76"/>
    <w:rsid w:val="00681F9A"/>
    <w:rsid w:val="00681FB1"/>
    <w:rsid w:val="00682FDA"/>
    <w:rsid w:val="006837D9"/>
    <w:rsid w:val="00684E95"/>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5C8"/>
    <w:rsid w:val="0069768D"/>
    <w:rsid w:val="00697B8E"/>
    <w:rsid w:val="00697E15"/>
    <w:rsid w:val="006A009A"/>
    <w:rsid w:val="006A2AFC"/>
    <w:rsid w:val="006A3192"/>
    <w:rsid w:val="006A3CDB"/>
    <w:rsid w:val="006A5AC9"/>
    <w:rsid w:val="006A5B90"/>
    <w:rsid w:val="006B06C5"/>
    <w:rsid w:val="006B11B3"/>
    <w:rsid w:val="006B162C"/>
    <w:rsid w:val="006B1DEF"/>
    <w:rsid w:val="006B2B50"/>
    <w:rsid w:val="006B357C"/>
    <w:rsid w:val="006B3BF6"/>
    <w:rsid w:val="006B4139"/>
    <w:rsid w:val="006B4FA1"/>
    <w:rsid w:val="006B5339"/>
    <w:rsid w:val="006C0116"/>
    <w:rsid w:val="006C0D67"/>
    <w:rsid w:val="006C0F9E"/>
    <w:rsid w:val="006C33BB"/>
    <w:rsid w:val="006C45F1"/>
    <w:rsid w:val="006C45F9"/>
    <w:rsid w:val="006D0A89"/>
    <w:rsid w:val="006D1496"/>
    <w:rsid w:val="006D167E"/>
    <w:rsid w:val="006D17E1"/>
    <w:rsid w:val="006D18E5"/>
    <w:rsid w:val="006D2436"/>
    <w:rsid w:val="006D30C2"/>
    <w:rsid w:val="006D362F"/>
    <w:rsid w:val="006D39E6"/>
    <w:rsid w:val="006D3C17"/>
    <w:rsid w:val="006D3EA1"/>
    <w:rsid w:val="006D5E6E"/>
    <w:rsid w:val="006D79B7"/>
    <w:rsid w:val="006E13E3"/>
    <w:rsid w:val="006E196F"/>
    <w:rsid w:val="006E1DD9"/>
    <w:rsid w:val="006E1EBA"/>
    <w:rsid w:val="006E23CD"/>
    <w:rsid w:val="006E24E1"/>
    <w:rsid w:val="006E2884"/>
    <w:rsid w:val="006E3951"/>
    <w:rsid w:val="006E3C75"/>
    <w:rsid w:val="006E4796"/>
    <w:rsid w:val="006E47B0"/>
    <w:rsid w:val="006E4820"/>
    <w:rsid w:val="006E540A"/>
    <w:rsid w:val="006E65C1"/>
    <w:rsid w:val="006E6CE2"/>
    <w:rsid w:val="006E6E62"/>
    <w:rsid w:val="006E7A6C"/>
    <w:rsid w:val="006E7E55"/>
    <w:rsid w:val="006F2D10"/>
    <w:rsid w:val="006F3CCD"/>
    <w:rsid w:val="006F3EB0"/>
    <w:rsid w:val="006F3F15"/>
    <w:rsid w:val="006F4975"/>
    <w:rsid w:val="006F4E34"/>
    <w:rsid w:val="006F4EF5"/>
    <w:rsid w:val="006F538A"/>
    <w:rsid w:val="006F5559"/>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1EE1"/>
    <w:rsid w:val="00712521"/>
    <w:rsid w:val="0071254D"/>
    <w:rsid w:val="00713E7D"/>
    <w:rsid w:val="00714750"/>
    <w:rsid w:val="00715310"/>
    <w:rsid w:val="007153D6"/>
    <w:rsid w:val="00716394"/>
    <w:rsid w:val="00717AA3"/>
    <w:rsid w:val="007206F2"/>
    <w:rsid w:val="00720FC0"/>
    <w:rsid w:val="007216BB"/>
    <w:rsid w:val="007222F5"/>
    <w:rsid w:val="007222F9"/>
    <w:rsid w:val="007224C2"/>
    <w:rsid w:val="0072299B"/>
    <w:rsid w:val="0072353D"/>
    <w:rsid w:val="00723A1D"/>
    <w:rsid w:val="007240FE"/>
    <w:rsid w:val="00724315"/>
    <w:rsid w:val="0072481B"/>
    <w:rsid w:val="007248A7"/>
    <w:rsid w:val="007254A0"/>
    <w:rsid w:val="00726653"/>
    <w:rsid w:val="00726CD6"/>
    <w:rsid w:val="00727095"/>
    <w:rsid w:val="0073053D"/>
    <w:rsid w:val="00731BD2"/>
    <w:rsid w:val="007337DC"/>
    <w:rsid w:val="007347DE"/>
    <w:rsid w:val="00735259"/>
    <w:rsid w:val="00735D1E"/>
    <w:rsid w:val="00736156"/>
    <w:rsid w:val="00736301"/>
    <w:rsid w:val="0073641B"/>
    <w:rsid w:val="00736743"/>
    <w:rsid w:val="00736F61"/>
    <w:rsid w:val="00737281"/>
    <w:rsid w:val="007405DF"/>
    <w:rsid w:val="00741040"/>
    <w:rsid w:val="00741F61"/>
    <w:rsid w:val="0074310A"/>
    <w:rsid w:val="00743B8C"/>
    <w:rsid w:val="007441F1"/>
    <w:rsid w:val="007449B8"/>
    <w:rsid w:val="00744C7A"/>
    <w:rsid w:val="0074594A"/>
    <w:rsid w:val="00746952"/>
    <w:rsid w:val="00746D1D"/>
    <w:rsid w:val="0074704E"/>
    <w:rsid w:val="00747056"/>
    <w:rsid w:val="00747151"/>
    <w:rsid w:val="00747734"/>
    <w:rsid w:val="00750309"/>
    <w:rsid w:val="0075164F"/>
    <w:rsid w:val="00751A15"/>
    <w:rsid w:val="00752092"/>
    <w:rsid w:val="007522E0"/>
    <w:rsid w:val="007527FC"/>
    <w:rsid w:val="007530F0"/>
    <w:rsid w:val="007538AE"/>
    <w:rsid w:val="00753CCB"/>
    <w:rsid w:val="00753F0A"/>
    <w:rsid w:val="00754872"/>
    <w:rsid w:val="00754CB4"/>
    <w:rsid w:val="0075555E"/>
    <w:rsid w:val="00755DB0"/>
    <w:rsid w:val="00757019"/>
    <w:rsid w:val="00757CF4"/>
    <w:rsid w:val="00757E1A"/>
    <w:rsid w:val="0076002B"/>
    <w:rsid w:val="00760815"/>
    <w:rsid w:val="00760E00"/>
    <w:rsid w:val="00762287"/>
    <w:rsid w:val="00762762"/>
    <w:rsid w:val="00763B7C"/>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D3A"/>
    <w:rsid w:val="0077427F"/>
    <w:rsid w:val="007745F5"/>
    <w:rsid w:val="00774F6B"/>
    <w:rsid w:val="00775D35"/>
    <w:rsid w:val="007766F4"/>
    <w:rsid w:val="00777A67"/>
    <w:rsid w:val="0078022D"/>
    <w:rsid w:val="00782355"/>
    <w:rsid w:val="007826AD"/>
    <w:rsid w:val="00783313"/>
    <w:rsid w:val="00783C52"/>
    <w:rsid w:val="00785158"/>
    <w:rsid w:val="007867E8"/>
    <w:rsid w:val="00786C14"/>
    <w:rsid w:val="00786E0E"/>
    <w:rsid w:val="007875DD"/>
    <w:rsid w:val="00790DE4"/>
    <w:rsid w:val="00790E3F"/>
    <w:rsid w:val="0079179D"/>
    <w:rsid w:val="00792185"/>
    <w:rsid w:val="007929A8"/>
    <w:rsid w:val="00792D39"/>
    <w:rsid w:val="00793126"/>
    <w:rsid w:val="007932DD"/>
    <w:rsid w:val="00793F2F"/>
    <w:rsid w:val="007946CC"/>
    <w:rsid w:val="00794788"/>
    <w:rsid w:val="00795E0C"/>
    <w:rsid w:val="00795EB8"/>
    <w:rsid w:val="007960FA"/>
    <w:rsid w:val="007967CF"/>
    <w:rsid w:val="007A087F"/>
    <w:rsid w:val="007A1A8E"/>
    <w:rsid w:val="007A32D9"/>
    <w:rsid w:val="007A3D6D"/>
    <w:rsid w:val="007A446D"/>
    <w:rsid w:val="007A4519"/>
    <w:rsid w:val="007A54EE"/>
    <w:rsid w:val="007A583D"/>
    <w:rsid w:val="007A5B28"/>
    <w:rsid w:val="007A6203"/>
    <w:rsid w:val="007A6400"/>
    <w:rsid w:val="007A6585"/>
    <w:rsid w:val="007A6D9C"/>
    <w:rsid w:val="007A73AC"/>
    <w:rsid w:val="007A752D"/>
    <w:rsid w:val="007A75A4"/>
    <w:rsid w:val="007A7819"/>
    <w:rsid w:val="007B040E"/>
    <w:rsid w:val="007B0E13"/>
    <w:rsid w:val="007B1EB1"/>
    <w:rsid w:val="007B23B6"/>
    <w:rsid w:val="007B2608"/>
    <w:rsid w:val="007B2E8B"/>
    <w:rsid w:val="007B41B8"/>
    <w:rsid w:val="007B45A6"/>
    <w:rsid w:val="007B4935"/>
    <w:rsid w:val="007B531A"/>
    <w:rsid w:val="007B586C"/>
    <w:rsid w:val="007B7049"/>
    <w:rsid w:val="007B709A"/>
    <w:rsid w:val="007B7594"/>
    <w:rsid w:val="007C19C3"/>
    <w:rsid w:val="007C21CF"/>
    <w:rsid w:val="007C31F5"/>
    <w:rsid w:val="007C345B"/>
    <w:rsid w:val="007C38C9"/>
    <w:rsid w:val="007C39DF"/>
    <w:rsid w:val="007C3C47"/>
    <w:rsid w:val="007C3D3A"/>
    <w:rsid w:val="007C5B7B"/>
    <w:rsid w:val="007C5EC1"/>
    <w:rsid w:val="007C67B3"/>
    <w:rsid w:val="007C68BD"/>
    <w:rsid w:val="007D07A0"/>
    <w:rsid w:val="007D124E"/>
    <w:rsid w:val="007D12B8"/>
    <w:rsid w:val="007D34CA"/>
    <w:rsid w:val="007D4016"/>
    <w:rsid w:val="007D4397"/>
    <w:rsid w:val="007D44A5"/>
    <w:rsid w:val="007D4786"/>
    <w:rsid w:val="007D679D"/>
    <w:rsid w:val="007D6863"/>
    <w:rsid w:val="007D78E3"/>
    <w:rsid w:val="007E053E"/>
    <w:rsid w:val="007E0C0D"/>
    <w:rsid w:val="007E0EC6"/>
    <w:rsid w:val="007E0ED1"/>
    <w:rsid w:val="007E1C5A"/>
    <w:rsid w:val="007E20B7"/>
    <w:rsid w:val="007E28A0"/>
    <w:rsid w:val="007E3F4C"/>
    <w:rsid w:val="007E453F"/>
    <w:rsid w:val="007E46DA"/>
    <w:rsid w:val="007E4883"/>
    <w:rsid w:val="007E50BC"/>
    <w:rsid w:val="007E5337"/>
    <w:rsid w:val="007E5806"/>
    <w:rsid w:val="007E5850"/>
    <w:rsid w:val="007E6824"/>
    <w:rsid w:val="007E6D33"/>
    <w:rsid w:val="007E74CF"/>
    <w:rsid w:val="007E7DA7"/>
    <w:rsid w:val="007F142D"/>
    <w:rsid w:val="007F2154"/>
    <w:rsid w:val="007F2457"/>
    <w:rsid w:val="007F30AB"/>
    <w:rsid w:val="007F3A04"/>
    <w:rsid w:val="007F491D"/>
    <w:rsid w:val="007F6178"/>
    <w:rsid w:val="007F6E59"/>
    <w:rsid w:val="007F7A67"/>
    <w:rsid w:val="008002FF"/>
    <w:rsid w:val="00800FEF"/>
    <w:rsid w:val="00801694"/>
    <w:rsid w:val="00801FF2"/>
    <w:rsid w:val="00802335"/>
    <w:rsid w:val="0080244C"/>
    <w:rsid w:val="00802616"/>
    <w:rsid w:val="00802901"/>
    <w:rsid w:val="00802B1A"/>
    <w:rsid w:val="00803291"/>
    <w:rsid w:val="008034A0"/>
    <w:rsid w:val="00804079"/>
    <w:rsid w:val="0080472B"/>
    <w:rsid w:val="00804F95"/>
    <w:rsid w:val="00806A8D"/>
    <w:rsid w:val="008070C9"/>
    <w:rsid w:val="00810770"/>
    <w:rsid w:val="00810C57"/>
    <w:rsid w:val="008121DC"/>
    <w:rsid w:val="00812530"/>
    <w:rsid w:val="00813E21"/>
    <w:rsid w:val="00814089"/>
    <w:rsid w:val="00814D01"/>
    <w:rsid w:val="00814E15"/>
    <w:rsid w:val="00815D36"/>
    <w:rsid w:val="00816291"/>
    <w:rsid w:val="00817689"/>
    <w:rsid w:val="008178D3"/>
    <w:rsid w:val="00821779"/>
    <w:rsid w:val="0082285D"/>
    <w:rsid w:val="0082331F"/>
    <w:rsid w:val="00823DAC"/>
    <w:rsid w:val="008245F5"/>
    <w:rsid w:val="0082493F"/>
    <w:rsid w:val="00824C78"/>
    <w:rsid w:val="008264FD"/>
    <w:rsid w:val="00826C9B"/>
    <w:rsid w:val="00827184"/>
    <w:rsid w:val="0082751E"/>
    <w:rsid w:val="00827B78"/>
    <w:rsid w:val="008302D0"/>
    <w:rsid w:val="00831027"/>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4FE8"/>
    <w:rsid w:val="008455DF"/>
    <w:rsid w:val="0084592E"/>
    <w:rsid w:val="00846FED"/>
    <w:rsid w:val="00847B3F"/>
    <w:rsid w:val="00850D31"/>
    <w:rsid w:val="0085161C"/>
    <w:rsid w:val="00851999"/>
    <w:rsid w:val="00851A7D"/>
    <w:rsid w:val="00851F67"/>
    <w:rsid w:val="00851FF5"/>
    <w:rsid w:val="00853D16"/>
    <w:rsid w:val="0085414E"/>
    <w:rsid w:val="00854347"/>
    <w:rsid w:val="008543A1"/>
    <w:rsid w:val="00854F1C"/>
    <w:rsid w:val="00856DCD"/>
    <w:rsid w:val="00857A8E"/>
    <w:rsid w:val="0086069E"/>
    <w:rsid w:val="00861213"/>
    <w:rsid w:val="00861580"/>
    <w:rsid w:val="00862C3D"/>
    <w:rsid w:val="0086454A"/>
    <w:rsid w:val="00864858"/>
    <w:rsid w:val="008653A5"/>
    <w:rsid w:val="00865690"/>
    <w:rsid w:val="00870343"/>
    <w:rsid w:val="00870BF4"/>
    <w:rsid w:val="00871931"/>
    <w:rsid w:val="00872066"/>
    <w:rsid w:val="00872192"/>
    <w:rsid w:val="00872620"/>
    <w:rsid w:val="00873F21"/>
    <w:rsid w:val="00876A5E"/>
    <w:rsid w:val="00877EF5"/>
    <w:rsid w:val="0088033A"/>
    <w:rsid w:val="00880954"/>
    <w:rsid w:val="00880A7E"/>
    <w:rsid w:val="00881466"/>
    <w:rsid w:val="0088178D"/>
    <w:rsid w:val="00881894"/>
    <w:rsid w:val="00881B12"/>
    <w:rsid w:val="00881EEB"/>
    <w:rsid w:val="00881F31"/>
    <w:rsid w:val="008827EB"/>
    <w:rsid w:val="00882B18"/>
    <w:rsid w:val="008837D8"/>
    <w:rsid w:val="008844BC"/>
    <w:rsid w:val="008846E3"/>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4D2A"/>
    <w:rsid w:val="00895608"/>
    <w:rsid w:val="0089579F"/>
    <w:rsid w:val="00896629"/>
    <w:rsid w:val="0089666C"/>
    <w:rsid w:val="00897661"/>
    <w:rsid w:val="008A2915"/>
    <w:rsid w:val="008A2B9F"/>
    <w:rsid w:val="008A302A"/>
    <w:rsid w:val="008A5275"/>
    <w:rsid w:val="008A6943"/>
    <w:rsid w:val="008B03F9"/>
    <w:rsid w:val="008B064D"/>
    <w:rsid w:val="008B0B9D"/>
    <w:rsid w:val="008B4EF3"/>
    <w:rsid w:val="008B5E6E"/>
    <w:rsid w:val="008B6F27"/>
    <w:rsid w:val="008B7A5D"/>
    <w:rsid w:val="008B7EBB"/>
    <w:rsid w:val="008C08C9"/>
    <w:rsid w:val="008C14F3"/>
    <w:rsid w:val="008C2A0F"/>
    <w:rsid w:val="008C3274"/>
    <w:rsid w:val="008C3356"/>
    <w:rsid w:val="008C35AD"/>
    <w:rsid w:val="008C41CA"/>
    <w:rsid w:val="008C44A1"/>
    <w:rsid w:val="008C451C"/>
    <w:rsid w:val="008C47AB"/>
    <w:rsid w:val="008C4BE2"/>
    <w:rsid w:val="008C4DFF"/>
    <w:rsid w:val="008C55B3"/>
    <w:rsid w:val="008C56D8"/>
    <w:rsid w:val="008C780B"/>
    <w:rsid w:val="008C7C0C"/>
    <w:rsid w:val="008D02E0"/>
    <w:rsid w:val="008D0349"/>
    <w:rsid w:val="008D0B42"/>
    <w:rsid w:val="008D0F82"/>
    <w:rsid w:val="008D2C09"/>
    <w:rsid w:val="008D319B"/>
    <w:rsid w:val="008D35A3"/>
    <w:rsid w:val="008D3A2B"/>
    <w:rsid w:val="008D3BDC"/>
    <w:rsid w:val="008D4293"/>
    <w:rsid w:val="008D484D"/>
    <w:rsid w:val="008D59D5"/>
    <w:rsid w:val="008D5FB4"/>
    <w:rsid w:val="008D7744"/>
    <w:rsid w:val="008E0605"/>
    <w:rsid w:val="008E1A59"/>
    <w:rsid w:val="008E4285"/>
    <w:rsid w:val="008E57BE"/>
    <w:rsid w:val="008E5973"/>
    <w:rsid w:val="008E5AD7"/>
    <w:rsid w:val="008E5C7F"/>
    <w:rsid w:val="008E5CFF"/>
    <w:rsid w:val="008E6539"/>
    <w:rsid w:val="008E7213"/>
    <w:rsid w:val="008E7649"/>
    <w:rsid w:val="008F0327"/>
    <w:rsid w:val="008F11E1"/>
    <w:rsid w:val="008F216B"/>
    <w:rsid w:val="008F2CA9"/>
    <w:rsid w:val="008F3866"/>
    <w:rsid w:val="008F41B8"/>
    <w:rsid w:val="008F494C"/>
    <w:rsid w:val="008F4DE2"/>
    <w:rsid w:val="008F534F"/>
    <w:rsid w:val="008F5642"/>
    <w:rsid w:val="008F5CC1"/>
    <w:rsid w:val="008F66A7"/>
    <w:rsid w:val="008F66F7"/>
    <w:rsid w:val="008F766D"/>
    <w:rsid w:val="00900079"/>
    <w:rsid w:val="00900654"/>
    <w:rsid w:val="00900E5D"/>
    <w:rsid w:val="009018CF"/>
    <w:rsid w:val="00902AA8"/>
    <w:rsid w:val="009035A7"/>
    <w:rsid w:val="009041CC"/>
    <w:rsid w:val="009050E8"/>
    <w:rsid w:val="009053C6"/>
    <w:rsid w:val="00905DDB"/>
    <w:rsid w:val="0090615F"/>
    <w:rsid w:val="00907F7D"/>
    <w:rsid w:val="00912550"/>
    <w:rsid w:val="00912F7B"/>
    <w:rsid w:val="00913A29"/>
    <w:rsid w:val="009145E2"/>
    <w:rsid w:val="00914FFD"/>
    <w:rsid w:val="009166E5"/>
    <w:rsid w:val="00917019"/>
    <w:rsid w:val="0091747B"/>
    <w:rsid w:val="00917AF0"/>
    <w:rsid w:val="009212F5"/>
    <w:rsid w:val="00921510"/>
    <w:rsid w:val="00922324"/>
    <w:rsid w:val="009227B3"/>
    <w:rsid w:val="00923AE5"/>
    <w:rsid w:val="00925609"/>
    <w:rsid w:val="00925BCC"/>
    <w:rsid w:val="009267E3"/>
    <w:rsid w:val="00926E3E"/>
    <w:rsid w:val="00927BE1"/>
    <w:rsid w:val="00927DE8"/>
    <w:rsid w:val="00930269"/>
    <w:rsid w:val="00930A07"/>
    <w:rsid w:val="00930A86"/>
    <w:rsid w:val="00930AFB"/>
    <w:rsid w:val="00931065"/>
    <w:rsid w:val="00931347"/>
    <w:rsid w:val="00931B0D"/>
    <w:rsid w:val="009320E8"/>
    <w:rsid w:val="0093337B"/>
    <w:rsid w:val="00934191"/>
    <w:rsid w:val="009342C2"/>
    <w:rsid w:val="00934753"/>
    <w:rsid w:val="00935199"/>
    <w:rsid w:val="00935698"/>
    <w:rsid w:val="00935E71"/>
    <w:rsid w:val="00935FCD"/>
    <w:rsid w:val="00936D91"/>
    <w:rsid w:val="0093721C"/>
    <w:rsid w:val="00937392"/>
    <w:rsid w:val="0093773C"/>
    <w:rsid w:val="00941251"/>
    <w:rsid w:val="009417A9"/>
    <w:rsid w:val="00942248"/>
    <w:rsid w:val="0094265C"/>
    <w:rsid w:val="00943260"/>
    <w:rsid w:val="00944C73"/>
    <w:rsid w:val="00946148"/>
    <w:rsid w:val="009464E1"/>
    <w:rsid w:val="00947216"/>
    <w:rsid w:val="00951235"/>
    <w:rsid w:val="00951F20"/>
    <w:rsid w:val="009522EB"/>
    <w:rsid w:val="0095275C"/>
    <w:rsid w:val="00954085"/>
    <w:rsid w:val="0095444F"/>
    <w:rsid w:val="00954955"/>
    <w:rsid w:val="00954BCC"/>
    <w:rsid w:val="00954E4D"/>
    <w:rsid w:val="00956AB6"/>
    <w:rsid w:val="009570F1"/>
    <w:rsid w:val="00957E9F"/>
    <w:rsid w:val="0096001B"/>
    <w:rsid w:val="009606FC"/>
    <w:rsid w:val="00960781"/>
    <w:rsid w:val="00960B05"/>
    <w:rsid w:val="00962149"/>
    <w:rsid w:val="0096290E"/>
    <w:rsid w:val="00962AEA"/>
    <w:rsid w:val="00962C78"/>
    <w:rsid w:val="0096420F"/>
    <w:rsid w:val="00964438"/>
    <w:rsid w:val="00965A2B"/>
    <w:rsid w:val="00965FEE"/>
    <w:rsid w:val="009666A9"/>
    <w:rsid w:val="0096689D"/>
    <w:rsid w:val="0096764F"/>
    <w:rsid w:val="00970694"/>
    <w:rsid w:val="00971F19"/>
    <w:rsid w:val="009729BF"/>
    <w:rsid w:val="00972B2E"/>
    <w:rsid w:val="00972C56"/>
    <w:rsid w:val="00972C9A"/>
    <w:rsid w:val="009732C0"/>
    <w:rsid w:val="009732D5"/>
    <w:rsid w:val="00973DE3"/>
    <w:rsid w:val="00974289"/>
    <w:rsid w:val="00974680"/>
    <w:rsid w:val="00974A38"/>
    <w:rsid w:val="00975F26"/>
    <w:rsid w:val="00975FEB"/>
    <w:rsid w:val="009769B8"/>
    <w:rsid w:val="00977365"/>
    <w:rsid w:val="0097778C"/>
    <w:rsid w:val="00977CCB"/>
    <w:rsid w:val="0098193A"/>
    <w:rsid w:val="0098299E"/>
    <w:rsid w:val="00983575"/>
    <w:rsid w:val="00984906"/>
    <w:rsid w:val="00985ADA"/>
    <w:rsid w:val="009863A5"/>
    <w:rsid w:val="00987842"/>
    <w:rsid w:val="0099090C"/>
    <w:rsid w:val="00991A13"/>
    <w:rsid w:val="00992C1D"/>
    <w:rsid w:val="0099382D"/>
    <w:rsid w:val="00994F5F"/>
    <w:rsid w:val="009956EE"/>
    <w:rsid w:val="00995F4A"/>
    <w:rsid w:val="00996727"/>
    <w:rsid w:val="009968F4"/>
    <w:rsid w:val="009969D8"/>
    <w:rsid w:val="00996BC2"/>
    <w:rsid w:val="00997DAE"/>
    <w:rsid w:val="009A10BE"/>
    <w:rsid w:val="009A264F"/>
    <w:rsid w:val="009A286B"/>
    <w:rsid w:val="009A2AB7"/>
    <w:rsid w:val="009A31BD"/>
    <w:rsid w:val="009A4FE5"/>
    <w:rsid w:val="009A5886"/>
    <w:rsid w:val="009A58B1"/>
    <w:rsid w:val="009A69B1"/>
    <w:rsid w:val="009A6A83"/>
    <w:rsid w:val="009A6DBB"/>
    <w:rsid w:val="009A6E55"/>
    <w:rsid w:val="009A71D1"/>
    <w:rsid w:val="009A7A2F"/>
    <w:rsid w:val="009A7D78"/>
    <w:rsid w:val="009A7F7D"/>
    <w:rsid w:val="009B0279"/>
    <w:rsid w:val="009B14CE"/>
    <w:rsid w:val="009B24AF"/>
    <w:rsid w:val="009B256E"/>
    <w:rsid w:val="009B3DC8"/>
    <w:rsid w:val="009B52EC"/>
    <w:rsid w:val="009B5743"/>
    <w:rsid w:val="009B69BB"/>
    <w:rsid w:val="009B7283"/>
    <w:rsid w:val="009B736B"/>
    <w:rsid w:val="009B7FCE"/>
    <w:rsid w:val="009C0CFD"/>
    <w:rsid w:val="009C1C4F"/>
    <w:rsid w:val="009C1D6F"/>
    <w:rsid w:val="009C27C2"/>
    <w:rsid w:val="009C3318"/>
    <w:rsid w:val="009C3468"/>
    <w:rsid w:val="009C43A7"/>
    <w:rsid w:val="009C4A09"/>
    <w:rsid w:val="009C505E"/>
    <w:rsid w:val="009C5587"/>
    <w:rsid w:val="009C66A3"/>
    <w:rsid w:val="009C7638"/>
    <w:rsid w:val="009D0289"/>
    <w:rsid w:val="009D0DD2"/>
    <w:rsid w:val="009D1F6D"/>
    <w:rsid w:val="009D25A2"/>
    <w:rsid w:val="009D2718"/>
    <w:rsid w:val="009D2C30"/>
    <w:rsid w:val="009D3728"/>
    <w:rsid w:val="009D4988"/>
    <w:rsid w:val="009D5B81"/>
    <w:rsid w:val="009D5D26"/>
    <w:rsid w:val="009D68C2"/>
    <w:rsid w:val="009D72F4"/>
    <w:rsid w:val="009E0C8B"/>
    <w:rsid w:val="009E282B"/>
    <w:rsid w:val="009E3A70"/>
    <w:rsid w:val="009E4209"/>
    <w:rsid w:val="009E4883"/>
    <w:rsid w:val="009E4F2B"/>
    <w:rsid w:val="009E5541"/>
    <w:rsid w:val="009E7A88"/>
    <w:rsid w:val="009F057F"/>
    <w:rsid w:val="009F14E8"/>
    <w:rsid w:val="009F1F21"/>
    <w:rsid w:val="009F2DE9"/>
    <w:rsid w:val="009F2F79"/>
    <w:rsid w:val="009F3094"/>
    <w:rsid w:val="009F384E"/>
    <w:rsid w:val="009F40F3"/>
    <w:rsid w:val="009F494E"/>
    <w:rsid w:val="009F5613"/>
    <w:rsid w:val="009F5982"/>
    <w:rsid w:val="009F5EB4"/>
    <w:rsid w:val="009F6DF8"/>
    <w:rsid w:val="009F6FC9"/>
    <w:rsid w:val="009F78F8"/>
    <w:rsid w:val="009F7A63"/>
    <w:rsid w:val="00A0085F"/>
    <w:rsid w:val="00A027E6"/>
    <w:rsid w:val="00A02D54"/>
    <w:rsid w:val="00A03254"/>
    <w:rsid w:val="00A044D2"/>
    <w:rsid w:val="00A04962"/>
    <w:rsid w:val="00A05DCC"/>
    <w:rsid w:val="00A0619B"/>
    <w:rsid w:val="00A06743"/>
    <w:rsid w:val="00A06FA7"/>
    <w:rsid w:val="00A077B1"/>
    <w:rsid w:val="00A07BC4"/>
    <w:rsid w:val="00A07D16"/>
    <w:rsid w:val="00A105E9"/>
    <w:rsid w:val="00A109AD"/>
    <w:rsid w:val="00A10A7A"/>
    <w:rsid w:val="00A10BC1"/>
    <w:rsid w:val="00A120B2"/>
    <w:rsid w:val="00A120C8"/>
    <w:rsid w:val="00A12146"/>
    <w:rsid w:val="00A12A96"/>
    <w:rsid w:val="00A14E37"/>
    <w:rsid w:val="00A1557C"/>
    <w:rsid w:val="00A155FA"/>
    <w:rsid w:val="00A15C8B"/>
    <w:rsid w:val="00A16886"/>
    <w:rsid w:val="00A202D0"/>
    <w:rsid w:val="00A20831"/>
    <w:rsid w:val="00A21E48"/>
    <w:rsid w:val="00A2304C"/>
    <w:rsid w:val="00A23836"/>
    <w:rsid w:val="00A23E52"/>
    <w:rsid w:val="00A23F8D"/>
    <w:rsid w:val="00A24BAA"/>
    <w:rsid w:val="00A25767"/>
    <w:rsid w:val="00A25A37"/>
    <w:rsid w:val="00A266F4"/>
    <w:rsid w:val="00A26CD4"/>
    <w:rsid w:val="00A27360"/>
    <w:rsid w:val="00A2763E"/>
    <w:rsid w:val="00A30308"/>
    <w:rsid w:val="00A30CE1"/>
    <w:rsid w:val="00A31184"/>
    <w:rsid w:val="00A31FEB"/>
    <w:rsid w:val="00A32067"/>
    <w:rsid w:val="00A32D93"/>
    <w:rsid w:val="00A333B7"/>
    <w:rsid w:val="00A3346B"/>
    <w:rsid w:val="00A33AFD"/>
    <w:rsid w:val="00A33FEC"/>
    <w:rsid w:val="00A34743"/>
    <w:rsid w:val="00A34D66"/>
    <w:rsid w:val="00A35636"/>
    <w:rsid w:val="00A372ED"/>
    <w:rsid w:val="00A379AC"/>
    <w:rsid w:val="00A4012E"/>
    <w:rsid w:val="00A40665"/>
    <w:rsid w:val="00A40BA6"/>
    <w:rsid w:val="00A41C13"/>
    <w:rsid w:val="00A43CB0"/>
    <w:rsid w:val="00A44A3C"/>
    <w:rsid w:val="00A44DE5"/>
    <w:rsid w:val="00A450C8"/>
    <w:rsid w:val="00A455B4"/>
    <w:rsid w:val="00A456A7"/>
    <w:rsid w:val="00A457AE"/>
    <w:rsid w:val="00A45D3B"/>
    <w:rsid w:val="00A47447"/>
    <w:rsid w:val="00A50977"/>
    <w:rsid w:val="00A50FA4"/>
    <w:rsid w:val="00A5152F"/>
    <w:rsid w:val="00A51D39"/>
    <w:rsid w:val="00A522B5"/>
    <w:rsid w:val="00A524DA"/>
    <w:rsid w:val="00A52CA1"/>
    <w:rsid w:val="00A52DD8"/>
    <w:rsid w:val="00A5341D"/>
    <w:rsid w:val="00A53987"/>
    <w:rsid w:val="00A53ED4"/>
    <w:rsid w:val="00A543DA"/>
    <w:rsid w:val="00A54664"/>
    <w:rsid w:val="00A54FDF"/>
    <w:rsid w:val="00A5611C"/>
    <w:rsid w:val="00A568AB"/>
    <w:rsid w:val="00A578C7"/>
    <w:rsid w:val="00A600DF"/>
    <w:rsid w:val="00A60149"/>
    <w:rsid w:val="00A6071A"/>
    <w:rsid w:val="00A60AF2"/>
    <w:rsid w:val="00A60F46"/>
    <w:rsid w:val="00A60F8D"/>
    <w:rsid w:val="00A611E5"/>
    <w:rsid w:val="00A616D5"/>
    <w:rsid w:val="00A6252A"/>
    <w:rsid w:val="00A6254C"/>
    <w:rsid w:val="00A62782"/>
    <w:rsid w:val="00A62A1C"/>
    <w:rsid w:val="00A632CC"/>
    <w:rsid w:val="00A63A48"/>
    <w:rsid w:val="00A64913"/>
    <w:rsid w:val="00A65065"/>
    <w:rsid w:val="00A65278"/>
    <w:rsid w:val="00A6533B"/>
    <w:rsid w:val="00A65D79"/>
    <w:rsid w:val="00A660F0"/>
    <w:rsid w:val="00A66338"/>
    <w:rsid w:val="00A6697E"/>
    <w:rsid w:val="00A67595"/>
    <w:rsid w:val="00A677E6"/>
    <w:rsid w:val="00A67FC8"/>
    <w:rsid w:val="00A7010E"/>
    <w:rsid w:val="00A7170B"/>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09CE"/>
    <w:rsid w:val="00A81333"/>
    <w:rsid w:val="00A81C7A"/>
    <w:rsid w:val="00A821D1"/>
    <w:rsid w:val="00A83273"/>
    <w:rsid w:val="00A832CE"/>
    <w:rsid w:val="00A83F38"/>
    <w:rsid w:val="00A84008"/>
    <w:rsid w:val="00A84363"/>
    <w:rsid w:val="00A851E7"/>
    <w:rsid w:val="00A8593E"/>
    <w:rsid w:val="00A8651E"/>
    <w:rsid w:val="00A8673B"/>
    <w:rsid w:val="00A872BA"/>
    <w:rsid w:val="00A878EB"/>
    <w:rsid w:val="00A904D5"/>
    <w:rsid w:val="00A91AB3"/>
    <w:rsid w:val="00A9242D"/>
    <w:rsid w:val="00A927B4"/>
    <w:rsid w:val="00A9410C"/>
    <w:rsid w:val="00A954D4"/>
    <w:rsid w:val="00A95A2D"/>
    <w:rsid w:val="00A968B3"/>
    <w:rsid w:val="00A96FA3"/>
    <w:rsid w:val="00AA0571"/>
    <w:rsid w:val="00AA077C"/>
    <w:rsid w:val="00AA08FD"/>
    <w:rsid w:val="00AA0C8B"/>
    <w:rsid w:val="00AA0F51"/>
    <w:rsid w:val="00AA1C1F"/>
    <w:rsid w:val="00AA1E9F"/>
    <w:rsid w:val="00AA6377"/>
    <w:rsid w:val="00AA7076"/>
    <w:rsid w:val="00AA783A"/>
    <w:rsid w:val="00AA7C3C"/>
    <w:rsid w:val="00AA7FA1"/>
    <w:rsid w:val="00AB1B6C"/>
    <w:rsid w:val="00AB1C08"/>
    <w:rsid w:val="00AB1C41"/>
    <w:rsid w:val="00AB1D77"/>
    <w:rsid w:val="00AB21D7"/>
    <w:rsid w:val="00AB246F"/>
    <w:rsid w:val="00AB2D12"/>
    <w:rsid w:val="00AB4CEF"/>
    <w:rsid w:val="00AB4D3A"/>
    <w:rsid w:val="00AB4E46"/>
    <w:rsid w:val="00AB5210"/>
    <w:rsid w:val="00AB5262"/>
    <w:rsid w:val="00AB5375"/>
    <w:rsid w:val="00AB6CF0"/>
    <w:rsid w:val="00AB6E44"/>
    <w:rsid w:val="00AB7168"/>
    <w:rsid w:val="00AC12A2"/>
    <w:rsid w:val="00AC1440"/>
    <w:rsid w:val="00AC145B"/>
    <w:rsid w:val="00AC15C3"/>
    <w:rsid w:val="00AC26EA"/>
    <w:rsid w:val="00AC2D76"/>
    <w:rsid w:val="00AC3B8E"/>
    <w:rsid w:val="00AC3E40"/>
    <w:rsid w:val="00AC4232"/>
    <w:rsid w:val="00AC4D64"/>
    <w:rsid w:val="00AC4FC4"/>
    <w:rsid w:val="00AC5000"/>
    <w:rsid w:val="00AC6709"/>
    <w:rsid w:val="00AC6E10"/>
    <w:rsid w:val="00AC6E43"/>
    <w:rsid w:val="00AC7D3F"/>
    <w:rsid w:val="00AD00CA"/>
    <w:rsid w:val="00AD0AE7"/>
    <w:rsid w:val="00AD105A"/>
    <w:rsid w:val="00AD1621"/>
    <w:rsid w:val="00AD2FC6"/>
    <w:rsid w:val="00AD3181"/>
    <w:rsid w:val="00AD3EE3"/>
    <w:rsid w:val="00AD49DF"/>
    <w:rsid w:val="00AD4EA7"/>
    <w:rsid w:val="00AD5C9E"/>
    <w:rsid w:val="00AE06AA"/>
    <w:rsid w:val="00AE15D5"/>
    <w:rsid w:val="00AE16FA"/>
    <w:rsid w:val="00AE1CC8"/>
    <w:rsid w:val="00AE25F4"/>
    <w:rsid w:val="00AE2794"/>
    <w:rsid w:val="00AE2CB9"/>
    <w:rsid w:val="00AE408C"/>
    <w:rsid w:val="00AE499C"/>
    <w:rsid w:val="00AE5F1B"/>
    <w:rsid w:val="00AE66BF"/>
    <w:rsid w:val="00AE675E"/>
    <w:rsid w:val="00AE6D55"/>
    <w:rsid w:val="00AE7B92"/>
    <w:rsid w:val="00AF1B7B"/>
    <w:rsid w:val="00AF2A52"/>
    <w:rsid w:val="00AF30A5"/>
    <w:rsid w:val="00AF35E7"/>
    <w:rsid w:val="00AF4996"/>
    <w:rsid w:val="00AF584D"/>
    <w:rsid w:val="00AF6A69"/>
    <w:rsid w:val="00AF6BAA"/>
    <w:rsid w:val="00AF78D8"/>
    <w:rsid w:val="00B01D05"/>
    <w:rsid w:val="00B02A41"/>
    <w:rsid w:val="00B0460F"/>
    <w:rsid w:val="00B0494F"/>
    <w:rsid w:val="00B0504C"/>
    <w:rsid w:val="00B053EF"/>
    <w:rsid w:val="00B054DF"/>
    <w:rsid w:val="00B0551E"/>
    <w:rsid w:val="00B055FA"/>
    <w:rsid w:val="00B0564F"/>
    <w:rsid w:val="00B059A9"/>
    <w:rsid w:val="00B06260"/>
    <w:rsid w:val="00B064EB"/>
    <w:rsid w:val="00B07069"/>
    <w:rsid w:val="00B073D5"/>
    <w:rsid w:val="00B128E2"/>
    <w:rsid w:val="00B12DCB"/>
    <w:rsid w:val="00B1303D"/>
    <w:rsid w:val="00B1379A"/>
    <w:rsid w:val="00B15CA2"/>
    <w:rsid w:val="00B16313"/>
    <w:rsid w:val="00B16C63"/>
    <w:rsid w:val="00B20E02"/>
    <w:rsid w:val="00B21A7B"/>
    <w:rsid w:val="00B21DE1"/>
    <w:rsid w:val="00B2294C"/>
    <w:rsid w:val="00B22951"/>
    <w:rsid w:val="00B22E33"/>
    <w:rsid w:val="00B2384B"/>
    <w:rsid w:val="00B248AC"/>
    <w:rsid w:val="00B26448"/>
    <w:rsid w:val="00B27A66"/>
    <w:rsid w:val="00B322DF"/>
    <w:rsid w:val="00B325D4"/>
    <w:rsid w:val="00B34375"/>
    <w:rsid w:val="00B3463E"/>
    <w:rsid w:val="00B352D1"/>
    <w:rsid w:val="00B35E4D"/>
    <w:rsid w:val="00B36727"/>
    <w:rsid w:val="00B36EF1"/>
    <w:rsid w:val="00B3700E"/>
    <w:rsid w:val="00B37096"/>
    <w:rsid w:val="00B370EF"/>
    <w:rsid w:val="00B37FCF"/>
    <w:rsid w:val="00B4085C"/>
    <w:rsid w:val="00B411A7"/>
    <w:rsid w:val="00B41977"/>
    <w:rsid w:val="00B42973"/>
    <w:rsid w:val="00B42C8A"/>
    <w:rsid w:val="00B430E7"/>
    <w:rsid w:val="00B43360"/>
    <w:rsid w:val="00B44032"/>
    <w:rsid w:val="00B44DEE"/>
    <w:rsid w:val="00B45190"/>
    <w:rsid w:val="00B45283"/>
    <w:rsid w:val="00B45981"/>
    <w:rsid w:val="00B465BD"/>
    <w:rsid w:val="00B47E88"/>
    <w:rsid w:val="00B5044B"/>
    <w:rsid w:val="00B52F38"/>
    <w:rsid w:val="00B55077"/>
    <w:rsid w:val="00B553C3"/>
    <w:rsid w:val="00B55824"/>
    <w:rsid w:val="00B5639A"/>
    <w:rsid w:val="00B56A7E"/>
    <w:rsid w:val="00B57DCF"/>
    <w:rsid w:val="00B57DDC"/>
    <w:rsid w:val="00B636B6"/>
    <w:rsid w:val="00B6426B"/>
    <w:rsid w:val="00B64865"/>
    <w:rsid w:val="00B65E77"/>
    <w:rsid w:val="00B674E1"/>
    <w:rsid w:val="00B67BE8"/>
    <w:rsid w:val="00B67DAF"/>
    <w:rsid w:val="00B67EF2"/>
    <w:rsid w:val="00B70FCC"/>
    <w:rsid w:val="00B7113B"/>
    <w:rsid w:val="00B71C8B"/>
    <w:rsid w:val="00B72629"/>
    <w:rsid w:val="00B726EB"/>
    <w:rsid w:val="00B736A3"/>
    <w:rsid w:val="00B7397A"/>
    <w:rsid w:val="00B73E12"/>
    <w:rsid w:val="00B748FC"/>
    <w:rsid w:val="00B74F98"/>
    <w:rsid w:val="00B75485"/>
    <w:rsid w:val="00B76609"/>
    <w:rsid w:val="00B76F56"/>
    <w:rsid w:val="00B771F2"/>
    <w:rsid w:val="00B772DC"/>
    <w:rsid w:val="00B77495"/>
    <w:rsid w:val="00B77584"/>
    <w:rsid w:val="00B809ED"/>
    <w:rsid w:val="00B80A14"/>
    <w:rsid w:val="00B80BDA"/>
    <w:rsid w:val="00B80D70"/>
    <w:rsid w:val="00B81433"/>
    <w:rsid w:val="00B81793"/>
    <w:rsid w:val="00B8196F"/>
    <w:rsid w:val="00B8225E"/>
    <w:rsid w:val="00B82710"/>
    <w:rsid w:val="00B82766"/>
    <w:rsid w:val="00B82D23"/>
    <w:rsid w:val="00B84E21"/>
    <w:rsid w:val="00B8669F"/>
    <w:rsid w:val="00B866CD"/>
    <w:rsid w:val="00B867FB"/>
    <w:rsid w:val="00B87008"/>
    <w:rsid w:val="00B876B5"/>
    <w:rsid w:val="00B876B6"/>
    <w:rsid w:val="00B877AC"/>
    <w:rsid w:val="00B877F7"/>
    <w:rsid w:val="00B91625"/>
    <w:rsid w:val="00B919E6"/>
    <w:rsid w:val="00B92CDA"/>
    <w:rsid w:val="00B93021"/>
    <w:rsid w:val="00B9445E"/>
    <w:rsid w:val="00B951C7"/>
    <w:rsid w:val="00B95204"/>
    <w:rsid w:val="00B9566F"/>
    <w:rsid w:val="00B966E8"/>
    <w:rsid w:val="00B970AD"/>
    <w:rsid w:val="00B97956"/>
    <w:rsid w:val="00BA0318"/>
    <w:rsid w:val="00BA09B9"/>
    <w:rsid w:val="00BA0B4C"/>
    <w:rsid w:val="00BA1B67"/>
    <w:rsid w:val="00BA250C"/>
    <w:rsid w:val="00BA2B07"/>
    <w:rsid w:val="00BA2F6C"/>
    <w:rsid w:val="00BA2F9E"/>
    <w:rsid w:val="00BA31CC"/>
    <w:rsid w:val="00BA3E15"/>
    <w:rsid w:val="00BA414E"/>
    <w:rsid w:val="00BA4DAC"/>
    <w:rsid w:val="00BA67A5"/>
    <w:rsid w:val="00BA76D7"/>
    <w:rsid w:val="00BA7EF2"/>
    <w:rsid w:val="00BB0619"/>
    <w:rsid w:val="00BB09F8"/>
    <w:rsid w:val="00BB0B91"/>
    <w:rsid w:val="00BB23E5"/>
    <w:rsid w:val="00BB2D18"/>
    <w:rsid w:val="00BB46DB"/>
    <w:rsid w:val="00BB4757"/>
    <w:rsid w:val="00BB4AE7"/>
    <w:rsid w:val="00BB4F39"/>
    <w:rsid w:val="00BB4FB7"/>
    <w:rsid w:val="00BB5179"/>
    <w:rsid w:val="00BB544F"/>
    <w:rsid w:val="00BB6CC4"/>
    <w:rsid w:val="00BB71FF"/>
    <w:rsid w:val="00BC10BF"/>
    <w:rsid w:val="00BC3AC1"/>
    <w:rsid w:val="00BC4DBC"/>
    <w:rsid w:val="00BC59BD"/>
    <w:rsid w:val="00BC5C7B"/>
    <w:rsid w:val="00BC7181"/>
    <w:rsid w:val="00BC7ECA"/>
    <w:rsid w:val="00BD05EF"/>
    <w:rsid w:val="00BD07B0"/>
    <w:rsid w:val="00BD0B3B"/>
    <w:rsid w:val="00BD0D9C"/>
    <w:rsid w:val="00BD0FC2"/>
    <w:rsid w:val="00BD35EB"/>
    <w:rsid w:val="00BD3F02"/>
    <w:rsid w:val="00BD4638"/>
    <w:rsid w:val="00BD486A"/>
    <w:rsid w:val="00BD4DE7"/>
    <w:rsid w:val="00BD504C"/>
    <w:rsid w:val="00BD5692"/>
    <w:rsid w:val="00BD5A9C"/>
    <w:rsid w:val="00BD5FCD"/>
    <w:rsid w:val="00BD772E"/>
    <w:rsid w:val="00BE0AF5"/>
    <w:rsid w:val="00BE1950"/>
    <w:rsid w:val="00BE2601"/>
    <w:rsid w:val="00BE304E"/>
    <w:rsid w:val="00BE36CD"/>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30DC"/>
    <w:rsid w:val="00BF30E8"/>
    <w:rsid w:val="00BF49E1"/>
    <w:rsid w:val="00BF4A7B"/>
    <w:rsid w:val="00BF4B10"/>
    <w:rsid w:val="00BF515F"/>
    <w:rsid w:val="00BF5A0B"/>
    <w:rsid w:val="00BF5C04"/>
    <w:rsid w:val="00BF7176"/>
    <w:rsid w:val="00BF74E5"/>
    <w:rsid w:val="00BF751D"/>
    <w:rsid w:val="00BF7BF3"/>
    <w:rsid w:val="00C00C23"/>
    <w:rsid w:val="00C02B30"/>
    <w:rsid w:val="00C032E3"/>
    <w:rsid w:val="00C04C75"/>
    <w:rsid w:val="00C04F9E"/>
    <w:rsid w:val="00C0540D"/>
    <w:rsid w:val="00C06468"/>
    <w:rsid w:val="00C067BD"/>
    <w:rsid w:val="00C076ED"/>
    <w:rsid w:val="00C10758"/>
    <w:rsid w:val="00C107FA"/>
    <w:rsid w:val="00C109B2"/>
    <w:rsid w:val="00C11963"/>
    <w:rsid w:val="00C1263B"/>
    <w:rsid w:val="00C133AD"/>
    <w:rsid w:val="00C13671"/>
    <w:rsid w:val="00C136E3"/>
    <w:rsid w:val="00C139D5"/>
    <w:rsid w:val="00C13C02"/>
    <w:rsid w:val="00C13C48"/>
    <w:rsid w:val="00C1553E"/>
    <w:rsid w:val="00C16291"/>
    <w:rsid w:val="00C171B2"/>
    <w:rsid w:val="00C1765E"/>
    <w:rsid w:val="00C177F5"/>
    <w:rsid w:val="00C20625"/>
    <w:rsid w:val="00C20931"/>
    <w:rsid w:val="00C2097C"/>
    <w:rsid w:val="00C21A8A"/>
    <w:rsid w:val="00C21BAF"/>
    <w:rsid w:val="00C22852"/>
    <w:rsid w:val="00C22B1A"/>
    <w:rsid w:val="00C22E02"/>
    <w:rsid w:val="00C23DEB"/>
    <w:rsid w:val="00C24137"/>
    <w:rsid w:val="00C244B1"/>
    <w:rsid w:val="00C244C8"/>
    <w:rsid w:val="00C25CCC"/>
    <w:rsid w:val="00C25F98"/>
    <w:rsid w:val="00C260B4"/>
    <w:rsid w:val="00C26677"/>
    <w:rsid w:val="00C2682D"/>
    <w:rsid w:val="00C306ED"/>
    <w:rsid w:val="00C309F3"/>
    <w:rsid w:val="00C31011"/>
    <w:rsid w:val="00C33DD7"/>
    <w:rsid w:val="00C33FEA"/>
    <w:rsid w:val="00C3459A"/>
    <w:rsid w:val="00C3588D"/>
    <w:rsid w:val="00C36293"/>
    <w:rsid w:val="00C372DC"/>
    <w:rsid w:val="00C37CB0"/>
    <w:rsid w:val="00C414B5"/>
    <w:rsid w:val="00C423FE"/>
    <w:rsid w:val="00C43FD1"/>
    <w:rsid w:val="00C44CB8"/>
    <w:rsid w:val="00C450B8"/>
    <w:rsid w:val="00C455EB"/>
    <w:rsid w:val="00C46539"/>
    <w:rsid w:val="00C46685"/>
    <w:rsid w:val="00C46D9E"/>
    <w:rsid w:val="00C507DD"/>
    <w:rsid w:val="00C50C84"/>
    <w:rsid w:val="00C51BC3"/>
    <w:rsid w:val="00C5200A"/>
    <w:rsid w:val="00C52B09"/>
    <w:rsid w:val="00C52BA4"/>
    <w:rsid w:val="00C53244"/>
    <w:rsid w:val="00C53A0A"/>
    <w:rsid w:val="00C5476B"/>
    <w:rsid w:val="00C54819"/>
    <w:rsid w:val="00C548E5"/>
    <w:rsid w:val="00C54F96"/>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67EAB"/>
    <w:rsid w:val="00C708AB"/>
    <w:rsid w:val="00C70E50"/>
    <w:rsid w:val="00C729E5"/>
    <w:rsid w:val="00C73A63"/>
    <w:rsid w:val="00C73C4C"/>
    <w:rsid w:val="00C7451C"/>
    <w:rsid w:val="00C75204"/>
    <w:rsid w:val="00C764FB"/>
    <w:rsid w:val="00C765DA"/>
    <w:rsid w:val="00C80AF3"/>
    <w:rsid w:val="00C8105A"/>
    <w:rsid w:val="00C82979"/>
    <w:rsid w:val="00C82DAF"/>
    <w:rsid w:val="00C83EB0"/>
    <w:rsid w:val="00C8431F"/>
    <w:rsid w:val="00C84995"/>
    <w:rsid w:val="00C84EF4"/>
    <w:rsid w:val="00C8570D"/>
    <w:rsid w:val="00C86F83"/>
    <w:rsid w:val="00C8718C"/>
    <w:rsid w:val="00C87C3C"/>
    <w:rsid w:val="00C90067"/>
    <w:rsid w:val="00C9016A"/>
    <w:rsid w:val="00C90BEB"/>
    <w:rsid w:val="00C90C07"/>
    <w:rsid w:val="00C90CBC"/>
    <w:rsid w:val="00C90DEF"/>
    <w:rsid w:val="00C91529"/>
    <w:rsid w:val="00C920FE"/>
    <w:rsid w:val="00C92A46"/>
    <w:rsid w:val="00C92FC0"/>
    <w:rsid w:val="00C93A05"/>
    <w:rsid w:val="00C93E00"/>
    <w:rsid w:val="00C94836"/>
    <w:rsid w:val="00C95350"/>
    <w:rsid w:val="00C9543D"/>
    <w:rsid w:val="00C957B2"/>
    <w:rsid w:val="00C9609D"/>
    <w:rsid w:val="00C9611C"/>
    <w:rsid w:val="00C9637C"/>
    <w:rsid w:val="00C96692"/>
    <w:rsid w:val="00C976AA"/>
    <w:rsid w:val="00C97BE9"/>
    <w:rsid w:val="00C97BED"/>
    <w:rsid w:val="00CA0011"/>
    <w:rsid w:val="00CA0686"/>
    <w:rsid w:val="00CA2A0D"/>
    <w:rsid w:val="00CA3FE2"/>
    <w:rsid w:val="00CA4C6D"/>
    <w:rsid w:val="00CA5EED"/>
    <w:rsid w:val="00CA6660"/>
    <w:rsid w:val="00CA6EBA"/>
    <w:rsid w:val="00CA7454"/>
    <w:rsid w:val="00CA77CA"/>
    <w:rsid w:val="00CB012A"/>
    <w:rsid w:val="00CB0669"/>
    <w:rsid w:val="00CB0978"/>
    <w:rsid w:val="00CB1BE7"/>
    <w:rsid w:val="00CB1DBD"/>
    <w:rsid w:val="00CB2742"/>
    <w:rsid w:val="00CB3DB8"/>
    <w:rsid w:val="00CB44D3"/>
    <w:rsid w:val="00CB5DB2"/>
    <w:rsid w:val="00CB61FE"/>
    <w:rsid w:val="00CB6411"/>
    <w:rsid w:val="00CB656D"/>
    <w:rsid w:val="00CB6E24"/>
    <w:rsid w:val="00CB7433"/>
    <w:rsid w:val="00CB7459"/>
    <w:rsid w:val="00CB78EE"/>
    <w:rsid w:val="00CB7A3D"/>
    <w:rsid w:val="00CB7D02"/>
    <w:rsid w:val="00CC0C35"/>
    <w:rsid w:val="00CC0F22"/>
    <w:rsid w:val="00CC1820"/>
    <w:rsid w:val="00CC2431"/>
    <w:rsid w:val="00CC26A9"/>
    <w:rsid w:val="00CC2A35"/>
    <w:rsid w:val="00CC2AFA"/>
    <w:rsid w:val="00CC2C4E"/>
    <w:rsid w:val="00CC3602"/>
    <w:rsid w:val="00CC3F1F"/>
    <w:rsid w:val="00CC3F34"/>
    <w:rsid w:val="00CC426E"/>
    <w:rsid w:val="00CC46B9"/>
    <w:rsid w:val="00CC5DA3"/>
    <w:rsid w:val="00CC6206"/>
    <w:rsid w:val="00CC6B9F"/>
    <w:rsid w:val="00CC6BE9"/>
    <w:rsid w:val="00CC7753"/>
    <w:rsid w:val="00CD1201"/>
    <w:rsid w:val="00CD16D1"/>
    <w:rsid w:val="00CD183A"/>
    <w:rsid w:val="00CD19E2"/>
    <w:rsid w:val="00CD1E5A"/>
    <w:rsid w:val="00CD23CE"/>
    <w:rsid w:val="00CD3215"/>
    <w:rsid w:val="00CD3561"/>
    <w:rsid w:val="00CD3FF3"/>
    <w:rsid w:val="00CD41D8"/>
    <w:rsid w:val="00CD49D1"/>
    <w:rsid w:val="00CD4FE0"/>
    <w:rsid w:val="00CD5ACE"/>
    <w:rsid w:val="00CD6316"/>
    <w:rsid w:val="00CD63A1"/>
    <w:rsid w:val="00CD6A81"/>
    <w:rsid w:val="00CD75E6"/>
    <w:rsid w:val="00CD77B5"/>
    <w:rsid w:val="00CD7EAF"/>
    <w:rsid w:val="00CE2152"/>
    <w:rsid w:val="00CE2189"/>
    <w:rsid w:val="00CE2315"/>
    <w:rsid w:val="00CE24FC"/>
    <w:rsid w:val="00CE2ADF"/>
    <w:rsid w:val="00CE2C57"/>
    <w:rsid w:val="00CE33A0"/>
    <w:rsid w:val="00CE3484"/>
    <w:rsid w:val="00CE42D0"/>
    <w:rsid w:val="00CE6A0A"/>
    <w:rsid w:val="00CE6CF1"/>
    <w:rsid w:val="00CF0256"/>
    <w:rsid w:val="00CF0594"/>
    <w:rsid w:val="00CF1C61"/>
    <w:rsid w:val="00CF1E73"/>
    <w:rsid w:val="00CF269F"/>
    <w:rsid w:val="00CF2735"/>
    <w:rsid w:val="00CF28B5"/>
    <w:rsid w:val="00CF3309"/>
    <w:rsid w:val="00CF3784"/>
    <w:rsid w:val="00CF5041"/>
    <w:rsid w:val="00CF6892"/>
    <w:rsid w:val="00CF6B92"/>
    <w:rsid w:val="00CF6D08"/>
    <w:rsid w:val="00CF7667"/>
    <w:rsid w:val="00D00B45"/>
    <w:rsid w:val="00D01726"/>
    <w:rsid w:val="00D02C8B"/>
    <w:rsid w:val="00D02E65"/>
    <w:rsid w:val="00D0355B"/>
    <w:rsid w:val="00D04279"/>
    <w:rsid w:val="00D042E4"/>
    <w:rsid w:val="00D04693"/>
    <w:rsid w:val="00D046F9"/>
    <w:rsid w:val="00D04B59"/>
    <w:rsid w:val="00D0515E"/>
    <w:rsid w:val="00D05419"/>
    <w:rsid w:val="00D05889"/>
    <w:rsid w:val="00D05B41"/>
    <w:rsid w:val="00D071CA"/>
    <w:rsid w:val="00D07F30"/>
    <w:rsid w:val="00D10F9C"/>
    <w:rsid w:val="00D11495"/>
    <w:rsid w:val="00D1170B"/>
    <w:rsid w:val="00D118FD"/>
    <w:rsid w:val="00D13089"/>
    <w:rsid w:val="00D142B7"/>
    <w:rsid w:val="00D14393"/>
    <w:rsid w:val="00D14E23"/>
    <w:rsid w:val="00D15497"/>
    <w:rsid w:val="00D154BF"/>
    <w:rsid w:val="00D15A96"/>
    <w:rsid w:val="00D15B43"/>
    <w:rsid w:val="00D15F66"/>
    <w:rsid w:val="00D16449"/>
    <w:rsid w:val="00D16590"/>
    <w:rsid w:val="00D2155A"/>
    <w:rsid w:val="00D22043"/>
    <w:rsid w:val="00D221F8"/>
    <w:rsid w:val="00D23C32"/>
    <w:rsid w:val="00D23D35"/>
    <w:rsid w:val="00D2435A"/>
    <w:rsid w:val="00D24A5E"/>
    <w:rsid w:val="00D24C6A"/>
    <w:rsid w:val="00D2594A"/>
    <w:rsid w:val="00D27021"/>
    <w:rsid w:val="00D273F2"/>
    <w:rsid w:val="00D30B76"/>
    <w:rsid w:val="00D31076"/>
    <w:rsid w:val="00D31412"/>
    <w:rsid w:val="00D31414"/>
    <w:rsid w:val="00D3199E"/>
    <w:rsid w:val="00D32A2D"/>
    <w:rsid w:val="00D33790"/>
    <w:rsid w:val="00D33CFE"/>
    <w:rsid w:val="00D340D9"/>
    <w:rsid w:val="00D3601A"/>
    <w:rsid w:val="00D3608D"/>
    <w:rsid w:val="00D36C25"/>
    <w:rsid w:val="00D3771F"/>
    <w:rsid w:val="00D379EF"/>
    <w:rsid w:val="00D37FAB"/>
    <w:rsid w:val="00D40234"/>
    <w:rsid w:val="00D40709"/>
    <w:rsid w:val="00D41FCE"/>
    <w:rsid w:val="00D422C4"/>
    <w:rsid w:val="00D42640"/>
    <w:rsid w:val="00D4283C"/>
    <w:rsid w:val="00D45D1A"/>
    <w:rsid w:val="00D46FC3"/>
    <w:rsid w:val="00D47749"/>
    <w:rsid w:val="00D47AFA"/>
    <w:rsid w:val="00D504CB"/>
    <w:rsid w:val="00D51887"/>
    <w:rsid w:val="00D5262B"/>
    <w:rsid w:val="00D53368"/>
    <w:rsid w:val="00D535B9"/>
    <w:rsid w:val="00D53D55"/>
    <w:rsid w:val="00D551BB"/>
    <w:rsid w:val="00D55B36"/>
    <w:rsid w:val="00D566F5"/>
    <w:rsid w:val="00D611E2"/>
    <w:rsid w:val="00D6121A"/>
    <w:rsid w:val="00D635EB"/>
    <w:rsid w:val="00D6489B"/>
    <w:rsid w:val="00D65582"/>
    <w:rsid w:val="00D65737"/>
    <w:rsid w:val="00D658C0"/>
    <w:rsid w:val="00D65CE3"/>
    <w:rsid w:val="00D65EC3"/>
    <w:rsid w:val="00D66349"/>
    <w:rsid w:val="00D66466"/>
    <w:rsid w:val="00D67922"/>
    <w:rsid w:val="00D7177C"/>
    <w:rsid w:val="00D717A8"/>
    <w:rsid w:val="00D71ABD"/>
    <w:rsid w:val="00D71D79"/>
    <w:rsid w:val="00D734A7"/>
    <w:rsid w:val="00D75552"/>
    <w:rsid w:val="00D75FAC"/>
    <w:rsid w:val="00D76DF0"/>
    <w:rsid w:val="00D76F31"/>
    <w:rsid w:val="00D77782"/>
    <w:rsid w:val="00D802B6"/>
    <w:rsid w:val="00D80D2D"/>
    <w:rsid w:val="00D81C4E"/>
    <w:rsid w:val="00D82888"/>
    <w:rsid w:val="00D82EC0"/>
    <w:rsid w:val="00D8338C"/>
    <w:rsid w:val="00D83BC9"/>
    <w:rsid w:val="00D83CA2"/>
    <w:rsid w:val="00D84459"/>
    <w:rsid w:val="00D84C0F"/>
    <w:rsid w:val="00D855D9"/>
    <w:rsid w:val="00D8603E"/>
    <w:rsid w:val="00D90F8C"/>
    <w:rsid w:val="00D910C9"/>
    <w:rsid w:val="00D92DEB"/>
    <w:rsid w:val="00D92E04"/>
    <w:rsid w:val="00D956FB"/>
    <w:rsid w:val="00D96050"/>
    <w:rsid w:val="00D963A1"/>
    <w:rsid w:val="00D965DD"/>
    <w:rsid w:val="00D968FC"/>
    <w:rsid w:val="00D97234"/>
    <w:rsid w:val="00D97B43"/>
    <w:rsid w:val="00DA01B3"/>
    <w:rsid w:val="00DA0E28"/>
    <w:rsid w:val="00DA16B2"/>
    <w:rsid w:val="00DA1A0A"/>
    <w:rsid w:val="00DA1E29"/>
    <w:rsid w:val="00DA2F32"/>
    <w:rsid w:val="00DA325E"/>
    <w:rsid w:val="00DA3DAC"/>
    <w:rsid w:val="00DA57FC"/>
    <w:rsid w:val="00DA59CC"/>
    <w:rsid w:val="00DA5F54"/>
    <w:rsid w:val="00DA60EC"/>
    <w:rsid w:val="00DA7EA2"/>
    <w:rsid w:val="00DB0999"/>
    <w:rsid w:val="00DB0FA2"/>
    <w:rsid w:val="00DB1D80"/>
    <w:rsid w:val="00DB1E03"/>
    <w:rsid w:val="00DB1F56"/>
    <w:rsid w:val="00DB2204"/>
    <w:rsid w:val="00DB22EE"/>
    <w:rsid w:val="00DB272A"/>
    <w:rsid w:val="00DB3DE9"/>
    <w:rsid w:val="00DB3F2E"/>
    <w:rsid w:val="00DB429A"/>
    <w:rsid w:val="00DB5713"/>
    <w:rsid w:val="00DC0905"/>
    <w:rsid w:val="00DC10B8"/>
    <w:rsid w:val="00DC2BAE"/>
    <w:rsid w:val="00DC2E5F"/>
    <w:rsid w:val="00DC3323"/>
    <w:rsid w:val="00DC34F0"/>
    <w:rsid w:val="00DC516A"/>
    <w:rsid w:val="00DC5A19"/>
    <w:rsid w:val="00DC7C4C"/>
    <w:rsid w:val="00DD04EC"/>
    <w:rsid w:val="00DD0508"/>
    <w:rsid w:val="00DD099C"/>
    <w:rsid w:val="00DD0B15"/>
    <w:rsid w:val="00DD1444"/>
    <w:rsid w:val="00DD2240"/>
    <w:rsid w:val="00DD31ED"/>
    <w:rsid w:val="00DD3AAC"/>
    <w:rsid w:val="00DD446A"/>
    <w:rsid w:val="00DD45C1"/>
    <w:rsid w:val="00DD4734"/>
    <w:rsid w:val="00DD48A7"/>
    <w:rsid w:val="00DD4C5F"/>
    <w:rsid w:val="00DD6F66"/>
    <w:rsid w:val="00DE01A9"/>
    <w:rsid w:val="00DE0279"/>
    <w:rsid w:val="00DE2175"/>
    <w:rsid w:val="00DE44C7"/>
    <w:rsid w:val="00DE4720"/>
    <w:rsid w:val="00DE4E18"/>
    <w:rsid w:val="00DE5090"/>
    <w:rsid w:val="00DE57B7"/>
    <w:rsid w:val="00DE5A6D"/>
    <w:rsid w:val="00DE628B"/>
    <w:rsid w:val="00DE6322"/>
    <w:rsid w:val="00DE6D58"/>
    <w:rsid w:val="00DE7250"/>
    <w:rsid w:val="00DE7FBB"/>
    <w:rsid w:val="00DF013D"/>
    <w:rsid w:val="00DF0356"/>
    <w:rsid w:val="00DF0EDB"/>
    <w:rsid w:val="00DF1093"/>
    <w:rsid w:val="00DF1252"/>
    <w:rsid w:val="00DF2A11"/>
    <w:rsid w:val="00DF3540"/>
    <w:rsid w:val="00DF3A1D"/>
    <w:rsid w:val="00DF580A"/>
    <w:rsid w:val="00DF59BE"/>
    <w:rsid w:val="00DF5E16"/>
    <w:rsid w:val="00DF5E88"/>
    <w:rsid w:val="00DF63B6"/>
    <w:rsid w:val="00DF6733"/>
    <w:rsid w:val="00DF765E"/>
    <w:rsid w:val="00E00466"/>
    <w:rsid w:val="00E00770"/>
    <w:rsid w:val="00E00DB6"/>
    <w:rsid w:val="00E03677"/>
    <w:rsid w:val="00E03A2F"/>
    <w:rsid w:val="00E03F2E"/>
    <w:rsid w:val="00E0470C"/>
    <w:rsid w:val="00E04C10"/>
    <w:rsid w:val="00E0621C"/>
    <w:rsid w:val="00E07AA6"/>
    <w:rsid w:val="00E10B82"/>
    <w:rsid w:val="00E11B56"/>
    <w:rsid w:val="00E123CE"/>
    <w:rsid w:val="00E1341D"/>
    <w:rsid w:val="00E13C75"/>
    <w:rsid w:val="00E13DAE"/>
    <w:rsid w:val="00E14C9F"/>
    <w:rsid w:val="00E15940"/>
    <w:rsid w:val="00E15D46"/>
    <w:rsid w:val="00E17246"/>
    <w:rsid w:val="00E17BC0"/>
    <w:rsid w:val="00E20112"/>
    <w:rsid w:val="00E2030D"/>
    <w:rsid w:val="00E20C4D"/>
    <w:rsid w:val="00E20FEE"/>
    <w:rsid w:val="00E21692"/>
    <w:rsid w:val="00E22450"/>
    <w:rsid w:val="00E226F1"/>
    <w:rsid w:val="00E23493"/>
    <w:rsid w:val="00E2356B"/>
    <w:rsid w:val="00E23843"/>
    <w:rsid w:val="00E239FF"/>
    <w:rsid w:val="00E23B66"/>
    <w:rsid w:val="00E23B69"/>
    <w:rsid w:val="00E243DC"/>
    <w:rsid w:val="00E24A75"/>
    <w:rsid w:val="00E24C21"/>
    <w:rsid w:val="00E24FAE"/>
    <w:rsid w:val="00E25241"/>
    <w:rsid w:val="00E25DE4"/>
    <w:rsid w:val="00E265A3"/>
    <w:rsid w:val="00E27A96"/>
    <w:rsid w:val="00E27B48"/>
    <w:rsid w:val="00E30B03"/>
    <w:rsid w:val="00E3102E"/>
    <w:rsid w:val="00E311BA"/>
    <w:rsid w:val="00E312C1"/>
    <w:rsid w:val="00E315D4"/>
    <w:rsid w:val="00E31DC1"/>
    <w:rsid w:val="00E322C5"/>
    <w:rsid w:val="00E33381"/>
    <w:rsid w:val="00E33A82"/>
    <w:rsid w:val="00E33EBC"/>
    <w:rsid w:val="00E33ECD"/>
    <w:rsid w:val="00E34760"/>
    <w:rsid w:val="00E34A30"/>
    <w:rsid w:val="00E34B39"/>
    <w:rsid w:val="00E358E9"/>
    <w:rsid w:val="00E3727D"/>
    <w:rsid w:val="00E40213"/>
    <w:rsid w:val="00E413CD"/>
    <w:rsid w:val="00E4185B"/>
    <w:rsid w:val="00E41934"/>
    <w:rsid w:val="00E41AC6"/>
    <w:rsid w:val="00E423AA"/>
    <w:rsid w:val="00E42755"/>
    <w:rsid w:val="00E428D0"/>
    <w:rsid w:val="00E43424"/>
    <w:rsid w:val="00E43CF8"/>
    <w:rsid w:val="00E43EED"/>
    <w:rsid w:val="00E442AA"/>
    <w:rsid w:val="00E45BBE"/>
    <w:rsid w:val="00E46472"/>
    <w:rsid w:val="00E466A2"/>
    <w:rsid w:val="00E47853"/>
    <w:rsid w:val="00E47EA0"/>
    <w:rsid w:val="00E50D38"/>
    <w:rsid w:val="00E516A1"/>
    <w:rsid w:val="00E51AB2"/>
    <w:rsid w:val="00E53724"/>
    <w:rsid w:val="00E53C8F"/>
    <w:rsid w:val="00E5438D"/>
    <w:rsid w:val="00E56110"/>
    <w:rsid w:val="00E56285"/>
    <w:rsid w:val="00E568B5"/>
    <w:rsid w:val="00E56D1B"/>
    <w:rsid w:val="00E5779D"/>
    <w:rsid w:val="00E6010F"/>
    <w:rsid w:val="00E60795"/>
    <w:rsid w:val="00E60A51"/>
    <w:rsid w:val="00E61E1A"/>
    <w:rsid w:val="00E621A3"/>
    <w:rsid w:val="00E6377B"/>
    <w:rsid w:val="00E64FBC"/>
    <w:rsid w:val="00E654C0"/>
    <w:rsid w:val="00E66087"/>
    <w:rsid w:val="00E67269"/>
    <w:rsid w:val="00E67F75"/>
    <w:rsid w:val="00E7010D"/>
    <w:rsid w:val="00E7041A"/>
    <w:rsid w:val="00E70691"/>
    <w:rsid w:val="00E7078C"/>
    <w:rsid w:val="00E70A78"/>
    <w:rsid w:val="00E718AC"/>
    <w:rsid w:val="00E71EE2"/>
    <w:rsid w:val="00E72992"/>
    <w:rsid w:val="00E72EF2"/>
    <w:rsid w:val="00E73428"/>
    <w:rsid w:val="00E735AC"/>
    <w:rsid w:val="00E7460D"/>
    <w:rsid w:val="00E74A06"/>
    <w:rsid w:val="00E74ACA"/>
    <w:rsid w:val="00E7619B"/>
    <w:rsid w:val="00E765D0"/>
    <w:rsid w:val="00E7674A"/>
    <w:rsid w:val="00E77AA8"/>
    <w:rsid w:val="00E8065F"/>
    <w:rsid w:val="00E81A9C"/>
    <w:rsid w:val="00E82420"/>
    <w:rsid w:val="00E82DFA"/>
    <w:rsid w:val="00E8302D"/>
    <w:rsid w:val="00E83620"/>
    <w:rsid w:val="00E83ED5"/>
    <w:rsid w:val="00E843FD"/>
    <w:rsid w:val="00E84ACE"/>
    <w:rsid w:val="00E85277"/>
    <w:rsid w:val="00E86632"/>
    <w:rsid w:val="00E8691A"/>
    <w:rsid w:val="00E86AD9"/>
    <w:rsid w:val="00E87D9E"/>
    <w:rsid w:val="00E901D5"/>
    <w:rsid w:val="00E918D1"/>
    <w:rsid w:val="00E921AB"/>
    <w:rsid w:val="00E92447"/>
    <w:rsid w:val="00E9395F"/>
    <w:rsid w:val="00E93F0B"/>
    <w:rsid w:val="00E94E84"/>
    <w:rsid w:val="00E9502F"/>
    <w:rsid w:val="00E95439"/>
    <w:rsid w:val="00E96582"/>
    <w:rsid w:val="00EA0374"/>
    <w:rsid w:val="00EA10C3"/>
    <w:rsid w:val="00EA1A62"/>
    <w:rsid w:val="00EA1F33"/>
    <w:rsid w:val="00EA2470"/>
    <w:rsid w:val="00EA3AF3"/>
    <w:rsid w:val="00EA3CE8"/>
    <w:rsid w:val="00EA4118"/>
    <w:rsid w:val="00EA479E"/>
    <w:rsid w:val="00EA71C2"/>
    <w:rsid w:val="00EA7517"/>
    <w:rsid w:val="00EB0137"/>
    <w:rsid w:val="00EB0841"/>
    <w:rsid w:val="00EB130D"/>
    <w:rsid w:val="00EB15F3"/>
    <w:rsid w:val="00EB1FDF"/>
    <w:rsid w:val="00EB2DEC"/>
    <w:rsid w:val="00EB37A7"/>
    <w:rsid w:val="00EB3900"/>
    <w:rsid w:val="00EB4C37"/>
    <w:rsid w:val="00EB4D22"/>
    <w:rsid w:val="00EB5A67"/>
    <w:rsid w:val="00EB6B22"/>
    <w:rsid w:val="00EB744A"/>
    <w:rsid w:val="00EB78E0"/>
    <w:rsid w:val="00EB7D34"/>
    <w:rsid w:val="00EC17C9"/>
    <w:rsid w:val="00EC1EC0"/>
    <w:rsid w:val="00EC1F35"/>
    <w:rsid w:val="00EC2D2E"/>
    <w:rsid w:val="00EC3F68"/>
    <w:rsid w:val="00EC447E"/>
    <w:rsid w:val="00EC52CA"/>
    <w:rsid w:val="00EC5CDC"/>
    <w:rsid w:val="00EC5E09"/>
    <w:rsid w:val="00ED0181"/>
    <w:rsid w:val="00ED099E"/>
    <w:rsid w:val="00ED0A7C"/>
    <w:rsid w:val="00ED2F51"/>
    <w:rsid w:val="00ED3825"/>
    <w:rsid w:val="00ED3B38"/>
    <w:rsid w:val="00ED4537"/>
    <w:rsid w:val="00ED528B"/>
    <w:rsid w:val="00ED5292"/>
    <w:rsid w:val="00ED5322"/>
    <w:rsid w:val="00ED5679"/>
    <w:rsid w:val="00ED5F98"/>
    <w:rsid w:val="00ED60D6"/>
    <w:rsid w:val="00ED62BD"/>
    <w:rsid w:val="00ED7C85"/>
    <w:rsid w:val="00EE12B0"/>
    <w:rsid w:val="00EE2057"/>
    <w:rsid w:val="00EE2804"/>
    <w:rsid w:val="00EE2D3F"/>
    <w:rsid w:val="00EE2EEA"/>
    <w:rsid w:val="00EE37C0"/>
    <w:rsid w:val="00EE3835"/>
    <w:rsid w:val="00EE3958"/>
    <w:rsid w:val="00EE40DF"/>
    <w:rsid w:val="00EE4676"/>
    <w:rsid w:val="00EE51BC"/>
    <w:rsid w:val="00EE51DF"/>
    <w:rsid w:val="00EE57FA"/>
    <w:rsid w:val="00EE61D5"/>
    <w:rsid w:val="00EE6366"/>
    <w:rsid w:val="00EE6CA8"/>
    <w:rsid w:val="00EE7251"/>
    <w:rsid w:val="00EE790C"/>
    <w:rsid w:val="00EF0042"/>
    <w:rsid w:val="00EF04CD"/>
    <w:rsid w:val="00EF0A71"/>
    <w:rsid w:val="00EF1570"/>
    <w:rsid w:val="00EF25C2"/>
    <w:rsid w:val="00EF26F8"/>
    <w:rsid w:val="00EF2A6B"/>
    <w:rsid w:val="00EF34AA"/>
    <w:rsid w:val="00EF3FB5"/>
    <w:rsid w:val="00EF54C3"/>
    <w:rsid w:val="00EF5A20"/>
    <w:rsid w:val="00EF5FD9"/>
    <w:rsid w:val="00EF656E"/>
    <w:rsid w:val="00EF6B4D"/>
    <w:rsid w:val="00EF709E"/>
    <w:rsid w:val="00EF797C"/>
    <w:rsid w:val="00F00549"/>
    <w:rsid w:val="00F007C7"/>
    <w:rsid w:val="00F013AE"/>
    <w:rsid w:val="00F01FAA"/>
    <w:rsid w:val="00F021E3"/>
    <w:rsid w:val="00F0245B"/>
    <w:rsid w:val="00F03026"/>
    <w:rsid w:val="00F04591"/>
    <w:rsid w:val="00F04D95"/>
    <w:rsid w:val="00F053DA"/>
    <w:rsid w:val="00F056A1"/>
    <w:rsid w:val="00F05AB1"/>
    <w:rsid w:val="00F060A7"/>
    <w:rsid w:val="00F06388"/>
    <w:rsid w:val="00F0674A"/>
    <w:rsid w:val="00F067C2"/>
    <w:rsid w:val="00F0680F"/>
    <w:rsid w:val="00F075A2"/>
    <w:rsid w:val="00F10872"/>
    <w:rsid w:val="00F11162"/>
    <w:rsid w:val="00F11244"/>
    <w:rsid w:val="00F11E2C"/>
    <w:rsid w:val="00F12245"/>
    <w:rsid w:val="00F127FB"/>
    <w:rsid w:val="00F129D2"/>
    <w:rsid w:val="00F129E8"/>
    <w:rsid w:val="00F12A2F"/>
    <w:rsid w:val="00F12EF3"/>
    <w:rsid w:val="00F13B2B"/>
    <w:rsid w:val="00F1448B"/>
    <w:rsid w:val="00F14759"/>
    <w:rsid w:val="00F1590C"/>
    <w:rsid w:val="00F15FF9"/>
    <w:rsid w:val="00F165E3"/>
    <w:rsid w:val="00F16EF5"/>
    <w:rsid w:val="00F17C25"/>
    <w:rsid w:val="00F17D61"/>
    <w:rsid w:val="00F17EEC"/>
    <w:rsid w:val="00F212AD"/>
    <w:rsid w:val="00F21712"/>
    <w:rsid w:val="00F2184C"/>
    <w:rsid w:val="00F21F15"/>
    <w:rsid w:val="00F2389D"/>
    <w:rsid w:val="00F23BE7"/>
    <w:rsid w:val="00F23F5C"/>
    <w:rsid w:val="00F259B1"/>
    <w:rsid w:val="00F274E4"/>
    <w:rsid w:val="00F30453"/>
    <w:rsid w:val="00F318CF"/>
    <w:rsid w:val="00F31D01"/>
    <w:rsid w:val="00F3212D"/>
    <w:rsid w:val="00F32C3F"/>
    <w:rsid w:val="00F32D89"/>
    <w:rsid w:val="00F32EE9"/>
    <w:rsid w:val="00F33DDC"/>
    <w:rsid w:val="00F34FEF"/>
    <w:rsid w:val="00F3561D"/>
    <w:rsid w:val="00F356CC"/>
    <w:rsid w:val="00F36763"/>
    <w:rsid w:val="00F36D68"/>
    <w:rsid w:val="00F370F5"/>
    <w:rsid w:val="00F37A2E"/>
    <w:rsid w:val="00F400C8"/>
    <w:rsid w:val="00F405F5"/>
    <w:rsid w:val="00F40F49"/>
    <w:rsid w:val="00F4154F"/>
    <w:rsid w:val="00F41935"/>
    <w:rsid w:val="00F4315F"/>
    <w:rsid w:val="00F43227"/>
    <w:rsid w:val="00F45029"/>
    <w:rsid w:val="00F46411"/>
    <w:rsid w:val="00F46D01"/>
    <w:rsid w:val="00F46EC7"/>
    <w:rsid w:val="00F4770C"/>
    <w:rsid w:val="00F47BB4"/>
    <w:rsid w:val="00F47E16"/>
    <w:rsid w:val="00F51877"/>
    <w:rsid w:val="00F51D4A"/>
    <w:rsid w:val="00F51EBD"/>
    <w:rsid w:val="00F5211B"/>
    <w:rsid w:val="00F527DF"/>
    <w:rsid w:val="00F52851"/>
    <w:rsid w:val="00F541B7"/>
    <w:rsid w:val="00F54582"/>
    <w:rsid w:val="00F5686D"/>
    <w:rsid w:val="00F56F2E"/>
    <w:rsid w:val="00F577CB"/>
    <w:rsid w:val="00F57AD3"/>
    <w:rsid w:val="00F61699"/>
    <w:rsid w:val="00F61CD0"/>
    <w:rsid w:val="00F62810"/>
    <w:rsid w:val="00F63591"/>
    <w:rsid w:val="00F63EEB"/>
    <w:rsid w:val="00F64C0C"/>
    <w:rsid w:val="00F65362"/>
    <w:rsid w:val="00F666BE"/>
    <w:rsid w:val="00F66871"/>
    <w:rsid w:val="00F66A6C"/>
    <w:rsid w:val="00F66C02"/>
    <w:rsid w:val="00F6708C"/>
    <w:rsid w:val="00F67B7E"/>
    <w:rsid w:val="00F7049A"/>
    <w:rsid w:val="00F706BE"/>
    <w:rsid w:val="00F7097A"/>
    <w:rsid w:val="00F71409"/>
    <w:rsid w:val="00F71451"/>
    <w:rsid w:val="00F71526"/>
    <w:rsid w:val="00F72477"/>
    <w:rsid w:val="00F73403"/>
    <w:rsid w:val="00F75937"/>
    <w:rsid w:val="00F761F5"/>
    <w:rsid w:val="00F773B5"/>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6646"/>
    <w:rsid w:val="00F86FBB"/>
    <w:rsid w:val="00F87930"/>
    <w:rsid w:val="00F9038C"/>
    <w:rsid w:val="00F9087F"/>
    <w:rsid w:val="00F91184"/>
    <w:rsid w:val="00F9128D"/>
    <w:rsid w:val="00F916DB"/>
    <w:rsid w:val="00F91843"/>
    <w:rsid w:val="00F91B79"/>
    <w:rsid w:val="00F92B5B"/>
    <w:rsid w:val="00F92D84"/>
    <w:rsid w:val="00F9417B"/>
    <w:rsid w:val="00F942D1"/>
    <w:rsid w:val="00F94A47"/>
    <w:rsid w:val="00F94D75"/>
    <w:rsid w:val="00F953C6"/>
    <w:rsid w:val="00F9644C"/>
    <w:rsid w:val="00F96638"/>
    <w:rsid w:val="00FA02B5"/>
    <w:rsid w:val="00FA09D4"/>
    <w:rsid w:val="00FA1253"/>
    <w:rsid w:val="00FA174A"/>
    <w:rsid w:val="00FA181D"/>
    <w:rsid w:val="00FA18B1"/>
    <w:rsid w:val="00FA19E5"/>
    <w:rsid w:val="00FA2C7C"/>
    <w:rsid w:val="00FA2D8D"/>
    <w:rsid w:val="00FA4AD5"/>
    <w:rsid w:val="00FA5C30"/>
    <w:rsid w:val="00FA6485"/>
    <w:rsid w:val="00FA6A90"/>
    <w:rsid w:val="00FA7945"/>
    <w:rsid w:val="00FB01F3"/>
    <w:rsid w:val="00FB179C"/>
    <w:rsid w:val="00FB2640"/>
    <w:rsid w:val="00FB38F8"/>
    <w:rsid w:val="00FB3D8D"/>
    <w:rsid w:val="00FB5898"/>
    <w:rsid w:val="00FB5A2E"/>
    <w:rsid w:val="00FB5C28"/>
    <w:rsid w:val="00FB6954"/>
    <w:rsid w:val="00FB702A"/>
    <w:rsid w:val="00FB732E"/>
    <w:rsid w:val="00FB7412"/>
    <w:rsid w:val="00FB7F99"/>
    <w:rsid w:val="00FC0092"/>
    <w:rsid w:val="00FC0874"/>
    <w:rsid w:val="00FC0DC2"/>
    <w:rsid w:val="00FC3966"/>
    <w:rsid w:val="00FC3D1D"/>
    <w:rsid w:val="00FC3E5D"/>
    <w:rsid w:val="00FC49AB"/>
    <w:rsid w:val="00FC59D9"/>
    <w:rsid w:val="00FC6EE3"/>
    <w:rsid w:val="00FC7025"/>
    <w:rsid w:val="00FC7B08"/>
    <w:rsid w:val="00FD0A26"/>
    <w:rsid w:val="00FD2BCD"/>
    <w:rsid w:val="00FD37C1"/>
    <w:rsid w:val="00FD430F"/>
    <w:rsid w:val="00FD5CEE"/>
    <w:rsid w:val="00FD62A1"/>
    <w:rsid w:val="00FD640D"/>
    <w:rsid w:val="00FD6BC2"/>
    <w:rsid w:val="00FD6D61"/>
    <w:rsid w:val="00FE01F5"/>
    <w:rsid w:val="00FE051B"/>
    <w:rsid w:val="00FE1934"/>
    <w:rsid w:val="00FE2904"/>
    <w:rsid w:val="00FE2C11"/>
    <w:rsid w:val="00FE31FC"/>
    <w:rsid w:val="00FE4074"/>
    <w:rsid w:val="00FE4EAF"/>
    <w:rsid w:val="00FE5107"/>
    <w:rsid w:val="00FE5338"/>
    <w:rsid w:val="00FE5605"/>
    <w:rsid w:val="00FE5B92"/>
    <w:rsid w:val="00FE6072"/>
    <w:rsid w:val="00FE6711"/>
    <w:rsid w:val="00FE6D0F"/>
    <w:rsid w:val="00FE734A"/>
    <w:rsid w:val="00FE7C56"/>
    <w:rsid w:val="00FF0E6F"/>
    <w:rsid w:val="00FF13DE"/>
    <w:rsid w:val="00FF1437"/>
    <w:rsid w:val="00FF16AB"/>
    <w:rsid w:val="00FF1749"/>
    <w:rsid w:val="00FF2039"/>
    <w:rsid w:val="00FF21C1"/>
    <w:rsid w:val="00FF4695"/>
    <w:rsid w:val="00FF4778"/>
    <w:rsid w:val="00FF48B5"/>
    <w:rsid w:val="00FF52EB"/>
    <w:rsid w:val="00FF5EC7"/>
    <w:rsid w:val="00FF7AD8"/>
    <w:rsid w:val="01D051CE"/>
    <w:rsid w:val="0860244E"/>
    <w:rsid w:val="0F0F3CF4"/>
    <w:rsid w:val="0F83612D"/>
    <w:rsid w:val="14520113"/>
    <w:rsid w:val="191779CD"/>
    <w:rsid w:val="1993319B"/>
    <w:rsid w:val="19EB6E15"/>
    <w:rsid w:val="1A3049D4"/>
    <w:rsid w:val="1AD040D4"/>
    <w:rsid w:val="1BBE5203"/>
    <w:rsid w:val="1F4E0A47"/>
    <w:rsid w:val="20323FCB"/>
    <w:rsid w:val="25852F66"/>
    <w:rsid w:val="28E11F91"/>
    <w:rsid w:val="28ED19E7"/>
    <w:rsid w:val="2AA67D20"/>
    <w:rsid w:val="2C244C2D"/>
    <w:rsid w:val="2C786D99"/>
    <w:rsid w:val="38702B45"/>
    <w:rsid w:val="388A318F"/>
    <w:rsid w:val="39692A00"/>
    <w:rsid w:val="39A05CDF"/>
    <w:rsid w:val="3A3879A4"/>
    <w:rsid w:val="3ABE0766"/>
    <w:rsid w:val="3D8E3852"/>
    <w:rsid w:val="43886DCB"/>
    <w:rsid w:val="482C3E5C"/>
    <w:rsid w:val="4ACE0B3E"/>
    <w:rsid w:val="4D732F03"/>
    <w:rsid w:val="4EC72AD8"/>
    <w:rsid w:val="4EE706EC"/>
    <w:rsid w:val="503E2640"/>
    <w:rsid w:val="53F16567"/>
    <w:rsid w:val="546B21C8"/>
    <w:rsid w:val="54B237A0"/>
    <w:rsid w:val="559D6475"/>
    <w:rsid w:val="5A8364A8"/>
    <w:rsid w:val="5B35700F"/>
    <w:rsid w:val="5C2B361F"/>
    <w:rsid w:val="5CDE319B"/>
    <w:rsid w:val="5D223C09"/>
    <w:rsid w:val="5E3C44A4"/>
    <w:rsid w:val="5EE43B2A"/>
    <w:rsid w:val="62474353"/>
    <w:rsid w:val="62A327C3"/>
    <w:rsid w:val="63656540"/>
    <w:rsid w:val="636D0DD0"/>
    <w:rsid w:val="648C3426"/>
    <w:rsid w:val="662A6197"/>
    <w:rsid w:val="679333EB"/>
    <w:rsid w:val="67F46728"/>
    <w:rsid w:val="70C2162B"/>
    <w:rsid w:val="7254044A"/>
    <w:rsid w:val="73966354"/>
    <w:rsid w:val="74DA38D0"/>
    <w:rsid w:val="76056D16"/>
    <w:rsid w:val="76F42B2C"/>
    <w:rsid w:val="7A873AA1"/>
    <w:rsid w:val="7AC66CAD"/>
    <w:rsid w:val="7EA15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3">
    <w:name w:val="heading 2"/>
    <w:basedOn w:val="1"/>
    <w:next w:val="4"/>
    <w:qFormat/>
    <w:uiPriority w:val="0"/>
    <w:pPr>
      <w:keepNext/>
      <w:keepLines/>
      <w:tabs>
        <w:tab w:val="left" w:pos="456"/>
      </w:tabs>
      <w:spacing w:beforeLines="100" w:afterLines="100" w:line="360" w:lineRule="auto"/>
      <w:ind w:left="456" w:hanging="454"/>
      <w:outlineLvl w:val="1"/>
    </w:pPr>
    <w:rPr>
      <w:b/>
      <w:sz w:val="24"/>
    </w:rPr>
  </w:style>
  <w:style w:type="paragraph" w:styleId="5">
    <w:name w:val="heading 3"/>
    <w:basedOn w:val="1"/>
    <w:next w:val="4"/>
    <w:qFormat/>
    <w:uiPriority w:val="0"/>
    <w:pPr>
      <w:keepNext/>
      <w:keepLines/>
      <w:tabs>
        <w:tab w:val="left" w:pos="475"/>
      </w:tabs>
      <w:spacing w:beforeLines="50" w:afterLines="50" w:line="360" w:lineRule="auto"/>
      <w:ind w:left="102" w:firstLine="13"/>
      <w:outlineLvl w:val="2"/>
    </w:pPr>
    <w:rPr>
      <w:b/>
      <w:sz w:val="24"/>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4"/>
    <w:qFormat/>
    <w:uiPriority w:val="0"/>
    <w:pPr>
      <w:keepNext/>
      <w:keepLines/>
      <w:tabs>
        <w:tab w:val="left" w:pos="462"/>
      </w:tabs>
      <w:spacing w:before="100" w:beforeAutospacing="1" w:after="100" w:afterAutospacing="1" w:line="360" w:lineRule="auto"/>
      <w:ind w:left="102"/>
      <w:outlineLvl w:val="4"/>
    </w:pPr>
    <w:rPr>
      <w:b/>
      <w:sz w:val="24"/>
    </w:rPr>
  </w:style>
  <w:style w:type="paragraph" w:styleId="8">
    <w:name w:val="heading 6"/>
    <w:basedOn w:val="1"/>
    <w:next w:val="4"/>
    <w:qFormat/>
    <w:uiPriority w:val="0"/>
    <w:pPr>
      <w:keepNext/>
      <w:keepLines/>
      <w:tabs>
        <w:tab w:val="left" w:pos="462"/>
      </w:tabs>
      <w:spacing w:before="100" w:beforeAutospacing="1" w:after="100" w:afterAutospacing="1" w:line="360" w:lineRule="auto"/>
      <w:ind w:left="102"/>
      <w:outlineLvl w:val="5"/>
    </w:pPr>
    <w:rPr>
      <w:b/>
    </w:rPr>
  </w:style>
  <w:style w:type="paragraph" w:styleId="9">
    <w:name w:val="heading 7"/>
    <w:basedOn w:val="1"/>
    <w:next w:val="1"/>
    <w:qFormat/>
    <w:uiPriority w:val="0"/>
    <w:pPr>
      <w:keepNext/>
      <w:keepLines/>
      <w:spacing w:before="240" w:after="64" w:line="317" w:lineRule="auto"/>
      <w:outlineLvl w:val="6"/>
    </w:pPr>
    <w:rPr>
      <w:b/>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link w:val="59"/>
    <w:semiHidden/>
    <w:unhideWhenUsed/>
    <w:qFormat/>
    <w:uiPriority w:val="99"/>
    <w:rPr>
      <w:rFonts w:ascii="宋体"/>
      <w:sz w:val="18"/>
      <w:szCs w:val="18"/>
      <w:lang w:val="zh-CN"/>
    </w:rPr>
  </w:style>
  <w:style w:type="paragraph" w:styleId="13">
    <w:name w:val="annotation text"/>
    <w:basedOn w:val="1"/>
    <w:link w:val="51"/>
    <w:qFormat/>
    <w:uiPriority w:val="0"/>
    <w:pPr>
      <w:jc w:val="left"/>
    </w:pPr>
    <w:rPr>
      <w:lang w:val="zh-CN"/>
    </w:rPr>
  </w:style>
  <w:style w:type="paragraph" w:styleId="14">
    <w:name w:val="Body Text"/>
    <w:basedOn w:val="1"/>
    <w:qFormat/>
    <w:uiPriority w:val="0"/>
    <w:pPr>
      <w:spacing w:after="120"/>
    </w:pPr>
  </w:style>
  <w:style w:type="paragraph" w:styleId="15">
    <w:name w:val="Body Text Indent"/>
    <w:basedOn w:val="1"/>
    <w:qFormat/>
    <w:uiPriority w:val="0"/>
    <w:pPr>
      <w:widowControl/>
      <w:spacing w:line="360" w:lineRule="auto"/>
      <w:ind w:right="-85" w:rightChars="-85" w:firstLine="360" w:firstLineChars="150"/>
      <w:jc w:val="left"/>
    </w:pPr>
    <w:rPr>
      <w:rFonts w:ascii="宋体" w:hAnsi="宋体"/>
      <w:sz w:val="24"/>
    </w:rPr>
  </w:style>
  <w:style w:type="paragraph" w:styleId="16">
    <w:name w:val="Plain Text"/>
    <w:basedOn w:val="1"/>
    <w:link w:val="36"/>
    <w:qFormat/>
    <w:uiPriority w:val="99"/>
    <w:pPr>
      <w:widowControl/>
      <w:jc w:val="left"/>
    </w:pPr>
    <w:rPr>
      <w:rFonts w:ascii="Courier New" w:hAnsi="Courier New"/>
      <w:kern w:val="0"/>
      <w:sz w:val="20"/>
      <w:lang w:val="zh-CN"/>
    </w:rPr>
  </w:style>
  <w:style w:type="paragraph" w:styleId="17">
    <w:name w:val="Date"/>
    <w:basedOn w:val="1"/>
    <w:next w:val="1"/>
    <w:link w:val="63"/>
    <w:semiHidden/>
    <w:unhideWhenUsed/>
    <w:qFormat/>
    <w:uiPriority w:val="99"/>
    <w:pPr>
      <w:ind w:left="100" w:leftChars="2500"/>
    </w:pPr>
    <w:rPr>
      <w:lang w:val="zh-CN"/>
    </w:rPr>
  </w:style>
  <w:style w:type="paragraph" w:styleId="18">
    <w:name w:val="Body Text Indent 2"/>
    <w:basedOn w:val="1"/>
    <w:qFormat/>
    <w:uiPriority w:val="0"/>
    <w:pPr>
      <w:widowControl/>
      <w:spacing w:before="100" w:beforeAutospacing="1" w:after="100" w:afterAutospacing="1"/>
      <w:ind w:right="-85" w:rightChars="-85" w:firstLine="480"/>
      <w:outlineLvl w:val="0"/>
    </w:pPr>
    <w:rPr>
      <w:rFonts w:ascii="宋体" w:hAnsi="宋体"/>
      <w:color w:val="000000"/>
      <w:sz w:val="24"/>
    </w:rPr>
  </w:style>
  <w:style w:type="paragraph" w:styleId="19">
    <w:name w:val="Balloon Text"/>
    <w:basedOn w:val="1"/>
    <w:qFormat/>
    <w:uiPriority w:val="0"/>
    <w:rPr>
      <w:sz w:val="18"/>
    </w:rPr>
  </w:style>
  <w:style w:type="paragraph" w:styleId="20">
    <w:name w:val="footer"/>
    <w:basedOn w:val="1"/>
    <w:link w:val="57"/>
    <w:qFormat/>
    <w:uiPriority w:val="99"/>
    <w:pPr>
      <w:tabs>
        <w:tab w:val="center" w:pos="4153"/>
        <w:tab w:val="right" w:pos="8306"/>
      </w:tabs>
      <w:snapToGrid w:val="0"/>
      <w:jc w:val="left"/>
    </w:pPr>
    <w:rPr>
      <w:sz w:val="18"/>
      <w:lang w:val="zh-CN"/>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tabs>
        <w:tab w:val="right" w:leader="dot" w:pos="8450"/>
      </w:tabs>
      <w:spacing w:line="360" w:lineRule="auto"/>
    </w:pPr>
    <w:rPr>
      <w:rFonts w:ascii="黑体" w:hAnsi="宋体" w:eastAsia="黑体"/>
      <w:sz w:val="24"/>
    </w:rPr>
  </w:style>
  <w:style w:type="paragraph" w:styleId="23">
    <w:name w:val="toc 2"/>
    <w:basedOn w:val="1"/>
    <w:next w:val="1"/>
    <w:qFormat/>
    <w:uiPriority w:val="0"/>
    <w:pPr>
      <w:ind w:left="420" w:leftChars="200"/>
    </w:pPr>
  </w:style>
  <w:style w:type="paragraph" w:styleId="24">
    <w:name w:val="Normal (Web)"/>
    <w:basedOn w:val="1"/>
    <w:qFormat/>
    <w:uiPriority w:val="0"/>
    <w:pPr>
      <w:widowControl/>
      <w:tabs>
        <w:tab w:val="left" w:pos="360"/>
      </w:tabs>
      <w:spacing w:before="100" w:beforeAutospacing="1" w:after="100" w:afterAutospacing="1"/>
      <w:jc w:val="left"/>
    </w:pPr>
    <w:rPr>
      <w:rFonts w:ascii="Arial Unicode MS" w:hAnsi="Arial Unicode MS" w:eastAsia="Arial Unicode MS"/>
      <w:kern w:val="0"/>
      <w:sz w:val="24"/>
    </w:rPr>
  </w:style>
  <w:style w:type="paragraph" w:styleId="25">
    <w:name w:val="Title"/>
    <w:basedOn w:val="14"/>
    <w:next w:val="14"/>
    <w:qFormat/>
    <w:uiPriority w:val="0"/>
    <w:pPr>
      <w:tabs>
        <w:tab w:val="left" w:pos="-540"/>
        <w:tab w:val="left" w:pos="1182"/>
      </w:tabs>
      <w:snapToGrid w:val="0"/>
      <w:spacing w:before="240" w:after="60" w:line="360" w:lineRule="auto"/>
      <w:ind w:left="527" w:hanging="425"/>
      <w:jc w:val="center"/>
      <w:outlineLvl w:val="0"/>
    </w:pPr>
    <w:rPr>
      <w:b/>
      <w:sz w:val="36"/>
    </w:rPr>
  </w:style>
  <w:style w:type="paragraph" w:styleId="26">
    <w:name w:val="annotation subject"/>
    <w:basedOn w:val="13"/>
    <w:next w:val="13"/>
    <w:qFormat/>
    <w:uiPriority w:val="0"/>
    <w:rPr>
      <w:b/>
    </w:rPr>
  </w:style>
  <w:style w:type="paragraph" w:styleId="27">
    <w:name w:val="Body Text First Indent"/>
    <w:basedOn w:val="14"/>
    <w:qFormat/>
    <w:uiPriority w:val="0"/>
    <w:pPr>
      <w:spacing w:line="300" w:lineRule="auto"/>
      <w:ind w:firstLine="425"/>
    </w:pPr>
  </w:style>
  <w:style w:type="character" w:styleId="30">
    <w:name w:val="page number"/>
    <w:basedOn w:val="29"/>
    <w:qFormat/>
    <w:uiPriority w:val="0"/>
  </w:style>
  <w:style w:type="character" w:styleId="31">
    <w:name w:val="Hyperlink"/>
    <w:qFormat/>
    <w:uiPriority w:val="99"/>
    <w:rPr>
      <w:color w:val="0000FF"/>
      <w:u w:val="single"/>
    </w:rPr>
  </w:style>
  <w:style w:type="character" w:styleId="32">
    <w:name w:val="annotation reference"/>
    <w:qFormat/>
    <w:uiPriority w:val="0"/>
    <w:rPr>
      <w:sz w:val="21"/>
    </w:rPr>
  </w:style>
  <w:style w:type="character" w:customStyle="1" w:styleId="33">
    <w:name w:val="read"/>
    <w:basedOn w:val="29"/>
    <w:qFormat/>
    <w:uiPriority w:val="0"/>
  </w:style>
  <w:style w:type="character" w:customStyle="1" w:styleId="34">
    <w:name w:val="已访问的超链接1"/>
    <w:qFormat/>
    <w:uiPriority w:val="0"/>
    <w:rPr>
      <w:color w:val="800080"/>
      <w:u w:val="single"/>
    </w:rPr>
  </w:style>
  <w:style w:type="character" w:customStyle="1" w:styleId="35">
    <w:name w:val="big1"/>
    <w:qFormat/>
    <w:uiPriority w:val="0"/>
    <w:rPr>
      <w:sz w:val="22"/>
    </w:rPr>
  </w:style>
  <w:style w:type="character" w:customStyle="1" w:styleId="36">
    <w:name w:val="纯文本 Char"/>
    <w:link w:val="16"/>
    <w:qFormat/>
    <w:uiPriority w:val="99"/>
    <w:rPr>
      <w:rFonts w:ascii="Courier New" w:hAnsi="Courier New"/>
    </w:rPr>
  </w:style>
  <w:style w:type="character" w:customStyle="1" w:styleId="37">
    <w:name w:val="ten51"/>
    <w:qFormat/>
    <w:uiPriority w:val="0"/>
    <w:rPr>
      <w:sz w:val="21"/>
    </w:rPr>
  </w:style>
  <w:style w:type="paragraph" w:customStyle="1" w:styleId="38">
    <w:name w:val="Char Char Char Char Char Char Char"/>
    <w:basedOn w:val="1"/>
    <w:qFormat/>
    <w:uiPriority w:val="0"/>
  </w:style>
  <w:style w:type="paragraph" w:customStyle="1" w:styleId="39">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40">
    <w:name w:val="xl22"/>
    <w:basedOn w:val="1"/>
    <w:qFormat/>
    <w:uiPriority w:val="0"/>
    <w:pPr>
      <w:widowControl/>
      <w:spacing w:before="100" w:beforeAutospacing="1" w:after="100" w:afterAutospacing="1"/>
      <w:textAlignment w:val="top"/>
    </w:pPr>
    <w:rPr>
      <w:rFonts w:hint="eastAsia" w:ascii="宋体" w:hAnsi="宋体"/>
      <w:kern w:val="0"/>
      <w:sz w:val="18"/>
    </w:rPr>
  </w:style>
  <w:style w:type="paragraph" w:customStyle="1" w:styleId="41">
    <w:name w:val="项目"/>
    <w:basedOn w:val="6"/>
    <w:qFormat/>
    <w:uiPriority w:val="0"/>
    <w:pPr>
      <w:snapToGrid w:val="0"/>
      <w:spacing w:before="120" w:after="120" w:line="360" w:lineRule="auto"/>
    </w:pPr>
    <w:rPr>
      <w:rFonts w:ascii="Times New Roman" w:hAnsi="Times New Roman" w:eastAsia="楷体_GB2312"/>
      <w:b w:val="0"/>
      <w:sz w:val="24"/>
    </w:rPr>
  </w:style>
  <w:style w:type="paragraph" w:customStyle="1" w:styleId="42">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43">
    <w:name w:val="表格正文"/>
    <w:basedOn w:val="4"/>
    <w:qFormat/>
    <w:uiPriority w:val="0"/>
    <w:pPr>
      <w:spacing w:beforeLines="50"/>
      <w:ind w:firstLine="0" w:firstLineChars="0"/>
      <w:jc w:val="center"/>
    </w:pPr>
    <w:rPr>
      <w:sz w:val="24"/>
    </w:rPr>
  </w:style>
  <w:style w:type="paragraph" w:customStyle="1" w:styleId="44">
    <w:name w:val="Char"/>
    <w:basedOn w:val="1"/>
    <w:qFormat/>
    <w:uiPriority w:val="0"/>
  </w:style>
  <w:style w:type="paragraph" w:customStyle="1" w:styleId="45">
    <w:name w:val="Char Char Char Char1 Char Char Char"/>
    <w:basedOn w:val="1"/>
    <w:qFormat/>
    <w:uiPriority w:val="0"/>
  </w:style>
  <w:style w:type="paragraph" w:customStyle="1" w:styleId="46">
    <w:name w:val="默认段落字体 Para Char Char Char Char Char Char"/>
    <w:basedOn w:val="1"/>
    <w:qFormat/>
    <w:uiPriority w:val="0"/>
    <w:pPr>
      <w:tabs>
        <w:tab w:val="left" w:pos="840"/>
      </w:tabs>
      <w:ind w:left="840" w:hanging="360"/>
    </w:pPr>
    <w:rPr>
      <w:sz w:val="24"/>
    </w:rPr>
  </w:style>
  <w:style w:type="paragraph" w:customStyle="1" w:styleId="47">
    <w:name w:val="报告署名"/>
    <w:basedOn w:val="1"/>
    <w:next w:val="1"/>
    <w:qFormat/>
    <w:uiPriority w:val="0"/>
    <w:pPr>
      <w:spacing w:line="360" w:lineRule="auto"/>
      <w:jc w:val="center"/>
    </w:pPr>
    <w:rPr>
      <w:rFonts w:ascii="宋体" w:hAnsi="宋体"/>
      <w:sz w:val="24"/>
    </w:rPr>
  </w:style>
  <w:style w:type="paragraph" w:customStyle="1" w:styleId="48">
    <w:name w:val="Char Char Char Char Char"/>
    <w:basedOn w:val="1"/>
    <w:qFormat/>
    <w:uiPriority w:val="0"/>
    <w:pPr>
      <w:tabs>
        <w:tab w:val="left" w:pos="840"/>
      </w:tabs>
      <w:ind w:left="840" w:hanging="360"/>
    </w:pPr>
    <w:rPr>
      <w:sz w:val="24"/>
    </w:rPr>
  </w:style>
  <w:style w:type="paragraph" w:customStyle="1" w:styleId="49">
    <w:name w:val="列表2"/>
    <w:basedOn w:val="1"/>
    <w:next w:val="25"/>
    <w:qFormat/>
    <w:uiPriority w:val="0"/>
    <w:pPr>
      <w:tabs>
        <w:tab w:val="left" w:pos="1125"/>
      </w:tabs>
      <w:spacing w:line="360" w:lineRule="auto"/>
      <w:ind w:left="1125" w:hanging="1125"/>
    </w:pPr>
    <w:rPr>
      <w:rFonts w:ascii="宋体"/>
    </w:rPr>
  </w:style>
  <w:style w:type="paragraph" w:styleId="50">
    <w:name w:val="List Paragraph"/>
    <w:basedOn w:val="1"/>
    <w:qFormat/>
    <w:uiPriority w:val="0"/>
    <w:pPr>
      <w:ind w:firstLine="420" w:firstLineChars="200"/>
    </w:pPr>
  </w:style>
  <w:style w:type="character" w:customStyle="1" w:styleId="51">
    <w:name w:val="批注文字 Char"/>
    <w:link w:val="13"/>
    <w:qFormat/>
    <w:uiPriority w:val="0"/>
    <w:rPr>
      <w:kern w:val="2"/>
      <w:sz w:val="21"/>
    </w:rPr>
  </w:style>
  <w:style w:type="paragraph" w:customStyle="1" w:styleId="52">
    <w:name w:val="Char Char"/>
    <w:basedOn w:val="1"/>
    <w:qFormat/>
    <w:uiPriority w:val="0"/>
    <w:pPr>
      <w:tabs>
        <w:tab w:val="left" w:pos="840"/>
      </w:tabs>
      <w:ind w:left="840" w:hanging="360"/>
    </w:pPr>
    <w:rPr>
      <w:sz w:val="24"/>
      <w:szCs w:val="24"/>
    </w:rPr>
  </w:style>
  <w:style w:type="paragraph" w:customStyle="1" w:styleId="53">
    <w:name w:val="1 Char"/>
    <w:basedOn w:val="1"/>
    <w:semiHidden/>
    <w:qFormat/>
    <w:uiPriority w:val="0"/>
    <w:pPr>
      <w:tabs>
        <w:tab w:val="left" w:pos="360"/>
      </w:tabs>
    </w:pPr>
    <w:rPr>
      <w:sz w:val="24"/>
      <w:szCs w:val="24"/>
    </w:rPr>
  </w:style>
  <w:style w:type="paragraph" w:customStyle="1" w:styleId="54">
    <w:name w:val="修订1"/>
    <w:hidden/>
    <w:semiHidden/>
    <w:qFormat/>
    <w:uiPriority w:val="99"/>
    <w:rPr>
      <w:rFonts w:ascii="Times New Roman" w:hAnsi="Times New Roman" w:eastAsia="宋体" w:cs="Times New Roman"/>
      <w:kern w:val="2"/>
      <w:sz w:val="21"/>
      <w:lang w:val="en-US" w:eastAsia="zh-CN" w:bidi="ar-SA"/>
    </w:rPr>
  </w:style>
  <w:style w:type="character" w:customStyle="1" w:styleId="55">
    <w:name w:val="unnamed11"/>
    <w:qFormat/>
    <w:uiPriority w:val="0"/>
    <w:rPr>
      <w:rFonts w:hint="eastAsia" w:ascii="宋体" w:hAnsi="宋体" w:eastAsia="宋体"/>
      <w:sz w:val="18"/>
      <w:szCs w:val="18"/>
    </w:rPr>
  </w:style>
  <w:style w:type="paragraph" w:customStyle="1" w:styleId="5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7">
    <w:name w:val="页脚 Char"/>
    <w:link w:val="20"/>
    <w:qFormat/>
    <w:uiPriority w:val="99"/>
    <w:rPr>
      <w:kern w:val="2"/>
      <w:sz w:val="18"/>
    </w:rPr>
  </w:style>
  <w:style w:type="paragraph" w:customStyle="1" w:styleId="58">
    <w:name w:val="Char1"/>
    <w:basedOn w:val="1"/>
    <w:qFormat/>
    <w:uiPriority w:val="0"/>
  </w:style>
  <w:style w:type="character" w:customStyle="1" w:styleId="59">
    <w:name w:val="文档结构图 Char"/>
    <w:link w:val="12"/>
    <w:semiHidden/>
    <w:qFormat/>
    <w:uiPriority w:val="99"/>
    <w:rPr>
      <w:rFonts w:ascii="宋体"/>
      <w:kern w:val="2"/>
      <w:sz w:val="18"/>
      <w:szCs w:val="18"/>
    </w:rPr>
  </w:style>
  <w:style w:type="character" w:customStyle="1" w:styleId="60">
    <w:name w:val="批注引用1"/>
    <w:qFormat/>
    <w:uiPriority w:val="0"/>
    <w:rPr>
      <w:sz w:val="21"/>
    </w:rPr>
  </w:style>
  <w:style w:type="paragraph" w:customStyle="1" w:styleId="61">
    <w:name w:val="Char Char Char1"/>
    <w:basedOn w:val="1"/>
    <w:qFormat/>
    <w:uiPriority w:val="0"/>
  </w:style>
  <w:style w:type="character" w:customStyle="1" w:styleId="62">
    <w:name w:val="批注引用2"/>
    <w:qFormat/>
    <w:uiPriority w:val="0"/>
    <w:rPr>
      <w:sz w:val="21"/>
      <w:szCs w:val="21"/>
    </w:rPr>
  </w:style>
  <w:style w:type="character" w:customStyle="1" w:styleId="63">
    <w:name w:val="日期 Char"/>
    <w:link w:val="17"/>
    <w:semiHidden/>
    <w:qFormat/>
    <w:uiPriority w:val="99"/>
    <w:rPr>
      <w:kern w:val="2"/>
      <w:sz w:val="21"/>
    </w:rPr>
  </w:style>
  <w:style w:type="character" w:customStyle="1" w:styleId="64">
    <w:name w:val="批注文字 Char1"/>
    <w:qFormat/>
    <w:uiPriority w:val="0"/>
    <w:rPr>
      <w:kern w:val="2"/>
      <w:sz w:val="21"/>
      <w:szCs w:val="22"/>
    </w:rPr>
  </w:style>
  <w:style w:type="paragraph" w:customStyle="1" w:styleId="65">
    <w:name w:val="修订2"/>
    <w:hidden/>
    <w:semiHidden/>
    <w:qFormat/>
    <w:uiPriority w:val="99"/>
    <w:rPr>
      <w:rFonts w:ascii="Times New Roman" w:hAnsi="Times New Roman" w:eastAsia="宋体" w:cs="Times New Roman"/>
      <w:kern w:val="2"/>
      <w:sz w:val="21"/>
      <w:lang w:val="en-US" w:eastAsia="zh-CN" w:bidi="ar-SA"/>
    </w:rPr>
  </w:style>
  <w:style w:type="character" w:customStyle="1" w:styleId="66">
    <w:name w:val="批注文字 字符1"/>
    <w:basedOn w:val="29"/>
    <w:qFormat/>
    <w:uiPriority w:val="0"/>
    <w:rPr>
      <w:kern w:val="2"/>
      <w:sz w:val="21"/>
    </w:rPr>
  </w:style>
  <w:style w:type="paragraph" w:customStyle="1" w:styleId="67">
    <w:name w:val="修订3"/>
    <w:hidden/>
    <w:semiHidden/>
    <w:qFormat/>
    <w:uiPriority w:val="99"/>
    <w:rPr>
      <w:rFonts w:ascii="Times New Roman" w:hAnsi="Times New Roman" w:eastAsia="宋体" w:cs="Times New Roman"/>
      <w:kern w:val="2"/>
      <w:sz w:val="21"/>
      <w:lang w:val="en-US" w:eastAsia="zh-CN" w:bidi="ar-SA"/>
    </w:rPr>
  </w:style>
  <w:style w:type="paragraph" w:customStyle="1" w:styleId="68">
    <w:name w:val="修订4"/>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F1D29-6508-4B57-A078-51A3F14749C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143</Pages>
  <Words>94863</Words>
  <Characters>97201</Characters>
  <Lines>738</Lines>
  <Paragraphs>207</Paragraphs>
  <TotalTime>432</TotalTime>
  <ScaleCrop>false</ScaleCrop>
  <LinksUpToDate>false</LinksUpToDate>
  <CharactersWithSpaces>97254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2025-06-11T07:52:00Z</dcterms:created>
  <dc:creator>张敏峻</dc:creator>
  <cp:lastModifiedBy>喻秋燕</cp:lastModifiedBy>
  <cp:lastPrinted>2024-03-01T07:20:00Z</cp:lastPrinted>
  <dcterms:modified xsi:type="dcterms:W3CDTF">2025-07-31T07:33:34Z</dcterms:modified>
  <dc:title>招募说明书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628F7F34DD764765AD4400EC35503FF4</vt:lpwstr>
  </property>
</Properties>
</file>