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F60A0" w:rsidRDefault="00BF60A0">
      <w:pPr>
        <w:pStyle w:val="af8"/>
      </w:pPr>
    </w:p>
    <w:p w:rsidR="00BF60A0" w:rsidRDefault="00BF60A0">
      <w:pPr>
        <w:spacing w:line="360" w:lineRule="auto"/>
        <w:rPr>
          <w:rFonts w:ascii="仿宋_GB2312" w:eastAsia="仿宋_GB2312"/>
          <w:sz w:val="24"/>
        </w:rPr>
      </w:pPr>
    </w:p>
    <w:p w:rsidR="00BF60A0" w:rsidRDefault="00BF60A0">
      <w:pPr>
        <w:spacing w:line="360" w:lineRule="auto"/>
        <w:rPr>
          <w:rFonts w:ascii="仿宋_GB2312" w:eastAsia="仿宋_GB2312"/>
          <w:sz w:val="24"/>
        </w:rPr>
      </w:pPr>
    </w:p>
    <w:p w:rsidR="00BF60A0" w:rsidRDefault="006E4EA0">
      <w:pPr>
        <w:spacing w:line="360" w:lineRule="auto"/>
        <w:jc w:val="center"/>
        <w:rPr>
          <w:rFonts w:ascii="仿宋_GB2312" w:eastAsia="仿宋_GB2312"/>
          <w:sz w:val="24"/>
        </w:rPr>
      </w:pPr>
      <w:r>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7"/>
                    <a:srcRect/>
                    <a:stretch>
                      <a:fillRect/>
                    </a:stretch>
                  </pic:blipFill>
                  <pic:spPr>
                    <a:xfrm>
                      <a:off x="0" y="0"/>
                      <a:ext cx="4343400" cy="571500"/>
                    </a:xfrm>
                    <a:prstGeom prst="rect">
                      <a:avLst/>
                    </a:prstGeom>
                    <a:noFill/>
                    <a:ln w="9525">
                      <a:noFill/>
                      <a:miter lim="800000"/>
                      <a:headEnd/>
                      <a:tailEnd/>
                    </a:ln>
                  </pic:spPr>
                </pic:pic>
              </a:graphicData>
            </a:graphic>
          </wp:inline>
        </w:drawing>
      </w:r>
    </w:p>
    <w:p w:rsidR="00BF60A0" w:rsidRDefault="00BF60A0">
      <w:pPr>
        <w:spacing w:line="360" w:lineRule="auto"/>
        <w:rPr>
          <w:rFonts w:ascii="仿宋_GB2312" w:eastAsia="仿宋_GB2312"/>
          <w:sz w:val="24"/>
        </w:rPr>
      </w:pPr>
    </w:p>
    <w:p w:rsidR="00BF60A0" w:rsidRDefault="00BF60A0">
      <w:pPr>
        <w:spacing w:line="360" w:lineRule="auto"/>
        <w:rPr>
          <w:rFonts w:ascii="仿宋_GB2312" w:eastAsia="仿宋_GB2312"/>
          <w:sz w:val="24"/>
        </w:rPr>
      </w:pPr>
    </w:p>
    <w:p w:rsidR="00BF60A0" w:rsidRDefault="00BF60A0">
      <w:pPr>
        <w:spacing w:line="360" w:lineRule="auto"/>
        <w:rPr>
          <w:rFonts w:ascii="仿宋_GB2312" w:eastAsia="仿宋_GB2312"/>
          <w:sz w:val="24"/>
        </w:rPr>
      </w:pPr>
    </w:p>
    <w:p w:rsidR="00BF60A0" w:rsidRDefault="006E4EA0">
      <w:pPr>
        <w:spacing w:line="360" w:lineRule="auto"/>
        <w:jc w:val="center"/>
        <w:rPr>
          <w:rFonts w:ascii="宋体"/>
          <w:b/>
          <w:bCs/>
          <w:sz w:val="44"/>
        </w:rPr>
      </w:pPr>
      <w:r>
        <w:rPr>
          <w:rFonts w:ascii="宋体" w:hint="eastAsia"/>
          <w:b/>
          <w:bCs/>
          <w:sz w:val="44"/>
        </w:rPr>
        <w:t>交银施罗德稳固收益债券型证券投资基金</w:t>
      </w:r>
    </w:p>
    <w:p w:rsidR="00BF60A0" w:rsidRDefault="006E4EA0">
      <w:pPr>
        <w:spacing w:line="360" w:lineRule="auto"/>
        <w:jc w:val="center"/>
        <w:rPr>
          <w:rFonts w:ascii="宋体"/>
          <w:b/>
          <w:bCs/>
          <w:sz w:val="44"/>
        </w:rPr>
      </w:pPr>
      <w:r>
        <w:rPr>
          <w:rFonts w:ascii="宋体" w:hint="eastAsia"/>
          <w:b/>
          <w:bCs/>
          <w:sz w:val="44"/>
        </w:rPr>
        <w:t>基金合同</w:t>
      </w:r>
    </w:p>
    <w:p w:rsidR="00BF60A0" w:rsidRDefault="00BF60A0">
      <w:pPr>
        <w:spacing w:line="360" w:lineRule="auto"/>
        <w:rPr>
          <w:rFonts w:ascii="仿宋_GB2312" w:eastAsia="仿宋_GB2312"/>
          <w:sz w:val="24"/>
        </w:rPr>
      </w:pPr>
    </w:p>
    <w:p w:rsidR="00BF60A0" w:rsidRDefault="00BF60A0">
      <w:pPr>
        <w:spacing w:line="360" w:lineRule="auto"/>
        <w:rPr>
          <w:rFonts w:ascii="仿宋_GB2312" w:eastAsia="仿宋_GB2312"/>
          <w:sz w:val="24"/>
        </w:rPr>
      </w:pPr>
    </w:p>
    <w:p w:rsidR="00BF60A0" w:rsidRDefault="00BF60A0">
      <w:pPr>
        <w:spacing w:line="360" w:lineRule="auto"/>
        <w:rPr>
          <w:rFonts w:ascii="仿宋_GB2312" w:eastAsia="仿宋_GB2312"/>
          <w:sz w:val="24"/>
        </w:rPr>
      </w:pPr>
    </w:p>
    <w:p w:rsidR="00BF60A0" w:rsidRDefault="00BF60A0">
      <w:pPr>
        <w:spacing w:line="360" w:lineRule="auto"/>
        <w:rPr>
          <w:rFonts w:ascii="仿宋_GB2312" w:eastAsia="仿宋_GB2312"/>
          <w:sz w:val="24"/>
        </w:rPr>
      </w:pPr>
    </w:p>
    <w:p w:rsidR="00BF60A0" w:rsidRDefault="00BF60A0">
      <w:pPr>
        <w:spacing w:line="360" w:lineRule="auto"/>
        <w:rPr>
          <w:rFonts w:ascii="仿宋_GB2312" w:eastAsia="仿宋_GB2312"/>
          <w:sz w:val="24"/>
        </w:rPr>
      </w:pPr>
    </w:p>
    <w:p w:rsidR="00BF60A0" w:rsidRDefault="00BF60A0">
      <w:pPr>
        <w:spacing w:line="360" w:lineRule="auto"/>
        <w:rPr>
          <w:rFonts w:ascii="仿宋_GB2312" w:eastAsia="仿宋_GB2312"/>
          <w:sz w:val="24"/>
        </w:rPr>
      </w:pPr>
    </w:p>
    <w:p w:rsidR="00BF60A0" w:rsidRDefault="006E4EA0">
      <w:pPr>
        <w:spacing w:line="360" w:lineRule="auto"/>
        <w:ind w:firstLineChars="500" w:firstLine="1606"/>
        <w:rPr>
          <w:rFonts w:ascii="宋体"/>
          <w:b/>
          <w:bCs/>
          <w:sz w:val="32"/>
        </w:rPr>
      </w:pPr>
      <w:r>
        <w:rPr>
          <w:rFonts w:ascii="宋体" w:hint="eastAsia"/>
          <w:b/>
          <w:bCs/>
          <w:sz w:val="32"/>
        </w:rPr>
        <w:t>基金管理人：交银施罗德基金管理有限公司</w:t>
      </w:r>
    </w:p>
    <w:p w:rsidR="00BF60A0" w:rsidRDefault="006E4EA0">
      <w:pPr>
        <w:spacing w:line="360" w:lineRule="auto"/>
        <w:ind w:firstLineChars="500" w:firstLine="1606"/>
        <w:rPr>
          <w:rFonts w:ascii="宋体"/>
          <w:b/>
          <w:bCs/>
          <w:sz w:val="32"/>
        </w:rPr>
      </w:pPr>
      <w:r>
        <w:rPr>
          <w:rFonts w:ascii="宋体" w:hint="eastAsia"/>
          <w:b/>
          <w:bCs/>
          <w:sz w:val="32"/>
        </w:rPr>
        <w:t>基金托管人：中国农业银行股份有限公司</w:t>
      </w:r>
    </w:p>
    <w:p w:rsidR="00BF60A0" w:rsidRDefault="00BF60A0">
      <w:pPr>
        <w:spacing w:line="360" w:lineRule="auto"/>
        <w:rPr>
          <w:rFonts w:ascii="仿宋_GB2312" w:eastAsia="仿宋_GB2312"/>
          <w:sz w:val="24"/>
        </w:rPr>
      </w:pPr>
    </w:p>
    <w:p w:rsidR="00BF60A0" w:rsidRDefault="00BF60A0">
      <w:pPr>
        <w:spacing w:line="360" w:lineRule="auto"/>
        <w:rPr>
          <w:rFonts w:ascii="仿宋_GB2312" w:eastAsia="仿宋_GB2312"/>
          <w:sz w:val="24"/>
        </w:rPr>
      </w:pPr>
    </w:p>
    <w:p w:rsidR="00BF60A0" w:rsidRDefault="006E4EA0">
      <w:pPr>
        <w:spacing w:line="360" w:lineRule="auto"/>
        <w:jc w:val="center"/>
        <w:rPr>
          <w:rFonts w:ascii="宋体"/>
          <w:b/>
          <w:bCs/>
          <w:sz w:val="30"/>
        </w:rPr>
      </w:pPr>
      <w:r>
        <w:rPr>
          <w:rFonts w:ascii="宋体" w:hint="eastAsia"/>
          <w:b/>
          <w:bCs/>
          <w:sz w:val="30"/>
        </w:rPr>
        <w:t>二零二</w:t>
      </w:r>
      <w:bookmarkStart w:id="0" w:name="_GoBack"/>
      <w:r>
        <w:rPr>
          <w:rFonts w:ascii="宋体" w:hint="eastAsia"/>
          <w:b/>
          <w:bCs/>
          <w:sz w:val="30"/>
        </w:rPr>
        <w:t>五年七月</w:t>
      </w:r>
      <w:bookmarkEnd w:id="0"/>
    </w:p>
    <w:p w:rsidR="00BF60A0" w:rsidRDefault="00BF60A0">
      <w:pPr>
        <w:spacing w:line="360" w:lineRule="auto"/>
        <w:rPr>
          <w:rFonts w:ascii="仿宋_GB2312" w:eastAsia="仿宋_GB2312"/>
          <w:sz w:val="24"/>
        </w:rPr>
        <w:sectPr w:rsidR="00BF60A0">
          <w:headerReference w:type="default" r:id="rId8"/>
          <w:footerReference w:type="even" r:id="rId9"/>
          <w:footerReference w:type="default" r:id="rId10"/>
          <w:pgSz w:w="11906" w:h="16838"/>
          <w:pgMar w:top="1418" w:right="1701" w:bottom="1418" w:left="1701" w:header="851" w:footer="992" w:gutter="0"/>
          <w:cols w:space="720"/>
          <w:docGrid w:type="lines" w:linePitch="312"/>
        </w:sectPr>
      </w:pPr>
    </w:p>
    <w:p w:rsidR="00BF60A0" w:rsidRDefault="006E4EA0">
      <w:pPr>
        <w:jc w:val="center"/>
        <w:rPr>
          <w:bCs/>
          <w:sz w:val="28"/>
        </w:rPr>
      </w:pPr>
      <w:bookmarkStart w:id="1" w:name="_Toc15517"/>
      <w:bookmarkStart w:id="2" w:name="_Toc29629"/>
      <w:bookmarkStart w:id="3" w:name="_Toc4966"/>
      <w:bookmarkStart w:id="4" w:name="_Toc139991730"/>
      <w:bookmarkStart w:id="5" w:name="_Toc312933423"/>
      <w:bookmarkStart w:id="6" w:name="_Toc6306"/>
      <w:bookmarkStart w:id="7" w:name="_Toc8727"/>
      <w:bookmarkStart w:id="8" w:name="_Toc4867"/>
      <w:bookmarkStart w:id="9" w:name="_Toc32639"/>
      <w:bookmarkStart w:id="10" w:name="_Toc141703880"/>
      <w:bookmarkStart w:id="11" w:name="_Toc26897"/>
      <w:bookmarkStart w:id="12" w:name="_Toc30935"/>
      <w:bookmarkStart w:id="13" w:name="_Toc23386"/>
      <w:bookmarkStart w:id="14" w:name="_Toc123701389"/>
      <w:bookmarkStart w:id="15" w:name="_Toc123112268"/>
      <w:bookmarkStart w:id="16" w:name="_Toc123112229"/>
      <w:bookmarkStart w:id="17" w:name="_Toc233456271"/>
      <w:r>
        <w:rPr>
          <w:bCs/>
          <w:sz w:val="28"/>
        </w:rPr>
        <w:lastRenderedPageBreak/>
        <w:t>目</w:t>
      </w:r>
      <w:r>
        <w:rPr>
          <w:bCs/>
          <w:sz w:val="28"/>
        </w:rPr>
        <w:t xml:space="preserve">    </w:t>
      </w:r>
      <w:r>
        <w:rPr>
          <w:bCs/>
          <w:sz w:val="28"/>
        </w:rPr>
        <w:t>录</w:t>
      </w:r>
    </w:p>
    <w:p w:rsidR="00BF60A0" w:rsidRDefault="006E4EA0">
      <w:pPr>
        <w:pStyle w:val="11"/>
        <w:tabs>
          <w:tab w:val="right" w:leader="dot" w:pos="8296"/>
        </w:tabs>
        <w:spacing w:line="360" w:lineRule="auto"/>
        <w:rPr>
          <w:rStyle w:val="aff1"/>
          <w:sz w:val="24"/>
        </w:rPr>
      </w:pPr>
      <w:r>
        <w:rPr>
          <w:rStyle w:val="aff1"/>
        </w:rPr>
        <w:fldChar w:fldCharType="begin"/>
      </w:r>
      <w:r>
        <w:rPr>
          <w:rStyle w:val="aff1"/>
        </w:rPr>
        <w:instrText xml:space="preserve"> TOC \o "1-1" \h \z \u </w:instrText>
      </w:r>
      <w:r>
        <w:rPr>
          <w:rStyle w:val="aff1"/>
        </w:rPr>
        <w:fldChar w:fldCharType="separate"/>
      </w:r>
      <w:hyperlink w:anchor="_Toc535765909" w:history="1">
        <w:r>
          <w:rPr>
            <w:rStyle w:val="aff1"/>
            <w:rFonts w:hint="eastAsia"/>
            <w:sz w:val="24"/>
          </w:rPr>
          <w:t>第一部分</w:t>
        </w:r>
        <w:r>
          <w:rPr>
            <w:rStyle w:val="aff1"/>
            <w:sz w:val="24"/>
          </w:rPr>
          <w:t xml:space="preserve">  </w:t>
        </w:r>
        <w:r>
          <w:rPr>
            <w:rStyle w:val="aff1"/>
            <w:rFonts w:hint="eastAsia"/>
            <w:sz w:val="24"/>
          </w:rPr>
          <w:t>前言</w:t>
        </w:r>
        <w:r>
          <w:rPr>
            <w:rStyle w:val="aff1"/>
            <w:sz w:val="24"/>
          </w:rPr>
          <w:tab/>
        </w:r>
        <w:r>
          <w:rPr>
            <w:rStyle w:val="aff1"/>
            <w:sz w:val="24"/>
          </w:rPr>
          <w:fldChar w:fldCharType="begin"/>
        </w:r>
        <w:r>
          <w:rPr>
            <w:rStyle w:val="aff1"/>
            <w:sz w:val="24"/>
          </w:rPr>
          <w:instrText xml:space="preserve"> PAGEREF _Toc535765909 \h </w:instrText>
        </w:r>
        <w:r>
          <w:rPr>
            <w:rStyle w:val="aff1"/>
            <w:sz w:val="24"/>
          </w:rPr>
        </w:r>
        <w:r>
          <w:rPr>
            <w:rStyle w:val="aff1"/>
            <w:sz w:val="24"/>
          </w:rPr>
          <w:fldChar w:fldCharType="separate"/>
        </w:r>
        <w:r>
          <w:rPr>
            <w:rStyle w:val="aff1"/>
            <w:sz w:val="24"/>
          </w:rPr>
          <w:t>3</w:t>
        </w:r>
        <w:r>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10" w:history="1">
        <w:r w:rsidR="006E4EA0">
          <w:rPr>
            <w:rStyle w:val="aff1"/>
            <w:rFonts w:hint="eastAsia"/>
            <w:sz w:val="24"/>
          </w:rPr>
          <w:t>第二部分</w:t>
        </w:r>
        <w:r w:rsidR="006E4EA0">
          <w:rPr>
            <w:rStyle w:val="aff1"/>
            <w:sz w:val="24"/>
          </w:rPr>
          <w:t xml:space="preserve">  </w:t>
        </w:r>
        <w:r w:rsidR="006E4EA0">
          <w:rPr>
            <w:rStyle w:val="aff1"/>
            <w:rFonts w:hint="eastAsia"/>
            <w:sz w:val="24"/>
          </w:rPr>
          <w:t>释义</w:t>
        </w:r>
        <w:r w:rsidR="006E4EA0">
          <w:rPr>
            <w:rStyle w:val="aff1"/>
            <w:sz w:val="24"/>
          </w:rPr>
          <w:tab/>
        </w:r>
        <w:r w:rsidR="006E4EA0">
          <w:rPr>
            <w:rStyle w:val="aff1"/>
            <w:sz w:val="24"/>
          </w:rPr>
          <w:fldChar w:fldCharType="begin"/>
        </w:r>
        <w:r w:rsidR="006E4EA0">
          <w:rPr>
            <w:rStyle w:val="aff1"/>
            <w:sz w:val="24"/>
          </w:rPr>
          <w:instrText xml:space="preserve"> PAGEREF _Toc535765910 \h </w:instrText>
        </w:r>
        <w:r w:rsidR="006E4EA0">
          <w:rPr>
            <w:rStyle w:val="aff1"/>
            <w:sz w:val="24"/>
          </w:rPr>
        </w:r>
        <w:r w:rsidR="006E4EA0">
          <w:rPr>
            <w:rStyle w:val="aff1"/>
            <w:sz w:val="24"/>
          </w:rPr>
          <w:fldChar w:fldCharType="separate"/>
        </w:r>
        <w:r w:rsidR="006E4EA0">
          <w:rPr>
            <w:rStyle w:val="aff1"/>
            <w:sz w:val="24"/>
          </w:rPr>
          <w:t>5</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11" w:history="1">
        <w:r w:rsidR="006E4EA0">
          <w:rPr>
            <w:rStyle w:val="aff1"/>
            <w:rFonts w:hint="eastAsia"/>
            <w:sz w:val="24"/>
          </w:rPr>
          <w:t>第三部分</w:t>
        </w:r>
        <w:r w:rsidR="006E4EA0">
          <w:rPr>
            <w:rStyle w:val="aff1"/>
            <w:sz w:val="24"/>
          </w:rPr>
          <w:t xml:space="preserve">  </w:t>
        </w:r>
        <w:r w:rsidR="006E4EA0">
          <w:rPr>
            <w:rStyle w:val="aff1"/>
            <w:rFonts w:hint="eastAsia"/>
            <w:sz w:val="24"/>
          </w:rPr>
          <w:t>基金的基本情况</w:t>
        </w:r>
        <w:r w:rsidR="006E4EA0">
          <w:rPr>
            <w:rStyle w:val="aff1"/>
            <w:sz w:val="24"/>
          </w:rPr>
          <w:tab/>
        </w:r>
        <w:r w:rsidR="006E4EA0">
          <w:rPr>
            <w:rStyle w:val="aff1"/>
            <w:sz w:val="24"/>
          </w:rPr>
          <w:fldChar w:fldCharType="begin"/>
        </w:r>
        <w:r w:rsidR="006E4EA0">
          <w:rPr>
            <w:rStyle w:val="aff1"/>
            <w:sz w:val="24"/>
          </w:rPr>
          <w:instrText xml:space="preserve"> PAGEREF _Toc535765911 \h </w:instrText>
        </w:r>
        <w:r w:rsidR="006E4EA0">
          <w:rPr>
            <w:rStyle w:val="aff1"/>
            <w:sz w:val="24"/>
          </w:rPr>
        </w:r>
        <w:r w:rsidR="006E4EA0">
          <w:rPr>
            <w:rStyle w:val="aff1"/>
            <w:sz w:val="24"/>
          </w:rPr>
          <w:fldChar w:fldCharType="separate"/>
        </w:r>
        <w:r w:rsidR="006E4EA0">
          <w:rPr>
            <w:rStyle w:val="aff1"/>
            <w:sz w:val="24"/>
          </w:rPr>
          <w:t>10</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12" w:history="1">
        <w:r w:rsidR="006E4EA0">
          <w:rPr>
            <w:rStyle w:val="aff1"/>
            <w:rFonts w:hint="eastAsia"/>
            <w:sz w:val="24"/>
          </w:rPr>
          <w:t>第四部分</w:t>
        </w:r>
        <w:r w:rsidR="006E4EA0">
          <w:rPr>
            <w:rStyle w:val="aff1"/>
            <w:sz w:val="24"/>
          </w:rPr>
          <w:t xml:space="preserve">  </w:t>
        </w:r>
        <w:r w:rsidR="006E4EA0">
          <w:rPr>
            <w:rStyle w:val="aff1"/>
            <w:rFonts w:hint="eastAsia"/>
            <w:sz w:val="24"/>
          </w:rPr>
          <w:t>基金的历史沿革</w:t>
        </w:r>
        <w:r w:rsidR="006E4EA0">
          <w:rPr>
            <w:rStyle w:val="aff1"/>
            <w:sz w:val="24"/>
          </w:rPr>
          <w:tab/>
        </w:r>
        <w:r w:rsidR="006E4EA0">
          <w:rPr>
            <w:rStyle w:val="aff1"/>
            <w:sz w:val="24"/>
          </w:rPr>
          <w:fldChar w:fldCharType="begin"/>
        </w:r>
        <w:r w:rsidR="006E4EA0">
          <w:rPr>
            <w:rStyle w:val="aff1"/>
            <w:sz w:val="24"/>
          </w:rPr>
          <w:instrText xml:space="preserve"> PAGEREF _Toc535765912 \h </w:instrText>
        </w:r>
        <w:r w:rsidR="006E4EA0">
          <w:rPr>
            <w:rStyle w:val="aff1"/>
            <w:sz w:val="24"/>
          </w:rPr>
        </w:r>
        <w:r w:rsidR="006E4EA0">
          <w:rPr>
            <w:rStyle w:val="aff1"/>
            <w:sz w:val="24"/>
          </w:rPr>
          <w:fldChar w:fldCharType="separate"/>
        </w:r>
        <w:r w:rsidR="006E4EA0">
          <w:rPr>
            <w:rStyle w:val="aff1"/>
            <w:sz w:val="24"/>
          </w:rPr>
          <w:t>12</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13" w:history="1">
        <w:r w:rsidR="006E4EA0">
          <w:rPr>
            <w:rStyle w:val="aff1"/>
            <w:rFonts w:hint="eastAsia"/>
            <w:sz w:val="24"/>
          </w:rPr>
          <w:t>第五部分</w:t>
        </w:r>
        <w:r w:rsidR="006E4EA0">
          <w:rPr>
            <w:rStyle w:val="aff1"/>
            <w:sz w:val="24"/>
          </w:rPr>
          <w:t xml:space="preserve">  </w:t>
        </w:r>
        <w:r w:rsidR="006E4EA0">
          <w:rPr>
            <w:rStyle w:val="aff1"/>
            <w:rFonts w:hint="eastAsia"/>
            <w:sz w:val="24"/>
          </w:rPr>
          <w:t>基金的存续</w:t>
        </w:r>
        <w:r w:rsidR="006E4EA0">
          <w:rPr>
            <w:rStyle w:val="aff1"/>
            <w:sz w:val="24"/>
          </w:rPr>
          <w:tab/>
        </w:r>
        <w:r w:rsidR="006E4EA0">
          <w:rPr>
            <w:rStyle w:val="aff1"/>
            <w:sz w:val="24"/>
          </w:rPr>
          <w:fldChar w:fldCharType="begin"/>
        </w:r>
        <w:r w:rsidR="006E4EA0">
          <w:rPr>
            <w:rStyle w:val="aff1"/>
            <w:sz w:val="24"/>
          </w:rPr>
          <w:instrText xml:space="preserve"> PAGEREF _Toc535765913 \h </w:instrText>
        </w:r>
        <w:r w:rsidR="006E4EA0">
          <w:rPr>
            <w:rStyle w:val="aff1"/>
            <w:sz w:val="24"/>
          </w:rPr>
        </w:r>
        <w:r w:rsidR="006E4EA0">
          <w:rPr>
            <w:rStyle w:val="aff1"/>
            <w:sz w:val="24"/>
          </w:rPr>
          <w:fldChar w:fldCharType="separate"/>
        </w:r>
        <w:r w:rsidR="006E4EA0">
          <w:rPr>
            <w:rStyle w:val="aff1"/>
            <w:sz w:val="24"/>
          </w:rPr>
          <w:t>14</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14" w:history="1">
        <w:r w:rsidR="006E4EA0">
          <w:rPr>
            <w:rStyle w:val="aff1"/>
            <w:rFonts w:hint="eastAsia"/>
            <w:sz w:val="24"/>
          </w:rPr>
          <w:t>第六部分</w:t>
        </w:r>
        <w:r w:rsidR="006E4EA0">
          <w:rPr>
            <w:rStyle w:val="aff1"/>
            <w:sz w:val="24"/>
          </w:rPr>
          <w:t xml:space="preserve">  </w:t>
        </w:r>
        <w:r w:rsidR="006E4EA0">
          <w:rPr>
            <w:rStyle w:val="aff1"/>
            <w:rFonts w:hint="eastAsia"/>
            <w:sz w:val="24"/>
          </w:rPr>
          <w:t>基金份额的申购与赎回</w:t>
        </w:r>
        <w:r w:rsidR="006E4EA0">
          <w:rPr>
            <w:rStyle w:val="aff1"/>
            <w:sz w:val="24"/>
          </w:rPr>
          <w:tab/>
        </w:r>
        <w:r w:rsidR="006E4EA0">
          <w:rPr>
            <w:rStyle w:val="aff1"/>
            <w:sz w:val="24"/>
          </w:rPr>
          <w:fldChar w:fldCharType="begin"/>
        </w:r>
        <w:r w:rsidR="006E4EA0">
          <w:rPr>
            <w:rStyle w:val="aff1"/>
            <w:sz w:val="24"/>
          </w:rPr>
          <w:instrText xml:space="preserve"> PAGEREF _Toc535765914 \h </w:instrText>
        </w:r>
        <w:r w:rsidR="006E4EA0">
          <w:rPr>
            <w:rStyle w:val="aff1"/>
            <w:sz w:val="24"/>
          </w:rPr>
        </w:r>
        <w:r w:rsidR="006E4EA0">
          <w:rPr>
            <w:rStyle w:val="aff1"/>
            <w:sz w:val="24"/>
          </w:rPr>
          <w:fldChar w:fldCharType="separate"/>
        </w:r>
        <w:r w:rsidR="006E4EA0">
          <w:rPr>
            <w:rStyle w:val="aff1"/>
            <w:sz w:val="24"/>
          </w:rPr>
          <w:t>15</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15" w:history="1">
        <w:r w:rsidR="006E4EA0">
          <w:rPr>
            <w:rStyle w:val="aff1"/>
            <w:rFonts w:hint="eastAsia"/>
            <w:sz w:val="24"/>
          </w:rPr>
          <w:t>第七部分</w:t>
        </w:r>
        <w:r w:rsidR="006E4EA0">
          <w:rPr>
            <w:rStyle w:val="aff1"/>
            <w:sz w:val="24"/>
          </w:rPr>
          <w:t xml:space="preserve">  </w:t>
        </w:r>
        <w:r w:rsidR="006E4EA0">
          <w:rPr>
            <w:rStyle w:val="aff1"/>
            <w:rFonts w:hint="eastAsia"/>
            <w:sz w:val="24"/>
          </w:rPr>
          <w:t>基金合同当事人及权利义务</w:t>
        </w:r>
        <w:r w:rsidR="006E4EA0">
          <w:rPr>
            <w:rStyle w:val="aff1"/>
            <w:sz w:val="24"/>
          </w:rPr>
          <w:tab/>
        </w:r>
        <w:r w:rsidR="006E4EA0">
          <w:rPr>
            <w:rStyle w:val="aff1"/>
            <w:sz w:val="24"/>
          </w:rPr>
          <w:fldChar w:fldCharType="begin"/>
        </w:r>
        <w:r w:rsidR="006E4EA0">
          <w:rPr>
            <w:rStyle w:val="aff1"/>
            <w:sz w:val="24"/>
          </w:rPr>
          <w:instrText xml:space="preserve"> PAGEREF _Toc535765915 \h </w:instrText>
        </w:r>
        <w:r w:rsidR="006E4EA0">
          <w:rPr>
            <w:rStyle w:val="aff1"/>
            <w:sz w:val="24"/>
          </w:rPr>
        </w:r>
        <w:r w:rsidR="006E4EA0">
          <w:rPr>
            <w:rStyle w:val="aff1"/>
            <w:sz w:val="24"/>
          </w:rPr>
          <w:fldChar w:fldCharType="separate"/>
        </w:r>
        <w:r w:rsidR="006E4EA0">
          <w:rPr>
            <w:rStyle w:val="aff1"/>
            <w:sz w:val="24"/>
          </w:rPr>
          <w:t>23</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16" w:history="1">
        <w:r w:rsidR="006E4EA0">
          <w:rPr>
            <w:rStyle w:val="aff1"/>
            <w:rFonts w:hint="eastAsia"/>
            <w:sz w:val="24"/>
          </w:rPr>
          <w:t>第八部分</w:t>
        </w:r>
        <w:r w:rsidR="006E4EA0">
          <w:rPr>
            <w:rStyle w:val="aff1"/>
            <w:sz w:val="24"/>
          </w:rPr>
          <w:t xml:space="preserve">  </w:t>
        </w:r>
        <w:r w:rsidR="006E4EA0">
          <w:rPr>
            <w:rStyle w:val="aff1"/>
            <w:rFonts w:hint="eastAsia"/>
            <w:sz w:val="24"/>
          </w:rPr>
          <w:t>基金份额持有人大会</w:t>
        </w:r>
        <w:r w:rsidR="006E4EA0">
          <w:rPr>
            <w:rStyle w:val="aff1"/>
            <w:sz w:val="24"/>
          </w:rPr>
          <w:tab/>
        </w:r>
        <w:r w:rsidR="006E4EA0">
          <w:rPr>
            <w:rStyle w:val="aff1"/>
            <w:sz w:val="24"/>
          </w:rPr>
          <w:fldChar w:fldCharType="begin"/>
        </w:r>
        <w:r w:rsidR="006E4EA0">
          <w:rPr>
            <w:rStyle w:val="aff1"/>
            <w:sz w:val="24"/>
          </w:rPr>
          <w:instrText xml:space="preserve"> PAGEREF _Toc535765916 \h </w:instrText>
        </w:r>
        <w:r w:rsidR="006E4EA0">
          <w:rPr>
            <w:rStyle w:val="aff1"/>
            <w:sz w:val="24"/>
          </w:rPr>
        </w:r>
        <w:r w:rsidR="006E4EA0">
          <w:rPr>
            <w:rStyle w:val="aff1"/>
            <w:sz w:val="24"/>
          </w:rPr>
          <w:fldChar w:fldCharType="separate"/>
        </w:r>
        <w:r w:rsidR="006E4EA0">
          <w:rPr>
            <w:rStyle w:val="aff1"/>
            <w:sz w:val="24"/>
          </w:rPr>
          <w:t>30</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17" w:history="1">
        <w:r w:rsidR="006E4EA0">
          <w:rPr>
            <w:rStyle w:val="aff1"/>
            <w:rFonts w:hint="eastAsia"/>
            <w:sz w:val="24"/>
          </w:rPr>
          <w:t>第九部分</w:t>
        </w:r>
        <w:r w:rsidR="006E4EA0">
          <w:rPr>
            <w:rStyle w:val="aff1"/>
            <w:sz w:val="24"/>
          </w:rPr>
          <w:t xml:space="preserve">  </w:t>
        </w:r>
        <w:r w:rsidR="006E4EA0">
          <w:rPr>
            <w:rStyle w:val="aff1"/>
            <w:rFonts w:hint="eastAsia"/>
            <w:sz w:val="24"/>
          </w:rPr>
          <w:t>基金管理人、基金托管人的更换条件和程序</w:t>
        </w:r>
        <w:r w:rsidR="006E4EA0">
          <w:rPr>
            <w:rStyle w:val="aff1"/>
            <w:sz w:val="24"/>
          </w:rPr>
          <w:tab/>
        </w:r>
        <w:r w:rsidR="006E4EA0">
          <w:rPr>
            <w:rStyle w:val="aff1"/>
            <w:sz w:val="24"/>
          </w:rPr>
          <w:fldChar w:fldCharType="begin"/>
        </w:r>
        <w:r w:rsidR="006E4EA0">
          <w:rPr>
            <w:rStyle w:val="aff1"/>
            <w:sz w:val="24"/>
          </w:rPr>
          <w:instrText xml:space="preserve"> PAGEREF _Toc535765917 \h </w:instrText>
        </w:r>
        <w:r w:rsidR="006E4EA0">
          <w:rPr>
            <w:rStyle w:val="aff1"/>
            <w:sz w:val="24"/>
          </w:rPr>
        </w:r>
        <w:r w:rsidR="006E4EA0">
          <w:rPr>
            <w:rStyle w:val="aff1"/>
            <w:sz w:val="24"/>
          </w:rPr>
          <w:fldChar w:fldCharType="separate"/>
        </w:r>
        <w:r w:rsidR="006E4EA0">
          <w:rPr>
            <w:rStyle w:val="aff1"/>
            <w:sz w:val="24"/>
          </w:rPr>
          <w:t>39</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18" w:history="1">
        <w:r w:rsidR="006E4EA0">
          <w:rPr>
            <w:rStyle w:val="aff1"/>
            <w:rFonts w:hint="eastAsia"/>
            <w:sz w:val="24"/>
          </w:rPr>
          <w:t>第十部分</w:t>
        </w:r>
        <w:r w:rsidR="006E4EA0">
          <w:rPr>
            <w:rStyle w:val="aff1"/>
            <w:sz w:val="24"/>
          </w:rPr>
          <w:t xml:space="preserve">  </w:t>
        </w:r>
        <w:r w:rsidR="006E4EA0">
          <w:rPr>
            <w:rStyle w:val="aff1"/>
            <w:rFonts w:hint="eastAsia"/>
            <w:sz w:val="24"/>
          </w:rPr>
          <w:t>基金的托管</w:t>
        </w:r>
        <w:r w:rsidR="006E4EA0">
          <w:rPr>
            <w:rStyle w:val="aff1"/>
            <w:sz w:val="24"/>
          </w:rPr>
          <w:tab/>
        </w:r>
        <w:r w:rsidR="006E4EA0">
          <w:rPr>
            <w:rStyle w:val="aff1"/>
            <w:sz w:val="24"/>
          </w:rPr>
          <w:fldChar w:fldCharType="begin"/>
        </w:r>
        <w:r w:rsidR="006E4EA0">
          <w:rPr>
            <w:rStyle w:val="aff1"/>
            <w:sz w:val="24"/>
          </w:rPr>
          <w:instrText xml:space="preserve"> PAGEREF _Toc535765918 \h </w:instrText>
        </w:r>
        <w:r w:rsidR="006E4EA0">
          <w:rPr>
            <w:rStyle w:val="aff1"/>
            <w:sz w:val="24"/>
          </w:rPr>
        </w:r>
        <w:r w:rsidR="006E4EA0">
          <w:rPr>
            <w:rStyle w:val="aff1"/>
            <w:sz w:val="24"/>
          </w:rPr>
          <w:fldChar w:fldCharType="separate"/>
        </w:r>
        <w:r w:rsidR="006E4EA0">
          <w:rPr>
            <w:rStyle w:val="aff1"/>
            <w:sz w:val="24"/>
          </w:rPr>
          <w:t>42</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19" w:history="1">
        <w:r w:rsidR="006E4EA0">
          <w:rPr>
            <w:rStyle w:val="aff1"/>
            <w:rFonts w:hint="eastAsia"/>
            <w:sz w:val="24"/>
          </w:rPr>
          <w:t>第十一部分</w:t>
        </w:r>
        <w:r w:rsidR="006E4EA0">
          <w:rPr>
            <w:rStyle w:val="aff1"/>
            <w:sz w:val="24"/>
          </w:rPr>
          <w:t xml:space="preserve">  </w:t>
        </w:r>
        <w:r w:rsidR="006E4EA0">
          <w:rPr>
            <w:rStyle w:val="aff1"/>
            <w:rFonts w:hint="eastAsia"/>
            <w:sz w:val="24"/>
          </w:rPr>
          <w:t>基金份额的登记</w:t>
        </w:r>
        <w:r w:rsidR="006E4EA0">
          <w:rPr>
            <w:rStyle w:val="aff1"/>
            <w:sz w:val="24"/>
          </w:rPr>
          <w:tab/>
        </w:r>
        <w:r w:rsidR="006E4EA0">
          <w:rPr>
            <w:rStyle w:val="aff1"/>
            <w:sz w:val="24"/>
          </w:rPr>
          <w:fldChar w:fldCharType="begin"/>
        </w:r>
        <w:r w:rsidR="006E4EA0">
          <w:rPr>
            <w:rStyle w:val="aff1"/>
            <w:sz w:val="24"/>
          </w:rPr>
          <w:instrText xml:space="preserve"> PAGEREF _Toc535765919 \h </w:instrText>
        </w:r>
        <w:r w:rsidR="006E4EA0">
          <w:rPr>
            <w:rStyle w:val="aff1"/>
            <w:sz w:val="24"/>
          </w:rPr>
        </w:r>
        <w:r w:rsidR="006E4EA0">
          <w:rPr>
            <w:rStyle w:val="aff1"/>
            <w:sz w:val="24"/>
          </w:rPr>
          <w:fldChar w:fldCharType="separate"/>
        </w:r>
        <w:r w:rsidR="006E4EA0">
          <w:rPr>
            <w:rStyle w:val="aff1"/>
            <w:sz w:val="24"/>
          </w:rPr>
          <w:t>43</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20" w:history="1">
        <w:r w:rsidR="006E4EA0">
          <w:rPr>
            <w:rStyle w:val="aff1"/>
            <w:rFonts w:hint="eastAsia"/>
            <w:sz w:val="24"/>
          </w:rPr>
          <w:t>第十二部分</w:t>
        </w:r>
        <w:r w:rsidR="006E4EA0">
          <w:rPr>
            <w:rStyle w:val="aff1"/>
            <w:sz w:val="24"/>
          </w:rPr>
          <w:t xml:space="preserve">  </w:t>
        </w:r>
        <w:r w:rsidR="006E4EA0">
          <w:rPr>
            <w:rStyle w:val="aff1"/>
            <w:rFonts w:hint="eastAsia"/>
            <w:sz w:val="24"/>
          </w:rPr>
          <w:t>基金的投资</w:t>
        </w:r>
        <w:r w:rsidR="006E4EA0">
          <w:rPr>
            <w:rStyle w:val="aff1"/>
            <w:sz w:val="24"/>
          </w:rPr>
          <w:tab/>
        </w:r>
        <w:r w:rsidR="006E4EA0">
          <w:rPr>
            <w:rStyle w:val="aff1"/>
            <w:sz w:val="24"/>
          </w:rPr>
          <w:fldChar w:fldCharType="begin"/>
        </w:r>
        <w:r w:rsidR="006E4EA0">
          <w:rPr>
            <w:rStyle w:val="aff1"/>
            <w:sz w:val="24"/>
          </w:rPr>
          <w:instrText xml:space="preserve"> PAGEREF _Toc535765920 \h </w:instrText>
        </w:r>
        <w:r w:rsidR="006E4EA0">
          <w:rPr>
            <w:rStyle w:val="aff1"/>
            <w:sz w:val="24"/>
          </w:rPr>
        </w:r>
        <w:r w:rsidR="006E4EA0">
          <w:rPr>
            <w:rStyle w:val="aff1"/>
            <w:sz w:val="24"/>
          </w:rPr>
          <w:fldChar w:fldCharType="separate"/>
        </w:r>
        <w:r w:rsidR="006E4EA0">
          <w:rPr>
            <w:rStyle w:val="aff1"/>
            <w:sz w:val="24"/>
          </w:rPr>
          <w:t>45</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21" w:history="1">
        <w:r w:rsidR="006E4EA0">
          <w:rPr>
            <w:rStyle w:val="aff1"/>
            <w:rFonts w:hint="eastAsia"/>
            <w:sz w:val="24"/>
          </w:rPr>
          <w:t>第十三部分</w:t>
        </w:r>
        <w:r w:rsidR="006E4EA0">
          <w:rPr>
            <w:rStyle w:val="aff1"/>
            <w:sz w:val="24"/>
          </w:rPr>
          <w:t xml:space="preserve">  </w:t>
        </w:r>
        <w:r w:rsidR="006E4EA0">
          <w:rPr>
            <w:rStyle w:val="aff1"/>
            <w:rFonts w:hint="eastAsia"/>
            <w:sz w:val="24"/>
          </w:rPr>
          <w:t>基金的财产</w:t>
        </w:r>
        <w:r w:rsidR="006E4EA0">
          <w:rPr>
            <w:rStyle w:val="aff1"/>
            <w:sz w:val="24"/>
          </w:rPr>
          <w:tab/>
        </w:r>
        <w:r w:rsidR="006E4EA0">
          <w:rPr>
            <w:rStyle w:val="aff1"/>
            <w:sz w:val="24"/>
          </w:rPr>
          <w:fldChar w:fldCharType="begin"/>
        </w:r>
        <w:r w:rsidR="006E4EA0">
          <w:rPr>
            <w:rStyle w:val="aff1"/>
            <w:sz w:val="24"/>
          </w:rPr>
          <w:instrText xml:space="preserve"> PAGEREF _Toc535765921 \h </w:instrText>
        </w:r>
        <w:r w:rsidR="006E4EA0">
          <w:rPr>
            <w:rStyle w:val="aff1"/>
            <w:sz w:val="24"/>
          </w:rPr>
        </w:r>
        <w:r w:rsidR="006E4EA0">
          <w:rPr>
            <w:rStyle w:val="aff1"/>
            <w:sz w:val="24"/>
          </w:rPr>
          <w:fldChar w:fldCharType="separate"/>
        </w:r>
        <w:r w:rsidR="006E4EA0">
          <w:rPr>
            <w:rStyle w:val="aff1"/>
            <w:sz w:val="24"/>
          </w:rPr>
          <w:t>54</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22" w:history="1">
        <w:r w:rsidR="006E4EA0">
          <w:rPr>
            <w:rStyle w:val="aff1"/>
            <w:rFonts w:hint="eastAsia"/>
            <w:sz w:val="24"/>
          </w:rPr>
          <w:t>第十四部分</w:t>
        </w:r>
        <w:r w:rsidR="006E4EA0">
          <w:rPr>
            <w:rStyle w:val="aff1"/>
            <w:sz w:val="24"/>
          </w:rPr>
          <w:t xml:space="preserve">  </w:t>
        </w:r>
        <w:r w:rsidR="006E4EA0">
          <w:rPr>
            <w:rStyle w:val="aff1"/>
            <w:rFonts w:hint="eastAsia"/>
            <w:sz w:val="24"/>
          </w:rPr>
          <w:t>基金资产估值</w:t>
        </w:r>
        <w:r w:rsidR="006E4EA0">
          <w:rPr>
            <w:rStyle w:val="aff1"/>
            <w:sz w:val="24"/>
          </w:rPr>
          <w:tab/>
        </w:r>
        <w:r w:rsidR="006E4EA0">
          <w:rPr>
            <w:rStyle w:val="aff1"/>
            <w:sz w:val="24"/>
          </w:rPr>
          <w:fldChar w:fldCharType="begin"/>
        </w:r>
        <w:r w:rsidR="006E4EA0">
          <w:rPr>
            <w:rStyle w:val="aff1"/>
            <w:sz w:val="24"/>
          </w:rPr>
          <w:instrText xml:space="preserve"> PAGEREF _Toc535765922 \h </w:instrText>
        </w:r>
        <w:r w:rsidR="006E4EA0">
          <w:rPr>
            <w:rStyle w:val="aff1"/>
            <w:sz w:val="24"/>
          </w:rPr>
        </w:r>
        <w:r w:rsidR="006E4EA0">
          <w:rPr>
            <w:rStyle w:val="aff1"/>
            <w:sz w:val="24"/>
          </w:rPr>
          <w:fldChar w:fldCharType="separate"/>
        </w:r>
        <w:r w:rsidR="006E4EA0">
          <w:rPr>
            <w:rStyle w:val="aff1"/>
            <w:sz w:val="24"/>
          </w:rPr>
          <w:t>55</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23" w:history="1">
        <w:r w:rsidR="006E4EA0">
          <w:rPr>
            <w:rStyle w:val="aff1"/>
            <w:rFonts w:hint="eastAsia"/>
            <w:sz w:val="24"/>
          </w:rPr>
          <w:t>第十五部分</w:t>
        </w:r>
        <w:r w:rsidR="006E4EA0">
          <w:rPr>
            <w:rStyle w:val="aff1"/>
            <w:sz w:val="24"/>
          </w:rPr>
          <w:t xml:space="preserve">  </w:t>
        </w:r>
        <w:r w:rsidR="006E4EA0">
          <w:rPr>
            <w:rStyle w:val="aff1"/>
            <w:rFonts w:hint="eastAsia"/>
            <w:sz w:val="24"/>
          </w:rPr>
          <w:t>基金费用与税收</w:t>
        </w:r>
        <w:r w:rsidR="006E4EA0">
          <w:rPr>
            <w:rStyle w:val="aff1"/>
            <w:sz w:val="24"/>
          </w:rPr>
          <w:tab/>
        </w:r>
        <w:r w:rsidR="006E4EA0">
          <w:rPr>
            <w:rStyle w:val="aff1"/>
            <w:sz w:val="24"/>
          </w:rPr>
          <w:fldChar w:fldCharType="begin"/>
        </w:r>
        <w:r w:rsidR="006E4EA0">
          <w:rPr>
            <w:rStyle w:val="aff1"/>
            <w:sz w:val="24"/>
          </w:rPr>
          <w:instrText xml:space="preserve"> PAGEREF _Toc535765923 \h </w:instrText>
        </w:r>
        <w:r w:rsidR="006E4EA0">
          <w:rPr>
            <w:rStyle w:val="aff1"/>
            <w:sz w:val="24"/>
          </w:rPr>
        </w:r>
        <w:r w:rsidR="006E4EA0">
          <w:rPr>
            <w:rStyle w:val="aff1"/>
            <w:sz w:val="24"/>
          </w:rPr>
          <w:fldChar w:fldCharType="separate"/>
        </w:r>
        <w:r w:rsidR="006E4EA0">
          <w:rPr>
            <w:rStyle w:val="aff1"/>
            <w:sz w:val="24"/>
          </w:rPr>
          <w:t>62</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24" w:history="1">
        <w:r w:rsidR="006E4EA0">
          <w:rPr>
            <w:rStyle w:val="aff1"/>
            <w:rFonts w:hint="eastAsia"/>
            <w:sz w:val="24"/>
          </w:rPr>
          <w:t>第十六部分</w:t>
        </w:r>
        <w:r w:rsidR="006E4EA0">
          <w:rPr>
            <w:rStyle w:val="aff1"/>
            <w:sz w:val="24"/>
          </w:rPr>
          <w:t xml:space="preserve">  </w:t>
        </w:r>
        <w:r w:rsidR="006E4EA0">
          <w:rPr>
            <w:rStyle w:val="aff1"/>
            <w:rFonts w:hint="eastAsia"/>
            <w:sz w:val="24"/>
          </w:rPr>
          <w:t>基金的收益与分配</w:t>
        </w:r>
        <w:r w:rsidR="006E4EA0">
          <w:rPr>
            <w:rStyle w:val="aff1"/>
            <w:sz w:val="24"/>
          </w:rPr>
          <w:tab/>
        </w:r>
        <w:r w:rsidR="006E4EA0">
          <w:rPr>
            <w:rStyle w:val="aff1"/>
            <w:sz w:val="24"/>
          </w:rPr>
          <w:fldChar w:fldCharType="begin"/>
        </w:r>
        <w:r w:rsidR="006E4EA0">
          <w:rPr>
            <w:rStyle w:val="aff1"/>
            <w:sz w:val="24"/>
          </w:rPr>
          <w:instrText xml:space="preserve"> PAGEREF _Toc535765924 \h </w:instrText>
        </w:r>
        <w:r w:rsidR="006E4EA0">
          <w:rPr>
            <w:rStyle w:val="aff1"/>
            <w:sz w:val="24"/>
          </w:rPr>
        </w:r>
        <w:r w:rsidR="006E4EA0">
          <w:rPr>
            <w:rStyle w:val="aff1"/>
            <w:sz w:val="24"/>
          </w:rPr>
          <w:fldChar w:fldCharType="separate"/>
        </w:r>
        <w:r w:rsidR="006E4EA0">
          <w:rPr>
            <w:rStyle w:val="aff1"/>
            <w:sz w:val="24"/>
          </w:rPr>
          <w:t>65</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25" w:history="1">
        <w:r w:rsidR="006E4EA0">
          <w:rPr>
            <w:rStyle w:val="aff1"/>
            <w:rFonts w:hint="eastAsia"/>
            <w:sz w:val="24"/>
          </w:rPr>
          <w:t>第十七部分</w:t>
        </w:r>
        <w:r w:rsidR="006E4EA0">
          <w:rPr>
            <w:rStyle w:val="aff1"/>
            <w:sz w:val="24"/>
          </w:rPr>
          <w:t xml:space="preserve">  </w:t>
        </w:r>
        <w:r w:rsidR="006E4EA0">
          <w:rPr>
            <w:rStyle w:val="aff1"/>
            <w:rFonts w:hint="eastAsia"/>
            <w:sz w:val="24"/>
          </w:rPr>
          <w:t>基金的会计与审计</w:t>
        </w:r>
        <w:r w:rsidR="006E4EA0">
          <w:rPr>
            <w:rStyle w:val="aff1"/>
            <w:sz w:val="24"/>
          </w:rPr>
          <w:tab/>
        </w:r>
        <w:r w:rsidR="006E4EA0">
          <w:rPr>
            <w:rStyle w:val="aff1"/>
            <w:sz w:val="24"/>
          </w:rPr>
          <w:fldChar w:fldCharType="begin"/>
        </w:r>
        <w:r w:rsidR="006E4EA0">
          <w:rPr>
            <w:rStyle w:val="aff1"/>
            <w:sz w:val="24"/>
          </w:rPr>
          <w:instrText xml:space="preserve"> PAGEREF _Toc535765925 \h </w:instrText>
        </w:r>
        <w:r w:rsidR="006E4EA0">
          <w:rPr>
            <w:rStyle w:val="aff1"/>
            <w:sz w:val="24"/>
          </w:rPr>
        </w:r>
        <w:r w:rsidR="006E4EA0">
          <w:rPr>
            <w:rStyle w:val="aff1"/>
            <w:sz w:val="24"/>
          </w:rPr>
          <w:fldChar w:fldCharType="separate"/>
        </w:r>
        <w:r w:rsidR="006E4EA0">
          <w:rPr>
            <w:rStyle w:val="aff1"/>
            <w:sz w:val="24"/>
          </w:rPr>
          <w:t>67</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26" w:history="1">
        <w:r w:rsidR="006E4EA0">
          <w:rPr>
            <w:rStyle w:val="aff1"/>
            <w:rFonts w:hint="eastAsia"/>
            <w:sz w:val="24"/>
          </w:rPr>
          <w:t>第十八部分</w:t>
        </w:r>
        <w:r w:rsidR="006E4EA0">
          <w:rPr>
            <w:rStyle w:val="aff1"/>
            <w:sz w:val="24"/>
          </w:rPr>
          <w:t xml:space="preserve">  </w:t>
        </w:r>
        <w:r w:rsidR="006E4EA0">
          <w:rPr>
            <w:rStyle w:val="aff1"/>
            <w:rFonts w:hint="eastAsia"/>
            <w:sz w:val="24"/>
          </w:rPr>
          <w:t>基金的信息披露</w:t>
        </w:r>
        <w:r w:rsidR="006E4EA0">
          <w:rPr>
            <w:rStyle w:val="aff1"/>
            <w:sz w:val="24"/>
          </w:rPr>
          <w:tab/>
        </w:r>
        <w:r w:rsidR="006E4EA0">
          <w:rPr>
            <w:rStyle w:val="aff1"/>
            <w:sz w:val="24"/>
          </w:rPr>
          <w:fldChar w:fldCharType="begin"/>
        </w:r>
        <w:r w:rsidR="006E4EA0">
          <w:rPr>
            <w:rStyle w:val="aff1"/>
            <w:sz w:val="24"/>
          </w:rPr>
          <w:instrText xml:space="preserve"> PAGEREF _Toc535765926 \h </w:instrText>
        </w:r>
        <w:r w:rsidR="006E4EA0">
          <w:rPr>
            <w:rStyle w:val="aff1"/>
            <w:sz w:val="24"/>
          </w:rPr>
        </w:r>
        <w:r w:rsidR="006E4EA0">
          <w:rPr>
            <w:rStyle w:val="aff1"/>
            <w:sz w:val="24"/>
          </w:rPr>
          <w:fldChar w:fldCharType="separate"/>
        </w:r>
        <w:r w:rsidR="006E4EA0">
          <w:rPr>
            <w:rStyle w:val="aff1"/>
            <w:sz w:val="24"/>
          </w:rPr>
          <w:t>68</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27" w:history="1">
        <w:r w:rsidR="006E4EA0">
          <w:rPr>
            <w:rStyle w:val="aff1"/>
            <w:rFonts w:hint="eastAsia"/>
            <w:sz w:val="24"/>
          </w:rPr>
          <w:t>第十九部分</w:t>
        </w:r>
        <w:r w:rsidR="006E4EA0">
          <w:rPr>
            <w:rStyle w:val="aff1"/>
            <w:sz w:val="24"/>
          </w:rPr>
          <w:t xml:space="preserve">  </w:t>
        </w:r>
        <w:r w:rsidR="006E4EA0">
          <w:rPr>
            <w:rStyle w:val="aff1"/>
            <w:rFonts w:hint="eastAsia"/>
            <w:sz w:val="24"/>
          </w:rPr>
          <w:t>基金合同的变更、终止与基金财产的清算</w:t>
        </w:r>
        <w:r w:rsidR="006E4EA0">
          <w:rPr>
            <w:rStyle w:val="aff1"/>
            <w:sz w:val="24"/>
          </w:rPr>
          <w:tab/>
        </w:r>
        <w:r w:rsidR="006E4EA0">
          <w:rPr>
            <w:rStyle w:val="aff1"/>
            <w:sz w:val="24"/>
          </w:rPr>
          <w:fldChar w:fldCharType="begin"/>
        </w:r>
        <w:r w:rsidR="006E4EA0">
          <w:rPr>
            <w:rStyle w:val="aff1"/>
            <w:sz w:val="24"/>
          </w:rPr>
          <w:instrText xml:space="preserve"> PAGEREF _Toc535765927 \h </w:instrText>
        </w:r>
        <w:r w:rsidR="006E4EA0">
          <w:rPr>
            <w:rStyle w:val="aff1"/>
            <w:sz w:val="24"/>
          </w:rPr>
        </w:r>
        <w:r w:rsidR="006E4EA0">
          <w:rPr>
            <w:rStyle w:val="aff1"/>
            <w:sz w:val="24"/>
          </w:rPr>
          <w:fldChar w:fldCharType="separate"/>
        </w:r>
        <w:r w:rsidR="006E4EA0">
          <w:rPr>
            <w:rStyle w:val="aff1"/>
            <w:sz w:val="24"/>
          </w:rPr>
          <w:t>75</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28" w:history="1">
        <w:r w:rsidR="006E4EA0">
          <w:rPr>
            <w:rStyle w:val="aff1"/>
            <w:rFonts w:hint="eastAsia"/>
            <w:sz w:val="24"/>
          </w:rPr>
          <w:t>第二十部分</w:t>
        </w:r>
        <w:r w:rsidR="006E4EA0">
          <w:rPr>
            <w:rStyle w:val="aff1"/>
            <w:sz w:val="24"/>
          </w:rPr>
          <w:t xml:space="preserve">  </w:t>
        </w:r>
        <w:r w:rsidR="006E4EA0">
          <w:rPr>
            <w:rStyle w:val="aff1"/>
            <w:rFonts w:hint="eastAsia"/>
            <w:sz w:val="24"/>
          </w:rPr>
          <w:t>违约责任</w:t>
        </w:r>
        <w:r w:rsidR="006E4EA0">
          <w:rPr>
            <w:rStyle w:val="aff1"/>
            <w:sz w:val="24"/>
          </w:rPr>
          <w:tab/>
        </w:r>
        <w:r w:rsidR="006E4EA0">
          <w:rPr>
            <w:rStyle w:val="aff1"/>
            <w:sz w:val="24"/>
          </w:rPr>
          <w:fldChar w:fldCharType="begin"/>
        </w:r>
        <w:r w:rsidR="006E4EA0">
          <w:rPr>
            <w:rStyle w:val="aff1"/>
            <w:sz w:val="24"/>
          </w:rPr>
          <w:instrText xml:space="preserve"> PAGEREF _Toc535765928 \h </w:instrText>
        </w:r>
        <w:r w:rsidR="006E4EA0">
          <w:rPr>
            <w:rStyle w:val="aff1"/>
            <w:sz w:val="24"/>
          </w:rPr>
        </w:r>
        <w:r w:rsidR="006E4EA0">
          <w:rPr>
            <w:rStyle w:val="aff1"/>
            <w:sz w:val="24"/>
          </w:rPr>
          <w:fldChar w:fldCharType="separate"/>
        </w:r>
        <w:r w:rsidR="006E4EA0">
          <w:rPr>
            <w:rStyle w:val="aff1"/>
            <w:sz w:val="24"/>
          </w:rPr>
          <w:t>77</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29" w:history="1">
        <w:r w:rsidR="006E4EA0">
          <w:rPr>
            <w:rStyle w:val="aff1"/>
            <w:rFonts w:hint="eastAsia"/>
            <w:sz w:val="24"/>
          </w:rPr>
          <w:t>第二十一部分</w:t>
        </w:r>
        <w:r w:rsidR="006E4EA0">
          <w:rPr>
            <w:rStyle w:val="aff1"/>
            <w:sz w:val="24"/>
          </w:rPr>
          <w:t xml:space="preserve">  </w:t>
        </w:r>
        <w:r w:rsidR="006E4EA0">
          <w:rPr>
            <w:rStyle w:val="aff1"/>
            <w:rFonts w:hint="eastAsia"/>
            <w:sz w:val="24"/>
          </w:rPr>
          <w:t>争议的处理和适用的法律</w:t>
        </w:r>
        <w:r w:rsidR="006E4EA0">
          <w:rPr>
            <w:rStyle w:val="aff1"/>
            <w:sz w:val="24"/>
          </w:rPr>
          <w:tab/>
        </w:r>
        <w:r w:rsidR="006E4EA0">
          <w:rPr>
            <w:rStyle w:val="aff1"/>
            <w:sz w:val="24"/>
          </w:rPr>
          <w:fldChar w:fldCharType="begin"/>
        </w:r>
        <w:r w:rsidR="006E4EA0">
          <w:rPr>
            <w:rStyle w:val="aff1"/>
            <w:sz w:val="24"/>
          </w:rPr>
          <w:instrText xml:space="preserve"> PAGEREF _Toc535765929 \h </w:instrText>
        </w:r>
        <w:r w:rsidR="006E4EA0">
          <w:rPr>
            <w:rStyle w:val="aff1"/>
            <w:sz w:val="24"/>
          </w:rPr>
        </w:r>
        <w:r w:rsidR="006E4EA0">
          <w:rPr>
            <w:rStyle w:val="aff1"/>
            <w:sz w:val="24"/>
          </w:rPr>
          <w:fldChar w:fldCharType="separate"/>
        </w:r>
        <w:r w:rsidR="006E4EA0">
          <w:rPr>
            <w:rStyle w:val="aff1"/>
            <w:sz w:val="24"/>
          </w:rPr>
          <w:t>78</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30" w:history="1">
        <w:r w:rsidR="006E4EA0">
          <w:rPr>
            <w:rStyle w:val="aff1"/>
            <w:rFonts w:hint="eastAsia"/>
            <w:sz w:val="24"/>
          </w:rPr>
          <w:t>第二十二部分</w:t>
        </w:r>
        <w:r w:rsidR="006E4EA0">
          <w:rPr>
            <w:rStyle w:val="aff1"/>
            <w:sz w:val="24"/>
          </w:rPr>
          <w:t xml:space="preserve">  </w:t>
        </w:r>
        <w:r w:rsidR="006E4EA0">
          <w:rPr>
            <w:rStyle w:val="aff1"/>
            <w:rFonts w:hint="eastAsia"/>
            <w:sz w:val="24"/>
          </w:rPr>
          <w:t>基金合同的效力</w:t>
        </w:r>
        <w:r w:rsidR="006E4EA0">
          <w:rPr>
            <w:rStyle w:val="aff1"/>
            <w:sz w:val="24"/>
          </w:rPr>
          <w:tab/>
        </w:r>
        <w:r w:rsidR="006E4EA0">
          <w:rPr>
            <w:rStyle w:val="aff1"/>
            <w:sz w:val="24"/>
          </w:rPr>
          <w:fldChar w:fldCharType="begin"/>
        </w:r>
        <w:r w:rsidR="006E4EA0">
          <w:rPr>
            <w:rStyle w:val="aff1"/>
            <w:sz w:val="24"/>
          </w:rPr>
          <w:instrText xml:space="preserve"> PAGEREF _Toc535765930 \h </w:instrText>
        </w:r>
        <w:r w:rsidR="006E4EA0">
          <w:rPr>
            <w:rStyle w:val="aff1"/>
            <w:sz w:val="24"/>
          </w:rPr>
        </w:r>
        <w:r w:rsidR="006E4EA0">
          <w:rPr>
            <w:rStyle w:val="aff1"/>
            <w:sz w:val="24"/>
          </w:rPr>
          <w:fldChar w:fldCharType="separate"/>
        </w:r>
        <w:r w:rsidR="006E4EA0">
          <w:rPr>
            <w:rStyle w:val="aff1"/>
            <w:sz w:val="24"/>
          </w:rPr>
          <w:t>79</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31" w:history="1">
        <w:r w:rsidR="006E4EA0">
          <w:rPr>
            <w:rStyle w:val="aff1"/>
            <w:rFonts w:hint="eastAsia"/>
            <w:sz w:val="24"/>
          </w:rPr>
          <w:t>第二十三部分</w:t>
        </w:r>
        <w:r w:rsidR="006E4EA0">
          <w:rPr>
            <w:rStyle w:val="aff1"/>
            <w:sz w:val="24"/>
          </w:rPr>
          <w:t xml:space="preserve">  </w:t>
        </w:r>
        <w:r w:rsidR="006E4EA0">
          <w:rPr>
            <w:rStyle w:val="aff1"/>
            <w:rFonts w:hint="eastAsia"/>
            <w:sz w:val="24"/>
          </w:rPr>
          <w:t>其他事项</w:t>
        </w:r>
        <w:r w:rsidR="006E4EA0">
          <w:rPr>
            <w:rStyle w:val="aff1"/>
            <w:sz w:val="24"/>
          </w:rPr>
          <w:tab/>
        </w:r>
        <w:r w:rsidR="006E4EA0">
          <w:rPr>
            <w:rStyle w:val="aff1"/>
            <w:sz w:val="24"/>
          </w:rPr>
          <w:fldChar w:fldCharType="begin"/>
        </w:r>
        <w:r w:rsidR="006E4EA0">
          <w:rPr>
            <w:rStyle w:val="aff1"/>
            <w:sz w:val="24"/>
          </w:rPr>
          <w:instrText xml:space="preserve"> PAGEREF _Toc535765931 \h </w:instrText>
        </w:r>
        <w:r w:rsidR="006E4EA0">
          <w:rPr>
            <w:rStyle w:val="aff1"/>
            <w:sz w:val="24"/>
          </w:rPr>
        </w:r>
        <w:r w:rsidR="006E4EA0">
          <w:rPr>
            <w:rStyle w:val="aff1"/>
            <w:sz w:val="24"/>
          </w:rPr>
          <w:fldChar w:fldCharType="separate"/>
        </w:r>
        <w:r w:rsidR="006E4EA0">
          <w:rPr>
            <w:rStyle w:val="aff1"/>
            <w:sz w:val="24"/>
          </w:rPr>
          <w:t>80</w:t>
        </w:r>
        <w:r w:rsidR="006E4EA0">
          <w:rPr>
            <w:rStyle w:val="aff1"/>
            <w:sz w:val="24"/>
          </w:rPr>
          <w:fldChar w:fldCharType="end"/>
        </w:r>
      </w:hyperlink>
    </w:p>
    <w:p w:rsidR="00BF60A0" w:rsidRDefault="00F23E07">
      <w:pPr>
        <w:pStyle w:val="11"/>
        <w:tabs>
          <w:tab w:val="right" w:leader="dot" w:pos="8296"/>
        </w:tabs>
        <w:spacing w:line="360" w:lineRule="auto"/>
        <w:rPr>
          <w:rStyle w:val="aff1"/>
          <w:sz w:val="24"/>
        </w:rPr>
      </w:pPr>
      <w:hyperlink w:anchor="_Toc535765932" w:history="1">
        <w:r w:rsidR="006E4EA0">
          <w:rPr>
            <w:rStyle w:val="aff1"/>
            <w:rFonts w:hint="eastAsia"/>
            <w:sz w:val="24"/>
          </w:rPr>
          <w:t>第二十四部分</w:t>
        </w:r>
        <w:r w:rsidR="006E4EA0">
          <w:rPr>
            <w:rStyle w:val="aff1"/>
            <w:sz w:val="24"/>
          </w:rPr>
          <w:t xml:space="preserve">  </w:t>
        </w:r>
        <w:r w:rsidR="006E4EA0">
          <w:rPr>
            <w:rStyle w:val="aff1"/>
            <w:rFonts w:hint="eastAsia"/>
            <w:sz w:val="24"/>
          </w:rPr>
          <w:t>基金合同内容摘要</w:t>
        </w:r>
        <w:r w:rsidR="006E4EA0">
          <w:rPr>
            <w:rStyle w:val="aff1"/>
            <w:sz w:val="24"/>
          </w:rPr>
          <w:tab/>
        </w:r>
        <w:r w:rsidR="006E4EA0">
          <w:rPr>
            <w:rStyle w:val="aff1"/>
            <w:sz w:val="24"/>
          </w:rPr>
          <w:fldChar w:fldCharType="begin"/>
        </w:r>
        <w:r w:rsidR="006E4EA0">
          <w:rPr>
            <w:rStyle w:val="aff1"/>
            <w:sz w:val="24"/>
          </w:rPr>
          <w:instrText xml:space="preserve"> PAGEREF _Toc535765932 \h </w:instrText>
        </w:r>
        <w:r w:rsidR="006E4EA0">
          <w:rPr>
            <w:rStyle w:val="aff1"/>
            <w:sz w:val="24"/>
          </w:rPr>
        </w:r>
        <w:r w:rsidR="006E4EA0">
          <w:rPr>
            <w:rStyle w:val="aff1"/>
            <w:sz w:val="24"/>
          </w:rPr>
          <w:fldChar w:fldCharType="separate"/>
        </w:r>
        <w:r w:rsidR="006E4EA0">
          <w:rPr>
            <w:rStyle w:val="aff1"/>
            <w:sz w:val="24"/>
          </w:rPr>
          <w:t>81</w:t>
        </w:r>
        <w:r w:rsidR="006E4EA0">
          <w:rPr>
            <w:rStyle w:val="aff1"/>
            <w:sz w:val="24"/>
          </w:rPr>
          <w:fldChar w:fldCharType="end"/>
        </w:r>
      </w:hyperlink>
    </w:p>
    <w:p w:rsidR="00BF60A0" w:rsidRDefault="006E4EA0">
      <w:pPr>
        <w:pStyle w:val="11"/>
        <w:tabs>
          <w:tab w:val="right" w:leader="dot" w:pos="8296"/>
        </w:tabs>
        <w:spacing w:line="360" w:lineRule="auto"/>
        <w:rPr>
          <w:rStyle w:val="aff1"/>
          <w:sz w:val="24"/>
        </w:rPr>
      </w:pPr>
      <w:r>
        <w:rPr>
          <w:rStyle w:val="aff1"/>
        </w:rPr>
        <w:fldChar w:fldCharType="end"/>
      </w:r>
    </w:p>
    <w:p w:rsidR="00BF60A0" w:rsidRDefault="006E4EA0">
      <w:pPr>
        <w:pStyle w:val="1"/>
        <w:spacing w:before="0" w:after="0" w:line="480" w:lineRule="auto"/>
      </w:pPr>
      <w:r>
        <w:rPr>
          <w:sz w:val="30"/>
        </w:rPr>
        <w:br w:type="page"/>
      </w:r>
      <w:bookmarkStart w:id="18" w:name="_Toc535765909"/>
      <w:r>
        <w:rPr>
          <w:sz w:val="30"/>
        </w:rPr>
        <w:lastRenderedPageBreak/>
        <w:t>第一部分</w:t>
      </w:r>
      <w:r>
        <w:rPr>
          <w:sz w:val="30"/>
        </w:rPr>
        <w:t xml:space="preserve">  </w:t>
      </w:r>
      <w:r>
        <w:rPr>
          <w:sz w:val="30"/>
        </w:rPr>
        <w:t>前言</w:t>
      </w:r>
      <w:bookmarkStart w:id="19" w:name="_Toc139991731"/>
      <w:bookmarkEnd w:id="1"/>
      <w:bookmarkEnd w:id="2"/>
      <w:bookmarkEnd w:id="3"/>
      <w:bookmarkEnd w:id="4"/>
      <w:bookmarkEnd w:id="5"/>
      <w:bookmarkEnd w:id="6"/>
      <w:bookmarkEnd w:id="7"/>
      <w:bookmarkEnd w:id="8"/>
      <w:bookmarkEnd w:id="9"/>
      <w:bookmarkEnd w:id="10"/>
      <w:bookmarkEnd w:id="11"/>
      <w:bookmarkEnd w:id="12"/>
      <w:bookmarkEnd w:id="13"/>
      <w:bookmarkEnd w:id="18"/>
    </w:p>
    <w:p w:rsidR="00BF60A0" w:rsidRDefault="00BF60A0">
      <w:pPr>
        <w:adjustRightInd w:val="0"/>
        <w:snapToGrid w:val="0"/>
        <w:spacing w:line="360" w:lineRule="auto"/>
        <w:ind w:firstLineChars="200" w:firstLine="480"/>
        <w:rPr>
          <w:bCs/>
          <w:sz w:val="24"/>
        </w:rPr>
      </w:pPr>
      <w:bookmarkStart w:id="20" w:name="_Toc258829399"/>
      <w:bookmarkEnd w:id="14"/>
      <w:bookmarkEnd w:id="15"/>
      <w:bookmarkEnd w:id="16"/>
      <w:bookmarkEnd w:id="19"/>
    </w:p>
    <w:p w:rsidR="00BF60A0" w:rsidRDefault="006E4EA0">
      <w:pPr>
        <w:adjustRightInd w:val="0"/>
        <w:snapToGrid w:val="0"/>
        <w:spacing w:line="360" w:lineRule="auto"/>
        <w:ind w:firstLineChars="200" w:firstLine="480"/>
        <w:rPr>
          <w:bCs/>
          <w:sz w:val="24"/>
        </w:rPr>
      </w:pPr>
      <w:r>
        <w:rPr>
          <w:rFonts w:hint="eastAsia"/>
          <w:bCs/>
          <w:sz w:val="24"/>
        </w:rPr>
        <w:t>一、</w:t>
      </w:r>
      <w:r>
        <w:rPr>
          <w:bCs/>
          <w:sz w:val="24"/>
        </w:rPr>
        <w:t>订立本基金合同的目的、依据和原则</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w:t>
      </w:r>
      <w:r>
        <w:rPr>
          <w:bCs/>
          <w:sz w:val="24"/>
        </w:rPr>
        <w:t>(</w:t>
      </w:r>
      <w:r>
        <w:rPr>
          <w:bCs/>
          <w:sz w:val="24"/>
        </w:rPr>
        <w:t>以下简称</w:t>
      </w:r>
      <w:r>
        <w:rPr>
          <w:rFonts w:hint="eastAsia"/>
          <w:bCs/>
          <w:sz w:val="24"/>
        </w:rPr>
        <w:t>“</w:t>
      </w:r>
      <w:r>
        <w:rPr>
          <w:bCs/>
          <w:sz w:val="24"/>
        </w:rPr>
        <w:t>《基金法》</w:t>
      </w:r>
      <w:r>
        <w:rPr>
          <w:rFonts w:hint="eastAsia"/>
          <w:bCs/>
          <w:sz w:val="24"/>
        </w:rPr>
        <w:t>”</w:t>
      </w:r>
      <w:r>
        <w:rPr>
          <w:bCs/>
          <w:sz w:val="24"/>
        </w:rPr>
        <w:t>)</w:t>
      </w:r>
      <w:r>
        <w:rPr>
          <w:bCs/>
          <w:sz w:val="24"/>
        </w:rPr>
        <w:t>、《公开募集证券投资基金运作管理办法》</w:t>
      </w:r>
      <w:r>
        <w:rPr>
          <w:bCs/>
          <w:sz w:val="24"/>
        </w:rPr>
        <w:t>(</w:t>
      </w:r>
      <w:r>
        <w:rPr>
          <w:bCs/>
          <w:sz w:val="24"/>
        </w:rPr>
        <w:t>以下简称</w:t>
      </w:r>
      <w:r>
        <w:rPr>
          <w:rFonts w:hint="eastAsia"/>
          <w:bCs/>
          <w:sz w:val="24"/>
        </w:rPr>
        <w:t>“</w:t>
      </w:r>
      <w:r>
        <w:rPr>
          <w:bCs/>
          <w:sz w:val="24"/>
        </w:rPr>
        <w:t>《运作办法》</w:t>
      </w:r>
      <w:r>
        <w:rPr>
          <w:rFonts w:hint="eastAsia"/>
          <w:bCs/>
          <w:sz w:val="24"/>
        </w:rPr>
        <w:t>”</w:t>
      </w:r>
      <w:r>
        <w:rPr>
          <w:bCs/>
          <w:sz w:val="24"/>
        </w:rPr>
        <w:t>)</w:t>
      </w:r>
      <w:r>
        <w:rPr>
          <w:bCs/>
          <w:sz w:val="24"/>
        </w:rPr>
        <w:t>、《</w:t>
      </w:r>
      <w:r>
        <w:rPr>
          <w:rFonts w:hint="eastAsia"/>
          <w:bCs/>
          <w:sz w:val="24"/>
        </w:rPr>
        <w:t>公开募集证券投资基金销售机构监督管理办法</w:t>
      </w:r>
      <w:r>
        <w:rPr>
          <w:bCs/>
          <w:sz w:val="24"/>
        </w:rPr>
        <w:t>》</w:t>
      </w:r>
      <w:r>
        <w:rPr>
          <w:bCs/>
          <w:sz w:val="24"/>
        </w:rPr>
        <w:t>(</w:t>
      </w:r>
      <w:r>
        <w:rPr>
          <w:bCs/>
          <w:sz w:val="24"/>
        </w:rPr>
        <w:t>以下简称</w:t>
      </w:r>
      <w:r>
        <w:rPr>
          <w:rFonts w:hint="eastAsia"/>
          <w:bCs/>
          <w:sz w:val="24"/>
        </w:rPr>
        <w:t>“</w:t>
      </w:r>
      <w:r>
        <w:rPr>
          <w:bCs/>
          <w:sz w:val="24"/>
        </w:rPr>
        <w:t>《销售办法》</w:t>
      </w:r>
      <w:r>
        <w:rPr>
          <w:rFonts w:hint="eastAsia"/>
          <w:bCs/>
          <w:sz w:val="24"/>
        </w:rPr>
        <w:t>”</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rFonts w:hint="eastAsia"/>
          <w:bCs/>
          <w:sz w:val="24"/>
        </w:rPr>
        <w:t>“</w:t>
      </w:r>
      <w:r>
        <w:rPr>
          <w:bCs/>
          <w:sz w:val="24"/>
        </w:rPr>
        <w:t>《信息披露办法》</w:t>
      </w:r>
      <w:r>
        <w:rPr>
          <w:rFonts w:hint="eastAsia"/>
          <w:bCs/>
          <w:sz w:val="24"/>
        </w:rPr>
        <w:t>”</w:t>
      </w:r>
      <w:r>
        <w:rPr>
          <w:bCs/>
          <w:sz w:val="24"/>
        </w:rPr>
        <w:t>)</w:t>
      </w:r>
      <w:r>
        <w:rPr>
          <w:rFonts w:hint="eastAsia"/>
          <w:bCs/>
          <w:sz w:val="24"/>
        </w:rPr>
        <w:t>、</w:t>
      </w:r>
      <w:r>
        <w:rPr>
          <w:bCs/>
          <w:sz w:val="24"/>
        </w:rPr>
        <w:t>《</w:t>
      </w:r>
      <w:r>
        <w:rPr>
          <w:rFonts w:hint="eastAsia"/>
          <w:bCs/>
          <w:sz w:val="24"/>
        </w:rPr>
        <w:t>公开募集开放式证券投资基金流动性风险管理规定</w:t>
      </w:r>
      <w:r>
        <w:rPr>
          <w:bCs/>
          <w:sz w:val="24"/>
        </w:rPr>
        <w:t>》</w:t>
      </w:r>
      <w:r>
        <w:rPr>
          <w:bCs/>
          <w:sz w:val="24"/>
        </w:rPr>
        <w:t>(</w:t>
      </w:r>
      <w:r>
        <w:rPr>
          <w:bCs/>
          <w:sz w:val="24"/>
        </w:rPr>
        <w:t>以下简称</w:t>
      </w:r>
      <w:r>
        <w:rPr>
          <w:rFonts w:hint="eastAsia"/>
          <w:bCs/>
          <w:sz w:val="24"/>
        </w:rPr>
        <w:t>“</w:t>
      </w:r>
      <w:r>
        <w:rPr>
          <w:bCs/>
          <w:sz w:val="24"/>
        </w:rPr>
        <w:t>《</w:t>
      </w:r>
      <w:r>
        <w:rPr>
          <w:rFonts w:hint="eastAsia"/>
          <w:bCs/>
          <w:sz w:val="24"/>
        </w:rPr>
        <w:t>流动性规定</w:t>
      </w:r>
      <w:r>
        <w:rPr>
          <w:bCs/>
          <w:sz w:val="24"/>
        </w:rPr>
        <w:t>》</w:t>
      </w:r>
      <w:r>
        <w:rPr>
          <w:rFonts w:hint="eastAsia"/>
          <w:bCs/>
          <w:sz w:val="24"/>
        </w:rPr>
        <w:t>”</w:t>
      </w:r>
      <w:r>
        <w:rPr>
          <w:bCs/>
          <w:sz w:val="24"/>
        </w:rPr>
        <w:t>)</w:t>
      </w:r>
      <w:r>
        <w:rPr>
          <w:bCs/>
          <w:sz w:val="24"/>
        </w:rPr>
        <w:t>和其他有关法律法规。</w:t>
      </w:r>
    </w:p>
    <w:p w:rsidR="00BF60A0" w:rsidRDefault="006E4EA0">
      <w:pPr>
        <w:adjustRightInd w:val="0"/>
        <w:snapToGrid w:val="0"/>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BF60A0" w:rsidRDefault="006E4EA0">
      <w:pPr>
        <w:adjustRightInd w:val="0"/>
        <w:snapToGrid w:val="0"/>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BF60A0" w:rsidRDefault="006E4EA0">
      <w:pPr>
        <w:adjustRightInd w:val="0"/>
        <w:snapToGrid w:val="0"/>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BF60A0" w:rsidRDefault="006E4EA0">
      <w:pPr>
        <w:adjustRightInd w:val="0"/>
        <w:snapToGrid w:val="0"/>
        <w:spacing w:line="360" w:lineRule="auto"/>
        <w:ind w:firstLineChars="200" w:firstLine="480"/>
        <w:rPr>
          <w:bCs/>
          <w:sz w:val="24"/>
        </w:rPr>
      </w:pPr>
      <w:r>
        <w:rPr>
          <w:rFonts w:hint="eastAsia"/>
          <w:bCs/>
          <w:sz w:val="24"/>
        </w:rPr>
        <w:t>三、交银施罗德稳固收益债券型证券投资基金由交银施罗德荣祥保本混合型证券投资基金转型而来。交银施罗德荣祥保本混合型</w:t>
      </w:r>
      <w:r>
        <w:rPr>
          <w:bCs/>
          <w:sz w:val="24"/>
        </w:rPr>
        <w:t>证券投资基金由基金管理人依照《基金法》、基金合同及其他有关规定募集，并经中国证券监督管理委员会</w:t>
      </w:r>
      <w:r>
        <w:rPr>
          <w:rFonts w:hint="eastAsia"/>
          <w:bCs/>
          <w:sz w:val="24"/>
        </w:rPr>
        <w:t>（</w:t>
      </w:r>
      <w:r>
        <w:rPr>
          <w:bCs/>
          <w:sz w:val="24"/>
        </w:rPr>
        <w:t>以下简称</w:t>
      </w:r>
      <w:r>
        <w:rPr>
          <w:rFonts w:hint="eastAsia"/>
          <w:bCs/>
          <w:sz w:val="24"/>
        </w:rPr>
        <w:t>“</w:t>
      </w:r>
      <w:r>
        <w:rPr>
          <w:bCs/>
          <w:sz w:val="24"/>
        </w:rPr>
        <w:t>中国证监会</w:t>
      </w:r>
      <w:r>
        <w:rPr>
          <w:rFonts w:hint="eastAsia"/>
          <w:bCs/>
          <w:sz w:val="24"/>
        </w:rPr>
        <w:t>”）</w:t>
      </w:r>
      <w:r>
        <w:rPr>
          <w:bCs/>
          <w:sz w:val="24"/>
        </w:rPr>
        <w:t>核准</w:t>
      </w:r>
      <w:r>
        <w:rPr>
          <w:rFonts w:hint="eastAsia"/>
          <w:bCs/>
          <w:sz w:val="24"/>
        </w:rPr>
        <w:t>，其转型后的交银施罗德稳固收益债券型证券投资基金已经中国证监会备案</w:t>
      </w:r>
      <w:r>
        <w:rPr>
          <w:bCs/>
          <w:sz w:val="24"/>
        </w:rPr>
        <w:t>。</w:t>
      </w:r>
    </w:p>
    <w:p w:rsidR="00BF60A0" w:rsidRDefault="006E4EA0">
      <w:pPr>
        <w:adjustRightInd w:val="0"/>
        <w:snapToGrid w:val="0"/>
        <w:spacing w:line="360" w:lineRule="auto"/>
        <w:ind w:firstLineChars="200" w:firstLine="480"/>
        <w:rPr>
          <w:bCs/>
          <w:sz w:val="24"/>
        </w:rPr>
      </w:pPr>
      <w:r>
        <w:rPr>
          <w:bCs/>
          <w:sz w:val="24"/>
        </w:rPr>
        <w:t>中国证监会对</w:t>
      </w:r>
      <w:r>
        <w:rPr>
          <w:rFonts w:hint="eastAsia"/>
          <w:bCs/>
          <w:sz w:val="24"/>
        </w:rPr>
        <w:t>交银施罗德荣祥保本混合型证券投资基金</w:t>
      </w:r>
      <w:r>
        <w:rPr>
          <w:bCs/>
          <w:sz w:val="24"/>
        </w:rPr>
        <w:t>募集的核准</w:t>
      </w:r>
      <w:r>
        <w:rPr>
          <w:rFonts w:hint="eastAsia"/>
          <w:bCs/>
          <w:sz w:val="24"/>
        </w:rPr>
        <w:t>以及其保本周期到期转型为本基金的备案</w:t>
      </w:r>
      <w:r>
        <w:rPr>
          <w:bCs/>
          <w:sz w:val="24"/>
        </w:rPr>
        <w:t>，并不表明其对本基金的价值和收益做出实质性判断或保证，也不表明投资于本基金没有风险。</w:t>
      </w:r>
    </w:p>
    <w:p w:rsidR="00BF60A0" w:rsidRDefault="006E4EA0">
      <w:pPr>
        <w:adjustRightInd w:val="0"/>
        <w:snapToGrid w:val="0"/>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BF60A0" w:rsidRDefault="006E4EA0">
      <w:pPr>
        <w:adjustRightInd w:val="0"/>
        <w:snapToGrid w:val="0"/>
        <w:spacing w:line="360" w:lineRule="auto"/>
        <w:ind w:firstLineChars="200" w:firstLine="480"/>
        <w:rPr>
          <w:rFonts w:ascii="宋体" w:hAnsi="宋体"/>
          <w:sz w:val="24"/>
        </w:rPr>
      </w:pPr>
      <w:r>
        <w:rPr>
          <w:rFonts w:hint="eastAsia"/>
          <w:bCs/>
          <w:sz w:val="24"/>
        </w:rPr>
        <w:t>四、</w:t>
      </w:r>
      <w:r>
        <w:rPr>
          <w:bCs/>
          <w:sz w:val="24"/>
        </w:rPr>
        <w:t>基金管理人、基金托管人在本基金合同之外披露涉及本基金的信息，其内</w:t>
      </w:r>
      <w:r>
        <w:rPr>
          <w:bCs/>
          <w:sz w:val="24"/>
        </w:rPr>
        <w:lastRenderedPageBreak/>
        <w:t>容涉及界定基金合同当事人之间权利义务关系的，如与基金合同有冲突，以基金合同为准。</w:t>
      </w:r>
    </w:p>
    <w:p w:rsidR="00BF60A0" w:rsidRDefault="006E4EA0">
      <w:pPr>
        <w:adjustRightInd w:val="0"/>
        <w:snapToGrid w:val="0"/>
        <w:spacing w:line="360" w:lineRule="auto"/>
        <w:ind w:firstLineChars="200"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rsidR="00BF60A0" w:rsidRDefault="006E4EA0">
      <w:pPr>
        <w:adjustRightInd w:val="0"/>
        <w:snapToGrid w:val="0"/>
        <w:spacing w:line="360" w:lineRule="auto"/>
        <w:ind w:firstLineChars="200" w:firstLine="480"/>
        <w:rPr>
          <w:bCs/>
          <w:sz w:val="24"/>
        </w:rPr>
      </w:pPr>
      <w:r>
        <w:rPr>
          <w:rFonts w:hint="eastAsia"/>
          <w:bCs/>
          <w:sz w:val="24"/>
        </w:rPr>
        <w:t>六、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rsidR="00BF60A0" w:rsidRDefault="006E4EA0">
      <w:pPr>
        <w:adjustRightInd w:val="0"/>
        <w:snapToGrid w:val="0"/>
        <w:spacing w:line="360" w:lineRule="auto"/>
        <w:ind w:firstLineChars="200"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BF60A0" w:rsidRDefault="006E4EA0">
      <w:pPr>
        <w:adjustRightInd w:val="0"/>
        <w:snapToGrid w:val="0"/>
        <w:spacing w:line="360" w:lineRule="auto"/>
        <w:ind w:firstLineChars="200" w:firstLine="480"/>
        <w:rPr>
          <w:bCs/>
          <w:sz w:val="24"/>
        </w:rPr>
      </w:pPr>
      <w:r>
        <w:rPr>
          <w:rFonts w:hint="eastAsia"/>
          <w:bCs/>
          <w:sz w:val="24"/>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rsidR="00BF60A0" w:rsidRDefault="006E4EA0">
      <w:pPr>
        <w:adjustRightInd w:val="0"/>
        <w:snapToGrid w:val="0"/>
        <w:spacing w:line="360" w:lineRule="auto"/>
        <w:ind w:firstLineChars="200" w:firstLine="480"/>
        <w:rPr>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rsidR="00BF60A0" w:rsidRDefault="00BF60A0">
      <w:pPr>
        <w:adjustRightInd w:val="0"/>
        <w:snapToGrid w:val="0"/>
        <w:spacing w:line="360" w:lineRule="auto"/>
        <w:ind w:firstLineChars="200" w:firstLine="480"/>
        <w:rPr>
          <w:bCs/>
          <w:sz w:val="24"/>
        </w:rPr>
      </w:pPr>
    </w:p>
    <w:p w:rsidR="00BF60A0" w:rsidRDefault="00BF60A0">
      <w:pPr>
        <w:adjustRightInd w:val="0"/>
        <w:snapToGrid w:val="0"/>
        <w:spacing w:line="360" w:lineRule="auto"/>
        <w:ind w:firstLineChars="200" w:firstLine="480"/>
        <w:rPr>
          <w:rFonts w:ascii="宋体" w:hAnsi="宋体"/>
          <w:sz w:val="24"/>
        </w:rPr>
      </w:pPr>
    </w:p>
    <w:p w:rsidR="00BF60A0" w:rsidRDefault="006E4EA0">
      <w:pPr>
        <w:pStyle w:val="1"/>
        <w:spacing w:before="0" w:after="0"/>
        <w:rPr>
          <w:sz w:val="30"/>
        </w:rPr>
      </w:pPr>
      <w:r>
        <w:rPr>
          <w:b w:val="0"/>
          <w:bCs/>
          <w:sz w:val="21"/>
        </w:rPr>
        <w:br w:type="page"/>
      </w:r>
      <w:bookmarkStart w:id="21" w:name="_Toc331754257"/>
      <w:bookmarkStart w:id="22" w:name="_Toc535765910"/>
      <w:r>
        <w:rPr>
          <w:sz w:val="30"/>
        </w:rPr>
        <w:lastRenderedPageBreak/>
        <w:t>第二部分</w:t>
      </w:r>
      <w:r>
        <w:rPr>
          <w:sz w:val="30"/>
        </w:rPr>
        <w:t xml:space="preserve"> </w:t>
      </w:r>
      <w:r>
        <w:rPr>
          <w:rFonts w:hint="eastAsia"/>
          <w:sz w:val="30"/>
        </w:rPr>
        <w:t xml:space="preserve"> </w:t>
      </w:r>
      <w:r>
        <w:rPr>
          <w:sz w:val="30"/>
        </w:rPr>
        <w:t>释义</w:t>
      </w:r>
      <w:bookmarkEnd w:id="21"/>
      <w:bookmarkEnd w:id="22"/>
    </w:p>
    <w:bookmarkEnd w:id="17"/>
    <w:bookmarkEnd w:id="20"/>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在本基金合同中，除非文意另有所指，下列词语或简称具有如下含义：</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w:t>
      </w:r>
      <w:r>
        <w:rPr>
          <w:bCs/>
          <w:sz w:val="24"/>
        </w:rPr>
        <w:t>基金或本基金：指</w:t>
      </w:r>
      <w:r>
        <w:rPr>
          <w:rFonts w:ascii="宋体" w:hAnsi="宋体" w:hint="eastAsia"/>
          <w:sz w:val="24"/>
          <w:szCs w:val="18"/>
        </w:rPr>
        <w:t>交银施罗德稳固收益债券</w:t>
      </w:r>
      <w:r>
        <w:rPr>
          <w:rFonts w:ascii="宋体" w:hAnsi="宋体"/>
          <w:sz w:val="24"/>
          <w:szCs w:val="18"/>
        </w:rPr>
        <w:t>型</w:t>
      </w:r>
      <w:r>
        <w:rPr>
          <w:bCs/>
          <w:sz w:val="24"/>
        </w:rPr>
        <w:t>证券投资基金</w:t>
      </w:r>
      <w:r>
        <w:rPr>
          <w:rFonts w:hint="eastAsia"/>
          <w:bCs/>
          <w:sz w:val="24"/>
        </w:rPr>
        <w:t>，由交银施罗德荣祥保本混合型证券投资基金保本周期到期转型而来</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w:t>
      </w:r>
      <w:r>
        <w:rPr>
          <w:bCs/>
          <w:sz w:val="24"/>
        </w:rPr>
        <w:t>基金管理人</w:t>
      </w:r>
      <w:r>
        <w:rPr>
          <w:rFonts w:hint="eastAsia"/>
          <w:bCs/>
          <w:sz w:val="24"/>
        </w:rPr>
        <w:t>或本基金管理人</w:t>
      </w:r>
      <w:r>
        <w:rPr>
          <w:bCs/>
          <w:sz w:val="24"/>
        </w:rPr>
        <w:t>：指</w:t>
      </w:r>
      <w:r>
        <w:rPr>
          <w:rFonts w:hint="eastAsia"/>
          <w:bCs/>
          <w:sz w:val="24"/>
        </w:rPr>
        <w:t>交银施罗德基金管理有限公司</w:t>
      </w:r>
    </w:p>
    <w:p w:rsidR="00BF60A0" w:rsidRDefault="006E4EA0">
      <w:pPr>
        <w:adjustRightInd w:val="0"/>
        <w:snapToGrid w:val="0"/>
        <w:spacing w:line="360" w:lineRule="auto"/>
        <w:ind w:firstLineChars="200" w:firstLine="480"/>
        <w:rPr>
          <w:bCs/>
          <w:sz w:val="24"/>
        </w:rPr>
      </w:pPr>
      <w:r>
        <w:rPr>
          <w:bCs/>
          <w:sz w:val="24"/>
        </w:rPr>
        <w:t>3</w:t>
      </w:r>
      <w:r>
        <w:rPr>
          <w:rFonts w:hint="eastAsia"/>
          <w:bCs/>
          <w:sz w:val="24"/>
        </w:rPr>
        <w:t>、</w:t>
      </w:r>
      <w:r>
        <w:rPr>
          <w:bCs/>
          <w:sz w:val="24"/>
        </w:rPr>
        <w:t>基金托管人</w:t>
      </w:r>
      <w:r>
        <w:rPr>
          <w:rFonts w:hint="eastAsia"/>
          <w:bCs/>
          <w:sz w:val="24"/>
        </w:rPr>
        <w:t>或本基金托管人</w:t>
      </w:r>
      <w:r>
        <w:rPr>
          <w:bCs/>
          <w:sz w:val="24"/>
        </w:rPr>
        <w:t>：指</w:t>
      </w:r>
      <w:r>
        <w:rPr>
          <w:rFonts w:hint="eastAsia"/>
          <w:bCs/>
          <w:sz w:val="24"/>
        </w:rPr>
        <w:t>中国农业银行股份有限公司</w:t>
      </w:r>
    </w:p>
    <w:p w:rsidR="00BF60A0" w:rsidRDefault="006E4EA0">
      <w:pPr>
        <w:adjustRightInd w:val="0"/>
        <w:snapToGrid w:val="0"/>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ascii="宋体" w:hAnsi="宋体" w:hint="eastAsia"/>
          <w:sz w:val="24"/>
          <w:szCs w:val="18"/>
        </w:rPr>
        <w:t>交银施罗德稳固收益债券</w:t>
      </w:r>
      <w:r>
        <w:rPr>
          <w:rFonts w:ascii="宋体" w:hAnsi="宋体"/>
          <w:sz w:val="24"/>
          <w:szCs w:val="18"/>
        </w:rPr>
        <w:t>型</w:t>
      </w:r>
      <w:r>
        <w:rPr>
          <w:bCs/>
          <w:sz w:val="24"/>
        </w:rPr>
        <w:t>证券投资基金基金合同》及对本基金合同的任何有效修订和补充</w:t>
      </w:r>
    </w:p>
    <w:p w:rsidR="00BF60A0" w:rsidRDefault="006E4EA0">
      <w:pPr>
        <w:adjustRightInd w:val="0"/>
        <w:snapToGrid w:val="0"/>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ascii="宋体" w:hAnsi="宋体" w:hint="eastAsia"/>
          <w:sz w:val="24"/>
          <w:szCs w:val="18"/>
        </w:rPr>
        <w:t>交银施罗德稳固收益债券</w:t>
      </w:r>
      <w:r>
        <w:rPr>
          <w:rFonts w:ascii="宋体" w:hAnsi="宋体"/>
          <w:sz w:val="24"/>
          <w:szCs w:val="18"/>
        </w:rPr>
        <w:t>型</w:t>
      </w:r>
      <w:r>
        <w:rPr>
          <w:bCs/>
          <w:sz w:val="24"/>
        </w:rPr>
        <w:t>证券投资基金托管协议》及对该托管协议的任何有效修订和补充</w:t>
      </w:r>
    </w:p>
    <w:p w:rsidR="00BF60A0" w:rsidRDefault="006E4EA0">
      <w:pPr>
        <w:adjustRightInd w:val="0"/>
        <w:snapToGrid w:val="0"/>
        <w:spacing w:line="360" w:lineRule="auto"/>
        <w:ind w:firstLineChars="200" w:firstLine="480"/>
        <w:rPr>
          <w:bCs/>
          <w:sz w:val="24"/>
        </w:rPr>
      </w:pPr>
      <w:r>
        <w:rPr>
          <w:bCs/>
          <w:sz w:val="24"/>
        </w:rPr>
        <w:t>6</w:t>
      </w:r>
      <w:r>
        <w:rPr>
          <w:rFonts w:hint="eastAsia"/>
          <w:bCs/>
          <w:sz w:val="24"/>
        </w:rPr>
        <w:t>、</w:t>
      </w:r>
      <w:r>
        <w:rPr>
          <w:bCs/>
          <w:sz w:val="24"/>
        </w:rPr>
        <w:t>招募说明书：指《</w:t>
      </w:r>
      <w:r>
        <w:rPr>
          <w:rFonts w:ascii="宋体" w:hAnsi="宋体" w:hint="eastAsia"/>
          <w:sz w:val="24"/>
          <w:szCs w:val="18"/>
        </w:rPr>
        <w:t>交银施罗德稳固收益债券</w:t>
      </w:r>
      <w:r>
        <w:rPr>
          <w:rFonts w:ascii="宋体" w:hAnsi="宋体"/>
          <w:sz w:val="24"/>
          <w:szCs w:val="18"/>
        </w:rPr>
        <w:t>型</w:t>
      </w:r>
      <w:r>
        <w:rPr>
          <w:bCs/>
          <w:sz w:val="24"/>
        </w:rPr>
        <w:t>证券投资基金招募说明书》及其更新</w:t>
      </w:r>
    </w:p>
    <w:p w:rsidR="00BF60A0" w:rsidRDefault="006E4EA0">
      <w:pPr>
        <w:adjustRightInd w:val="0"/>
        <w:snapToGrid w:val="0"/>
        <w:spacing w:line="360" w:lineRule="auto"/>
        <w:ind w:firstLineChars="200" w:firstLine="480"/>
        <w:rPr>
          <w:bCs/>
          <w:sz w:val="24"/>
        </w:rPr>
      </w:pPr>
      <w:r>
        <w:rPr>
          <w:rFonts w:hint="eastAsia"/>
          <w:bCs/>
          <w:sz w:val="24"/>
        </w:rPr>
        <w:t>7</w:t>
      </w:r>
      <w:r>
        <w:rPr>
          <w:rFonts w:hint="eastAsia"/>
          <w:bCs/>
          <w:sz w:val="24"/>
        </w:rPr>
        <w:t>、基金产品资料概要：指《</w:t>
      </w:r>
      <w:r>
        <w:rPr>
          <w:rFonts w:ascii="宋体" w:hAnsi="宋体" w:hint="eastAsia"/>
          <w:sz w:val="24"/>
          <w:szCs w:val="18"/>
        </w:rPr>
        <w:t>交银施罗德稳固收益债券</w:t>
      </w:r>
      <w:r>
        <w:rPr>
          <w:rFonts w:ascii="宋体" w:hAnsi="宋体"/>
          <w:sz w:val="24"/>
          <w:szCs w:val="18"/>
        </w:rPr>
        <w:t>型</w:t>
      </w:r>
      <w:r>
        <w:rPr>
          <w:rFonts w:hint="eastAsia"/>
          <w:bCs/>
          <w:sz w:val="24"/>
        </w:rPr>
        <w:t>证券投资基金基金产品资料概要》及其更新</w:t>
      </w:r>
    </w:p>
    <w:p w:rsidR="00BF60A0" w:rsidRDefault="006E4EA0">
      <w:pPr>
        <w:adjustRightInd w:val="0"/>
        <w:snapToGrid w:val="0"/>
        <w:spacing w:line="360" w:lineRule="auto"/>
        <w:ind w:firstLineChars="200" w:firstLine="480"/>
        <w:rPr>
          <w:bCs/>
          <w:sz w:val="24"/>
        </w:rPr>
      </w:pPr>
      <w:r>
        <w:rPr>
          <w:rFonts w:hint="eastAsia"/>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BF60A0" w:rsidRDefault="006E4EA0">
      <w:pPr>
        <w:adjustRightInd w:val="0"/>
        <w:snapToGrid w:val="0"/>
        <w:spacing w:line="360" w:lineRule="auto"/>
        <w:ind w:firstLineChars="200" w:firstLine="480"/>
        <w:rPr>
          <w:bCs/>
          <w:sz w:val="24"/>
        </w:rPr>
      </w:pPr>
      <w:r>
        <w:rPr>
          <w:rFonts w:hint="eastAsia"/>
          <w:bCs/>
          <w:sz w:val="24"/>
        </w:rPr>
        <w:t>9</w:t>
      </w:r>
      <w:r>
        <w:rPr>
          <w:rFonts w:hint="eastAsia"/>
          <w:bCs/>
          <w:sz w:val="24"/>
        </w:rPr>
        <w:t>、中国：指中华人民共和国（仅为基金合同之目的，不包括香港特别行政区、澳门特别行政区及台湾地区）</w:t>
      </w:r>
    </w:p>
    <w:p w:rsidR="00BF60A0" w:rsidRDefault="006E4EA0">
      <w:pPr>
        <w:adjustRightInd w:val="0"/>
        <w:snapToGrid w:val="0"/>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w:t>
      </w:r>
      <w:r>
        <w:rPr>
          <w:bCs/>
          <w:sz w:val="24"/>
        </w:rPr>
        <w:t>《中华人民共和国证券投资基金法》及颁布机关对其不时做出的修订</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w:t>
      </w:r>
      <w:r>
        <w:rPr>
          <w:rFonts w:hint="eastAsia"/>
          <w:bCs/>
          <w:sz w:val="24"/>
        </w:rPr>
        <w:t>《公开募集证券投资基金销售机构监督管理办法》及颁布机关对其不时做出的修订</w:t>
      </w:r>
    </w:p>
    <w:p w:rsidR="00BF60A0" w:rsidRDefault="006E4EA0">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w:t>
      </w:r>
      <w:r>
        <w:rPr>
          <w:bCs/>
          <w:sz w:val="24"/>
        </w:rPr>
        <w:lastRenderedPageBreak/>
        <w:t>订</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w:t>
      </w:r>
      <w:r>
        <w:rPr>
          <w:bCs/>
          <w:sz w:val="24"/>
        </w:rPr>
        <w:t>实施的《公开募集证券投资基金运作管理办法》及颁布机关对其不时做出的修订</w:t>
      </w:r>
    </w:p>
    <w:p w:rsidR="00BF60A0" w:rsidRDefault="006E4EA0">
      <w:pPr>
        <w:adjustRightInd w:val="0"/>
        <w:snapToGrid w:val="0"/>
        <w:spacing w:line="360" w:lineRule="auto"/>
        <w:ind w:firstLineChars="200" w:firstLine="480"/>
        <w:rPr>
          <w:bCs/>
          <w:sz w:val="24"/>
        </w:rPr>
      </w:pPr>
      <w:r>
        <w:rPr>
          <w:rFonts w:hint="eastAsia"/>
          <w:bCs/>
          <w:sz w:val="24"/>
        </w:rPr>
        <w:t>14</w:t>
      </w:r>
      <w:r>
        <w:rPr>
          <w:rFonts w:hint="eastAsia"/>
          <w:bCs/>
          <w:sz w:val="24"/>
        </w:rPr>
        <w:t>、《流动性规定》：指中国证监会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机构投资者：指依法可以投资证券投资基金的、在中国境内合法登记并存续或经有关政府部门批准设立并存续的企业法人、事业法人、社会团体或其他组织</w:t>
      </w:r>
    </w:p>
    <w:p w:rsidR="00BF60A0" w:rsidRDefault="006E4EA0">
      <w:pPr>
        <w:adjustRightInd w:val="0"/>
        <w:snapToGrid w:val="0"/>
        <w:spacing w:line="360" w:lineRule="auto"/>
        <w:ind w:firstLineChars="200" w:firstLine="480"/>
        <w:rPr>
          <w:bCs/>
          <w:sz w:val="24"/>
        </w:rPr>
      </w:pPr>
      <w:r>
        <w:rPr>
          <w:rFonts w:hint="eastAsia"/>
          <w:bCs/>
          <w:sz w:val="24"/>
        </w:rPr>
        <w:t>20</w:t>
      </w:r>
      <w:r>
        <w:rPr>
          <w:rFonts w:hint="eastAsia"/>
          <w:bCs/>
          <w:sz w:val="24"/>
        </w:rPr>
        <w:t>、合格境外投资者：</w:t>
      </w:r>
      <w:r>
        <w:rPr>
          <w:rFonts w:hint="eastAsia"/>
          <w:sz w:val="24"/>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BF60A0" w:rsidRDefault="006E4EA0">
      <w:pPr>
        <w:adjustRightInd w:val="0"/>
        <w:snapToGrid w:val="0"/>
        <w:spacing w:line="360" w:lineRule="auto"/>
        <w:ind w:firstLineChars="200" w:firstLine="480"/>
        <w:rPr>
          <w:bCs/>
          <w:sz w:val="24"/>
        </w:rPr>
      </w:pPr>
      <w:r>
        <w:rPr>
          <w:rFonts w:hint="eastAsia"/>
          <w:bCs/>
          <w:sz w:val="24"/>
        </w:rPr>
        <w:t>21</w:t>
      </w:r>
      <w:r>
        <w:rPr>
          <w:rFonts w:hint="eastAsia"/>
          <w:bCs/>
          <w:sz w:val="24"/>
        </w:rPr>
        <w:t>、</w:t>
      </w:r>
      <w:r>
        <w:rPr>
          <w:bCs/>
          <w:sz w:val="24"/>
        </w:rPr>
        <w:t>投资人：指个人投资者、机构投资者和合格境外投资者以及法律法规或中国证监会允许购买证券投资基金的其他投资人的合称</w:t>
      </w:r>
      <w:r>
        <w:rPr>
          <w:rFonts w:hint="eastAsia"/>
          <w:bCs/>
          <w:sz w:val="24"/>
        </w:rPr>
        <w:t>（以下或称“基金投资者”、“投资者”）</w:t>
      </w:r>
    </w:p>
    <w:p w:rsidR="00BF60A0" w:rsidRDefault="006E4EA0">
      <w:pPr>
        <w:adjustRightInd w:val="0"/>
        <w:snapToGrid w:val="0"/>
        <w:spacing w:line="360" w:lineRule="auto"/>
        <w:ind w:firstLineChars="200" w:firstLine="480"/>
        <w:rPr>
          <w:bCs/>
          <w:sz w:val="24"/>
        </w:rPr>
      </w:pPr>
      <w:r>
        <w:rPr>
          <w:rFonts w:hint="eastAsia"/>
          <w:bCs/>
          <w:sz w:val="24"/>
        </w:rPr>
        <w:t>22</w:t>
      </w:r>
      <w:r>
        <w:rPr>
          <w:rFonts w:hint="eastAsia"/>
          <w:bCs/>
          <w:sz w:val="24"/>
        </w:rPr>
        <w:t>、</w:t>
      </w:r>
      <w:r>
        <w:rPr>
          <w:bCs/>
          <w:sz w:val="24"/>
        </w:rPr>
        <w:t>基金份额持有人：指依基金合同和招募说明书合法取得基金份额的投资人</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基金销售业务：指基金管理人或销售机构宣传推介基金，</w:t>
      </w:r>
      <w:r>
        <w:rPr>
          <w:rFonts w:hint="eastAsia"/>
          <w:bCs/>
          <w:sz w:val="24"/>
        </w:rPr>
        <w:t>销售</w:t>
      </w:r>
      <w:r>
        <w:rPr>
          <w:bCs/>
          <w:sz w:val="24"/>
        </w:rPr>
        <w:t>基金份额，办理基金份额的申购、赎回、转换、转托管及定期定额投资等业务</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4</w:t>
      </w:r>
      <w:r>
        <w:rPr>
          <w:rFonts w:hint="eastAsia"/>
          <w:bCs/>
          <w:sz w:val="24"/>
        </w:rPr>
        <w:t>、直销机构：指交银施罗德基金管理有限公司</w:t>
      </w:r>
    </w:p>
    <w:p w:rsidR="00BF60A0" w:rsidRDefault="006E4EA0">
      <w:pPr>
        <w:adjustRightInd w:val="0"/>
        <w:snapToGrid w:val="0"/>
        <w:spacing w:line="360" w:lineRule="auto"/>
        <w:ind w:firstLineChars="200" w:firstLine="480"/>
        <w:rPr>
          <w:bCs/>
          <w:sz w:val="24"/>
        </w:rPr>
      </w:pPr>
      <w:r>
        <w:rPr>
          <w:rFonts w:hint="eastAsia"/>
          <w:bCs/>
          <w:sz w:val="24"/>
        </w:rPr>
        <w:t>25</w:t>
      </w:r>
      <w:r>
        <w:rPr>
          <w:rFonts w:hint="eastAsia"/>
          <w:bCs/>
          <w:sz w:val="24"/>
        </w:rPr>
        <w:t>、代销机构：指符合《销售办法》和中国证监会规定的其他条件，取得基金销售业务资格并与基金管理人签订了基金销售服务代理协议，代为办理基金销售业务的机构</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销售机构：</w:t>
      </w:r>
      <w:r>
        <w:rPr>
          <w:rFonts w:hint="eastAsia"/>
          <w:bCs/>
          <w:sz w:val="24"/>
        </w:rPr>
        <w:t>直销机构和代销机构</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登记业务：指基金登记、存管、过户、清算和结算业务，具体内容包括投</w:t>
      </w:r>
      <w:r>
        <w:rPr>
          <w:bCs/>
          <w:sz w:val="24"/>
        </w:rPr>
        <w:lastRenderedPageBreak/>
        <w:t>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登记机构：指办理登记业务的机构。基金的登记机构为</w:t>
      </w:r>
      <w:r>
        <w:rPr>
          <w:rFonts w:hint="eastAsia"/>
          <w:bCs/>
          <w:sz w:val="24"/>
        </w:rPr>
        <w:t>交银施罗德基金管理有限公司</w:t>
      </w:r>
      <w:r>
        <w:rPr>
          <w:bCs/>
          <w:sz w:val="24"/>
        </w:rPr>
        <w:t>或接受</w:t>
      </w:r>
      <w:r>
        <w:rPr>
          <w:rFonts w:hint="eastAsia"/>
          <w:bCs/>
          <w:sz w:val="24"/>
        </w:rPr>
        <w:t>交银施罗德基金管理有限公司</w:t>
      </w:r>
      <w:r>
        <w:rPr>
          <w:bCs/>
          <w:sz w:val="24"/>
        </w:rPr>
        <w:t>委托代为办理登记业务的机构</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基金账户：指登记机构为投资人开立的、记录其持有的、基金管理人所管理的基金份额余额及其变动情况的账户</w:t>
      </w:r>
    </w:p>
    <w:p w:rsidR="00BF60A0" w:rsidRDefault="006E4EA0">
      <w:pPr>
        <w:adjustRightInd w:val="0"/>
        <w:snapToGrid w:val="0"/>
        <w:spacing w:line="360" w:lineRule="auto"/>
        <w:ind w:firstLineChars="200" w:firstLine="480"/>
        <w:rPr>
          <w:bCs/>
          <w:sz w:val="24"/>
        </w:rPr>
      </w:pPr>
      <w:r>
        <w:rPr>
          <w:rFonts w:hint="eastAsia"/>
          <w:bCs/>
          <w:sz w:val="24"/>
        </w:rPr>
        <w:t>30</w:t>
      </w:r>
      <w:r>
        <w:rPr>
          <w:rFonts w:hint="eastAsia"/>
          <w:bCs/>
          <w:sz w:val="24"/>
        </w:rPr>
        <w:t>、</w:t>
      </w:r>
      <w:r>
        <w:rPr>
          <w:bCs/>
          <w:sz w:val="24"/>
        </w:rPr>
        <w:t>基金交易账户：指销售机构为投资人开立的、记录投资人通过该销售机构</w:t>
      </w:r>
      <w:r>
        <w:rPr>
          <w:rFonts w:ascii="宋体" w:hAnsi="宋体" w:hint="eastAsia"/>
          <w:sz w:val="24"/>
        </w:rPr>
        <w:t>办理认购、申购、赎回、转换及转托管等业务而引起</w:t>
      </w:r>
      <w:r>
        <w:rPr>
          <w:bCs/>
          <w:sz w:val="24"/>
        </w:rPr>
        <w:t>的基金份额变动及结余情况的账户</w:t>
      </w:r>
    </w:p>
    <w:p w:rsidR="00BF60A0" w:rsidRDefault="006E4EA0">
      <w:pPr>
        <w:adjustRightInd w:val="0"/>
        <w:snapToGrid w:val="0"/>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基金合同生效日：</w:t>
      </w:r>
      <w:r>
        <w:rPr>
          <w:rFonts w:hint="eastAsia"/>
          <w:bCs/>
          <w:sz w:val="24"/>
        </w:rPr>
        <w:t>指根据</w:t>
      </w:r>
      <w:r>
        <w:rPr>
          <w:rFonts w:hint="eastAsia"/>
          <w:bCs/>
          <w:sz w:val="24"/>
        </w:rPr>
        <w:t>202</w:t>
      </w:r>
      <w:r>
        <w:rPr>
          <w:bCs/>
          <w:sz w:val="24"/>
        </w:rPr>
        <w:t>3</w:t>
      </w:r>
      <w:r>
        <w:rPr>
          <w:rFonts w:hint="eastAsia"/>
          <w:bCs/>
          <w:sz w:val="24"/>
        </w:rPr>
        <w:t>年</w:t>
      </w:r>
      <w:r>
        <w:rPr>
          <w:bCs/>
          <w:sz w:val="24"/>
        </w:rPr>
        <w:t>3</w:t>
      </w:r>
      <w:r>
        <w:rPr>
          <w:rFonts w:hint="eastAsia"/>
          <w:bCs/>
          <w:sz w:val="24"/>
        </w:rPr>
        <w:t>月</w:t>
      </w:r>
      <w:r>
        <w:rPr>
          <w:bCs/>
          <w:sz w:val="24"/>
        </w:rPr>
        <w:t>22</w:t>
      </w:r>
      <w:r>
        <w:rPr>
          <w:rFonts w:hint="eastAsia"/>
          <w:bCs/>
          <w:sz w:val="24"/>
        </w:rPr>
        <w:t>日至</w:t>
      </w:r>
      <w:r>
        <w:rPr>
          <w:rFonts w:hint="eastAsia"/>
          <w:bCs/>
          <w:sz w:val="24"/>
        </w:rPr>
        <w:t>202</w:t>
      </w:r>
      <w:r>
        <w:rPr>
          <w:bCs/>
          <w:sz w:val="24"/>
        </w:rPr>
        <w:t>3</w:t>
      </w:r>
      <w:r>
        <w:rPr>
          <w:rFonts w:hint="eastAsia"/>
          <w:bCs/>
          <w:sz w:val="24"/>
        </w:rPr>
        <w:t>年</w:t>
      </w:r>
      <w:r>
        <w:rPr>
          <w:bCs/>
          <w:sz w:val="24"/>
        </w:rPr>
        <w:t>4</w:t>
      </w:r>
      <w:r>
        <w:rPr>
          <w:rFonts w:hint="eastAsia"/>
          <w:bCs/>
          <w:sz w:val="24"/>
        </w:rPr>
        <w:t>月</w:t>
      </w:r>
      <w:r>
        <w:rPr>
          <w:bCs/>
          <w:sz w:val="24"/>
        </w:rPr>
        <w:t>24</w:t>
      </w:r>
      <w:r>
        <w:rPr>
          <w:rFonts w:hint="eastAsia"/>
          <w:bCs/>
          <w:sz w:val="24"/>
        </w:rPr>
        <w:t>日基金份额持有人大会审议通过的《关于交银施罗德稳固收益债券型证券投资基金修改基金合同有关事项的议案》所修订的《交银施罗德稳固收益债券型证券投资基金基金合同》生效日</w:t>
      </w:r>
    </w:p>
    <w:p w:rsidR="00BF60A0" w:rsidRDefault="006E4EA0">
      <w:pPr>
        <w:adjustRightInd w:val="0"/>
        <w:snapToGrid w:val="0"/>
        <w:spacing w:line="360" w:lineRule="auto"/>
        <w:ind w:firstLineChars="200" w:firstLine="480"/>
        <w:rPr>
          <w:bCs/>
          <w:sz w:val="24"/>
        </w:rPr>
      </w:pPr>
      <w:r>
        <w:rPr>
          <w:rFonts w:hint="eastAsia"/>
          <w:bCs/>
          <w:sz w:val="24"/>
        </w:rPr>
        <w:t>32</w:t>
      </w:r>
      <w:r>
        <w:rPr>
          <w:rFonts w:hint="eastAsia"/>
          <w:bCs/>
          <w:sz w:val="24"/>
        </w:rPr>
        <w:t>、</w:t>
      </w:r>
      <w:r>
        <w:rPr>
          <w:bCs/>
          <w:sz w:val="24"/>
        </w:rPr>
        <w:t>基金合同终止日：指基金合同规定的基金合同终止事由出现后，基金财产清算完毕，清算结果报中国证监会备案并予以公告的日期</w:t>
      </w:r>
    </w:p>
    <w:p w:rsidR="00BF60A0" w:rsidRDefault="006E4EA0">
      <w:pPr>
        <w:adjustRightInd w:val="0"/>
        <w:snapToGrid w:val="0"/>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rsidR="00BF60A0" w:rsidRDefault="006E4EA0">
      <w:pPr>
        <w:adjustRightInd w:val="0"/>
        <w:snapToGrid w:val="0"/>
        <w:spacing w:line="360" w:lineRule="auto"/>
        <w:ind w:firstLineChars="200" w:firstLine="480"/>
        <w:rPr>
          <w:color w:val="000000"/>
          <w:kern w:val="0"/>
          <w:sz w:val="24"/>
        </w:rPr>
      </w:pPr>
      <w:r>
        <w:rPr>
          <w:sz w:val="24"/>
        </w:rPr>
        <w:t>3</w:t>
      </w:r>
      <w:r>
        <w:rPr>
          <w:rFonts w:hint="eastAsia"/>
          <w:sz w:val="24"/>
        </w:rPr>
        <w:t>4</w:t>
      </w:r>
      <w:r>
        <w:rPr>
          <w:rFonts w:hint="eastAsia"/>
          <w:color w:val="000000"/>
          <w:kern w:val="0"/>
          <w:sz w:val="24"/>
        </w:rPr>
        <w:t>、</w:t>
      </w:r>
      <w:r>
        <w:rPr>
          <w:color w:val="000000"/>
          <w:kern w:val="0"/>
          <w:sz w:val="24"/>
        </w:rPr>
        <w:t>工作日：指上海证券交易所、深圳证券交易所的正常交易日</w:t>
      </w:r>
    </w:p>
    <w:p w:rsidR="00BF60A0" w:rsidRDefault="006E4EA0">
      <w:pPr>
        <w:adjustRightInd w:val="0"/>
        <w:snapToGrid w:val="0"/>
        <w:spacing w:line="360" w:lineRule="auto"/>
        <w:ind w:firstLineChars="200" w:firstLine="480"/>
        <w:rPr>
          <w:color w:val="000000"/>
          <w:kern w:val="0"/>
          <w:sz w:val="24"/>
        </w:rPr>
      </w:pPr>
      <w:r>
        <w:rPr>
          <w:color w:val="000000"/>
          <w:kern w:val="0"/>
          <w:sz w:val="24"/>
        </w:rPr>
        <w:t>3</w:t>
      </w:r>
      <w:r>
        <w:rPr>
          <w:rFonts w:hint="eastAsia"/>
          <w:color w:val="000000"/>
          <w:kern w:val="0"/>
          <w:sz w:val="24"/>
        </w:rPr>
        <w:t>5</w:t>
      </w:r>
      <w:r>
        <w:rPr>
          <w:rFonts w:hint="eastAsia"/>
          <w:color w:val="000000"/>
          <w:kern w:val="0"/>
          <w:sz w:val="24"/>
        </w:rPr>
        <w:t>、</w:t>
      </w:r>
      <w:r>
        <w:rPr>
          <w:color w:val="000000"/>
          <w:kern w:val="0"/>
          <w:sz w:val="24"/>
        </w:rPr>
        <w:t>T</w:t>
      </w:r>
      <w:r>
        <w:rPr>
          <w:color w:val="000000"/>
          <w:kern w:val="0"/>
          <w:sz w:val="24"/>
        </w:rPr>
        <w:t>日：指销售机构在规定时间受理投资人申购、赎回或其他业务申请的开放日</w:t>
      </w:r>
    </w:p>
    <w:p w:rsidR="00BF60A0" w:rsidRDefault="006E4EA0">
      <w:pPr>
        <w:adjustRightInd w:val="0"/>
        <w:snapToGrid w:val="0"/>
        <w:spacing w:line="360" w:lineRule="auto"/>
        <w:ind w:firstLineChars="200" w:firstLine="480"/>
        <w:rPr>
          <w:color w:val="000000"/>
          <w:kern w:val="0"/>
          <w:sz w:val="24"/>
        </w:rPr>
      </w:pPr>
      <w:r>
        <w:rPr>
          <w:color w:val="000000"/>
          <w:kern w:val="0"/>
          <w:sz w:val="24"/>
        </w:rPr>
        <w:t>3</w:t>
      </w:r>
      <w:r>
        <w:rPr>
          <w:rFonts w:hint="eastAsia"/>
          <w:color w:val="000000"/>
          <w:kern w:val="0"/>
          <w:sz w:val="24"/>
        </w:rPr>
        <w:t>6</w:t>
      </w:r>
      <w:r>
        <w:rPr>
          <w:rFonts w:hint="eastAsia"/>
          <w:color w:val="000000"/>
          <w:kern w:val="0"/>
          <w:sz w:val="24"/>
        </w:rPr>
        <w:t>、</w:t>
      </w:r>
      <w:r>
        <w:rPr>
          <w:color w:val="000000"/>
          <w:kern w:val="0"/>
          <w:sz w:val="24"/>
        </w:rPr>
        <w:t>T+n</w:t>
      </w:r>
      <w:r>
        <w:rPr>
          <w:color w:val="000000"/>
          <w:kern w:val="0"/>
          <w:sz w:val="24"/>
        </w:rPr>
        <w:t>日：指自</w:t>
      </w:r>
      <w:r>
        <w:rPr>
          <w:color w:val="000000"/>
          <w:kern w:val="0"/>
          <w:sz w:val="24"/>
        </w:rPr>
        <w:t>T</w:t>
      </w:r>
      <w:r>
        <w:rPr>
          <w:color w:val="000000"/>
          <w:kern w:val="0"/>
          <w:sz w:val="24"/>
        </w:rPr>
        <w:t>日起第</w:t>
      </w:r>
      <w:r>
        <w:rPr>
          <w:color w:val="000000"/>
          <w:kern w:val="0"/>
          <w:sz w:val="24"/>
        </w:rPr>
        <w:t>n</w:t>
      </w:r>
      <w:r>
        <w:rPr>
          <w:color w:val="000000"/>
          <w:kern w:val="0"/>
          <w:sz w:val="24"/>
        </w:rPr>
        <w:t>个工作日</w:t>
      </w:r>
      <w:r>
        <w:rPr>
          <w:color w:val="000000"/>
          <w:kern w:val="0"/>
          <w:sz w:val="24"/>
        </w:rPr>
        <w:t>(</w:t>
      </w:r>
      <w:r>
        <w:rPr>
          <w:color w:val="000000"/>
          <w:kern w:val="0"/>
          <w:sz w:val="24"/>
        </w:rPr>
        <w:t>不包含</w:t>
      </w:r>
      <w:r>
        <w:rPr>
          <w:color w:val="000000"/>
          <w:kern w:val="0"/>
          <w:sz w:val="24"/>
        </w:rPr>
        <w:t>T</w:t>
      </w:r>
      <w:r>
        <w:rPr>
          <w:color w:val="000000"/>
          <w:kern w:val="0"/>
          <w:sz w:val="24"/>
        </w:rPr>
        <w:t>日</w:t>
      </w:r>
      <w:r>
        <w:rPr>
          <w:color w:val="000000"/>
          <w:kern w:val="0"/>
          <w:sz w:val="24"/>
        </w:rPr>
        <w:t>)</w:t>
      </w:r>
    </w:p>
    <w:p w:rsidR="00BF60A0" w:rsidRDefault="006E4EA0">
      <w:pPr>
        <w:adjustRightInd w:val="0"/>
        <w:snapToGrid w:val="0"/>
        <w:spacing w:line="360" w:lineRule="auto"/>
        <w:ind w:firstLineChars="200" w:firstLine="480"/>
        <w:rPr>
          <w:color w:val="000000"/>
          <w:kern w:val="0"/>
          <w:sz w:val="24"/>
        </w:rPr>
      </w:pPr>
      <w:r>
        <w:rPr>
          <w:color w:val="000000"/>
          <w:kern w:val="0"/>
          <w:sz w:val="24"/>
        </w:rPr>
        <w:t>3</w:t>
      </w:r>
      <w:r>
        <w:rPr>
          <w:rFonts w:hint="eastAsia"/>
          <w:color w:val="000000"/>
          <w:kern w:val="0"/>
          <w:sz w:val="24"/>
        </w:rPr>
        <w:t>7</w:t>
      </w:r>
      <w:r>
        <w:rPr>
          <w:rFonts w:hint="eastAsia"/>
          <w:color w:val="000000"/>
          <w:kern w:val="0"/>
          <w:sz w:val="24"/>
        </w:rPr>
        <w:t>、</w:t>
      </w:r>
      <w:r>
        <w:rPr>
          <w:color w:val="000000"/>
          <w:kern w:val="0"/>
          <w:sz w:val="24"/>
        </w:rPr>
        <w:t>开放日：指为投资人办理基金份额申购、赎回或其他业务的工作日</w:t>
      </w:r>
      <w:r>
        <w:rPr>
          <w:rFonts w:hint="eastAsia"/>
          <w:color w:val="000000"/>
          <w:kern w:val="0"/>
          <w:sz w:val="24"/>
        </w:rPr>
        <w:t>（若该工作日为非港股通交易日，则本基金可不开放）</w:t>
      </w:r>
    </w:p>
    <w:p w:rsidR="00BF60A0" w:rsidRDefault="006E4EA0">
      <w:pPr>
        <w:adjustRightInd w:val="0"/>
        <w:snapToGrid w:val="0"/>
        <w:spacing w:line="360" w:lineRule="auto"/>
        <w:ind w:firstLineChars="200" w:firstLine="480"/>
        <w:rPr>
          <w:color w:val="000000"/>
          <w:kern w:val="0"/>
          <w:sz w:val="24"/>
        </w:rPr>
      </w:pPr>
      <w:r>
        <w:rPr>
          <w:color w:val="000000"/>
          <w:kern w:val="0"/>
          <w:sz w:val="24"/>
        </w:rPr>
        <w:t>3</w:t>
      </w:r>
      <w:r>
        <w:rPr>
          <w:rFonts w:hint="eastAsia"/>
          <w:color w:val="000000"/>
          <w:kern w:val="0"/>
          <w:sz w:val="24"/>
        </w:rPr>
        <w:t>8</w:t>
      </w:r>
      <w:r>
        <w:rPr>
          <w:rFonts w:hint="eastAsia"/>
          <w:color w:val="000000"/>
          <w:kern w:val="0"/>
          <w:sz w:val="24"/>
        </w:rPr>
        <w:t>、</w:t>
      </w:r>
      <w:r>
        <w:rPr>
          <w:color w:val="000000"/>
          <w:kern w:val="0"/>
          <w:sz w:val="24"/>
        </w:rPr>
        <w:t>开放时间：指开放日基金接受申购、赎回或其他交易的时间段</w:t>
      </w:r>
    </w:p>
    <w:p w:rsidR="00BF60A0" w:rsidRDefault="006E4EA0">
      <w:pPr>
        <w:adjustRightInd w:val="0"/>
        <w:snapToGrid w:val="0"/>
        <w:spacing w:line="360" w:lineRule="auto"/>
        <w:ind w:firstLineChars="200" w:firstLine="480"/>
        <w:rPr>
          <w:color w:val="000000"/>
          <w:kern w:val="0"/>
          <w:sz w:val="24"/>
        </w:rPr>
      </w:pPr>
      <w:r>
        <w:rPr>
          <w:color w:val="000000"/>
          <w:kern w:val="0"/>
          <w:sz w:val="24"/>
        </w:rPr>
        <w:t>3</w:t>
      </w:r>
      <w:r>
        <w:rPr>
          <w:rFonts w:hint="eastAsia"/>
          <w:color w:val="000000"/>
          <w:kern w:val="0"/>
          <w:sz w:val="24"/>
        </w:rPr>
        <w:t>9</w:t>
      </w:r>
      <w:r>
        <w:rPr>
          <w:rFonts w:hint="eastAsia"/>
          <w:color w:val="000000"/>
          <w:kern w:val="0"/>
          <w:sz w:val="24"/>
        </w:rPr>
        <w:t>、</w:t>
      </w:r>
      <w:r>
        <w:rPr>
          <w:color w:val="000000"/>
          <w:kern w:val="0"/>
          <w:sz w:val="24"/>
        </w:rPr>
        <w:t>《业务规则》：指《</w:t>
      </w:r>
      <w:r>
        <w:rPr>
          <w:rFonts w:hint="eastAsia"/>
          <w:color w:val="000000"/>
          <w:kern w:val="0"/>
          <w:sz w:val="24"/>
        </w:rPr>
        <w:t>交银施罗德基金管理有限公司</w:t>
      </w:r>
      <w:r>
        <w:rPr>
          <w:color w:val="000000"/>
          <w:kern w:val="0"/>
          <w:sz w:val="24"/>
        </w:rPr>
        <w:t>开放式基金业务规则》，是规范基金管理人所管理的开放式证券投资基金登记方面的业务规则，由基金管理人和投资人共同遵守</w:t>
      </w:r>
    </w:p>
    <w:p w:rsidR="00BF60A0" w:rsidRDefault="006E4EA0">
      <w:pPr>
        <w:adjustRightInd w:val="0"/>
        <w:snapToGrid w:val="0"/>
        <w:spacing w:line="360" w:lineRule="auto"/>
        <w:ind w:firstLineChars="200" w:firstLine="480"/>
        <w:rPr>
          <w:color w:val="000000"/>
          <w:kern w:val="0"/>
          <w:sz w:val="24"/>
        </w:rPr>
      </w:pPr>
      <w:r>
        <w:rPr>
          <w:rFonts w:hint="eastAsia"/>
          <w:color w:val="000000"/>
          <w:kern w:val="0"/>
          <w:sz w:val="24"/>
        </w:rPr>
        <w:t>40</w:t>
      </w:r>
      <w:r>
        <w:rPr>
          <w:rFonts w:hint="eastAsia"/>
          <w:color w:val="000000"/>
          <w:kern w:val="0"/>
          <w:sz w:val="24"/>
        </w:rPr>
        <w:t>、</w:t>
      </w:r>
      <w:r>
        <w:rPr>
          <w:color w:val="000000"/>
          <w:kern w:val="0"/>
          <w:sz w:val="24"/>
        </w:rPr>
        <w:t>申购：指基金合同生效后，投资人根据基金合同和招募说明书的规定申请购买基金份额的行为</w:t>
      </w:r>
    </w:p>
    <w:p w:rsidR="00BF60A0" w:rsidRDefault="006E4EA0">
      <w:pPr>
        <w:adjustRightInd w:val="0"/>
        <w:snapToGrid w:val="0"/>
        <w:spacing w:line="360" w:lineRule="auto"/>
        <w:ind w:firstLineChars="200" w:firstLine="480"/>
        <w:rPr>
          <w:color w:val="000000"/>
          <w:kern w:val="0"/>
          <w:sz w:val="24"/>
        </w:rPr>
      </w:pPr>
      <w:r>
        <w:rPr>
          <w:color w:val="000000"/>
          <w:kern w:val="0"/>
          <w:sz w:val="24"/>
        </w:rPr>
        <w:t>4</w:t>
      </w:r>
      <w:r>
        <w:rPr>
          <w:rFonts w:hint="eastAsia"/>
          <w:color w:val="000000"/>
          <w:kern w:val="0"/>
          <w:sz w:val="24"/>
        </w:rPr>
        <w:t>1</w:t>
      </w:r>
      <w:r>
        <w:rPr>
          <w:rFonts w:hint="eastAsia"/>
          <w:color w:val="000000"/>
          <w:kern w:val="0"/>
          <w:sz w:val="24"/>
        </w:rPr>
        <w:t>、</w:t>
      </w:r>
      <w:r>
        <w:rPr>
          <w:color w:val="000000"/>
          <w:kern w:val="0"/>
          <w:sz w:val="24"/>
        </w:rPr>
        <w:t>赎回：指基金合同生效后，基金份额持有人按基金合同</w:t>
      </w:r>
      <w:r>
        <w:rPr>
          <w:bCs/>
          <w:sz w:val="24"/>
        </w:rPr>
        <w:t>和招募说明书</w:t>
      </w:r>
      <w:r>
        <w:rPr>
          <w:color w:val="000000"/>
          <w:kern w:val="0"/>
          <w:sz w:val="24"/>
        </w:rPr>
        <w:t>规定的条件要求将基金份额兑换为现金的行为</w:t>
      </w:r>
    </w:p>
    <w:p w:rsidR="00BF60A0" w:rsidRDefault="006E4EA0">
      <w:pPr>
        <w:adjustRightInd w:val="0"/>
        <w:snapToGrid w:val="0"/>
        <w:spacing w:line="360" w:lineRule="auto"/>
        <w:ind w:firstLineChars="200" w:firstLine="480"/>
        <w:rPr>
          <w:color w:val="000000"/>
          <w:kern w:val="0"/>
          <w:sz w:val="24"/>
        </w:rPr>
      </w:pPr>
      <w:r>
        <w:rPr>
          <w:color w:val="000000"/>
          <w:kern w:val="0"/>
          <w:sz w:val="24"/>
        </w:rPr>
        <w:lastRenderedPageBreak/>
        <w:t>4</w:t>
      </w:r>
      <w:r>
        <w:rPr>
          <w:rFonts w:hint="eastAsia"/>
          <w:color w:val="000000"/>
          <w:kern w:val="0"/>
          <w:sz w:val="24"/>
        </w:rPr>
        <w:t>2</w:t>
      </w:r>
      <w:r>
        <w:rPr>
          <w:rFonts w:hint="eastAsia"/>
          <w:color w:val="000000"/>
          <w:kern w:val="0"/>
          <w:sz w:val="24"/>
        </w:rPr>
        <w:t>、</w:t>
      </w:r>
      <w:r>
        <w:rPr>
          <w:color w:val="000000"/>
          <w:kern w:val="0"/>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BF60A0" w:rsidRDefault="006E4EA0">
      <w:pPr>
        <w:adjustRightInd w:val="0"/>
        <w:snapToGrid w:val="0"/>
        <w:spacing w:line="360" w:lineRule="auto"/>
        <w:ind w:firstLineChars="200" w:firstLine="480"/>
        <w:rPr>
          <w:color w:val="000000"/>
          <w:kern w:val="0"/>
          <w:sz w:val="24"/>
        </w:rPr>
      </w:pPr>
      <w:r>
        <w:rPr>
          <w:color w:val="000000"/>
          <w:kern w:val="0"/>
          <w:sz w:val="24"/>
        </w:rPr>
        <w:t>4</w:t>
      </w:r>
      <w:r>
        <w:rPr>
          <w:rFonts w:hint="eastAsia"/>
          <w:color w:val="000000"/>
          <w:kern w:val="0"/>
          <w:sz w:val="24"/>
        </w:rPr>
        <w:t>3</w:t>
      </w:r>
      <w:r>
        <w:rPr>
          <w:rFonts w:hint="eastAsia"/>
          <w:color w:val="000000"/>
          <w:kern w:val="0"/>
          <w:sz w:val="24"/>
        </w:rPr>
        <w:t>、</w:t>
      </w:r>
      <w:r>
        <w:rPr>
          <w:color w:val="000000"/>
          <w:kern w:val="0"/>
          <w:sz w:val="24"/>
        </w:rPr>
        <w:t>转托管：指基金份额持有人在本基金的不同销售机构之间实施的变更所持基金份额销售机构的操作</w:t>
      </w:r>
    </w:p>
    <w:p w:rsidR="00BF60A0" w:rsidRDefault="006E4EA0">
      <w:pPr>
        <w:adjustRightInd w:val="0"/>
        <w:snapToGrid w:val="0"/>
        <w:spacing w:line="360" w:lineRule="auto"/>
        <w:ind w:firstLineChars="200" w:firstLine="480"/>
        <w:rPr>
          <w:color w:val="000000"/>
          <w:kern w:val="0"/>
          <w:sz w:val="24"/>
        </w:rPr>
      </w:pPr>
      <w:r>
        <w:rPr>
          <w:color w:val="000000"/>
          <w:kern w:val="0"/>
          <w:sz w:val="24"/>
        </w:rPr>
        <w:t>4</w:t>
      </w:r>
      <w:r>
        <w:rPr>
          <w:rFonts w:hint="eastAsia"/>
          <w:color w:val="000000"/>
          <w:kern w:val="0"/>
          <w:sz w:val="24"/>
        </w:rPr>
        <w:t>4</w:t>
      </w:r>
      <w:r>
        <w:rPr>
          <w:rFonts w:hint="eastAsia"/>
          <w:color w:val="000000"/>
          <w:kern w:val="0"/>
          <w:sz w:val="24"/>
        </w:rPr>
        <w:t>、</w:t>
      </w:r>
      <w:r>
        <w:rPr>
          <w:color w:val="000000"/>
          <w:kern w:val="0"/>
          <w:sz w:val="24"/>
        </w:rPr>
        <w:t>定期定额投资计划：指投资人通过有关销售机构提出申请，约定每期</w:t>
      </w:r>
      <w:r>
        <w:rPr>
          <w:rFonts w:hint="eastAsia"/>
          <w:color w:val="000000"/>
          <w:kern w:val="0"/>
          <w:sz w:val="24"/>
        </w:rPr>
        <w:t>申购</w:t>
      </w:r>
      <w:r>
        <w:rPr>
          <w:color w:val="000000"/>
          <w:kern w:val="0"/>
          <w:sz w:val="24"/>
        </w:rPr>
        <w:t>日、扣款金额及扣款方式，由销售机构在投资人指定银行账户内自动完成扣款</w:t>
      </w:r>
      <w:r>
        <w:rPr>
          <w:rFonts w:hint="eastAsia"/>
          <w:bCs/>
          <w:sz w:val="24"/>
        </w:rPr>
        <w:t>并于每期约定的申购日提交</w:t>
      </w:r>
      <w:r>
        <w:rPr>
          <w:color w:val="000000"/>
          <w:kern w:val="0"/>
          <w:sz w:val="24"/>
        </w:rPr>
        <w:t>基金申购申请的一种投资方式</w:t>
      </w:r>
    </w:p>
    <w:p w:rsidR="00BF60A0" w:rsidRDefault="006E4EA0">
      <w:pPr>
        <w:adjustRightInd w:val="0"/>
        <w:snapToGrid w:val="0"/>
        <w:spacing w:line="360" w:lineRule="auto"/>
        <w:ind w:firstLineChars="200" w:firstLine="480"/>
        <w:rPr>
          <w:color w:val="000000"/>
          <w:kern w:val="0"/>
          <w:sz w:val="24"/>
        </w:rPr>
      </w:pPr>
      <w:r>
        <w:rPr>
          <w:color w:val="000000"/>
          <w:kern w:val="0"/>
          <w:sz w:val="24"/>
        </w:rPr>
        <w:t>4</w:t>
      </w:r>
      <w:r>
        <w:rPr>
          <w:rFonts w:hint="eastAsia"/>
          <w:color w:val="000000"/>
          <w:kern w:val="0"/>
          <w:sz w:val="24"/>
        </w:rPr>
        <w:t>5</w:t>
      </w:r>
      <w:r>
        <w:rPr>
          <w:rFonts w:hint="eastAsia"/>
          <w:color w:val="000000"/>
          <w:kern w:val="0"/>
          <w:sz w:val="24"/>
        </w:rPr>
        <w:t>、</w:t>
      </w:r>
      <w:r>
        <w:rPr>
          <w:color w:val="000000"/>
          <w:kern w:val="0"/>
          <w:sz w:val="24"/>
        </w:rPr>
        <w:t>巨额赎回：指本基金单个开放日，基金净赎回申请</w:t>
      </w:r>
      <w:r>
        <w:rPr>
          <w:rFonts w:hint="eastAsia"/>
          <w:color w:val="000000"/>
          <w:kern w:val="0"/>
          <w:sz w:val="24"/>
        </w:rPr>
        <w:t>（</w:t>
      </w:r>
      <w:r>
        <w:rPr>
          <w:color w:val="000000"/>
          <w:kern w:val="0"/>
          <w:sz w:val="24"/>
        </w:rPr>
        <w:t>赎回申请份额总数加上基金转换中转出申请份额总数后扣除申购申请份额总数及基金转换中转入申请份额总数后的余额</w:t>
      </w:r>
      <w:r>
        <w:rPr>
          <w:rFonts w:hint="eastAsia"/>
          <w:color w:val="000000"/>
          <w:kern w:val="0"/>
          <w:sz w:val="24"/>
        </w:rPr>
        <w:t>）</w:t>
      </w:r>
      <w:r>
        <w:rPr>
          <w:color w:val="000000"/>
          <w:kern w:val="0"/>
          <w:sz w:val="24"/>
        </w:rPr>
        <w:t>超过上一开放日基金总份额的</w:t>
      </w:r>
      <w:r>
        <w:rPr>
          <w:color w:val="000000"/>
          <w:kern w:val="0"/>
          <w:sz w:val="24"/>
        </w:rPr>
        <w:t>10%</w:t>
      </w:r>
      <w:r>
        <w:rPr>
          <w:rFonts w:hint="eastAsia"/>
          <w:color w:val="000000"/>
          <w:kern w:val="0"/>
          <w:sz w:val="24"/>
        </w:rPr>
        <w:t>的情形</w:t>
      </w:r>
    </w:p>
    <w:p w:rsidR="00BF60A0" w:rsidRDefault="006E4EA0">
      <w:pPr>
        <w:adjustRightInd w:val="0"/>
        <w:snapToGrid w:val="0"/>
        <w:spacing w:line="360" w:lineRule="auto"/>
        <w:ind w:firstLineChars="200" w:firstLine="480"/>
        <w:rPr>
          <w:color w:val="000000"/>
          <w:kern w:val="0"/>
          <w:sz w:val="24"/>
        </w:rPr>
      </w:pPr>
      <w:r>
        <w:rPr>
          <w:color w:val="000000"/>
          <w:kern w:val="0"/>
          <w:sz w:val="24"/>
        </w:rPr>
        <w:t>4</w:t>
      </w:r>
      <w:r>
        <w:rPr>
          <w:rFonts w:hint="eastAsia"/>
          <w:color w:val="000000"/>
          <w:kern w:val="0"/>
          <w:sz w:val="24"/>
        </w:rPr>
        <w:t>6</w:t>
      </w:r>
      <w:r>
        <w:rPr>
          <w:rFonts w:hint="eastAsia"/>
          <w:color w:val="000000"/>
          <w:kern w:val="0"/>
          <w:sz w:val="24"/>
        </w:rPr>
        <w:t>、</w:t>
      </w:r>
      <w:r>
        <w:rPr>
          <w:color w:val="000000"/>
          <w:kern w:val="0"/>
          <w:sz w:val="24"/>
        </w:rPr>
        <w:t>元：指人民币元</w:t>
      </w:r>
    </w:p>
    <w:p w:rsidR="00BF60A0" w:rsidRDefault="006E4EA0">
      <w:pPr>
        <w:adjustRightInd w:val="0"/>
        <w:snapToGrid w:val="0"/>
        <w:spacing w:line="360" w:lineRule="auto"/>
        <w:ind w:firstLineChars="200" w:firstLine="480"/>
        <w:rPr>
          <w:color w:val="000000"/>
          <w:kern w:val="0"/>
          <w:sz w:val="24"/>
        </w:rPr>
      </w:pPr>
      <w:r>
        <w:rPr>
          <w:color w:val="000000"/>
          <w:kern w:val="0"/>
          <w:sz w:val="24"/>
        </w:rPr>
        <w:t>4</w:t>
      </w:r>
      <w:r>
        <w:rPr>
          <w:rFonts w:hint="eastAsia"/>
          <w:color w:val="000000"/>
          <w:kern w:val="0"/>
          <w:sz w:val="24"/>
        </w:rPr>
        <w:t>7</w:t>
      </w:r>
      <w:r>
        <w:rPr>
          <w:rFonts w:hint="eastAsia"/>
          <w:color w:val="000000"/>
          <w:kern w:val="0"/>
          <w:sz w:val="24"/>
        </w:rPr>
        <w:t>、</w:t>
      </w:r>
      <w:r>
        <w:rPr>
          <w:color w:val="000000"/>
          <w:kern w:val="0"/>
          <w:sz w:val="24"/>
        </w:rPr>
        <w:t>基金收益：指基金投资所得红利、股息、债券利息、买卖证券价差、银行存款利息、已实现的其他合法收入及因运用基金财产带来的成本和费用的节约</w:t>
      </w:r>
    </w:p>
    <w:p w:rsidR="00BF60A0" w:rsidRDefault="006E4EA0">
      <w:pPr>
        <w:adjustRightInd w:val="0"/>
        <w:snapToGrid w:val="0"/>
        <w:spacing w:line="360" w:lineRule="auto"/>
        <w:ind w:firstLineChars="200" w:firstLine="480"/>
        <w:rPr>
          <w:color w:val="000000"/>
          <w:kern w:val="0"/>
          <w:sz w:val="24"/>
        </w:rPr>
      </w:pPr>
      <w:r>
        <w:rPr>
          <w:color w:val="000000"/>
          <w:kern w:val="0"/>
          <w:sz w:val="24"/>
        </w:rPr>
        <w:t>4</w:t>
      </w:r>
      <w:r>
        <w:rPr>
          <w:rFonts w:hint="eastAsia"/>
          <w:color w:val="000000"/>
          <w:kern w:val="0"/>
          <w:sz w:val="24"/>
        </w:rPr>
        <w:t>8</w:t>
      </w:r>
      <w:r>
        <w:rPr>
          <w:rFonts w:hint="eastAsia"/>
          <w:color w:val="000000"/>
          <w:kern w:val="0"/>
          <w:sz w:val="24"/>
        </w:rPr>
        <w:t>、</w:t>
      </w:r>
      <w:r>
        <w:rPr>
          <w:color w:val="000000"/>
          <w:kern w:val="0"/>
          <w:sz w:val="24"/>
        </w:rPr>
        <w:t>基金资产总值：指基金拥有的各类有价证券、银行存款本息、基金应收款</w:t>
      </w:r>
      <w:r>
        <w:rPr>
          <w:rFonts w:hint="eastAsia"/>
          <w:color w:val="000000"/>
          <w:kern w:val="0"/>
          <w:sz w:val="24"/>
        </w:rPr>
        <w:t>项</w:t>
      </w:r>
      <w:r>
        <w:rPr>
          <w:color w:val="000000"/>
          <w:kern w:val="0"/>
          <w:sz w:val="24"/>
        </w:rPr>
        <w:t>及其他资产的价值总和</w:t>
      </w:r>
    </w:p>
    <w:p w:rsidR="00BF60A0" w:rsidRDefault="006E4EA0">
      <w:pPr>
        <w:adjustRightInd w:val="0"/>
        <w:snapToGrid w:val="0"/>
        <w:spacing w:line="360" w:lineRule="auto"/>
        <w:ind w:firstLineChars="200" w:firstLine="480"/>
        <w:rPr>
          <w:color w:val="000000"/>
          <w:kern w:val="0"/>
          <w:sz w:val="24"/>
        </w:rPr>
      </w:pPr>
      <w:r>
        <w:rPr>
          <w:color w:val="000000"/>
          <w:kern w:val="0"/>
          <w:sz w:val="24"/>
        </w:rPr>
        <w:t>4</w:t>
      </w:r>
      <w:r>
        <w:rPr>
          <w:rFonts w:hint="eastAsia"/>
          <w:color w:val="000000"/>
          <w:kern w:val="0"/>
          <w:sz w:val="24"/>
        </w:rPr>
        <w:t>9</w:t>
      </w:r>
      <w:r>
        <w:rPr>
          <w:rFonts w:hint="eastAsia"/>
          <w:color w:val="000000"/>
          <w:kern w:val="0"/>
          <w:sz w:val="24"/>
        </w:rPr>
        <w:t>、</w:t>
      </w:r>
      <w:r>
        <w:rPr>
          <w:color w:val="000000"/>
          <w:kern w:val="0"/>
          <w:sz w:val="24"/>
        </w:rPr>
        <w:t>基金资产净值：指基金资产总值减去基金负债后的价值</w:t>
      </w:r>
    </w:p>
    <w:p w:rsidR="00BF60A0" w:rsidRDefault="006E4EA0">
      <w:pPr>
        <w:adjustRightInd w:val="0"/>
        <w:snapToGrid w:val="0"/>
        <w:spacing w:line="360" w:lineRule="auto"/>
        <w:ind w:firstLineChars="200" w:firstLine="480"/>
        <w:rPr>
          <w:color w:val="000000"/>
          <w:kern w:val="0"/>
          <w:sz w:val="24"/>
        </w:rPr>
      </w:pPr>
      <w:r>
        <w:rPr>
          <w:rFonts w:hint="eastAsia"/>
          <w:color w:val="000000"/>
          <w:kern w:val="0"/>
          <w:sz w:val="24"/>
        </w:rPr>
        <w:t>50</w:t>
      </w:r>
      <w:r>
        <w:rPr>
          <w:rFonts w:hint="eastAsia"/>
          <w:color w:val="000000"/>
          <w:kern w:val="0"/>
          <w:sz w:val="24"/>
        </w:rPr>
        <w:t>、</w:t>
      </w:r>
      <w:r>
        <w:rPr>
          <w:color w:val="000000"/>
          <w:kern w:val="0"/>
          <w:sz w:val="24"/>
        </w:rPr>
        <w:t>基金份额净值：指计算日基金资产净值除以计算日基金份额总数</w:t>
      </w:r>
      <w:r>
        <w:rPr>
          <w:rFonts w:hint="eastAsia"/>
          <w:color w:val="000000"/>
          <w:kern w:val="0"/>
          <w:sz w:val="24"/>
        </w:rPr>
        <w:t>的数值</w:t>
      </w:r>
    </w:p>
    <w:p w:rsidR="00BF60A0" w:rsidRDefault="006E4EA0">
      <w:pPr>
        <w:adjustRightInd w:val="0"/>
        <w:snapToGrid w:val="0"/>
        <w:spacing w:line="360" w:lineRule="auto"/>
        <w:ind w:firstLineChars="200" w:firstLine="480"/>
        <w:rPr>
          <w:color w:val="000000"/>
          <w:kern w:val="0"/>
          <w:sz w:val="24"/>
        </w:rPr>
      </w:pPr>
      <w:r>
        <w:rPr>
          <w:color w:val="000000"/>
          <w:kern w:val="0"/>
          <w:sz w:val="24"/>
        </w:rPr>
        <w:t>5</w:t>
      </w:r>
      <w:r>
        <w:rPr>
          <w:rFonts w:hint="eastAsia"/>
          <w:color w:val="000000"/>
          <w:kern w:val="0"/>
          <w:sz w:val="24"/>
        </w:rPr>
        <w:t>1</w:t>
      </w:r>
      <w:r>
        <w:rPr>
          <w:rFonts w:hint="eastAsia"/>
          <w:color w:val="000000"/>
          <w:kern w:val="0"/>
          <w:sz w:val="24"/>
        </w:rPr>
        <w:t>、</w:t>
      </w:r>
      <w:r>
        <w:rPr>
          <w:color w:val="000000"/>
          <w:kern w:val="0"/>
          <w:sz w:val="24"/>
        </w:rPr>
        <w:t>基金资产估值：指计算评估基金资产和负债的价值，以确定基金资产净值和基金份额净值的过程</w:t>
      </w:r>
    </w:p>
    <w:p w:rsidR="00BF60A0" w:rsidRDefault="006E4EA0">
      <w:pPr>
        <w:adjustRightInd w:val="0"/>
        <w:snapToGrid w:val="0"/>
        <w:spacing w:line="360" w:lineRule="auto"/>
        <w:ind w:firstLineChars="200" w:firstLine="480"/>
        <w:rPr>
          <w:color w:val="000000"/>
          <w:kern w:val="0"/>
          <w:sz w:val="24"/>
        </w:rPr>
      </w:pPr>
      <w:r>
        <w:rPr>
          <w:rFonts w:hint="eastAsia"/>
          <w:color w:val="000000"/>
          <w:kern w:val="0"/>
          <w:sz w:val="24"/>
        </w:rPr>
        <w:t>5</w:t>
      </w:r>
      <w:r>
        <w:rPr>
          <w:color w:val="000000"/>
          <w:kern w:val="0"/>
          <w:sz w:val="24"/>
        </w:rPr>
        <w:t>2</w:t>
      </w:r>
      <w:r>
        <w:rPr>
          <w:rFonts w:hint="eastAsia"/>
          <w:color w:val="000000"/>
          <w:kern w:val="0"/>
          <w:sz w:val="24"/>
        </w:rPr>
        <w:t>、港股通：指内地投资者委托内地证券公司，经由内地证券交易所在香港设立的证券交易服务公司，向香港联合交易所进行申报，买卖规定范围内的香港联合交易所上市的股票</w:t>
      </w:r>
    </w:p>
    <w:p w:rsidR="00BF60A0" w:rsidRDefault="006E4EA0">
      <w:pPr>
        <w:adjustRightInd w:val="0"/>
        <w:snapToGrid w:val="0"/>
        <w:spacing w:line="360" w:lineRule="auto"/>
        <w:ind w:firstLineChars="200" w:firstLine="480"/>
        <w:rPr>
          <w:color w:val="000000"/>
          <w:kern w:val="0"/>
          <w:sz w:val="24"/>
        </w:rPr>
      </w:pPr>
      <w:r>
        <w:rPr>
          <w:color w:val="000000"/>
          <w:kern w:val="0"/>
          <w:sz w:val="24"/>
        </w:rPr>
        <w:t>53</w:t>
      </w:r>
      <w:r>
        <w:rPr>
          <w:rFonts w:hint="eastAsia"/>
          <w:color w:val="000000"/>
          <w:kern w:val="0"/>
          <w:sz w:val="24"/>
        </w:rPr>
        <w:t>、销售服务费：指从基金财产中计提的，用于本基金市场推广、销售以及基金份额持有人服务的费用</w:t>
      </w:r>
    </w:p>
    <w:p w:rsidR="00BF60A0" w:rsidRDefault="006E4EA0">
      <w:pPr>
        <w:adjustRightInd w:val="0"/>
        <w:snapToGrid w:val="0"/>
        <w:spacing w:line="360" w:lineRule="auto"/>
        <w:ind w:firstLineChars="200" w:firstLine="480"/>
        <w:rPr>
          <w:color w:val="000000"/>
          <w:kern w:val="0"/>
          <w:sz w:val="24"/>
        </w:rPr>
      </w:pPr>
      <w:r>
        <w:rPr>
          <w:rFonts w:hint="eastAsia"/>
          <w:color w:val="000000"/>
          <w:kern w:val="0"/>
          <w:sz w:val="24"/>
        </w:rPr>
        <w:t>5</w:t>
      </w:r>
      <w:r>
        <w:rPr>
          <w:color w:val="000000"/>
          <w:kern w:val="0"/>
          <w:sz w:val="24"/>
        </w:rPr>
        <w:t>4</w:t>
      </w:r>
      <w:r>
        <w:rPr>
          <w:rFonts w:hint="eastAsia"/>
          <w:color w:val="000000"/>
          <w:kern w:val="0"/>
          <w:sz w:val="24"/>
        </w:rPr>
        <w:t>、</w:t>
      </w:r>
      <w:r>
        <w:rPr>
          <w:rFonts w:hint="eastAsia"/>
          <w:color w:val="000000"/>
          <w:kern w:val="0"/>
          <w:sz w:val="24"/>
        </w:rPr>
        <w:t>A</w:t>
      </w:r>
      <w:r>
        <w:rPr>
          <w:rFonts w:hint="eastAsia"/>
          <w:color w:val="000000"/>
          <w:kern w:val="0"/>
          <w:sz w:val="24"/>
        </w:rPr>
        <w:t>类基金份额和</w:t>
      </w:r>
      <w:r>
        <w:rPr>
          <w:rFonts w:hint="eastAsia"/>
          <w:color w:val="000000"/>
          <w:kern w:val="0"/>
          <w:sz w:val="24"/>
        </w:rPr>
        <w:t>D</w:t>
      </w:r>
      <w:r>
        <w:rPr>
          <w:rFonts w:hint="eastAsia"/>
          <w:color w:val="000000"/>
          <w:kern w:val="0"/>
          <w:sz w:val="24"/>
        </w:rPr>
        <w:t>类基金份额：指在投资人申购时收取申购费用且不从本类别基金资产中计提销售服务费的基金份额，</w:t>
      </w:r>
      <w:r>
        <w:rPr>
          <w:rFonts w:hint="eastAsia"/>
          <w:color w:val="000000"/>
          <w:kern w:val="0"/>
          <w:sz w:val="24"/>
        </w:rPr>
        <w:t>A</w:t>
      </w:r>
      <w:r>
        <w:rPr>
          <w:rFonts w:hint="eastAsia"/>
          <w:color w:val="000000"/>
          <w:kern w:val="0"/>
          <w:sz w:val="24"/>
        </w:rPr>
        <w:t>类基金份额与</w:t>
      </w:r>
      <w:r>
        <w:rPr>
          <w:rFonts w:hint="eastAsia"/>
          <w:color w:val="000000"/>
          <w:kern w:val="0"/>
          <w:sz w:val="24"/>
        </w:rPr>
        <w:t>D</w:t>
      </w:r>
      <w:r>
        <w:rPr>
          <w:rFonts w:hint="eastAsia"/>
          <w:color w:val="000000"/>
          <w:kern w:val="0"/>
          <w:sz w:val="24"/>
        </w:rPr>
        <w:t>类基金份额设置不同的申购费、赎回费收取标准</w:t>
      </w:r>
    </w:p>
    <w:p w:rsidR="00BF60A0" w:rsidRDefault="006E4EA0">
      <w:pPr>
        <w:adjustRightInd w:val="0"/>
        <w:snapToGrid w:val="0"/>
        <w:spacing w:line="360" w:lineRule="auto"/>
        <w:ind w:firstLineChars="200" w:firstLine="480"/>
        <w:rPr>
          <w:color w:val="000000"/>
          <w:kern w:val="0"/>
          <w:sz w:val="24"/>
        </w:rPr>
      </w:pPr>
      <w:r>
        <w:rPr>
          <w:rFonts w:hint="eastAsia"/>
          <w:color w:val="000000"/>
          <w:kern w:val="0"/>
          <w:sz w:val="24"/>
        </w:rPr>
        <w:t>5</w:t>
      </w:r>
      <w:r>
        <w:rPr>
          <w:color w:val="000000"/>
          <w:kern w:val="0"/>
          <w:sz w:val="24"/>
        </w:rPr>
        <w:t>5</w:t>
      </w:r>
      <w:r>
        <w:rPr>
          <w:rFonts w:hint="eastAsia"/>
          <w:color w:val="000000"/>
          <w:kern w:val="0"/>
          <w:sz w:val="24"/>
        </w:rPr>
        <w:t>、</w:t>
      </w:r>
      <w:r>
        <w:rPr>
          <w:rFonts w:hint="eastAsia"/>
          <w:color w:val="000000"/>
          <w:kern w:val="0"/>
          <w:sz w:val="24"/>
        </w:rPr>
        <w:t>C</w:t>
      </w:r>
      <w:r>
        <w:rPr>
          <w:rFonts w:hint="eastAsia"/>
          <w:color w:val="000000"/>
          <w:kern w:val="0"/>
          <w:sz w:val="24"/>
        </w:rPr>
        <w:t>类基金份额：指在投资人申购时不收取申购费用，并从本类别基金资产中计提销售服务费的基金份额</w:t>
      </w:r>
    </w:p>
    <w:p w:rsidR="00BF60A0" w:rsidRDefault="006E4EA0">
      <w:pPr>
        <w:adjustRightInd w:val="0"/>
        <w:snapToGrid w:val="0"/>
        <w:spacing w:line="360" w:lineRule="auto"/>
        <w:ind w:firstLineChars="200" w:firstLine="480"/>
        <w:rPr>
          <w:color w:val="000000"/>
          <w:kern w:val="0"/>
          <w:sz w:val="24"/>
        </w:rPr>
      </w:pPr>
      <w:r>
        <w:rPr>
          <w:rFonts w:hint="eastAsia"/>
          <w:color w:val="000000"/>
          <w:kern w:val="0"/>
          <w:sz w:val="24"/>
        </w:rPr>
        <w:lastRenderedPageBreak/>
        <w:t>5</w:t>
      </w:r>
      <w:r>
        <w:rPr>
          <w:color w:val="000000"/>
          <w:kern w:val="0"/>
          <w:sz w:val="24"/>
        </w:rPr>
        <w:t>6</w:t>
      </w:r>
      <w:r>
        <w:rPr>
          <w:rFonts w:hint="eastAsia"/>
          <w:color w:val="000000"/>
          <w:kern w:val="0"/>
          <w:sz w:val="24"/>
        </w:rPr>
        <w:t>、流动性受限资产：指由于法律法规、监管、合同或操作障碍等原因无法以合理价格予以变现的资产，包括但不限于到期日在</w:t>
      </w:r>
      <w:r>
        <w:rPr>
          <w:rFonts w:hint="eastAsia"/>
          <w:color w:val="000000"/>
          <w:kern w:val="0"/>
          <w:sz w:val="24"/>
        </w:rPr>
        <w:t>10</w:t>
      </w:r>
      <w:r>
        <w:rPr>
          <w:rFonts w:hint="eastAsia"/>
          <w:color w:val="000000"/>
          <w:kern w:val="0"/>
          <w:sz w:val="24"/>
        </w:rPr>
        <w:t>个交易日以上的逆回购与银行定期存款（含协议约定有条件提前支取的银行存款）、停牌股票、流通受限的新股及非公开发行股票、资产支持证券、因发行人债务违约无法进行转让或交易的债券等</w:t>
      </w:r>
    </w:p>
    <w:p w:rsidR="00BF60A0" w:rsidRDefault="006E4EA0">
      <w:pPr>
        <w:adjustRightInd w:val="0"/>
        <w:snapToGrid w:val="0"/>
        <w:spacing w:line="360" w:lineRule="auto"/>
        <w:ind w:firstLineChars="200" w:firstLine="480"/>
        <w:rPr>
          <w:color w:val="000000"/>
          <w:kern w:val="0"/>
          <w:sz w:val="24"/>
        </w:rPr>
      </w:pPr>
      <w:r>
        <w:rPr>
          <w:color w:val="000000"/>
          <w:kern w:val="0"/>
          <w:sz w:val="24"/>
        </w:rPr>
        <w:t>57</w:t>
      </w:r>
      <w:r>
        <w:rPr>
          <w:rFonts w:hint="eastAsia"/>
          <w:color w:val="000000"/>
          <w:kern w:val="0"/>
          <w:sz w:val="24"/>
        </w:rPr>
        <w:t>、规定</w:t>
      </w:r>
      <w:r>
        <w:rPr>
          <w:color w:val="000000"/>
          <w:kern w:val="0"/>
          <w:sz w:val="24"/>
        </w:rPr>
        <w:t>媒介：</w:t>
      </w:r>
      <w:r>
        <w:rPr>
          <w:bCs/>
          <w:sz w:val="24"/>
        </w:rPr>
        <w:t>指</w:t>
      </w:r>
      <w:r>
        <w:rPr>
          <w:rFonts w:hint="eastAsia"/>
          <w:bCs/>
          <w:sz w:val="24"/>
        </w:rPr>
        <w:t>符合中国证监会规定条件的用以进行信息披露的全国性报刊及《信息披露办法》规定的互联网网站（包括基金管理人网站、基金托管人网站、中国证监会基金电子披露网站）等媒介</w:t>
      </w:r>
    </w:p>
    <w:p w:rsidR="00BF60A0" w:rsidRDefault="006E4EA0">
      <w:pPr>
        <w:adjustRightInd w:val="0"/>
        <w:snapToGrid w:val="0"/>
        <w:spacing w:line="360" w:lineRule="auto"/>
        <w:ind w:firstLineChars="200" w:firstLine="480"/>
        <w:rPr>
          <w:color w:val="000000"/>
          <w:kern w:val="0"/>
          <w:sz w:val="24"/>
        </w:rPr>
      </w:pPr>
      <w:r>
        <w:rPr>
          <w:color w:val="000000"/>
          <w:kern w:val="0"/>
          <w:sz w:val="24"/>
        </w:rPr>
        <w:t>58</w:t>
      </w:r>
      <w:r>
        <w:rPr>
          <w:rFonts w:hint="eastAsia"/>
          <w:color w:val="000000"/>
          <w:kern w:val="0"/>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BF60A0" w:rsidRDefault="006E4EA0">
      <w:pPr>
        <w:adjustRightInd w:val="0"/>
        <w:snapToGrid w:val="0"/>
        <w:spacing w:line="360" w:lineRule="auto"/>
        <w:ind w:firstLineChars="200" w:firstLine="480"/>
        <w:rPr>
          <w:bCs/>
          <w:color w:val="000000"/>
          <w:kern w:val="0"/>
          <w:sz w:val="24"/>
        </w:rPr>
      </w:pPr>
      <w:r>
        <w:rPr>
          <w:rFonts w:hint="eastAsia"/>
          <w:color w:val="000000"/>
          <w:kern w:val="0"/>
          <w:sz w:val="24"/>
        </w:rPr>
        <w:t>5</w:t>
      </w:r>
      <w:r>
        <w:rPr>
          <w:color w:val="000000"/>
          <w:kern w:val="0"/>
          <w:sz w:val="24"/>
        </w:rPr>
        <w:t>9</w:t>
      </w:r>
      <w:r>
        <w:rPr>
          <w:rFonts w:hint="eastAsia"/>
          <w:color w:val="000000"/>
          <w:kern w:val="0"/>
          <w:sz w:val="24"/>
        </w:rPr>
        <w:t>、</w:t>
      </w:r>
      <w:r>
        <w:rPr>
          <w:rFonts w:hint="eastAsia"/>
          <w:bCs/>
          <w:color w:val="000000"/>
          <w:kern w:val="0"/>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BF60A0" w:rsidRDefault="006E4EA0">
      <w:pPr>
        <w:adjustRightInd w:val="0"/>
        <w:snapToGrid w:val="0"/>
        <w:spacing w:line="360" w:lineRule="auto"/>
        <w:ind w:firstLineChars="200" w:firstLine="480"/>
        <w:rPr>
          <w:bCs/>
          <w:color w:val="000000"/>
          <w:kern w:val="0"/>
          <w:sz w:val="24"/>
        </w:rPr>
      </w:pPr>
      <w:r>
        <w:rPr>
          <w:bCs/>
          <w:color w:val="000000"/>
          <w:kern w:val="0"/>
          <w:sz w:val="24"/>
        </w:rPr>
        <w:t>60</w:t>
      </w:r>
      <w:r>
        <w:rPr>
          <w:rFonts w:hint="eastAsia"/>
          <w:bCs/>
          <w:color w:val="000000"/>
          <w:kern w:val="0"/>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BF60A0" w:rsidRDefault="006E4EA0">
      <w:pPr>
        <w:adjustRightInd w:val="0"/>
        <w:snapToGrid w:val="0"/>
        <w:spacing w:line="360" w:lineRule="auto"/>
        <w:ind w:firstLineChars="200" w:firstLine="480"/>
        <w:rPr>
          <w:bCs/>
          <w:sz w:val="24"/>
        </w:rPr>
      </w:pPr>
      <w:r>
        <w:rPr>
          <w:color w:val="000000"/>
          <w:kern w:val="0"/>
          <w:sz w:val="24"/>
        </w:rPr>
        <w:t>61</w:t>
      </w:r>
      <w:r>
        <w:rPr>
          <w:rFonts w:hint="eastAsia"/>
          <w:color w:val="000000"/>
          <w:kern w:val="0"/>
          <w:sz w:val="24"/>
        </w:rPr>
        <w:t>、</w:t>
      </w:r>
      <w:r>
        <w:rPr>
          <w:color w:val="000000"/>
          <w:kern w:val="0"/>
          <w:sz w:val="24"/>
        </w:rPr>
        <w:t>不可抗力：指本</w:t>
      </w:r>
      <w:r>
        <w:rPr>
          <w:rFonts w:hint="eastAsia"/>
          <w:color w:val="000000"/>
          <w:kern w:val="0"/>
          <w:sz w:val="24"/>
        </w:rPr>
        <w:t>基金基金</w:t>
      </w:r>
      <w:r>
        <w:rPr>
          <w:color w:val="000000"/>
          <w:kern w:val="0"/>
          <w:sz w:val="24"/>
        </w:rPr>
        <w:t>合同当事人不能预见、不能避免且不能克服的客观事件</w:t>
      </w:r>
      <w:bookmarkStart w:id="23" w:name="_Hlt88031774"/>
      <w:bookmarkStart w:id="24" w:name="_Hlt88031741"/>
      <w:bookmarkStart w:id="25" w:name="_Toc79392573"/>
      <w:bookmarkStart w:id="26" w:name="_Toc233456272"/>
      <w:bookmarkStart w:id="27" w:name="_Toc258829400"/>
      <w:bookmarkEnd w:id="23"/>
    </w:p>
    <w:p w:rsidR="00BF60A0" w:rsidRDefault="006E4EA0">
      <w:pPr>
        <w:pStyle w:val="1"/>
        <w:spacing w:before="0" w:after="0"/>
        <w:rPr>
          <w:sz w:val="30"/>
        </w:rPr>
      </w:pPr>
      <w:r>
        <w:rPr>
          <w:b w:val="0"/>
          <w:bCs/>
          <w:sz w:val="21"/>
        </w:rPr>
        <w:br w:type="page"/>
      </w:r>
      <w:bookmarkStart w:id="28" w:name="_Toc535765911"/>
      <w:r>
        <w:rPr>
          <w:sz w:val="30"/>
        </w:rPr>
        <w:lastRenderedPageBreak/>
        <w:t>第</w:t>
      </w:r>
      <w:r>
        <w:rPr>
          <w:rFonts w:hint="eastAsia"/>
          <w:sz w:val="30"/>
        </w:rPr>
        <w:t>三</w:t>
      </w:r>
      <w:r>
        <w:rPr>
          <w:sz w:val="30"/>
        </w:rPr>
        <w:t>部分</w:t>
      </w:r>
      <w:r>
        <w:rPr>
          <w:sz w:val="30"/>
        </w:rPr>
        <w:t xml:space="preserve">  </w:t>
      </w:r>
      <w:r>
        <w:rPr>
          <w:sz w:val="30"/>
        </w:rPr>
        <w:t>基金</w:t>
      </w:r>
      <w:r>
        <w:rPr>
          <w:rFonts w:hint="eastAsia"/>
          <w:sz w:val="30"/>
        </w:rPr>
        <w:t>的基本情况</w:t>
      </w:r>
      <w:bookmarkEnd w:id="28"/>
    </w:p>
    <w:p w:rsidR="00BF60A0" w:rsidRDefault="00BF60A0">
      <w:pPr>
        <w:adjustRightInd w:val="0"/>
        <w:snapToGrid w:val="0"/>
        <w:spacing w:line="360" w:lineRule="auto"/>
        <w:ind w:firstLineChars="200" w:firstLine="480"/>
        <w:rPr>
          <w:bCs/>
          <w:sz w:val="24"/>
        </w:rPr>
      </w:pPr>
    </w:p>
    <w:bookmarkEnd w:id="24"/>
    <w:p w:rsidR="00BF60A0" w:rsidRDefault="006E4EA0">
      <w:pPr>
        <w:adjustRightInd w:val="0"/>
        <w:snapToGrid w:val="0"/>
        <w:spacing w:line="360" w:lineRule="auto"/>
        <w:ind w:firstLineChars="200" w:firstLine="480"/>
        <w:rPr>
          <w:bCs/>
          <w:sz w:val="24"/>
        </w:rPr>
      </w:pPr>
      <w:r>
        <w:rPr>
          <w:bCs/>
          <w:sz w:val="24"/>
        </w:rPr>
        <w:t>一、基金名称</w:t>
      </w:r>
      <w:bookmarkEnd w:id="25"/>
    </w:p>
    <w:p w:rsidR="00BF60A0" w:rsidRDefault="006E4EA0">
      <w:pPr>
        <w:adjustRightInd w:val="0"/>
        <w:snapToGrid w:val="0"/>
        <w:spacing w:line="360" w:lineRule="auto"/>
        <w:ind w:firstLineChars="200" w:firstLine="480"/>
        <w:rPr>
          <w:bCs/>
          <w:sz w:val="24"/>
        </w:rPr>
      </w:pPr>
      <w:r>
        <w:rPr>
          <w:bCs/>
          <w:sz w:val="24"/>
        </w:rPr>
        <w:t>交银施罗德</w:t>
      </w:r>
      <w:r>
        <w:rPr>
          <w:rFonts w:hint="eastAsia"/>
          <w:bCs/>
          <w:sz w:val="24"/>
        </w:rPr>
        <w:t>稳固收益债券型</w:t>
      </w:r>
      <w:r>
        <w:rPr>
          <w:bCs/>
          <w:sz w:val="24"/>
        </w:rPr>
        <w:t>证券投资基金</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bookmarkStart w:id="29" w:name="_Toc79392574"/>
      <w:r>
        <w:rPr>
          <w:bCs/>
          <w:sz w:val="24"/>
        </w:rPr>
        <w:t>二、基金的类别</w:t>
      </w:r>
      <w:bookmarkEnd w:id="29"/>
    </w:p>
    <w:p w:rsidR="00BF60A0" w:rsidRDefault="006E4EA0">
      <w:pPr>
        <w:adjustRightInd w:val="0"/>
        <w:snapToGrid w:val="0"/>
        <w:spacing w:line="360" w:lineRule="auto"/>
        <w:ind w:firstLineChars="200" w:firstLine="480"/>
        <w:rPr>
          <w:bCs/>
          <w:sz w:val="24"/>
        </w:rPr>
      </w:pPr>
      <w:r>
        <w:rPr>
          <w:rFonts w:hint="eastAsia"/>
          <w:bCs/>
          <w:sz w:val="24"/>
        </w:rPr>
        <w:t>债券型</w:t>
      </w:r>
      <w:r>
        <w:rPr>
          <w:bCs/>
          <w:sz w:val="24"/>
        </w:rPr>
        <w:t>证券投资基金</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bookmarkStart w:id="30" w:name="_Toc79392575"/>
      <w:r>
        <w:rPr>
          <w:bCs/>
          <w:sz w:val="24"/>
        </w:rPr>
        <w:t>三、基金的运作方式</w:t>
      </w:r>
    </w:p>
    <w:p w:rsidR="00BF60A0" w:rsidRDefault="006E4EA0">
      <w:pPr>
        <w:adjustRightInd w:val="0"/>
        <w:snapToGrid w:val="0"/>
        <w:spacing w:line="360" w:lineRule="auto"/>
        <w:ind w:firstLineChars="200" w:firstLine="480"/>
        <w:rPr>
          <w:bCs/>
          <w:sz w:val="24"/>
        </w:rPr>
      </w:pPr>
      <w:r>
        <w:rPr>
          <w:bCs/>
          <w:sz w:val="24"/>
        </w:rPr>
        <w:t>契约型开放式</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四、基金的投资目标</w:t>
      </w:r>
      <w:bookmarkEnd w:id="30"/>
    </w:p>
    <w:p w:rsidR="00BF60A0" w:rsidRDefault="006E4EA0">
      <w:pPr>
        <w:pStyle w:val="21"/>
        <w:adjustRightInd w:val="0"/>
        <w:snapToGrid w:val="0"/>
        <w:rPr>
          <w:rFonts w:ascii="Times New Roman" w:eastAsia="宋体"/>
          <w:bCs/>
          <w:kern w:val="2"/>
        </w:rPr>
      </w:pPr>
      <w:r>
        <w:rPr>
          <w:rFonts w:ascii="Times New Roman" w:eastAsia="宋体" w:hint="eastAsia"/>
          <w:bCs/>
          <w:kern w:val="2"/>
        </w:rPr>
        <w:t>在合理控制风险并保持基金资产良好流动性的前提下，追求超越业绩比较基准的投资回报，控制波动率，力争实现基金资产的长期稳健增值。</w:t>
      </w:r>
    </w:p>
    <w:p w:rsidR="00BF60A0" w:rsidRDefault="00BF60A0">
      <w:pPr>
        <w:pStyle w:val="21"/>
        <w:adjustRightInd w:val="0"/>
        <w:snapToGrid w:val="0"/>
        <w:rPr>
          <w:bCs/>
        </w:rPr>
      </w:pPr>
    </w:p>
    <w:p w:rsidR="00BF60A0" w:rsidRDefault="006E4EA0">
      <w:pPr>
        <w:adjustRightInd w:val="0"/>
        <w:snapToGrid w:val="0"/>
        <w:spacing w:line="360" w:lineRule="auto"/>
        <w:ind w:firstLineChars="200" w:firstLine="480"/>
        <w:rPr>
          <w:bCs/>
          <w:sz w:val="24"/>
        </w:rPr>
      </w:pPr>
      <w:bookmarkStart w:id="31" w:name="_Toc79392577"/>
      <w:r>
        <w:rPr>
          <w:rFonts w:ascii="宋体" w:hAnsi="宋体" w:hint="eastAsia"/>
          <w:sz w:val="24"/>
        </w:rPr>
        <w:t>五、</w:t>
      </w:r>
      <w:r>
        <w:rPr>
          <w:bCs/>
          <w:sz w:val="24"/>
        </w:rPr>
        <w:t>基金份额面值</w:t>
      </w:r>
      <w:bookmarkEnd w:id="31"/>
    </w:p>
    <w:p w:rsidR="00BF60A0" w:rsidRDefault="006E4EA0">
      <w:pPr>
        <w:adjustRightInd w:val="0"/>
        <w:snapToGrid w:val="0"/>
        <w:spacing w:line="360" w:lineRule="auto"/>
        <w:ind w:firstLineChars="200" w:firstLine="480"/>
        <w:rPr>
          <w:bCs/>
          <w:sz w:val="24"/>
        </w:rPr>
      </w:pPr>
      <w:r>
        <w:rPr>
          <w:bCs/>
          <w:sz w:val="24"/>
        </w:rPr>
        <w:t>本基金基金份额面值为人民币</w:t>
      </w:r>
      <w:r>
        <w:rPr>
          <w:rFonts w:hint="eastAsia"/>
          <w:bCs/>
          <w:sz w:val="24"/>
        </w:rPr>
        <w:t>1.00</w:t>
      </w:r>
      <w:r>
        <w:rPr>
          <w:bCs/>
          <w:sz w:val="24"/>
        </w:rPr>
        <w:t>元。</w:t>
      </w:r>
    </w:p>
    <w:p w:rsidR="00BF60A0" w:rsidRDefault="00BF60A0">
      <w:pPr>
        <w:autoSpaceDE w:val="0"/>
        <w:autoSpaceDN w:val="0"/>
        <w:adjustRightInd w:val="0"/>
        <w:snapToGrid w:val="0"/>
        <w:spacing w:line="360" w:lineRule="auto"/>
        <w:ind w:firstLineChars="200" w:firstLine="480"/>
        <w:jc w:val="left"/>
        <w:rPr>
          <w:bCs/>
          <w:sz w:val="24"/>
        </w:rPr>
      </w:pPr>
    </w:p>
    <w:p w:rsidR="00BF60A0" w:rsidRDefault="006E4EA0">
      <w:pPr>
        <w:adjustRightInd w:val="0"/>
        <w:snapToGrid w:val="0"/>
        <w:spacing w:line="360" w:lineRule="auto"/>
        <w:ind w:firstLineChars="200" w:firstLine="480"/>
        <w:rPr>
          <w:bCs/>
          <w:sz w:val="24"/>
        </w:rPr>
      </w:pPr>
      <w:bookmarkStart w:id="32" w:name="_Toc79392578"/>
      <w:r>
        <w:rPr>
          <w:rFonts w:hint="eastAsia"/>
          <w:bCs/>
          <w:sz w:val="24"/>
        </w:rPr>
        <w:t>六</w:t>
      </w:r>
      <w:r>
        <w:rPr>
          <w:bCs/>
          <w:sz w:val="24"/>
        </w:rPr>
        <w:t>、基金存续期限</w:t>
      </w:r>
      <w:bookmarkEnd w:id="32"/>
    </w:p>
    <w:p w:rsidR="00BF60A0" w:rsidRDefault="006E4EA0">
      <w:pPr>
        <w:adjustRightInd w:val="0"/>
        <w:snapToGrid w:val="0"/>
        <w:spacing w:line="360" w:lineRule="auto"/>
        <w:ind w:firstLineChars="200" w:firstLine="480"/>
        <w:rPr>
          <w:bCs/>
          <w:sz w:val="24"/>
        </w:rPr>
      </w:pPr>
      <w:r>
        <w:rPr>
          <w:bCs/>
          <w:sz w:val="24"/>
        </w:rPr>
        <w:t>不定期</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七、基金份额类别</w:t>
      </w:r>
    </w:p>
    <w:p w:rsidR="00BF60A0" w:rsidRDefault="006E4EA0">
      <w:pPr>
        <w:adjustRightInd w:val="0"/>
        <w:snapToGrid w:val="0"/>
        <w:spacing w:line="360" w:lineRule="auto"/>
        <w:ind w:firstLineChars="200" w:firstLine="480"/>
        <w:rPr>
          <w:bCs/>
          <w:sz w:val="24"/>
        </w:rPr>
      </w:pPr>
      <w:r>
        <w:rPr>
          <w:rFonts w:hint="eastAsia"/>
          <w:bCs/>
          <w:sz w:val="24"/>
        </w:rPr>
        <w:t>本基金根据申购费用、销售服务费收取方式和收取标准的不同，将基金份额分为不同的类别。在投资人申购时收取申购费用且不从本类别基金资产中计提销售服务费的，称为</w:t>
      </w:r>
      <w:r>
        <w:rPr>
          <w:rFonts w:hint="eastAsia"/>
          <w:bCs/>
          <w:sz w:val="24"/>
        </w:rPr>
        <w:t>A</w:t>
      </w:r>
      <w:r>
        <w:rPr>
          <w:rFonts w:hint="eastAsia"/>
          <w:bCs/>
          <w:sz w:val="24"/>
        </w:rPr>
        <w:t>类基金份额和</w:t>
      </w:r>
      <w:r>
        <w:rPr>
          <w:rFonts w:hint="eastAsia"/>
          <w:bCs/>
          <w:sz w:val="24"/>
        </w:rPr>
        <w:t>D</w:t>
      </w:r>
      <w:r>
        <w:rPr>
          <w:rFonts w:hint="eastAsia"/>
          <w:bCs/>
          <w:sz w:val="24"/>
        </w:rPr>
        <w:t>类基金份额，</w:t>
      </w:r>
      <w:r>
        <w:rPr>
          <w:rFonts w:hAnsi="宋体" w:hint="eastAsia"/>
          <w:bCs/>
          <w:sz w:val="24"/>
        </w:rPr>
        <w:t>A</w:t>
      </w:r>
      <w:r>
        <w:rPr>
          <w:rFonts w:hAnsi="宋体" w:hint="eastAsia"/>
          <w:bCs/>
          <w:sz w:val="24"/>
        </w:rPr>
        <w:t>类基金份额与</w:t>
      </w:r>
      <w:r>
        <w:rPr>
          <w:rFonts w:hAnsi="宋体" w:hint="eastAsia"/>
          <w:bCs/>
          <w:sz w:val="24"/>
        </w:rPr>
        <w:t>D</w:t>
      </w:r>
      <w:r>
        <w:rPr>
          <w:rFonts w:hAnsi="宋体" w:hint="eastAsia"/>
          <w:bCs/>
          <w:sz w:val="24"/>
        </w:rPr>
        <w:t>类基金份额设置不同的申购费、赎回费收取标准</w:t>
      </w:r>
      <w:r>
        <w:rPr>
          <w:rFonts w:hint="eastAsia"/>
          <w:bCs/>
          <w:sz w:val="24"/>
        </w:rPr>
        <w:t>；在投资人申购时不收取申购费用，并从本类别基金资产中计提销售服务费的，称为</w:t>
      </w:r>
      <w:r>
        <w:rPr>
          <w:rFonts w:hint="eastAsia"/>
          <w:bCs/>
          <w:sz w:val="24"/>
        </w:rPr>
        <w:t>C</w:t>
      </w:r>
      <w:r>
        <w:rPr>
          <w:rFonts w:hint="eastAsia"/>
          <w:bCs/>
          <w:sz w:val="24"/>
        </w:rPr>
        <w:t>类基金份额。</w:t>
      </w:r>
    </w:p>
    <w:p w:rsidR="00BF60A0" w:rsidRDefault="006E4EA0">
      <w:pPr>
        <w:adjustRightInd w:val="0"/>
        <w:snapToGrid w:val="0"/>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w:t>
      </w:r>
      <w:r>
        <w:rPr>
          <w:rFonts w:hint="eastAsia"/>
          <w:bCs/>
          <w:sz w:val="24"/>
        </w:rPr>
        <w:t>C</w:t>
      </w:r>
      <w:r>
        <w:rPr>
          <w:rFonts w:hint="eastAsia"/>
          <w:bCs/>
          <w:sz w:val="24"/>
        </w:rPr>
        <w:t>类基金份额和</w:t>
      </w:r>
      <w:r>
        <w:rPr>
          <w:rFonts w:hint="eastAsia"/>
          <w:bCs/>
          <w:sz w:val="24"/>
        </w:rPr>
        <w:t>D</w:t>
      </w:r>
      <w:r>
        <w:rPr>
          <w:rFonts w:hint="eastAsia"/>
          <w:bCs/>
          <w:sz w:val="24"/>
        </w:rPr>
        <w:t>类基金份额分别设置基金代码。由于基金费用的不同，本基金</w:t>
      </w:r>
      <w:r>
        <w:rPr>
          <w:rFonts w:hint="eastAsia"/>
          <w:bCs/>
          <w:sz w:val="24"/>
        </w:rPr>
        <w:t>A</w:t>
      </w:r>
      <w:r>
        <w:rPr>
          <w:rFonts w:hint="eastAsia"/>
          <w:bCs/>
          <w:sz w:val="24"/>
        </w:rPr>
        <w:t>类基金份额、</w:t>
      </w:r>
      <w:r>
        <w:rPr>
          <w:rFonts w:hint="eastAsia"/>
          <w:bCs/>
          <w:sz w:val="24"/>
        </w:rPr>
        <w:t>C</w:t>
      </w:r>
      <w:r>
        <w:rPr>
          <w:rFonts w:hint="eastAsia"/>
          <w:bCs/>
          <w:sz w:val="24"/>
        </w:rPr>
        <w:t>类基金份额和</w:t>
      </w:r>
      <w:r>
        <w:rPr>
          <w:rFonts w:hint="eastAsia"/>
          <w:bCs/>
          <w:sz w:val="24"/>
        </w:rPr>
        <w:t>D</w:t>
      </w:r>
      <w:r>
        <w:rPr>
          <w:rFonts w:hint="eastAsia"/>
          <w:bCs/>
          <w:sz w:val="24"/>
        </w:rPr>
        <w:t>类基金份额将分别计算基金份额净值并单独公告。</w:t>
      </w:r>
    </w:p>
    <w:p w:rsidR="00BF60A0" w:rsidRDefault="006E4EA0">
      <w:pPr>
        <w:adjustRightInd w:val="0"/>
        <w:snapToGrid w:val="0"/>
        <w:spacing w:line="360" w:lineRule="auto"/>
        <w:ind w:firstLineChars="200" w:firstLine="480"/>
        <w:rPr>
          <w:bCs/>
          <w:sz w:val="24"/>
        </w:rPr>
      </w:pPr>
      <w:r>
        <w:rPr>
          <w:rFonts w:hint="eastAsia"/>
          <w:bCs/>
          <w:sz w:val="24"/>
        </w:rPr>
        <w:lastRenderedPageBreak/>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规定媒介上公告，而无需召开基金份额持有人大会。</w:t>
      </w:r>
    </w:p>
    <w:p w:rsidR="00BF60A0" w:rsidRDefault="006E4EA0">
      <w:pPr>
        <w:pStyle w:val="1"/>
        <w:spacing w:before="0" w:after="0"/>
      </w:pPr>
      <w:r>
        <w:rPr>
          <w:b w:val="0"/>
          <w:bCs/>
          <w:sz w:val="21"/>
        </w:rPr>
        <w:br w:type="page"/>
      </w:r>
      <w:bookmarkStart w:id="33" w:name="_Toc312933426"/>
      <w:bookmarkStart w:id="34" w:name="_Toc29784"/>
      <w:bookmarkStart w:id="35" w:name="_Toc27189"/>
      <w:bookmarkStart w:id="36" w:name="_Toc27226"/>
      <w:bookmarkStart w:id="37" w:name="_Toc3266"/>
      <w:bookmarkStart w:id="38" w:name="_Toc15203"/>
      <w:bookmarkStart w:id="39" w:name="_Toc16265"/>
      <w:bookmarkStart w:id="40" w:name="_Toc7151"/>
      <w:bookmarkStart w:id="41" w:name="_Toc29948"/>
      <w:bookmarkStart w:id="42" w:name="_Toc90742688"/>
      <w:bookmarkStart w:id="43" w:name="_Toc6714"/>
      <w:bookmarkStart w:id="44" w:name="_Toc22074"/>
      <w:bookmarkStart w:id="45" w:name="_Toc535765912"/>
      <w:r>
        <w:rPr>
          <w:sz w:val="30"/>
        </w:rPr>
        <w:lastRenderedPageBreak/>
        <w:t>第四部分</w:t>
      </w:r>
      <w:r>
        <w:rPr>
          <w:sz w:val="30"/>
        </w:rPr>
        <w:t xml:space="preserve">  </w:t>
      </w:r>
      <w:r>
        <w:rPr>
          <w:sz w:val="30"/>
        </w:rPr>
        <w:t>基金</w:t>
      </w:r>
      <w:bookmarkEnd w:id="33"/>
      <w:bookmarkEnd w:id="34"/>
      <w:bookmarkEnd w:id="35"/>
      <w:bookmarkEnd w:id="36"/>
      <w:bookmarkEnd w:id="37"/>
      <w:bookmarkEnd w:id="38"/>
      <w:bookmarkEnd w:id="39"/>
      <w:bookmarkEnd w:id="40"/>
      <w:bookmarkEnd w:id="41"/>
      <w:bookmarkEnd w:id="42"/>
      <w:bookmarkEnd w:id="43"/>
      <w:bookmarkEnd w:id="44"/>
      <w:r>
        <w:rPr>
          <w:rFonts w:hint="eastAsia"/>
          <w:sz w:val="30"/>
        </w:rPr>
        <w:t>的历史</w:t>
      </w:r>
      <w:r>
        <w:rPr>
          <w:sz w:val="30"/>
        </w:rPr>
        <w:t>沿革</w:t>
      </w:r>
      <w:bookmarkEnd w:id="45"/>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本基金由交银施罗德荣祥保本混合型证券投资基金保本周期到期转型而来。</w:t>
      </w:r>
    </w:p>
    <w:p w:rsidR="00BF60A0" w:rsidRDefault="006E4EA0">
      <w:pPr>
        <w:adjustRightInd w:val="0"/>
        <w:snapToGrid w:val="0"/>
        <w:spacing w:line="360" w:lineRule="auto"/>
        <w:ind w:firstLineChars="200" w:firstLine="480"/>
        <w:rPr>
          <w:bCs/>
          <w:sz w:val="24"/>
        </w:rPr>
      </w:pPr>
      <w:r>
        <w:rPr>
          <w:rFonts w:hint="eastAsia"/>
          <w:bCs/>
          <w:sz w:val="24"/>
        </w:rPr>
        <w:t>交银施罗德荣祥保本混合型证券投资基金经中国证监会《关于核准交银施罗德荣祥保本混合型证券投资基金募集的批复》（证监许可</w:t>
      </w:r>
      <w:r>
        <w:rPr>
          <w:rFonts w:hint="eastAsia"/>
          <w:bCs/>
          <w:sz w:val="24"/>
        </w:rPr>
        <w:t>[201</w:t>
      </w:r>
      <w:r>
        <w:rPr>
          <w:bCs/>
          <w:sz w:val="24"/>
        </w:rPr>
        <w:t>3</w:t>
      </w:r>
      <w:r>
        <w:rPr>
          <w:rFonts w:hint="eastAsia"/>
          <w:bCs/>
          <w:sz w:val="24"/>
        </w:rPr>
        <w:t>]</w:t>
      </w:r>
      <w:r>
        <w:rPr>
          <w:bCs/>
          <w:sz w:val="24"/>
        </w:rPr>
        <w:t>151</w:t>
      </w:r>
      <w:r>
        <w:rPr>
          <w:rFonts w:hint="eastAsia"/>
          <w:bCs/>
          <w:sz w:val="24"/>
        </w:rPr>
        <w:t>号）核准，基金管理人为交银施罗德基金管理有限公司，基金托管人为中国农业银行股份有限公司。</w:t>
      </w:r>
    </w:p>
    <w:p w:rsidR="00BF60A0" w:rsidRDefault="006E4EA0">
      <w:pPr>
        <w:adjustRightInd w:val="0"/>
        <w:snapToGrid w:val="0"/>
        <w:spacing w:line="360" w:lineRule="auto"/>
        <w:ind w:firstLineChars="200" w:firstLine="480"/>
        <w:rPr>
          <w:bCs/>
          <w:sz w:val="24"/>
        </w:rPr>
      </w:pPr>
      <w:r>
        <w:rPr>
          <w:rFonts w:hint="eastAsia"/>
          <w:bCs/>
          <w:sz w:val="24"/>
        </w:rPr>
        <w:t>交银施罗德荣祥保本混合型证券投资基金自</w:t>
      </w:r>
      <w:r>
        <w:rPr>
          <w:rFonts w:hint="eastAsia"/>
          <w:bCs/>
          <w:sz w:val="24"/>
        </w:rPr>
        <w:t>201</w:t>
      </w:r>
      <w:r>
        <w:rPr>
          <w:bCs/>
          <w:sz w:val="24"/>
        </w:rPr>
        <w:t>3</w:t>
      </w:r>
      <w:r>
        <w:rPr>
          <w:rFonts w:hint="eastAsia"/>
          <w:bCs/>
          <w:sz w:val="24"/>
        </w:rPr>
        <w:t>年</w:t>
      </w:r>
      <w:r>
        <w:rPr>
          <w:rFonts w:hint="eastAsia"/>
          <w:bCs/>
          <w:sz w:val="24"/>
        </w:rPr>
        <w:t>3</w:t>
      </w:r>
      <w:r>
        <w:rPr>
          <w:rFonts w:hint="eastAsia"/>
          <w:bCs/>
          <w:sz w:val="24"/>
        </w:rPr>
        <w:t>月</w:t>
      </w:r>
      <w:r>
        <w:rPr>
          <w:rFonts w:hint="eastAsia"/>
          <w:bCs/>
          <w:sz w:val="24"/>
        </w:rPr>
        <w:t>2</w:t>
      </w:r>
      <w:r>
        <w:rPr>
          <w:bCs/>
          <w:sz w:val="24"/>
        </w:rPr>
        <w:t>5</w:t>
      </w:r>
      <w:r>
        <w:rPr>
          <w:rFonts w:hint="eastAsia"/>
          <w:bCs/>
          <w:sz w:val="24"/>
        </w:rPr>
        <w:t>日至</w:t>
      </w:r>
      <w:r>
        <w:rPr>
          <w:rFonts w:hint="eastAsia"/>
          <w:bCs/>
          <w:sz w:val="24"/>
        </w:rPr>
        <w:t>201</w:t>
      </w:r>
      <w:r>
        <w:rPr>
          <w:bCs/>
          <w:sz w:val="24"/>
        </w:rPr>
        <w:t>3</w:t>
      </w:r>
      <w:r>
        <w:rPr>
          <w:rFonts w:hint="eastAsia"/>
          <w:bCs/>
          <w:sz w:val="24"/>
        </w:rPr>
        <w:t>年</w:t>
      </w:r>
      <w:r>
        <w:rPr>
          <w:bCs/>
          <w:sz w:val="24"/>
        </w:rPr>
        <w:t>4</w:t>
      </w:r>
      <w:r>
        <w:rPr>
          <w:rFonts w:hint="eastAsia"/>
          <w:bCs/>
          <w:sz w:val="24"/>
        </w:rPr>
        <w:t>月</w:t>
      </w:r>
      <w:r>
        <w:rPr>
          <w:bCs/>
          <w:sz w:val="24"/>
        </w:rPr>
        <w:t>19</w:t>
      </w:r>
      <w:r>
        <w:rPr>
          <w:rFonts w:hint="eastAsia"/>
          <w:bCs/>
          <w:sz w:val="24"/>
        </w:rPr>
        <w:t>日进行公开募集，募集结束后基金管理人向中国证监会办理基金备案手续。经中国证监会书面确认，《交银施罗德荣祥保本混合型证券投资基金基金合同》于</w:t>
      </w:r>
      <w:r>
        <w:rPr>
          <w:rFonts w:hint="eastAsia"/>
          <w:bCs/>
          <w:sz w:val="24"/>
        </w:rPr>
        <w:t>201</w:t>
      </w:r>
      <w:r>
        <w:rPr>
          <w:bCs/>
          <w:sz w:val="24"/>
        </w:rPr>
        <w:t>3</w:t>
      </w:r>
      <w:r>
        <w:rPr>
          <w:rFonts w:hint="eastAsia"/>
          <w:bCs/>
          <w:sz w:val="24"/>
        </w:rPr>
        <w:t>年</w:t>
      </w:r>
      <w:r>
        <w:rPr>
          <w:bCs/>
          <w:sz w:val="24"/>
        </w:rPr>
        <w:t>4</w:t>
      </w:r>
      <w:r>
        <w:rPr>
          <w:rFonts w:hint="eastAsia"/>
          <w:bCs/>
          <w:sz w:val="24"/>
        </w:rPr>
        <w:t>月</w:t>
      </w:r>
      <w:r>
        <w:rPr>
          <w:rFonts w:hint="eastAsia"/>
          <w:bCs/>
          <w:sz w:val="24"/>
        </w:rPr>
        <w:t>2</w:t>
      </w:r>
      <w:r>
        <w:rPr>
          <w:bCs/>
          <w:sz w:val="24"/>
        </w:rPr>
        <w:t>4</w:t>
      </w:r>
      <w:r>
        <w:rPr>
          <w:rFonts w:hint="eastAsia"/>
          <w:bCs/>
          <w:sz w:val="24"/>
        </w:rPr>
        <w:t>日生效。</w:t>
      </w:r>
    </w:p>
    <w:p w:rsidR="00BF60A0" w:rsidRDefault="006E4EA0">
      <w:pPr>
        <w:adjustRightInd w:val="0"/>
        <w:snapToGrid w:val="0"/>
        <w:spacing w:line="360" w:lineRule="auto"/>
        <w:ind w:firstLineChars="200" w:firstLine="480"/>
        <w:rPr>
          <w:bCs/>
          <w:sz w:val="24"/>
        </w:rPr>
      </w:pPr>
      <w:r>
        <w:rPr>
          <w:rFonts w:hint="eastAsia"/>
          <w:bCs/>
          <w:sz w:val="24"/>
        </w:rPr>
        <w:t>交银施罗德荣祥保本混合型证券投资基金于</w:t>
      </w:r>
      <w:r>
        <w:rPr>
          <w:bCs/>
          <w:sz w:val="24"/>
        </w:rPr>
        <w:t>2019</w:t>
      </w:r>
      <w:r>
        <w:rPr>
          <w:bCs/>
          <w:sz w:val="24"/>
        </w:rPr>
        <w:t>年</w:t>
      </w:r>
      <w:r>
        <w:rPr>
          <w:bCs/>
          <w:sz w:val="24"/>
        </w:rPr>
        <w:t>5</w:t>
      </w:r>
      <w:r>
        <w:rPr>
          <w:bCs/>
          <w:sz w:val="24"/>
        </w:rPr>
        <w:t>月</w:t>
      </w:r>
      <w:r>
        <w:rPr>
          <w:bCs/>
          <w:sz w:val="24"/>
        </w:rPr>
        <w:t>27</w:t>
      </w:r>
      <w:r>
        <w:rPr>
          <w:bCs/>
          <w:sz w:val="24"/>
        </w:rPr>
        <w:t>日</w:t>
      </w:r>
      <w:r>
        <w:rPr>
          <w:rFonts w:hint="eastAsia"/>
          <w:bCs/>
          <w:sz w:val="24"/>
        </w:rPr>
        <w:t>第二个保本周期到期，由于不符合保本基金存续条件，按照《交银施罗德荣祥保本混合型证券投资基金基金合同》的约定，该基金保本周期到期后转型为非保本的债券型基金，名称相应变更为“交银施罗德稳固收益债券型证券投资基金”。</w:t>
      </w:r>
    </w:p>
    <w:p w:rsidR="00BF60A0" w:rsidRDefault="006E4EA0">
      <w:pPr>
        <w:adjustRightInd w:val="0"/>
        <w:snapToGrid w:val="0"/>
        <w:spacing w:line="360" w:lineRule="auto"/>
        <w:ind w:firstLineChars="200" w:firstLine="480"/>
        <w:rPr>
          <w:bCs/>
          <w:sz w:val="24"/>
        </w:rPr>
      </w:pPr>
      <w:r>
        <w:rPr>
          <w:rFonts w:hint="eastAsia"/>
          <w:bCs/>
          <w:sz w:val="24"/>
        </w:rPr>
        <w:t>交银施罗德荣祥保本混合型证券投资基金的第二个保本周期到期期间为保本周期到期日及之后</w:t>
      </w:r>
      <w:r>
        <w:rPr>
          <w:rFonts w:hint="eastAsia"/>
          <w:bCs/>
          <w:sz w:val="24"/>
        </w:rPr>
        <w:t>3</w:t>
      </w:r>
      <w:r>
        <w:rPr>
          <w:rFonts w:hint="eastAsia"/>
          <w:bCs/>
          <w:sz w:val="24"/>
        </w:rPr>
        <w:t>个工作日（含第</w:t>
      </w:r>
      <w:r>
        <w:rPr>
          <w:rFonts w:hint="eastAsia"/>
          <w:bCs/>
          <w:sz w:val="24"/>
        </w:rPr>
        <w:t>3</w:t>
      </w:r>
      <w:r>
        <w:rPr>
          <w:rFonts w:hint="eastAsia"/>
          <w:bCs/>
          <w:sz w:val="24"/>
        </w:rPr>
        <w:t>个工作日），即</w:t>
      </w:r>
      <w:r>
        <w:rPr>
          <w:bCs/>
          <w:sz w:val="24"/>
        </w:rPr>
        <w:t>2019</w:t>
      </w:r>
      <w:r>
        <w:rPr>
          <w:bCs/>
          <w:sz w:val="24"/>
        </w:rPr>
        <w:t>年</w:t>
      </w:r>
      <w:r>
        <w:rPr>
          <w:bCs/>
          <w:sz w:val="24"/>
        </w:rPr>
        <w:t>5</w:t>
      </w:r>
      <w:r>
        <w:rPr>
          <w:bCs/>
          <w:sz w:val="24"/>
        </w:rPr>
        <w:t>月</w:t>
      </w:r>
      <w:r>
        <w:rPr>
          <w:bCs/>
          <w:sz w:val="24"/>
        </w:rPr>
        <w:t>27</w:t>
      </w:r>
      <w:r>
        <w:rPr>
          <w:bCs/>
          <w:sz w:val="24"/>
        </w:rPr>
        <w:t>日</w:t>
      </w:r>
      <w:r>
        <w:rPr>
          <w:rFonts w:hint="eastAsia"/>
          <w:bCs/>
          <w:sz w:val="24"/>
        </w:rPr>
        <w:t>至</w:t>
      </w:r>
      <w:r>
        <w:rPr>
          <w:bCs/>
          <w:sz w:val="24"/>
        </w:rPr>
        <w:t>2019</w:t>
      </w:r>
      <w:r>
        <w:rPr>
          <w:bCs/>
          <w:sz w:val="24"/>
        </w:rPr>
        <w:t>年</w:t>
      </w:r>
      <w:r>
        <w:rPr>
          <w:bCs/>
          <w:sz w:val="24"/>
        </w:rPr>
        <w:t>5</w:t>
      </w:r>
      <w:r>
        <w:rPr>
          <w:bCs/>
          <w:sz w:val="24"/>
        </w:rPr>
        <w:t>月</w:t>
      </w:r>
      <w:r>
        <w:rPr>
          <w:bCs/>
          <w:sz w:val="24"/>
        </w:rPr>
        <w:t>30</w:t>
      </w:r>
      <w:r>
        <w:rPr>
          <w:bCs/>
          <w:sz w:val="24"/>
        </w:rPr>
        <w:t>日</w:t>
      </w:r>
      <w:r>
        <w:rPr>
          <w:rFonts w:hint="eastAsia"/>
          <w:bCs/>
          <w:sz w:val="24"/>
        </w:rPr>
        <w:t>。自</w:t>
      </w:r>
      <w:r>
        <w:rPr>
          <w:bCs/>
          <w:sz w:val="24"/>
        </w:rPr>
        <w:t>2019</w:t>
      </w:r>
      <w:r>
        <w:rPr>
          <w:bCs/>
          <w:sz w:val="24"/>
        </w:rPr>
        <w:t>年</w:t>
      </w:r>
      <w:r>
        <w:rPr>
          <w:bCs/>
          <w:sz w:val="24"/>
        </w:rPr>
        <w:t>5</w:t>
      </w:r>
      <w:r>
        <w:rPr>
          <w:bCs/>
          <w:sz w:val="24"/>
        </w:rPr>
        <w:t>月</w:t>
      </w:r>
      <w:r>
        <w:rPr>
          <w:bCs/>
          <w:sz w:val="24"/>
        </w:rPr>
        <w:t>31</w:t>
      </w:r>
      <w:r>
        <w:rPr>
          <w:bCs/>
          <w:sz w:val="24"/>
        </w:rPr>
        <w:t>日</w:t>
      </w:r>
      <w:r>
        <w:rPr>
          <w:rFonts w:hint="eastAsia"/>
          <w:bCs/>
          <w:sz w:val="24"/>
        </w:rPr>
        <w:t>起交银施罗德荣祥保本混合型证券投资基金正式转型为交银施罗德稳固收益债券型证券投资基金，转型后的《交银施罗德稳固收益债券型证券投资基金基金合同》自该日起生效。</w:t>
      </w:r>
    </w:p>
    <w:p w:rsidR="00BF60A0" w:rsidRDefault="006E4EA0">
      <w:pPr>
        <w:adjustRightInd w:val="0"/>
        <w:snapToGrid w:val="0"/>
        <w:spacing w:line="360" w:lineRule="auto"/>
        <w:ind w:firstLineChars="200" w:firstLine="480"/>
        <w:rPr>
          <w:bCs/>
          <w:sz w:val="24"/>
        </w:rPr>
      </w:pPr>
      <w:r>
        <w:rPr>
          <w:rFonts w:hint="eastAsia"/>
          <w:bCs/>
          <w:sz w:val="24"/>
        </w:rPr>
        <w:t>自</w:t>
      </w:r>
      <w:r>
        <w:rPr>
          <w:rFonts w:hint="eastAsia"/>
          <w:bCs/>
          <w:sz w:val="24"/>
        </w:rPr>
        <w:t>202</w:t>
      </w:r>
      <w:r>
        <w:rPr>
          <w:bCs/>
          <w:sz w:val="24"/>
        </w:rPr>
        <w:t>3</w:t>
      </w:r>
      <w:r>
        <w:rPr>
          <w:rFonts w:hint="eastAsia"/>
          <w:bCs/>
          <w:sz w:val="24"/>
        </w:rPr>
        <w:t>年</w:t>
      </w:r>
      <w:r>
        <w:rPr>
          <w:bCs/>
          <w:sz w:val="24"/>
        </w:rPr>
        <w:t>3</w:t>
      </w:r>
      <w:r>
        <w:rPr>
          <w:rFonts w:hint="eastAsia"/>
          <w:bCs/>
          <w:sz w:val="24"/>
        </w:rPr>
        <w:t>月</w:t>
      </w:r>
      <w:r>
        <w:rPr>
          <w:bCs/>
          <w:sz w:val="24"/>
        </w:rPr>
        <w:t>22</w:t>
      </w:r>
      <w:r>
        <w:rPr>
          <w:rFonts w:hint="eastAsia"/>
          <w:bCs/>
          <w:sz w:val="24"/>
        </w:rPr>
        <w:t>日至</w:t>
      </w:r>
      <w:r>
        <w:rPr>
          <w:rFonts w:hint="eastAsia"/>
          <w:bCs/>
          <w:sz w:val="24"/>
        </w:rPr>
        <w:t>202</w:t>
      </w:r>
      <w:r>
        <w:rPr>
          <w:bCs/>
          <w:sz w:val="24"/>
        </w:rPr>
        <w:t>3</w:t>
      </w:r>
      <w:r>
        <w:rPr>
          <w:rFonts w:hint="eastAsia"/>
          <w:bCs/>
          <w:sz w:val="24"/>
        </w:rPr>
        <w:t>年</w:t>
      </w:r>
      <w:r>
        <w:rPr>
          <w:bCs/>
          <w:sz w:val="24"/>
        </w:rPr>
        <w:t>4</w:t>
      </w:r>
      <w:r>
        <w:rPr>
          <w:rFonts w:hint="eastAsia"/>
          <w:bCs/>
          <w:sz w:val="24"/>
        </w:rPr>
        <w:t>月</w:t>
      </w:r>
      <w:r>
        <w:rPr>
          <w:bCs/>
          <w:sz w:val="24"/>
        </w:rPr>
        <w:t>24</w:t>
      </w:r>
      <w:r>
        <w:rPr>
          <w:rFonts w:hint="eastAsia"/>
          <w:bCs/>
          <w:sz w:val="24"/>
        </w:rPr>
        <w:t>日交银施罗德稳固收益债券型证券投资基金以通讯方式召开基金份额持有人大会，大会于</w:t>
      </w:r>
      <w:r>
        <w:rPr>
          <w:rFonts w:hint="eastAsia"/>
          <w:bCs/>
          <w:sz w:val="24"/>
        </w:rPr>
        <w:t>202</w:t>
      </w:r>
      <w:r>
        <w:rPr>
          <w:bCs/>
          <w:sz w:val="24"/>
        </w:rPr>
        <w:t>3</w:t>
      </w:r>
      <w:r>
        <w:rPr>
          <w:rFonts w:hint="eastAsia"/>
          <w:bCs/>
          <w:sz w:val="24"/>
        </w:rPr>
        <w:t>年</w:t>
      </w:r>
      <w:r>
        <w:rPr>
          <w:bCs/>
          <w:sz w:val="24"/>
        </w:rPr>
        <w:t>4</w:t>
      </w:r>
      <w:r>
        <w:rPr>
          <w:rFonts w:hint="eastAsia"/>
          <w:bCs/>
          <w:sz w:val="24"/>
        </w:rPr>
        <w:t>月</w:t>
      </w:r>
      <w:r>
        <w:rPr>
          <w:bCs/>
          <w:sz w:val="24"/>
        </w:rPr>
        <w:t>25</w:t>
      </w:r>
      <w:r>
        <w:rPr>
          <w:rFonts w:hint="eastAsia"/>
          <w:bCs/>
          <w:sz w:val="24"/>
        </w:rPr>
        <w:t>日审议通过了《关于交银施罗德稳固收益债券型证券投资基金修改基金合同有关事项的议案》，内容包括调整交银施罗德稳固收益债券型证券投资基金的投资目标，在投资范围中增加港股通标的股票、存托凭证及相应调整投资范围、投资策略、投资限制、业绩比较基准、风险收益特征、估值对象、估值方法、收益分配原则等内容，并增加基金合同自动终止条款、增加摆动定价机制及修改基金合同其他部分条款等事项，上述基金份额持有人大会决议事项自表决通过之日起生效。自</w:t>
      </w:r>
      <w:r>
        <w:rPr>
          <w:rFonts w:hint="eastAsia"/>
          <w:bCs/>
          <w:sz w:val="24"/>
        </w:rPr>
        <w:t>202</w:t>
      </w:r>
      <w:r>
        <w:rPr>
          <w:bCs/>
          <w:sz w:val="24"/>
        </w:rPr>
        <w:t>3</w:t>
      </w:r>
      <w:r>
        <w:rPr>
          <w:rFonts w:hint="eastAsia"/>
          <w:bCs/>
          <w:sz w:val="24"/>
        </w:rPr>
        <w:t>年</w:t>
      </w:r>
      <w:r>
        <w:rPr>
          <w:rFonts w:hint="eastAsia"/>
          <w:bCs/>
          <w:sz w:val="24"/>
        </w:rPr>
        <w:t>4</w:t>
      </w:r>
      <w:r>
        <w:rPr>
          <w:rFonts w:hint="eastAsia"/>
          <w:bCs/>
          <w:sz w:val="24"/>
        </w:rPr>
        <w:t>月</w:t>
      </w:r>
      <w:r>
        <w:rPr>
          <w:bCs/>
          <w:sz w:val="24"/>
        </w:rPr>
        <w:t>26</w:t>
      </w:r>
      <w:r>
        <w:rPr>
          <w:rFonts w:hint="eastAsia"/>
          <w:bCs/>
          <w:sz w:val="24"/>
        </w:rPr>
        <w:t>日起，根据《关于交银施罗德稳固收益债券型证券投资基金修改基金合同有关事项的</w:t>
      </w:r>
      <w:r>
        <w:rPr>
          <w:rFonts w:hint="eastAsia"/>
          <w:bCs/>
          <w:sz w:val="24"/>
        </w:rPr>
        <w:lastRenderedPageBreak/>
        <w:t>议案》修改而成的《交银施罗德稳固收益债券型证券投资基金基金合同》生效。</w:t>
      </w:r>
    </w:p>
    <w:p w:rsidR="00BF60A0" w:rsidRDefault="006E4EA0">
      <w:pPr>
        <w:pStyle w:val="1"/>
        <w:spacing w:before="0" w:after="0"/>
        <w:rPr>
          <w:sz w:val="30"/>
        </w:rPr>
      </w:pPr>
      <w:r>
        <w:rPr>
          <w:b w:val="0"/>
          <w:bCs/>
          <w:sz w:val="21"/>
        </w:rPr>
        <w:br w:type="page"/>
      </w:r>
      <w:bookmarkStart w:id="46" w:name="_Toc17912"/>
      <w:bookmarkStart w:id="47" w:name="_Toc26986"/>
      <w:bookmarkStart w:id="48" w:name="_Toc139991735"/>
      <w:bookmarkStart w:id="49" w:name="_Toc4741"/>
      <w:bookmarkStart w:id="50" w:name="_Toc18797"/>
      <w:bookmarkStart w:id="51" w:name="_Toc14893"/>
      <w:bookmarkStart w:id="52" w:name="_Toc21988"/>
      <w:bookmarkStart w:id="53" w:name="_Toc312933427"/>
      <w:bookmarkStart w:id="54" w:name="_Toc18329"/>
      <w:bookmarkStart w:id="55" w:name="_Toc141703885"/>
      <w:bookmarkStart w:id="56" w:name="_Toc1823"/>
      <w:bookmarkStart w:id="57" w:name="_Toc7848"/>
      <w:bookmarkStart w:id="58" w:name="_Toc18526"/>
      <w:bookmarkStart w:id="59" w:name="_Toc535765913"/>
      <w:r>
        <w:rPr>
          <w:sz w:val="30"/>
        </w:rPr>
        <w:lastRenderedPageBreak/>
        <w:t>第五部分</w:t>
      </w:r>
      <w:r>
        <w:rPr>
          <w:sz w:val="30"/>
        </w:rPr>
        <w:t xml:space="preserve">  </w:t>
      </w:r>
      <w:r>
        <w:rPr>
          <w:sz w:val="30"/>
        </w:rPr>
        <w:t>基金</w:t>
      </w:r>
      <w:bookmarkEnd w:id="46"/>
      <w:bookmarkEnd w:id="47"/>
      <w:bookmarkEnd w:id="48"/>
      <w:bookmarkEnd w:id="49"/>
      <w:bookmarkEnd w:id="50"/>
      <w:bookmarkEnd w:id="51"/>
      <w:bookmarkEnd w:id="52"/>
      <w:bookmarkEnd w:id="53"/>
      <w:bookmarkEnd w:id="54"/>
      <w:bookmarkEnd w:id="55"/>
      <w:bookmarkEnd w:id="56"/>
      <w:bookmarkEnd w:id="57"/>
      <w:bookmarkEnd w:id="58"/>
      <w:r>
        <w:rPr>
          <w:rFonts w:hint="eastAsia"/>
          <w:sz w:val="30"/>
        </w:rPr>
        <w:t>的存续</w:t>
      </w:r>
      <w:bookmarkEnd w:id="59"/>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50</w:t>
      </w:r>
      <w:r>
        <w:rPr>
          <w:rFonts w:hint="eastAsia"/>
          <w:bCs/>
          <w:sz w:val="24"/>
        </w:rPr>
        <w:t>个工作日出现前述情形的，基金合同终止，不需召开基金份额持有人大会。</w:t>
      </w:r>
    </w:p>
    <w:p w:rsidR="00BF60A0" w:rsidRDefault="006E4EA0">
      <w:pPr>
        <w:adjustRightInd w:val="0"/>
        <w:snapToGrid w:val="0"/>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BF60A0" w:rsidRDefault="006E4EA0">
      <w:pPr>
        <w:pStyle w:val="1"/>
        <w:spacing w:before="0" w:after="0"/>
        <w:rPr>
          <w:sz w:val="30"/>
        </w:rPr>
      </w:pPr>
      <w:r>
        <w:rPr>
          <w:b w:val="0"/>
          <w:bCs/>
          <w:sz w:val="21"/>
        </w:rPr>
        <w:br w:type="page"/>
      </w:r>
      <w:bookmarkStart w:id="60" w:name="_Toc23261"/>
      <w:bookmarkStart w:id="61" w:name="_Toc535765914"/>
      <w:bookmarkStart w:id="62" w:name="_Toc23822"/>
      <w:bookmarkStart w:id="63" w:name="_Toc20733"/>
      <w:bookmarkStart w:id="64" w:name="_Toc17244"/>
      <w:bookmarkStart w:id="65" w:name="_Toc123051452"/>
      <w:bookmarkStart w:id="66" w:name="_Toc1427"/>
      <w:bookmarkStart w:id="67" w:name="_Toc123102453"/>
      <w:bookmarkStart w:id="68" w:name="_Toc4003"/>
      <w:bookmarkStart w:id="69" w:name="_Toc79392606"/>
      <w:bookmarkStart w:id="70" w:name="_Toc123112234"/>
      <w:bookmarkStart w:id="71" w:name="_Toc312933428"/>
      <w:bookmarkStart w:id="72" w:name="_Toc98560352"/>
      <w:bookmarkStart w:id="73" w:name="_Toc1270"/>
      <w:bookmarkStart w:id="74" w:name="_Toc139991736"/>
      <w:bookmarkStart w:id="75" w:name="_Toc141703886"/>
      <w:bookmarkStart w:id="76" w:name="_Toc10463"/>
      <w:bookmarkStart w:id="77" w:name="_Toc610"/>
      <w:bookmarkStart w:id="78" w:name="_Toc7920"/>
      <w:bookmarkStart w:id="79" w:name="_Toc48649707"/>
      <w:r>
        <w:rPr>
          <w:sz w:val="30"/>
        </w:rPr>
        <w:lastRenderedPageBreak/>
        <w:t>第六部分</w:t>
      </w:r>
      <w:r>
        <w:rPr>
          <w:sz w:val="30"/>
        </w:rPr>
        <w:t xml:space="preserve">  </w:t>
      </w:r>
      <w:r>
        <w:rPr>
          <w:sz w:val="30"/>
        </w:rPr>
        <w:t>基金份额的申购与赎回</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一、申购和赎回场所</w:t>
      </w:r>
    </w:p>
    <w:p w:rsidR="00BF60A0" w:rsidRDefault="006E4EA0">
      <w:pPr>
        <w:adjustRightInd w:val="0"/>
        <w:snapToGrid w:val="0"/>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w:t>
      </w:r>
      <w:r>
        <w:rPr>
          <w:rFonts w:hint="eastAsia"/>
          <w:bCs/>
          <w:sz w:val="24"/>
        </w:rPr>
        <w:t>网站</w:t>
      </w:r>
      <w:r>
        <w:rPr>
          <w:bCs/>
          <w:sz w:val="24"/>
        </w:rPr>
        <w:t>中列明。基金管理人可根据情况变更或增减销售机构，并</w:t>
      </w:r>
      <w:r>
        <w:rPr>
          <w:rFonts w:hint="eastAsia"/>
          <w:bCs/>
          <w:sz w:val="24"/>
        </w:rPr>
        <w:t>在管理人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二、申购和赎回的开放日及时间</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w:t>
      </w:r>
      <w:r>
        <w:rPr>
          <w:bCs/>
          <w:sz w:val="24"/>
        </w:rPr>
        <w:t>开放日及开放时间</w:t>
      </w:r>
    </w:p>
    <w:p w:rsidR="00BF60A0" w:rsidRDefault="006E4EA0">
      <w:pPr>
        <w:adjustRightInd w:val="0"/>
        <w:snapToGrid w:val="0"/>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（若该工作日为非港股通交易日，则本基金可不开放）</w:t>
      </w:r>
      <w:r>
        <w:rPr>
          <w:bCs/>
          <w:sz w:val="24"/>
        </w:rPr>
        <w:t>，但基金管理人根据法律法规、中国证监会的要求或本基金合同的规定公告暂停申购、赎回时除外。</w:t>
      </w:r>
    </w:p>
    <w:p w:rsidR="00BF60A0" w:rsidRDefault="006E4EA0">
      <w:pPr>
        <w:adjustRightInd w:val="0"/>
        <w:snapToGrid w:val="0"/>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BF60A0" w:rsidRDefault="006E4EA0">
      <w:pPr>
        <w:adjustRightInd w:val="0"/>
        <w:snapToGrid w:val="0"/>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rsidR="00BF60A0" w:rsidRDefault="006E4EA0">
      <w:pPr>
        <w:adjustRightInd w:val="0"/>
        <w:snapToGrid w:val="0"/>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三、申购与赎回的原则</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w:t>
      </w:r>
      <w:r>
        <w:rPr>
          <w:bCs/>
          <w:sz w:val="24"/>
        </w:rPr>
        <w:t>未知价</w:t>
      </w:r>
      <w:r>
        <w:rPr>
          <w:rFonts w:hint="eastAsia"/>
          <w:bCs/>
          <w:sz w:val="24"/>
        </w:rPr>
        <w:t>”</w:t>
      </w:r>
      <w:r>
        <w:rPr>
          <w:bCs/>
          <w:sz w:val="24"/>
        </w:rPr>
        <w:t>原则，即申购、赎回价格以申请当日收市后计算的基金份额净值为基准进行计算；</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w:t>
      </w:r>
      <w:r>
        <w:rPr>
          <w:bCs/>
          <w:sz w:val="24"/>
        </w:rPr>
        <w:t>金额申购、份额赎回</w:t>
      </w:r>
      <w:r>
        <w:rPr>
          <w:rFonts w:hint="eastAsia"/>
          <w:bCs/>
          <w:sz w:val="24"/>
        </w:rPr>
        <w:t>”</w:t>
      </w:r>
      <w:r>
        <w:rPr>
          <w:bCs/>
          <w:sz w:val="24"/>
        </w:rPr>
        <w:t>原则，即申购以金额申请，赎回以份额申请；</w:t>
      </w:r>
    </w:p>
    <w:p w:rsidR="00BF60A0" w:rsidRDefault="006E4EA0">
      <w:pPr>
        <w:adjustRightInd w:val="0"/>
        <w:snapToGrid w:val="0"/>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w:t>
      </w:r>
      <w:r>
        <w:rPr>
          <w:rFonts w:hint="eastAsia"/>
          <w:bCs/>
          <w:sz w:val="24"/>
        </w:rPr>
        <w:lastRenderedPageBreak/>
        <w:t>登记机构正式受理的不得撤销</w:t>
      </w:r>
      <w:r>
        <w:rPr>
          <w:bCs/>
          <w:sz w:val="24"/>
        </w:rPr>
        <w:t>；</w:t>
      </w:r>
    </w:p>
    <w:p w:rsidR="00BF60A0" w:rsidRDefault="006E4EA0">
      <w:pPr>
        <w:adjustRightInd w:val="0"/>
        <w:snapToGrid w:val="0"/>
        <w:spacing w:line="360" w:lineRule="auto"/>
        <w:ind w:firstLineChars="200" w:firstLine="480"/>
        <w:rPr>
          <w:bCs/>
          <w:sz w:val="24"/>
        </w:rPr>
      </w:pPr>
      <w:r>
        <w:rPr>
          <w:bCs/>
          <w:sz w:val="24"/>
        </w:rPr>
        <w:t>4</w:t>
      </w:r>
      <w:r>
        <w:rPr>
          <w:rFonts w:hint="eastAsia"/>
          <w:bCs/>
          <w:sz w:val="24"/>
        </w:rPr>
        <w:t>、</w:t>
      </w:r>
      <w:r>
        <w:rPr>
          <w:rFonts w:ascii="宋体" w:hAnsi="宋体" w:hint="eastAsia"/>
          <w:sz w:val="24"/>
          <w:szCs w:val="18"/>
        </w:rPr>
        <w:t>基金份额持有人赎回时，除指定赎回外，基金管理人按“</w:t>
      </w:r>
      <w:r>
        <w:rPr>
          <w:rFonts w:hint="eastAsia"/>
          <w:bCs/>
          <w:sz w:val="24"/>
        </w:rPr>
        <w:t>先进先出</w:t>
      </w:r>
      <w:r>
        <w:rPr>
          <w:rFonts w:ascii="宋体" w:hAnsi="宋体" w:hint="eastAsia"/>
          <w:sz w:val="24"/>
          <w:szCs w:val="18"/>
        </w:rPr>
        <w:t>”的原则，对该持有人账户在该销售机构托管的基金份额进行处理，即注册登记确认日期在先的基金份额先赎回，注册登记确认日期在后的基金份额后赎回，以确定被赎回基金份额的持有期限和所适用的赎回费率。对于由转型前基金转入变更后基金的基金份额，其持有期将从原份额取得之日起连续计算。</w:t>
      </w:r>
    </w:p>
    <w:p w:rsidR="00BF60A0" w:rsidRDefault="006E4EA0">
      <w:pPr>
        <w:adjustRightInd w:val="0"/>
        <w:snapToGrid w:val="0"/>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四、申购与赎回的程序</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BF60A0" w:rsidRDefault="006E4EA0">
      <w:pPr>
        <w:adjustRightInd w:val="0"/>
        <w:snapToGrid w:val="0"/>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投资人在提交申购申请时须按销售机构规定的方式备足申购资金，投资人在提交赎回申请时须持有足够的基金份额余额，否则所提交的申购、赎回申请无效。</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BF60A0" w:rsidRDefault="006E4EA0">
      <w:pPr>
        <w:adjustRightInd w:val="0"/>
        <w:snapToGrid w:val="0"/>
        <w:spacing w:line="360" w:lineRule="auto"/>
        <w:ind w:firstLineChars="200" w:firstLine="480"/>
        <w:rPr>
          <w:bCs/>
          <w:sz w:val="24"/>
        </w:rPr>
      </w:pPr>
      <w:r>
        <w:rPr>
          <w:bCs/>
          <w:sz w:val="24"/>
          <w:lang w:val="zh-CN"/>
        </w:rPr>
        <w:t>投资人申购基金份额时，必须全额交付申购款项，</w:t>
      </w:r>
      <w:r>
        <w:rPr>
          <w:rFonts w:hint="eastAsia"/>
          <w:bCs/>
          <w:sz w:val="24"/>
          <w:lang w:val="zh-CN"/>
        </w:rPr>
        <w:t>若申购资金在规定时间内未全额到账则申购不成功</w:t>
      </w:r>
      <w:r>
        <w:rPr>
          <w:bCs/>
          <w:sz w:val="24"/>
          <w:lang w:val="zh-CN"/>
        </w:rPr>
        <w:t>。</w:t>
      </w:r>
    </w:p>
    <w:p w:rsidR="00BF60A0" w:rsidRDefault="006E4EA0">
      <w:pPr>
        <w:adjustRightInd w:val="0"/>
        <w:snapToGrid w:val="0"/>
        <w:spacing w:line="360" w:lineRule="auto"/>
        <w:ind w:firstLineChars="200" w:firstLine="480"/>
        <w:rPr>
          <w:bCs/>
          <w:sz w:val="24"/>
        </w:rPr>
      </w:pPr>
      <w:r>
        <w:rPr>
          <w:bCs/>
          <w:sz w:val="24"/>
        </w:rPr>
        <w:t>投资人赎回申请成功后，基金管理人将在</w:t>
      </w:r>
      <w:r>
        <w:rPr>
          <w:bCs/>
          <w:sz w:val="24"/>
        </w:rPr>
        <w:t>T</w:t>
      </w:r>
      <w:r>
        <w:rPr>
          <w:bCs/>
          <w:sz w:val="24"/>
        </w:rPr>
        <w:t>＋</w:t>
      </w:r>
      <w:r>
        <w:rPr>
          <w:rFonts w:hint="eastAsia"/>
          <w:bCs/>
          <w:sz w:val="24"/>
        </w:rPr>
        <w:t>7</w:t>
      </w:r>
      <w:r>
        <w:rPr>
          <w:bCs/>
          <w:sz w:val="24"/>
        </w:rPr>
        <w:t>日内</w:t>
      </w:r>
      <w:r>
        <w:rPr>
          <w:rFonts w:hint="eastAsia"/>
          <w:bCs/>
          <w:sz w:val="24"/>
        </w:rPr>
        <w:t>（</w:t>
      </w:r>
      <w:r>
        <w:rPr>
          <w:bCs/>
          <w:sz w:val="24"/>
        </w:rPr>
        <w:t>包括该日</w:t>
      </w:r>
      <w:r>
        <w:rPr>
          <w:rFonts w:hint="eastAsia"/>
          <w:bCs/>
          <w:sz w:val="24"/>
        </w:rPr>
        <w:t>）</w:t>
      </w:r>
      <w:r>
        <w:rPr>
          <w:bCs/>
          <w:sz w:val="24"/>
        </w:rPr>
        <w:t>支付赎回款项。在发生巨额赎回</w:t>
      </w:r>
      <w:r>
        <w:rPr>
          <w:rFonts w:hint="eastAsia"/>
          <w:bCs/>
          <w:sz w:val="24"/>
        </w:rPr>
        <w:t>的情形</w:t>
      </w:r>
      <w:r>
        <w:rPr>
          <w:bCs/>
          <w:sz w:val="24"/>
        </w:rPr>
        <w:t>时，款项的支付办法参照本基金合同有关条款处理。</w:t>
      </w:r>
    </w:p>
    <w:p w:rsidR="00BF60A0" w:rsidRDefault="006E4EA0">
      <w:pPr>
        <w:adjustRightInd w:val="0"/>
        <w:snapToGrid w:val="0"/>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BF60A0" w:rsidRDefault="006E4EA0">
      <w:pPr>
        <w:adjustRightInd w:val="0"/>
        <w:snapToGrid w:val="0"/>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w:t>
      </w:r>
      <w:r>
        <w:rPr>
          <w:rFonts w:hint="eastAsia"/>
          <w:bCs/>
          <w:sz w:val="24"/>
        </w:rPr>
        <w:t>1</w:t>
      </w:r>
      <w:r>
        <w:rPr>
          <w:bCs/>
          <w:sz w:val="24"/>
        </w:rPr>
        <w:t>日内</w:t>
      </w:r>
      <w:r>
        <w:rPr>
          <w:rFonts w:hint="eastAsia"/>
          <w:bCs/>
          <w:sz w:val="24"/>
        </w:rPr>
        <w:t>（包括该日）</w:t>
      </w:r>
      <w:r>
        <w:rPr>
          <w:bCs/>
          <w:sz w:val="24"/>
        </w:rPr>
        <w:t>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rFonts w:hint="eastAsia"/>
          <w:bCs/>
          <w:sz w:val="24"/>
        </w:rPr>
        <w:t>（</w:t>
      </w:r>
      <w:r>
        <w:rPr>
          <w:bCs/>
          <w:sz w:val="24"/>
        </w:rPr>
        <w:t>包括该日</w:t>
      </w:r>
      <w:r>
        <w:rPr>
          <w:rFonts w:hint="eastAsia"/>
          <w:bCs/>
          <w:sz w:val="24"/>
        </w:rPr>
        <w:t>）</w:t>
      </w:r>
      <w:r>
        <w:rPr>
          <w:bCs/>
          <w:sz w:val="24"/>
        </w:rPr>
        <w:t>到销售网点柜台或以销售机构规定的其他方式查询申请的确认情况。若申购不成功，则申购款项退还给投资人。</w:t>
      </w:r>
    </w:p>
    <w:p w:rsidR="00BF60A0" w:rsidRDefault="006E4EA0">
      <w:pPr>
        <w:adjustRightInd w:val="0"/>
        <w:snapToGrid w:val="0"/>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基金管理人可在法律法规允许的范围内，依法对上述申购和赎回申请的确认时间进行调整，并必须在调整实施日前按照《信息披露办法》的有关规定在规定媒介上公告。</w:t>
      </w:r>
    </w:p>
    <w:p w:rsidR="00BF60A0" w:rsidRDefault="006E4EA0">
      <w:pPr>
        <w:adjustRightInd w:val="0"/>
        <w:snapToGrid w:val="0"/>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w:t>
      </w:r>
      <w:r>
        <w:rPr>
          <w:rFonts w:ascii="宋体" w:hAnsi="宋体" w:hint="eastAsia"/>
          <w:sz w:val="24"/>
          <w:szCs w:val="18"/>
        </w:rPr>
        <w:lastRenderedPageBreak/>
        <w:t>构确实接收到申购、赎回申请。申购、赎回申请的确认以登记机构的确认结果为准。</w:t>
      </w:r>
      <w:r>
        <w:rPr>
          <w:rFonts w:ascii="宋体" w:hAnsi="宋体" w:hint="eastAsia"/>
          <w:sz w:val="24"/>
        </w:rPr>
        <w:t>对于申请的确认情况，投资者应及时查询。</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五、申购和赎回的数量限制</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p>
    <w:p w:rsidR="00BF60A0" w:rsidRDefault="006E4EA0">
      <w:pPr>
        <w:adjustRightInd w:val="0"/>
        <w:snapToGrid w:val="0"/>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F60A0" w:rsidRDefault="006E4EA0">
      <w:pPr>
        <w:adjustRightInd w:val="0"/>
        <w:snapToGrid w:val="0"/>
        <w:spacing w:line="360" w:lineRule="auto"/>
        <w:ind w:firstLineChars="200" w:firstLine="480"/>
        <w:rPr>
          <w:bCs/>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基金管理人可在法律法规允许的情况下，调整上述规定申购金额和赎回份额的数量限制。基金管理人必须在调整前依照《信息披露办法》的有关规定在规定媒介上公告。</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六、申购和赎回的价格、费用及其用途</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、本基金基金份额分为</w:t>
      </w:r>
      <w:r>
        <w:rPr>
          <w:rFonts w:hint="eastAsia"/>
          <w:bCs/>
          <w:sz w:val="24"/>
        </w:rPr>
        <w:t>A</w:t>
      </w:r>
      <w:r>
        <w:rPr>
          <w:rFonts w:hint="eastAsia"/>
          <w:bCs/>
          <w:sz w:val="24"/>
        </w:rPr>
        <w:t>类基金份额、</w:t>
      </w:r>
      <w:r>
        <w:rPr>
          <w:rFonts w:hint="eastAsia"/>
          <w:bCs/>
          <w:sz w:val="24"/>
        </w:rPr>
        <w:t>C</w:t>
      </w:r>
      <w:r>
        <w:rPr>
          <w:rFonts w:hint="eastAsia"/>
          <w:bCs/>
          <w:sz w:val="24"/>
        </w:rPr>
        <w:t>类基金份额和</w:t>
      </w:r>
      <w:r>
        <w:rPr>
          <w:rFonts w:hint="eastAsia"/>
          <w:bCs/>
          <w:sz w:val="24"/>
        </w:rPr>
        <w:t>D</w:t>
      </w:r>
      <w:r>
        <w:rPr>
          <w:rFonts w:hint="eastAsia"/>
          <w:bCs/>
          <w:sz w:val="24"/>
        </w:rPr>
        <w:t>类基金份额。投资人申购</w:t>
      </w:r>
      <w:r>
        <w:rPr>
          <w:rFonts w:hint="eastAsia"/>
          <w:bCs/>
          <w:sz w:val="24"/>
        </w:rPr>
        <w:t>A</w:t>
      </w:r>
      <w:r>
        <w:rPr>
          <w:rFonts w:hint="eastAsia"/>
          <w:bCs/>
          <w:sz w:val="24"/>
        </w:rPr>
        <w:t>类基金份额和</w:t>
      </w:r>
      <w:r>
        <w:rPr>
          <w:rFonts w:hint="eastAsia"/>
          <w:bCs/>
          <w:sz w:val="24"/>
        </w:rPr>
        <w:t>D</w:t>
      </w:r>
      <w:r>
        <w:rPr>
          <w:rFonts w:hint="eastAsia"/>
          <w:bCs/>
          <w:sz w:val="24"/>
        </w:rPr>
        <w:t>类基金份额在申购时支付申购费用；申购</w:t>
      </w:r>
      <w:r>
        <w:rPr>
          <w:rFonts w:hint="eastAsia"/>
          <w:bCs/>
          <w:sz w:val="24"/>
        </w:rPr>
        <w:t>C</w:t>
      </w:r>
      <w:r>
        <w:rPr>
          <w:rFonts w:hint="eastAsia"/>
          <w:bCs/>
          <w:sz w:val="24"/>
        </w:rPr>
        <w:t>类基金份额不支付申购费用，并从该类别基金资产中计提销售服务费。</w:t>
      </w:r>
    </w:p>
    <w:p w:rsidR="00BF60A0" w:rsidRDefault="006E4EA0">
      <w:pPr>
        <w:adjustRightInd w:val="0"/>
        <w:snapToGrid w:val="0"/>
        <w:spacing w:line="360" w:lineRule="auto"/>
        <w:ind w:firstLineChars="200" w:firstLine="480"/>
        <w:rPr>
          <w:bCs/>
          <w:sz w:val="24"/>
        </w:rPr>
      </w:pPr>
      <w:r>
        <w:rPr>
          <w:rFonts w:hint="eastAsia"/>
          <w:bCs/>
          <w:sz w:val="24"/>
        </w:rPr>
        <w:t>2</w:t>
      </w:r>
      <w:r>
        <w:rPr>
          <w:rFonts w:hint="eastAsia"/>
          <w:bCs/>
          <w:sz w:val="24"/>
        </w:rPr>
        <w:t>、</w:t>
      </w:r>
      <w:r>
        <w:rPr>
          <w:bCs/>
          <w:sz w:val="24"/>
        </w:rPr>
        <w:t>本基金</w:t>
      </w:r>
      <w:r>
        <w:rPr>
          <w:rFonts w:hint="eastAsia"/>
          <w:bCs/>
          <w:sz w:val="24"/>
        </w:rPr>
        <w:t>A</w:t>
      </w:r>
      <w:r>
        <w:rPr>
          <w:rFonts w:hint="eastAsia"/>
          <w:bCs/>
          <w:sz w:val="24"/>
        </w:rPr>
        <w:t>类基金份额、</w:t>
      </w:r>
      <w:r>
        <w:rPr>
          <w:rFonts w:hint="eastAsia"/>
          <w:bCs/>
          <w:sz w:val="24"/>
        </w:rPr>
        <w:t>C</w:t>
      </w:r>
      <w:r>
        <w:rPr>
          <w:rFonts w:hint="eastAsia"/>
          <w:bCs/>
          <w:sz w:val="24"/>
        </w:rPr>
        <w:t>类基金份额和</w:t>
      </w:r>
      <w:r>
        <w:rPr>
          <w:rFonts w:hint="eastAsia"/>
          <w:bCs/>
          <w:sz w:val="24"/>
        </w:rPr>
        <w:t>D</w:t>
      </w:r>
      <w:r>
        <w:rPr>
          <w:rFonts w:hint="eastAsia"/>
          <w:bCs/>
          <w:sz w:val="24"/>
        </w:rPr>
        <w:t>类基金份额的基金</w:t>
      </w:r>
      <w:r>
        <w:rPr>
          <w:bCs/>
          <w:sz w:val="24"/>
        </w:rPr>
        <w:t>份额净值的计算，</w:t>
      </w:r>
      <w:r>
        <w:rPr>
          <w:rFonts w:hint="eastAsia"/>
          <w:bCs/>
          <w:sz w:val="24"/>
        </w:rPr>
        <w:t>均</w:t>
      </w:r>
      <w:r>
        <w:rPr>
          <w:bCs/>
          <w:sz w:val="24"/>
        </w:rPr>
        <w:t>保留到小数点后</w:t>
      </w:r>
      <w:r>
        <w:rPr>
          <w:bCs/>
          <w:sz w:val="24"/>
        </w:rPr>
        <w:t>4</w:t>
      </w:r>
      <w:r>
        <w:rPr>
          <w:bCs/>
          <w:sz w:val="24"/>
        </w:rPr>
        <w:t>位，小数点后第</w:t>
      </w:r>
      <w:r>
        <w:rPr>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w:t>
      </w:r>
      <w:r>
        <w:rPr>
          <w:rFonts w:hint="eastAsia"/>
          <w:bCs/>
          <w:sz w:val="24"/>
        </w:rPr>
        <w:t>履行适当程序</w:t>
      </w:r>
      <w:r>
        <w:rPr>
          <w:bCs/>
          <w:sz w:val="24"/>
        </w:rPr>
        <w:t>，可以适当延迟计算</w:t>
      </w:r>
      <w:r>
        <w:rPr>
          <w:rFonts w:hint="eastAsia"/>
          <w:bCs/>
          <w:sz w:val="24"/>
        </w:rPr>
        <w:t>和</w:t>
      </w:r>
      <w:r>
        <w:rPr>
          <w:bCs/>
          <w:sz w:val="24"/>
        </w:rPr>
        <w:t>公告。</w:t>
      </w:r>
    </w:p>
    <w:p w:rsidR="00BF60A0" w:rsidRDefault="006E4EA0">
      <w:pPr>
        <w:adjustRightInd w:val="0"/>
        <w:snapToGrid w:val="0"/>
        <w:spacing w:line="360" w:lineRule="auto"/>
        <w:ind w:firstLineChars="200" w:firstLine="480"/>
        <w:rPr>
          <w:bCs/>
          <w:sz w:val="24"/>
        </w:rPr>
      </w:pPr>
      <w:r>
        <w:rPr>
          <w:bCs/>
          <w:sz w:val="24"/>
        </w:rPr>
        <w:t>3</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类基金份额和</w:t>
      </w:r>
      <w:r>
        <w:rPr>
          <w:rFonts w:hint="eastAsia"/>
          <w:bCs/>
          <w:sz w:val="24"/>
        </w:rPr>
        <w:t>D</w:t>
      </w:r>
      <w:r>
        <w:rPr>
          <w:rFonts w:hint="eastAsia"/>
          <w:bCs/>
          <w:sz w:val="24"/>
        </w:rPr>
        <w:t>类基金份额</w:t>
      </w:r>
      <w:r>
        <w:rPr>
          <w:bCs/>
          <w:sz w:val="24"/>
        </w:rPr>
        <w:t>的申购费率由基金管理人决定，并在招募说明书中列示。申购</w:t>
      </w:r>
      <w:r>
        <w:rPr>
          <w:rFonts w:hint="eastAsia"/>
          <w:bCs/>
          <w:sz w:val="24"/>
        </w:rPr>
        <w:t>A</w:t>
      </w:r>
      <w:r>
        <w:rPr>
          <w:rFonts w:hint="eastAsia"/>
          <w:bCs/>
          <w:sz w:val="24"/>
        </w:rPr>
        <w:t>类基金份额、</w:t>
      </w:r>
      <w:r>
        <w:rPr>
          <w:rFonts w:hint="eastAsia"/>
          <w:bCs/>
          <w:sz w:val="24"/>
        </w:rPr>
        <w:t>C</w:t>
      </w:r>
      <w:r>
        <w:rPr>
          <w:rFonts w:hint="eastAsia"/>
          <w:bCs/>
          <w:sz w:val="24"/>
        </w:rPr>
        <w:t>类基金份额或</w:t>
      </w:r>
      <w:r>
        <w:rPr>
          <w:rFonts w:hint="eastAsia"/>
          <w:bCs/>
          <w:sz w:val="24"/>
        </w:rPr>
        <w:t>D</w:t>
      </w:r>
      <w:r>
        <w:rPr>
          <w:rFonts w:hint="eastAsia"/>
          <w:bCs/>
          <w:sz w:val="24"/>
        </w:rPr>
        <w:t>类基金份额</w:t>
      </w:r>
      <w:r>
        <w:rPr>
          <w:bCs/>
          <w:sz w:val="24"/>
        </w:rPr>
        <w:t>的有效份额为净申购金额除以当日</w:t>
      </w:r>
      <w:r>
        <w:rPr>
          <w:rFonts w:hint="eastAsia"/>
          <w:bCs/>
          <w:sz w:val="24"/>
        </w:rPr>
        <w:t>该类基金份额</w:t>
      </w:r>
      <w:r>
        <w:rPr>
          <w:bCs/>
          <w:sz w:val="24"/>
        </w:rPr>
        <w:t>的基金份额净值，有效份额单位为份，</w:t>
      </w:r>
      <w:r>
        <w:rPr>
          <w:rFonts w:hint="eastAsia"/>
          <w:bCs/>
          <w:sz w:val="24"/>
        </w:rPr>
        <w:t>申购有</w:t>
      </w:r>
      <w:r>
        <w:rPr>
          <w:rFonts w:hint="eastAsia"/>
          <w:bCs/>
          <w:sz w:val="24"/>
        </w:rPr>
        <w:lastRenderedPageBreak/>
        <w:t>效份额的</w:t>
      </w:r>
      <w:r>
        <w:rPr>
          <w:bCs/>
          <w:sz w:val="24"/>
        </w:rPr>
        <w:t>计算结果按四舍五入方法，保留到小数点后</w:t>
      </w:r>
      <w:r>
        <w:rPr>
          <w:rFonts w:hint="eastAsia"/>
          <w:bCs/>
          <w:sz w:val="24"/>
        </w:rPr>
        <w:t>2</w:t>
      </w:r>
      <w:r>
        <w:rPr>
          <w:bCs/>
          <w:sz w:val="24"/>
        </w:rPr>
        <w:t>位，由此产生的收益或损失由基金财产承担。</w:t>
      </w:r>
    </w:p>
    <w:p w:rsidR="00BF60A0" w:rsidRDefault="006E4EA0">
      <w:pPr>
        <w:adjustRightInd w:val="0"/>
        <w:snapToGrid w:val="0"/>
        <w:spacing w:line="360" w:lineRule="auto"/>
        <w:ind w:firstLineChars="200" w:firstLine="480"/>
        <w:rPr>
          <w:bCs/>
          <w:sz w:val="24"/>
        </w:rPr>
      </w:pPr>
      <w:r>
        <w:rPr>
          <w:bCs/>
          <w:sz w:val="24"/>
        </w:rPr>
        <w:t>4</w:t>
      </w:r>
      <w:r>
        <w:rPr>
          <w:rFonts w:hint="eastAsia"/>
          <w:bCs/>
          <w:sz w:val="24"/>
        </w:rPr>
        <w:t>、</w:t>
      </w:r>
      <w:r>
        <w:rPr>
          <w:bCs/>
          <w:sz w:val="24"/>
        </w:rPr>
        <w:t>赎回金额的计算及处理方式：本基金赎回金额的计算详见招募说明书。本基金</w:t>
      </w:r>
      <w:r>
        <w:rPr>
          <w:rFonts w:hint="eastAsia"/>
          <w:bCs/>
          <w:sz w:val="24"/>
        </w:rPr>
        <w:t>A</w:t>
      </w:r>
      <w:r>
        <w:rPr>
          <w:rFonts w:hint="eastAsia"/>
          <w:bCs/>
          <w:sz w:val="24"/>
        </w:rPr>
        <w:t>类基金份额、</w:t>
      </w:r>
      <w:r>
        <w:rPr>
          <w:rFonts w:hint="eastAsia"/>
          <w:bCs/>
          <w:sz w:val="24"/>
        </w:rPr>
        <w:t>C</w:t>
      </w:r>
      <w:r>
        <w:rPr>
          <w:rFonts w:hint="eastAsia"/>
          <w:bCs/>
          <w:sz w:val="24"/>
        </w:rPr>
        <w:t>类基金份额和</w:t>
      </w:r>
      <w:r>
        <w:rPr>
          <w:rFonts w:hint="eastAsia"/>
          <w:bCs/>
          <w:sz w:val="24"/>
        </w:rPr>
        <w:t>D</w:t>
      </w:r>
      <w:r>
        <w:rPr>
          <w:rFonts w:hint="eastAsia"/>
          <w:bCs/>
          <w:sz w:val="24"/>
        </w:rPr>
        <w:t>类基金份额</w:t>
      </w:r>
      <w:r>
        <w:rPr>
          <w:bCs/>
          <w:sz w:val="24"/>
        </w:rPr>
        <w:t>的赎回费率由基金管理人决定，并在招募说明书中列示。赎回金额为按实际确认的</w:t>
      </w:r>
      <w:r>
        <w:rPr>
          <w:rFonts w:hint="eastAsia"/>
          <w:bCs/>
          <w:sz w:val="24"/>
        </w:rPr>
        <w:t>各类基金份额</w:t>
      </w:r>
      <w:r>
        <w:rPr>
          <w:bCs/>
          <w:sz w:val="24"/>
        </w:rPr>
        <w:t>有效赎回份额乘以当日</w:t>
      </w:r>
      <w:r>
        <w:rPr>
          <w:rFonts w:hint="eastAsia"/>
          <w:bCs/>
          <w:sz w:val="24"/>
        </w:rPr>
        <w:t>该类基金份额的</w:t>
      </w:r>
      <w:r>
        <w:rPr>
          <w:bCs/>
          <w:sz w:val="24"/>
        </w:rPr>
        <w:t>基金份额净值并扣除相应的费用，赎回金额单位为元。</w:t>
      </w:r>
      <w:r>
        <w:rPr>
          <w:rFonts w:hint="eastAsia"/>
          <w:bCs/>
          <w:sz w:val="24"/>
        </w:rPr>
        <w:t>赎回金额的</w:t>
      </w:r>
      <w:r>
        <w:rPr>
          <w:bCs/>
          <w:sz w:val="24"/>
        </w:rPr>
        <w:t>计算结果按四舍五入方法，保留到小数点后</w:t>
      </w:r>
      <w:r>
        <w:rPr>
          <w:rFonts w:hint="eastAsia"/>
          <w:bCs/>
          <w:sz w:val="24"/>
        </w:rPr>
        <w:t>2</w:t>
      </w:r>
      <w:r>
        <w:rPr>
          <w:bCs/>
          <w:sz w:val="24"/>
        </w:rPr>
        <w:t>位，由此产生的收益或损失由基金财产承担。</w:t>
      </w:r>
    </w:p>
    <w:p w:rsidR="00BF60A0" w:rsidRDefault="006E4EA0">
      <w:pPr>
        <w:adjustRightInd w:val="0"/>
        <w:snapToGrid w:val="0"/>
        <w:spacing w:line="360" w:lineRule="auto"/>
        <w:ind w:firstLineChars="200" w:firstLine="480"/>
        <w:rPr>
          <w:bCs/>
          <w:sz w:val="24"/>
        </w:rPr>
      </w:pPr>
      <w:r>
        <w:rPr>
          <w:bCs/>
          <w:sz w:val="24"/>
        </w:rPr>
        <w:t>5</w:t>
      </w:r>
      <w:r>
        <w:rPr>
          <w:rFonts w:hint="eastAsia"/>
          <w:bCs/>
          <w:sz w:val="24"/>
        </w:rPr>
        <w:t>、本基金</w:t>
      </w:r>
      <w:r>
        <w:rPr>
          <w:rFonts w:hint="eastAsia"/>
          <w:bCs/>
          <w:sz w:val="24"/>
        </w:rPr>
        <w:t>A</w:t>
      </w:r>
      <w:r>
        <w:rPr>
          <w:rFonts w:hint="eastAsia"/>
          <w:bCs/>
          <w:sz w:val="24"/>
        </w:rPr>
        <w:t>类基金份额和</w:t>
      </w:r>
      <w:r>
        <w:rPr>
          <w:rFonts w:hint="eastAsia"/>
          <w:bCs/>
          <w:sz w:val="24"/>
        </w:rPr>
        <w:t>D</w:t>
      </w:r>
      <w:r>
        <w:rPr>
          <w:rFonts w:hint="eastAsia"/>
          <w:bCs/>
          <w:sz w:val="24"/>
        </w:rPr>
        <w:t>类基金份额的</w:t>
      </w:r>
      <w:r>
        <w:rPr>
          <w:bCs/>
          <w:sz w:val="24"/>
        </w:rPr>
        <w:t>申购费用由</w:t>
      </w:r>
      <w:r>
        <w:rPr>
          <w:rFonts w:hint="eastAsia"/>
          <w:bCs/>
          <w:sz w:val="24"/>
        </w:rPr>
        <w:t>申购该类基金份额的</w:t>
      </w:r>
      <w:r>
        <w:rPr>
          <w:bCs/>
          <w:sz w:val="24"/>
        </w:rPr>
        <w:t>投资人承担，不列入基金财产。</w:t>
      </w:r>
    </w:p>
    <w:p w:rsidR="00BF60A0" w:rsidRDefault="006E4EA0">
      <w:pPr>
        <w:adjustRightInd w:val="0"/>
        <w:snapToGrid w:val="0"/>
        <w:spacing w:line="360" w:lineRule="auto"/>
        <w:ind w:firstLineChars="200" w:firstLine="480"/>
        <w:rPr>
          <w:bCs/>
          <w:sz w:val="24"/>
        </w:rPr>
      </w:pPr>
      <w:r>
        <w:rPr>
          <w:bCs/>
          <w:sz w:val="24"/>
        </w:rPr>
        <w:t>6</w:t>
      </w:r>
      <w:r>
        <w:rPr>
          <w:rFonts w:hint="eastAsia"/>
          <w:bCs/>
          <w:sz w:val="24"/>
        </w:rPr>
        <w:t>、本基金</w:t>
      </w:r>
      <w:r>
        <w:rPr>
          <w:rFonts w:hint="eastAsia"/>
          <w:bCs/>
          <w:sz w:val="24"/>
        </w:rPr>
        <w:t>A</w:t>
      </w:r>
      <w:r>
        <w:rPr>
          <w:rFonts w:hint="eastAsia"/>
          <w:bCs/>
          <w:sz w:val="24"/>
        </w:rPr>
        <w:t>类基金份额、</w:t>
      </w:r>
      <w:r>
        <w:rPr>
          <w:rFonts w:hint="eastAsia"/>
          <w:bCs/>
          <w:sz w:val="24"/>
        </w:rPr>
        <w:t>C</w:t>
      </w:r>
      <w:r>
        <w:rPr>
          <w:rFonts w:hint="eastAsia"/>
          <w:bCs/>
          <w:sz w:val="24"/>
        </w:rPr>
        <w:t>类基金份额和</w:t>
      </w:r>
      <w:r>
        <w:rPr>
          <w:rFonts w:hint="eastAsia"/>
          <w:bCs/>
          <w:sz w:val="24"/>
        </w:rPr>
        <w:t>D</w:t>
      </w:r>
      <w:r>
        <w:rPr>
          <w:rFonts w:hint="eastAsia"/>
          <w:bCs/>
          <w:sz w:val="24"/>
        </w:rPr>
        <w:t>类基金份额的</w:t>
      </w:r>
      <w:r>
        <w:rPr>
          <w:bCs/>
          <w:sz w:val="24"/>
        </w:rPr>
        <w:t>赎回费用由赎回</w:t>
      </w:r>
      <w:r>
        <w:rPr>
          <w:rFonts w:hint="eastAsia"/>
          <w:bCs/>
          <w:sz w:val="24"/>
        </w:rPr>
        <w:t>该类</w:t>
      </w:r>
      <w:r>
        <w:rPr>
          <w:bCs/>
          <w:sz w:val="24"/>
        </w:rPr>
        <w:t>基金份额的基金份额持有人承担，在基金份额持有人赎回基金份额时收取。不低于赎回费总额的</w:t>
      </w:r>
      <w:r>
        <w:rPr>
          <w:rFonts w:hint="eastAsia"/>
          <w:bCs/>
          <w:sz w:val="24"/>
        </w:rPr>
        <w:t>25%</w:t>
      </w:r>
      <w:r>
        <w:rPr>
          <w:bCs/>
          <w:sz w:val="24"/>
        </w:rPr>
        <w:t>应归基金财产，其余用于支付登记费和其他必要的手续费。</w:t>
      </w:r>
      <w:r>
        <w:rPr>
          <w:rFonts w:hint="eastAsia"/>
          <w:bCs/>
          <w:sz w:val="24"/>
        </w:rPr>
        <w:t>其中，对持续持有期少于</w:t>
      </w:r>
      <w:r>
        <w:rPr>
          <w:rFonts w:hint="eastAsia"/>
          <w:bCs/>
          <w:sz w:val="24"/>
        </w:rPr>
        <w:t>7</w:t>
      </w:r>
      <w:r>
        <w:rPr>
          <w:rFonts w:hint="eastAsia"/>
          <w:bCs/>
          <w:sz w:val="24"/>
        </w:rPr>
        <w:t>日的基金份额持有人收取不低于</w:t>
      </w:r>
      <w:r>
        <w:rPr>
          <w:rFonts w:hint="eastAsia"/>
          <w:bCs/>
          <w:sz w:val="24"/>
        </w:rPr>
        <w:t>1.5%</w:t>
      </w:r>
      <w:r>
        <w:rPr>
          <w:rFonts w:hint="eastAsia"/>
          <w:bCs/>
          <w:sz w:val="24"/>
        </w:rPr>
        <w:t>的赎回费并全额计入基金财产。</w:t>
      </w:r>
    </w:p>
    <w:p w:rsidR="00BF60A0" w:rsidRDefault="006E4EA0">
      <w:pPr>
        <w:adjustRightInd w:val="0"/>
        <w:snapToGrid w:val="0"/>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BF60A0" w:rsidRDefault="006E4EA0">
      <w:pPr>
        <w:adjustRightInd w:val="0"/>
        <w:snapToGrid w:val="0"/>
        <w:spacing w:line="360" w:lineRule="auto"/>
        <w:ind w:firstLineChars="200" w:firstLine="480"/>
        <w:rPr>
          <w:bCs/>
          <w:sz w:val="24"/>
        </w:rPr>
      </w:pPr>
      <w:r>
        <w:rPr>
          <w:bCs/>
          <w:sz w:val="24"/>
        </w:rPr>
        <w:t>8</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rsidR="00BF60A0" w:rsidRDefault="006E4EA0">
      <w:pPr>
        <w:adjustRightInd w:val="0"/>
        <w:snapToGrid w:val="0"/>
        <w:spacing w:line="360" w:lineRule="auto"/>
        <w:ind w:firstLineChars="200" w:firstLine="480"/>
        <w:rPr>
          <w:bCs/>
          <w:sz w:val="24"/>
        </w:rPr>
      </w:pPr>
      <w:r>
        <w:rPr>
          <w:rFonts w:hint="eastAsia"/>
          <w:bCs/>
          <w:sz w:val="24"/>
        </w:rPr>
        <w:t>9</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BF60A0" w:rsidRDefault="006E4EA0">
      <w:pPr>
        <w:adjustRightInd w:val="0"/>
        <w:snapToGrid w:val="0"/>
        <w:spacing w:line="360" w:lineRule="auto"/>
        <w:ind w:firstLineChars="200" w:firstLine="480"/>
        <w:rPr>
          <w:sz w:val="24"/>
          <w:szCs w:val="18"/>
        </w:rPr>
      </w:pPr>
      <w:r>
        <w:rPr>
          <w:rFonts w:hAnsi="宋体" w:hint="eastAsia"/>
          <w:sz w:val="24"/>
          <w:szCs w:val="18"/>
        </w:rPr>
        <w:t>发生下列情况时，基金管理人可拒绝或暂停接受投资人的申购申请：</w:t>
      </w:r>
    </w:p>
    <w:p w:rsidR="00BF60A0" w:rsidRDefault="006E4EA0">
      <w:pPr>
        <w:adjustRightInd w:val="0"/>
        <w:snapToGrid w:val="0"/>
        <w:spacing w:line="360" w:lineRule="auto"/>
        <w:ind w:firstLineChars="200" w:firstLine="480"/>
        <w:rPr>
          <w:sz w:val="24"/>
          <w:szCs w:val="18"/>
        </w:rPr>
      </w:pPr>
      <w:r>
        <w:rPr>
          <w:sz w:val="24"/>
          <w:szCs w:val="18"/>
        </w:rPr>
        <w:lastRenderedPageBreak/>
        <w:t>1</w:t>
      </w:r>
      <w:r>
        <w:rPr>
          <w:rFonts w:hAnsi="宋体" w:hint="eastAsia"/>
          <w:sz w:val="24"/>
          <w:szCs w:val="18"/>
        </w:rPr>
        <w:t>、因不可抗力导致基金无法正常运作。</w:t>
      </w:r>
    </w:p>
    <w:p w:rsidR="00BF60A0" w:rsidRDefault="006E4EA0">
      <w:pPr>
        <w:adjustRightInd w:val="0"/>
        <w:snapToGrid w:val="0"/>
        <w:spacing w:line="360" w:lineRule="auto"/>
        <w:ind w:firstLineChars="200" w:firstLine="480"/>
        <w:rPr>
          <w:sz w:val="24"/>
          <w:szCs w:val="18"/>
        </w:rPr>
      </w:pPr>
      <w:r>
        <w:rPr>
          <w:sz w:val="24"/>
          <w:szCs w:val="18"/>
        </w:rPr>
        <w:t>2</w:t>
      </w:r>
      <w:r>
        <w:rPr>
          <w:rFonts w:hAnsi="宋体" w:hint="eastAsia"/>
          <w:sz w:val="24"/>
          <w:szCs w:val="18"/>
        </w:rPr>
        <w:t>、证券交易所交易时间非正常停市或港股通临时停市，导致基金管理人无法计算当日基金资产净值。</w:t>
      </w:r>
    </w:p>
    <w:p w:rsidR="00BF60A0" w:rsidRDefault="006E4EA0">
      <w:pPr>
        <w:adjustRightInd w:val="0"/>
        <w:snapToGrid w:val="0"/>
        <w:spacing w:line="360" w:lineRule="auto"/>
        <w:ind w:firstLineChars="200" w:firstLine="480"/>
        <w:rPr>
          <w:sz w:val="24"/>
          <w:szCs w:val="18"/>
        </w:rPr>
      </w:pPr>
      <w:r>
        <w:rPr>
          <w:sz w:val="24"/>
          <w:szCs w:val="18"/>
        </w:rPr>
        <w:t>3</w:t>
      </w:r>
      <w:r>
        <w:rPr>
          <w:rFonts w:hAnsi="宋体" w:hint="eastAsia"/>
          <w:sz w:val="24"/>
          <w:szCs w:val="18"/>
        </w:rPr>
        <w:t>、发生本基金合同规定的暂停基金资产估值情况。</w:t>
      </w:r>
    </w:p>
    <w:p w:rsidR="00BF60A0" w:rsidRDefault="006E4EA0">
      <w:pPr>
        <w:adjustRightInd w:val="0"/>
        <w:snapToGrid w:val="0"/>
        <w:spacing w:line="360" w:lineRule="auto"/>
        <w:ind w:firstLineChars="200" w:firstLine="480"/>
        <w:rPr>
          <w:sz w:val="24"/>
          <w:szCs w:val="18"/>
        </w:rPr>
      </w:pPr>
      <w:r>
        <w:rPr>
          <w:sz w:val="24"/>
          <w:szCs w:val="18"/>
        </w:rPr>
        <w:t>4</w:t>
      </w:r>
      <w:r>
        <w:rPr>
          <w:rFonts w:hAnsi="宋体" w:hint="eastAsia"/>
          <w:sz w:val="24"/>
          <w:szCs w:val="18"/>
        </w:rPr>
        <w:t>、基金管理人认为接受某笔或某些申购申请可能会影响或损害现有基金份额持有人利益时。</w:t>
      </w:r>
    </w:p>
    <w:p w:rsidR="00BF60A0" w:rsidRDefault="006E4EA0">
      <w:pPr>
        <w:adjustRightInd w:val="0"/>
        <w:snapToGrid w:val="0"/>
        <w:spacing w:line="360" w:lineRule="auto"/>
        <w:ind w:firstLineChars="200" w:firstLine="480"/>
        <w:rPr>
          <w:rFonts w:hAnsi="宋体"/>
          <w:sz w:val="24"/>
          <w:szCs w:val="18"/>
        </w:rPr>
      </w:pPr>
      <w:r>
        <w:rPr>
          <w:sz w:val="24"/>
          <w:szCs w:val="18"/>
        </w:rPr>
        <w:t>5</w:t>
      </w:r>
      <w:r>
        <w:rPr>
          <w:rFonts w:hAnsi="宋体" w:hint="eastAsia"/>
          <w:sz w:val="24"/>
          <w:szCs w:val="18"/>
        </w:rPr>
        <w:t>、基金资产规模过大，使基金管理人无法找到合适的投资品种，或其他可能对基金业绩产生负面影响，从而损害现有基金份额持有人利益的情形。</w:t>
      </w:r>
    </w:p>
    <w:p w:rsidR="00BF60A0" w:rsidRDefault="006E4EA0">
      <w:pPr>
        <w:adjustRightInd w:val="0"/>
        <w:snapToGrid w:val="0"/>
        <w:spacing w:line="360" w:lineRule="auto"/>
        <w:ind w:firstLineChars="200" w:firstLine="480"/>
        <w:rPr>
          <w:bCs/>
          <w:sz w:val="24"/>
          <w:szCs w:val="18"/>
        </w:rPr>
      </w:pPr>
      <w:r>
        <w:rPr>
          <w:rFonts w:hint="eastAsia"/>
          <w:bCs/>
          <w:sz w:val="24"/>
          <w:szCs w:val="18"/>
        </w:rPr>
        <w:t>6</w:t>
      </w:r>
      <w:r>
        <w:rPr>
          <w:rFonts w:hint="eastAsia"/>
          <w:bCs/>
          <w:sz w:val="24"/>
          <w:szCs w:val="18"/>
        </w:rPr>
        <w:t>、当前一估值日基金资产净值</w:t>
      </w:r>
      <w:r>
        <w:rPr>
          <w:rFonts w:hint="eastAsia"/>
          <w:bCs/>
          <w:sz w:val="24"/>
          <w:szCs w:val="18"/>
        </w:rPr>
        <w:t>50%</w:t>
      </w:r>
      <w:r>
        <w:rPr>
          <w:rFonts w:hint="eastAsia"/>
          <w:bCs/>
          <w:sz w:val="24"/>
          <w:szCs w:val="18"/>
        </w:rPr>
        <w:t>以上的资产出现无可参考的活跃市场价格且采用估值技术仍导致公允价值存在重大不确定性时，经与基金托管人协商确认后，基金管理人应当暂停接受基金申购申请。</w:t>
      </w:r>
    </w:p>
    <w:p w:rsidR="00BF60A0" w:rsidRDefault="006E4EA0">
      <w:pPr>
        <w:adjustRightInd w:val="0"/>
        <w:snapToGrid w:val="0"/>
        <w:spacing w:line="360" w:lineRule="auto"/>
        <w:ind w:firstLineChars="200" w:firstLine="480"/>
        <w:rPr>
          <w:sz w:val="24"/>
          <w:szCs w:val="18"/>
        </w:rPr>
      </w:pPr>
      <w:r>
        <w:rPr>
          <w:rFonts w:hint="eastAsia"/>
          <w:sz w:val="24"/>
          <w:szCs w:val="18"/>
        </w:rPr>
        <w:t>7</w:t>
      </w:r>
      <w:r>
        <w:rPr>
          <w:rFonts w:hint="eastAsia"/>
          <w:sz w:val="24"/>
          <w:szCs w:val="18"/>
        </w:rPr>
        <w:t>、港股通交易每日额度不足。</w:t>
      </w:r>
    </w:p>
    <w:p w:rsidR="00BF60A0" w:rsidRDefault="006E4EA0">
      <w:pPr>
        <w:adjustRightInd w:val="0"/>
        <w:snapToGrid w:val="0"/>
        <w:spacing w:line="360" w:lineRule="auto"/>
        <w:ind w:firstLineChars="200" w:firstLine="480"/>
        <w:rPr>
          <w:sz w:val="24"/>
          <w:szCs w:val="18"/>
          <w:lang w:val="zh-CN"/>
        </w:rPr>
      </w:pPr>
      <w:r>
        <w:rPr>
          <w:rFonts w:hint="eastAsia"/>
          <w:sz w:val="24"/>
          <w:szCs w:val="18"/>
        </w:rPr>
        <w:t>8</w:t>
      </w:r>
      <w:r>
        <w:rPr>
          <w:rFonts w:hint="eastAsia"/>
          <w:sz w:val="24"/>
          <w:szCs w:val="18"/>
        </w:rPr>
        <w:t>、基金管理人接受某笔或者某些申购申请有可能导致单一投资者持有基金份额的比例超过</w:t>
      </w:r>
      <w:r>
        <w:rPr>
          <w:rFonts w:hint="eastAsia"/>
          <w:sz w:val="24"/>
          <w:szCs w:val="18"/>
        </w:rPr>
        <w:t>50%</w:t>
      </w:r>
      <w:r>
        <w:rPr>
          <w:rFonts w:hint="eastAsia"/>
          <w:sz w:val="24"/>
          <w:szCs w:val="18"/>
        </w:rPr>
        <w:t>，或者变相规避</w:t>
      </w:r>
      <w:r>
        <w:rPr>
          <w:rFonts w:hint="eastAsia"/>
          <w:sz w:val="24"/>
          <w:szCs w:val="18"/>
        </w:rPr>
        <w:t>50%</w:t>
      </w:r>
      <w:r>
        <w:rPr>
          <w:rFonts w:hint="eastAsia"/>
          <w:sz w:val="24"/>
          <w:szCs w:val="18"/>
        </w:rPr>
        <w:t>集中度的情形。出现上述</w:t>
      </w:r>
      <w:r>
        <w:rPr>
          <w:sz w:val="24"/>
          <w:szCs w:val="18"/>
        </w:rPr>
        <w:t>情形时，基金管理人有权将上述申购申请全部或部分确认失败。</w:t>
      </w:r>
    </w:p>
    <w:p w:rsidR="00BF60A0" w:rsidRDefault="006E4EA0">
      <w:pPr>
        <w:adjustRightInd w:val="0"/>
        <w:snapToGrid w:val="0"/>
        <w:spacing w:line="360" w:lineRule="auto"/>
        <w:ind w:firstLineChars="200" w:firstLine="480"/>
        <w:rPr>
          <w:sz w:val="24"/>
          <w:szCs w:val="18"/>
        </w:rPr>
      </w:pPr>
      <w:r>
        <w:rPr>
          <w:sz w:val="24"/>
          <w:szCs w:val="18"/>
        </w:rPr>
        <w:t>9</w:t>
      </w:r>
      <w:r>
        <w:rPr>
          <w:rFonts w:hAnsi="宋体" w:hint="eastAsia"/>
          <w:sz w:val="24"/>
          <w:szCs w:val="18"/>
        </w:rPr>
        <w:t>、法律法规规定、中国证监会认定或基金合同约定的其他情形。</w:t>
      </w:r>
    </w:p>
    <w:p w:rsidR="00BF60A0" w:rsidRDefault="006E4EA0">
      <w:pPr>
        <w:adjustRightInd w:val="0"/>
        <w:snapToGrid w:val="0"/>
        <w:spacing w:line="360" w:lineRule="auto"/>
        <w:ind w:firstLineChars="200" w:firstLine="480"/>
        <w:rPr>
          <w:bCs/>
        </w:rPr>
      </w:pPr>
      <w:r>
        <w:rPr>
          <w:rFonts w:hAnsi="宋体" w:hint="eastAsia"/>
          <w:sz w:val="24"/>
          <w:szCs w:val="18"/>
        </w:rPr>
        <w:t>发生上述第</w:t>
      </w:r>
      <w:r>
        <w:rPr>
          <w:sz w:val="24"/>
          <w:szCs w:val="18"/>
        </w:rPr>
        <w:t>1</w:t>
      </w:r>
      <w:r>
        <w:rPr>
          <w:rFonts w:hAnsi="宋体"/>
          <w:sz w:val="24"/>
          <w:szCs w:val="18"/>
        </w:rPr>
        <w:t>、</w:t>
      </w:r>
      <w:r>
        <w:rPr>
          <w:sz w:val="24"/>
          <w:szCs w:val="18"/>
        </w:rPr>
        <w:t>2</w:t>
      </w:r>
      <w:r>
        <w:rPr>
          <w:rFonts w:hAnsi="宋体"/>
          <w:sz w:val="24"/>
          <w:szCs w:val="18"/>
        </w:rPr>
        <w:t>、</w:t>
      </w:r>
      <w:r>
        <w:rPr>
          <w:sz w:val="24"/>
          <w:szCs w:val="18"/>
        </w:rPr>
        <w:t>3</w:t>
      </w:r>
      <w:r>
        <w:rPr>
          <w:rFonts w:hAnsi="宋体"/>
          <w:sz w:val="24"/>
          <w:szCs w:val="18"/>
        </w:rPr>
        <w:t>、</w:t>
      </w:r>
      <w:r>
        <w:rPr>
          <w:sz w:val="24"/>
          <w:szCs w:val="18"/>
        </w:rPr>
        <w:t>5</w:t>
      </w:r>
      <w:r>
        <w:rPr>
          <w:rFonts w:hAnsi="宋体" w:hint="eastAsia"/>
          <w:sz w:val="24"/>
          <w:szCs w:val="18"/>
        </w:rPr>
        <w:t>、</w:t>
      </w:r>
      <w:r>
        <w:rPr>
          <w:sz w:val="24"/>
          <w:szCs w:val="18"/>
        </w:rPr>
        <w:t>6</w:t>
      </w:r>
      <w:r>
        <w:rPr>
          <w:rFonts w:hint="eastAsia"/>
          <w:sz w:val="24"/>
          <w:szCs w:val="18"/>
        </w:rPr>
        <w:t>、</w:t>
      </w:r>
      <w:r>
        <w:rPr>
          <w:rFonts w:hint="eastAsia"/>
          <w:sz w:val="24"/>
          <w:szCs w:val="18"/>
        </w:rPr>
        <w:t>7</w:t>
      </w:r>
      <w:r>
        <w:rPr>
          <w:rFonts w:hint="eastAsia"/>
          <w:sz w:val="24"/>
          <w:szCs w:val="18"/>
        </w:rPr>
        <w:t>、</w:t>
      </w:r>
      <w:r>
        <w:rPr>
          <w:rFonts w:hint="eastAsia"/>
          <w:sz w:val="24"/>
          <w:szCs w:val="18"/>
        </w:rPr>
        <w:t>9</w:t>
      </w:r>
      <w:r>
        <w:rPr>
          <w:rFonts w:hAnsi="宋体"/>
          <w:sz w:val="24"/>
          <w:szCs w:val="18"/>
        </w:rPr>
        <w:t>项暂停申购情形且基金管理人决定暂停申购时，基金管理人应当根据有关规定在规定媒介上刊登暂停申购公告。如果投资人的申购申请被拒绝，被拒绝的申购款项将退还给投资人。在暂停申购的情况消除时，基金管理人应及时恢复申购业务的办理。</w:t>
      </w:r>
      <w:bookmarkStart w:id="80" w:name="_Hlt70481650"/>
      <w:bookmarkEnd w:id="80"/>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BF60A0" w:rsidRDefault="006E4EA0">
      <w:pPr>
        <w:adjustRightInd w:val="0"/>
        <w:snapToGrid w:val="0"/>
        <w:spacing w:line="360" w:lineRule="auto"/>
        <w:ind w:firstLineChars="200" w:firstLine="480"/>
        <w:rPr>
          <w:bCs/>
          <w:sz w:val="24"/>
        </w:rPr>
      </w:pPr>
      <w:r>
        <w:rPr>
          <w:bCs/>
          <w:sz w:val="24"/>
        </w:rPr>
        <w:t>发生下列情形时，基金管理人可暂停接受投资人的赎回申请或延缓支付赎回款项：</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、发生基金合同规定的暂停基金资产估值情况时。</w:t>
      </w:r>
    </w:p>
    <w:p w:rsidR="00BF60A0" w:rsidRDefault="006E4EA0">
      <w:pPr>
        <w:adjustRightInd w:val="0"/>
        <w:snapToGrid w:val="0"/>
        <w:spacing w:line="360" w:lineRule="auto"/>
        <w:ind w:firstLineChars="200" w:firstLine="480"/>
        <w:rPr>
          <w:bCs/>
          <w:sz w:val="24"/>
        </w:rPr>
      </w:pPr>
      <w:r>
        <w:rPr>
          <w:bCs/>
          <w:sz w:val="24"/>
        </w:rPr>
        <w:t>3</w:t>
      </w:r>
      <w:r>
        <w:rPr>
          <w:rFonts w:hint="eastAsia"/>
          <w:bCs/>
          <w:sz w:val="24"/>
        </w:rPr>
        <w:t>、证券交易所交易时间非正常停市或港股通临时停市，导致基金管理人无法计算当日基金资产</w:t>
      </w:r>
      <w:bookmarkStart w:id="81" w:name="_Hlt152500890"/>
      <w:r>
        <w:rPr>
          <w:rFonts w:hint="eastAsia"/>
          <w:bCs/>
          <w:sz w:val="24"/>
        </w:rPr>
        <w:t>净值。</w:t>
      </w:r>
    </w:p>
    <w:p w:rsidR="00BF60A0" w:rsidRDefault="006E4EA0">
      <w:pPr>
        <w:adjustRightInd w:val="0"/>
        <w:snapToGrid w:val="0"/>
        <w:spacing w:line="360" w:lineRule="auto"/>
        <w:ind w:firstLineChars="200" w:firstLine="480"/>
        <w:rPr>
          <w:bCs/>
          <w:sz w:val="24"/>
        </w:rPr>
      </w:pPr>
      <w:r>
        <w:rPr>
          <w:bCs/>
          <w:sz w:val="24"/>
        </w:rPr>
        <w:t>4</w:t>
      </w:r>
      <w:r>
        <w:rPr>
          <w:rFonts w:hint="eastAsia"/>
          <w:bCs/>
          <w:sz w:val="24"/>
        </w:rPr>
        <w:t>、连续两个或两个以上开放日发生巨额赎回。</w:t>
      </w:r>
    </w:p>
    <w:bookmarkEnd w:id="81"/>
    <w:p w:rsidR="00BF60A0" w:rsidRDefault="006E4EA0">
      <w:pPr>
        <w:adjustRightInd w:val="0"/>
        <w:snapToGrid w:val="0"/>
        <w:spacing w:line="360" w:lineRule="auto"/>
        <w:ind w:firstLineChars="200" w:firstLine="480"/>
        <w:rPr>
          <w:sz w:val="24"/>
          <w:szCs w:val="18"/>
        </w:rPr>
      </w:pPr>
      <w:r>
        <w:rPr>
          <w:bCs/>
          <w:sz w:val="24"/>
        </w:rPr>
        <w:t>5</w:t>
      </w:r>
      <w:r>
        <w:rPr>
          <w:rFonts w:hint="eastAsia"/>
          <w:sz w:val="24"/>
          <w:szCs w:val="18"/>
        </w:rPr>
        <w:t>、</w:t>
      </w:r>
      <w:r>
        <w:rPr>
          <w:rFonts w:hint="eastAsia"/>
          <w:bCs/>
          <w:sz w:val="24"/>
          <w:szCs w:val="18"/>
        </w:rPr>
        <w:t>当前一估值日基金资产净值</w:t>
      </w:r>
      <w:r>
        <w:rPr>
          <w:rFonts w:hint="eastAsia"/>
          <w:bCs/>
          <w:sz w:val="24"/>
          <w:szCs w:val="18"/>
        </w:rPr>
        <w:t>50%</w:t>
      </w:r>
      <w:r>
        <w:rPr>
          <w:rFonts w:hint="eastAsia"/>
          <w:bCs/>
          <w:sz w:val="24"/>
          <w:szCs w:val="18"/>
        </w:rPr>
        <w:t>以上的资产出现无可参考的活跃市场价格</w:t>
      </w:r>
      <w:r>
        <w:rPr>
          <w:rFonts w:hint="eastAsia"/>
          <w:bCs/>
          <w:sz w:val="24"/>
          <w:szCs w:val="18"/>
        </w:rPr>
        <w:lastRenderedPageBreak/>
        <w:t>且采用估值技术仍导致公允价值存在重大不确定性时，经与基金托管人协商确认后，基金管理人应当暂停接受基金赎回申请或延缓支付赎回款项。</w:t>
      </w:r>
    </w:p>
    <w:p w:rsidR="00BF60A0" w:rsidRDefault="006E4EA0">
      <w:pPr>
        <w:adjustRightInd w:val="0"/>
        <w:snapToGrid w:val="0"/>
        <w:spacing w:line="360" w:lineRule="auto"/>
        <w:ind w:firstLineChars="200" w:firstLine="480"/>
        <w:rPr>
          <w:bCs/>
          <w:sz w:val="24"/>
        </w:rPr>
      </w:pPr>
      <w:r>
        <w:rPr>
          <w:sz w:val="24"/>
          <w:szCs w:val="18"/>
        </w:rPr>
        <w:t>6</w:t>
      </w:r>
      <w:r>
        <w:rPr>
          <w:rFonts w:hAnsi="宋体"/>
          <w:sz w:val="24"/>
          <w:szCs w:val="18"/>
        </w:rPr>
        <w:t>、</w:t>
      </w:r>
      <w:r>
        <w:rPr>
          <w:rFonts w:hint="eastAsia"/>
          <w:bCs/>
          <w:sz w:val="24"/>
        </w:rPr>
        <w:t>法律法规规定或中国证监会认定的其他情形。</w:t>
      </w:r>
    </w:p>
    <w:p w:rsidR="00BF60A0" w:rsidRDefault="006E4EA0">
      <w:pPr>
        <w:adjustRightInd w:val="0"/>
        <w:snapToGrid w:val="0"/>
        <w:spacing w:line="360" w:lineRule="auto"/>
        <w:ind w:firstLineChars="200" w:firstLine="480"/>
        <w:rPr>
          <w:bCs/>
        </w:rPr>
      </w:pPr>
      <w:r>
        <w:rPr>
          <w:rFonts w:hint="eastAsia"/>
          <w:bCs/>
          <w:sz w:val="24"/>
        </w:rPr>
        <w:t>发生上述情形且基金管理人决定暂停接受投资人的赎回申请或延缓支付赎回款项时，基金管理人应及时报中国证监会备案，已确认</w:t>
      </w:r>
      <w:r>
        <w:rPr>
          <w:bCs/>
          <w:sz w:val="24"/>
        </w:rPr>
        <w:t>的赎回申请，基金管理人应足额支付；如暂时不能足额支付，应将可支付部分按单个账户申请量占申请总量的比例分配给赎回申请人，未支付部分可延期支付</w:t>
      </w:r>
      <w:r>
        <w:rPr>
          <w:rFonts w:hint="eastAsia"/>
          <w:bCs/>
          <w:sz w:val="24"/>
        </w:rPr>
        <w:t>，并以后续开放日的该类基金份额净值为依据计算赎回金额</w:t>
      </w:r>
      <w:r>
        <w:rPr>
          <w:bCs/>
          <w:sz w:val="24"/>
        </w:rPr>
        <w:t>。若出现上述第</w:t>
      </w:r>
      <w:r>
        <w:rPr>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w:t>
      </w:r>
      <w:r>
        <w:rPr>
          <w:bCs/>
          <w:sz w:val="24"/>
        </w:rPr>
        <w:t>巨额赎回的认定</w:t>
      </w:r>
    </w:p>
    <w:p w:rsidR="00BF60A0" w:rsidRDefault="006E4EA0">
      <w:pPr>
        <w:adjustRightInd w:val="0"/>
        <w:snapToGrid w:val="0"/>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w:t>
      </w:r>
      <w:r>
        <w:rPr>
          <w:bCs/>
          <w:sz w:val="24"/>
        </w:rPr>
        <w:t>巨额赎回的处理方式</w:t>
      </w:r>
    </w:p>
    <w:p w:rsidR="00BF60A0" w:rsidRDefault="006E4EA0">
      <w:pPr>
        <w:adjustRightInd w:val="0"/>
        <w:snapToGrid w:val="0"/>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BF60A0" w:rsidRDefault="006E4EA0">
      <w:pPr>
        <w:adjustRightInd w:val="0"/>
        <w:snapToGrid w:val="0"/>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w:t>
      </w:r>
      <w:r>
        <w:rPr>
          <w:bCs/>
          <w:sz w:val="24"/>
        </w:rPr>
        <w:lastRenderedPageBreak/>
        <w:t>为止。如投资人在提交赎回申请时未作明确选择，投资人未能赎回部分作自动延期赎回处理。</w:t>
      </w:r>
    </w:p>
    <w:p w:rsidR="00BF60A0" w:rsidRDefault="006E4EA0">
      <w:pPr>
        <w:adjustRightInd w:val="0"/>
        <w:snapToGrid w:val="0"/>
        <w:spacing w:line="360" w:lineRule="auto"/>
        <w:ind w:firstLineChars="200" w:firstLine="480"/>
        <w:rPr>
          <w:bCs/>
          <w:sz w:val="24"/>
        </w:rPr>
      </w:pPr>
      <w:r>
        <w:rPr>
          <w:rFonts w:hint="eastAsia"/>
          <w:bCs/>
          <w:sz w:val="24"/>
        </w:rPr>
        <w:t>本基金发生巨额赎回且单个基金份额持有人的赎回申请超过上一日基金总份额</w:t>
      </w:r>
      <w:r>
        <w:rPr>
          <w:rFonts w:hint="eastAsia"/>
          <w:bCs/>
          <w:sz w:val="24"/>
        </w:rPr>
        <w:t>20%</w:t>
      </w:r>
      <w:r>
        <w:rPr>
          <w:rFonts w:hint="eastAsia"/>
          <w:bCs/>
          <w:sz w:val="24"/>
        </w:rPr>
        <w:t>的情形下，基金管理人有权采取如下措施：对于基金份额持有人当日超过</w:t>
      </w:r>
      <w:r>
        <w:rPr>
          <w:rFonts w:hint="eastAsia"/>
          <w:bCs/>
          <w:sz w:val="24"/>
        </w:rPr>
        <w:t>20%</w:t>
      </w:r>
      <w:r>
        <w:rPr>
          <w:rFonts w:hint="eastAsia"/>
          <w:bCs/>
          <w:sz w:val="24"/>
        </w:rPr>
        <w:t>的赎回申请，可以对其赎回申请延期办理；对于基金份额持有人未超过上述比例的部分，基金管理人可以根据前段“（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p>
    <w:p w:rsidR="00BF60A0" w:rsidRDefault="006E4EA0">
      <w:pPr>
        <w:adjustRightInd w:val="0"/>
        <w:snapToGrid w:val="0"/>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rsidR="00BF60A0" w:rsidRDefault="006E4EA0">
      <w:pPr>
        <w:adjustRightInd w:val="0"/>
        <w:snapToGrid w:val="0"/>
        <w:spacing w:line="360" w:lineRule="auto"/>
        <w:ind w:firstLineChars="200" w:firstLine="480"/>
        <w:rPr>
          <w:bCs/>
          <w:sz w:val="24"/>
        </w:rPr>
      </w:pPr>
      <w:r>
        <w:rPr>
          <w:bCs/>
          <w:sz w:val="24"/>
        </w:rPr>
        <w:t>3</w:t>
      </w:r>
      <w:r>
        <w:rPr>
          <w:rFonts w:hint="eastAsia"/>
          <w:bCs/>
          <w:sz w:val="24"/>
        </w:rPr>
        <w:t>、</w:t>
      </w:r>
      <w:r>
        <w:rPr>
          <w:bCs/>
          <w:sz w:val="24"/>
        </w:rPr>
        <w:t>巨额赎回的公告</w:t>
      </w:r>
    </w:p>
    <w:p w:rsidR="00BF60A0" w:rsidRDefault="006E4EA0">
      <w:pPr>
        <w:adjustRightInd w:val="0"/>
        <w:snapToGrid w:val="0"/>
        <w:spacing w:line="360" w:lineRule="auto"/>
        <w:ind w:firstLineChars="200" w:firstLine="480"/>
        <w:rPr>
          <w:bCs/>
        </w:rPr>
      </w:pPr>
      <w:r>
        <w:rPr>
          <w:bCs/>
          <w:sz w:val="24"/>
        </w:rPr>
        <w:t>当发生上述延期赎回并延期办理时，基金管理人应当通过邮寄、传真或者招募说明书规定的其他方式在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在规定媒介上刊登公告。</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rsidR="00BF60A0" w:rsidRDefault="006E4EA0">
      <w:pPr>
        <w:adjustRightInd w:val="0"/>
        <w:snapToGrid w:val="0"/>
        <w:spacing w:line="360" w:lineRule="auto"/>
        <w:ind w:firstLineChars="200" w:firstLine="480"/>
        <w:rPr>
          <w:bCs/>
          <w:sz w:val="24"/>
          <w:szCs w:val="20"/>
        </w:rPr>
      </w:pPr>
      <w:r>
        <w:rPr>
          <w:bCs/>
          <w:sz w:val="24"/>
        </w:rPr>
        <w:t>2</w:t>
      </w:r>
      <w:r>
        <w:rPr>
          <w:rFonts w:hint="eastAsia"/>
          <w:bCs/>
          <w:sz w:val="24"/>
        </w:rPr>
        <w:t>、</w:t>
      </w:r>
      <w:r>
        <w:rPr>
          <w:rFonts w:hint="eastAsia"/>
          <w:bCs/>
          <w:sz w:val="24"/>
          <w:szCs w:val="20"/>
        </w:rPr>
        <w:t>暂停结束，基金重新开放申购或赎回时，基金管理人应依照《信息披露办法》的有关规定，在规定媒介上刊登基金重新开放申购或赎回公告，并公告最近</w:t>
      </w:r>
      <w:r>
        <w:rPr>
          <w:bCs/>
          <w:sz w:val="24"/>
          <w:szCs w:val="20"/>
        </w:rPr>
        <w:t>1</w:t>
      </w:r>
      <w:r>
        <w:rPr>
          <w:rFonts w:hint="eastAsia"/>
          <w:bCs/>
          <w:sz w:val="24"/>
          <w:szCs w:val="20"/>
        </w:rPr>
        <w:t>个开放日</w:t>
      </w:r>
      <w:r>
        <w:rPr>
          <w:rFonts w:hint="eastAsia"/>
          <w:bCs/>
          <w:sz w:val="24"/>
        </w:rPr>
        <w:t>各类基金份额</w:t>
      </w:r>
      <w:r>
        <w:rPr>
          <w:rFonts w:hint="eastAsia"/>
          <w:bCs/>
          <w:sz w:val="24"/>
          <w:szCs w:val="20"/>
        </w:rPr>
        <w:t>的基金份额净值。</w:t>
      </w:r>
    </w:p>
    <w:p w:rsidR="00BF60A0" w:rsidRDefault="006E4EA0">
      <w:pPr>
        <w:adjustRightInd w:val="0"/>
        <w:snapToGrid w:val="0"/>
        <w:spacing w:line="360" w:lineRule="auto"/>
        <w:ind w:firstLineChars="200" w:firstLine="480"/>
        <w:rPr>
          <w:bCs/>
          <w:sz w:val="24"/>
        </w:rPr>
      </w:pPr>
      <w:r>
        <w:rPr>
          <w:rFonts w:hint="eastAsia"/>
          <w:bCs/>
          <w:sz w:val="24"/>
        </w:rPr>
        <w:t>3</w:t>
      </w:r>
      <w:r>
        <w:rPr>
          <w:rFonts w:hint="eastAsia"/>
          <w:bCs/>
          <w:sz w:val="24"/>
        </w:rPr>
        <w:t>、如发生暂停的时间少于</w:t>
      </w:r>
      <w:r>
        <w:rPr>
          <w:rFonts w:hint="eastAsia"/>
          <w:bCs/>
          <w:sz w:val="24"/>
        </w:rPr>
        <w:t>2</w:t>
      </w:r>
      <w:r>
        <w:rPr>
          <w:rFonts w:hint="eastAsia"/>
          <w:bCs/>
          <w:sz w:val="24"/>
        </w:rPr>
        <w:t>周，基金管理人可根据实际情况在暂停公告中明确重新开放申购或赎回的时间，届时不再另行发布重新开放的公告；或者最迟于重新开放日在规定媒介上刊登重新开放申购或赎回的公告。</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、如发生暂停的时间超过</w:t>
      </w:r>
      <w:r>
        <w:rPr>
          <w:rFonts w:hint="eastAsia"/>
          <w:bCs/>
          <w:sz w:val="24"/>
        </w:rPr>
        <w:t>2</w:t>
      </w:r>
      <w:r>
        <w:rPr>
          <w:rFonts w:hint="eastAsia"/>
          <w:bCs/>
          <w:sz w:val="24"/>
        </w:rPr>
        <w:t>周，基金管理人最迟于重新开放日在规定媒介上刊登重新开放申购或赎回的公告。</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十一</w:t>
      </w:r>
      <w:r>
        <w:rPr>
          <w:rFonts w:hint="eastAsia"/>
          <w:bCs/>
          <w:sz w:val="24"/>
        </w:rPr>
        <w:t>、</w:t>
      </w:r>
      <w:r>
        <w:rPr>
          <w:bCs/>
          <w:sz w:val="24"/>
        </w:rPr>
        <w:t>基金转换</w:t>
      </w:r>
    </w:p>
    <w:p w:rsidR="00BF60A0" w:rsidRDefault="006E4EA0">
      <w:pPr>
        <w:adjustRightInd w:val="0"/>
        <w:snapToGrid w:val="0"/>
        <w:spacing w:line="360" w:lineRule="auto"/>
        <w:ind w:firstLineChars="200" w:firstLine="480"/>
        <w:rPr>
          <w:bCs/>
          <w:sz w:val="24"/>
        </w:rPr>
      </w:pPr>
      <w:r>
        <w:rPr>
          <w:bCs/>
          <w:sz w:val="24"/>
        </w:rPr>
        <w:t>基金管理人可以根据相关法律法规以及本基金合同的规定决定开办本基金与</w:t>
      </w:r>
      <w:r>
        <w:rPr>
          <w:bCs/>
          <w:sz w:val="24"/>
        </w:rPr>
        <w:lastRenderedPageBreak/>
        <w:t>基金管理人管理的其他基金之间的转换业务，基金转换可以收取一定的转换费，相关规则由基金管理人届时根据相关法律法规及本基金合同的规定制定并公告，并提前告知基金托管人与相关机构。</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十二</w:t>
      </w:r>
      <w:r>
        <w:rPr>
          <w:rFonts w:hint="eastAsia"/>
          <w:bCs/>
          <w:sz w:val="24"/>
        </w:rPr>
        <w:t>、</w:t>
      </w:r>
      <w:r>
        <w:rPr>
          <w:bCs/>
          <w:sz w:val="24"/>
        </w:rPr>
        <w:t>基金的非交易过户</w:t>
      </w:r>
    </w:p>
    <w:p w:rsidR="00BF60A0" w:rsidRDefault="006E4EA0">
      <w:pPr>
        <w:adjustRightInd w:val="0"/>
        <w:snapToGrid w:val="0"/>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十三</w:t>
      </w:r>
      <w:r>
        <w:rPr>
          <w:rFonts w:hint="eastAsia"/>
          <w:bCs/>
          <w:sz w:val="24"/>
        </w:rPr>
        <w:t>、</w:t>
      </w:r>
      <w:r>
        <w:rPr>
          <w:bCs/>
          <w:sz w:val="24"/>
        </w:rPr>
        <w:t>基金的转托管</w:t>
      </w:r>
    </w:p>
    <w:p w:rsidR="00BF60A0" w:rsidRDefault="006E4EA0">
      <w:pPr>
        <w:adjustRightInd w:val="0"/>
        <w:snapToGrid w:val="0"/>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十四</w:t>
      </w:r>
      <w:r>
        <w:rPr>
          <w:rFonts w:hint="eastAsia"/>
          <w:bCs/>
          <w:sz w:val="24"/>
        </w:rPr>
        <w:t>、</w:t>
      </w:r>
      <w:r>
        <w:rPr>
          <w:bCs/>
          <w:sz w:val="24"/>
        </w:rPr>
        <w:t>定期定额投资计划</w:t>
      </w:r>
    </w:p>
    <w:p w:rsidR="00BF60A0" w:rsidRDefault="006E4EA0">
      <w:pPr>
        <w:adjustRightInd w:val="0"/>
        <w:snapToGrid w:val="0"/>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rsidR="00BF60A0" w:rsidRDefault="006E4EA0">
      <w:pPr>
        <w:adjustRightInd w:val="0"/>
        <w:snapToGrid w:val="0"/>
        <w:spacing w:line="360" w:lineRule="auto"/>
        <w:ind w:firstLineChars="200" w:firstLine="480"/>
        <w:rPr>
          <w:bCs/>
          <w:sz w:val="24"/>
        </w:rPr>
      </w:pPr>
      <w:r>
        <w:rPr>
          <w:bCs/>
          <w:sz w:val="24"/>
        </w:rPr>
        <w:t>登记机构只受理国家有权机关依法要求的基金份额的冻结与解冻，以及登记机构认可、符合法律法规的其他情况下的冻结与解冻。</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十六、实施侧袋机制期间本基金的申购与赎回</w:t>
      </w:r>
    </w:p>
    <w:p w:rsidR="00BF60A0" w:rsidRDefault="006E4EA0">
      <w:pPr>
        <w:adjustRightInd w:val="0"/>
        <w:snapToGrid w:val="0"/>
        <w:spacing w:line="360" w:lineRule="auto"/>
        <w:ind w:firstLineChars="200" w:firstLine="480"/>
        <w:rPr>
          <w:bCs/>
          <w:sz w:val="24"/>
        </w:rPr>
      </w:pPr>
      <w:r>
        <w:rPr>
          <w:rFonts w:hint="eastAsia"/>
          <w:bCs/>
          <w:sz w:val="24"/>
        </w:rPr>
        <w:lastRenderedPageBreak/>
        <w:t>本基金实施侧袋机制的，本基金的申购和赎回安排详见招募说明书或相关公告。</w:t>
      </w:r>
    </w:p>
    <w:p w:rsidR="00BF60A0" w:rsidRDefault="006E4EA0">
      <w:pPr>
        <w:pStyle w:val="1"/>
        <w:spacing w:before="0" w:after="0"/>
        <w:rPr>
          <w:sz w:val="30"/>
        </w:rPr>
      </w:pPr>
      <w:r>
        <w:rPr>
          <w:b w:val="0"/>
          <w:bCs/>
        </w:rPr>
        <w:br w:type="page"/>
      </w:r>
      <w:bookmarkStart w:id="82" w:name="_Toc26207"/>
      <w:bookmarkStart w:id="83" w:name="_Toc535765915"/>
      <w:bookmarkStart w:id="84" w:name="_Toc31235"/>
      <w:bookmarkStart w:id="85" w:name="_Toc139991737"/>
      <w:bookmarkStart w:id="86" w:name="_Toc12245"/>
      <w:bookmarkStart w:id="87" w:name="_Toc123102454"/>
      <w:bookmarkStart w:id="88" w:name="_Toc123112235"/>
      <w:bookmarkStart w:id="89" w:name="_Toc123051453"/>
      <w:bookmarkStart w:id="90" w:name="_Toc14835"/>
      <w:bookmarkStart w:id="91" w:name="_Toc312933429"/>
      <w:bookmarkStart w:id="92" w:name="_Toc31644"/>
      <w:bookmarkStart w:id="93" w:name="_Toc3601"/>
      <w:bookmarkStart w:id="94" w:name="_Toc15143"/>
      <w:bookmarkStart w:id="95" w:name="_Toc98560353"/>
      <w:bookmarkStart w:id="96" w:name="_Toc29251"/>
      <w:bookmarkStart w:id="97" w:name="_Toc141703887"/>
      <w:bookmarkStart w:id="98" w:name="_Toc31653"/>
      <w:bookmarkStart w:id="99" w:name="_Toc6405"/>
      <w:r>
        <w:rPr>
          <w:sz w:val="30"/>
        </w:rPr>
        <w:lastRenderedPageBreak/>
        <w:t>第七部分</w:t>
      </w:r>
      <w:r>
        <w:rPr>
          <w:sz w:val="30"/>
        </w:rPr>
        <w:t xml:space="preserve">  </w:t>
      </w:r>
      <w:r>
        <w:rPr>
          <w:sz w:val="30"/>
        </w:rPr>
        <w:t>基金合同当事人及权利义务</w:t>
      </w:r>
      <w:bookmarkStart w:id="100" w:name="_Hlt55355235"/>
      <w:bookmarkStart w:id="101" w:name="_Toc523711668"/>
      <w:bookmarkStart w:id="102" w:name="_Toc79392580"/>
      <w:bookmarkStart w:id="103" w:name="_Toc57530239"/>
      <w:bookmarkStart w:id="104" w:name="_Toc1511823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一、基金</w:t>
      </w:r>
      <w:bookmarkEnd w:id="101"/>
      <w:r>
        <w:rPr>
          <w:bCs/>
          <w:sz w:val="24"/>
        </w:rPr>
        <w:t>管理人</w:t>
      </w:r>
      <w:bookmarkEnd w:id="102"/>
      <w:bookmarkEnd w:id="103"/>
      <w:bookmarkEnd w:id="104"/>
    </w:p>
    <w:p w:rsidR="00BF60A0" w:rsidRDefault="006E4EA0">
      <w:pPr>
        <w:adjustRightInd w:val="0"/>
        <w:snapToGrid w:val="0"/>
        <w:spacing w:line="360" w:lineRule="auto"/>
        <w:ind w:firstLineChars="200" w:firstLine="480"/>
        <w:rPr>
          <w:bCs/>
          <w:sz w:val="24"/>
        </w:rPr>
      </w:pPr>
      <w:bookmarkStart w:id="105" w:name="_Toc15118235"/>
      <w:r>
        <w:rPr>
          <w:bCs/>
          <w:sz w:val="24"/>
        </w:rPr>
        <w:t>（一）</w:t>
      </w:r>
      <w:r>
        <w:rPr>
          <w:bCs/>
          <w:sz w:val="24"/>
        </w:rPr>
        <w:tab/>
      </w:r>
      <w:r>
        <w:rPr>
          <w:bCs/>
          <w:sz w:val="24"/>
        </w:rPr>
        <w:t>基金管理人简况</w:t>
      </w:r>
      <w:bookmarkEnd w:id="105"/>
    </w:p>
    <w:p w:rsidR="00BF60A0" w:rsidRDefault="006E4EA0">
      <w:pPr>
        <w:adjustRightInd w:val="0"/>
        <w:snapToGrid w:val="0"/>
        <w:spacing w:line="360" w:lineRule="auto"/>
        <w:ind w:firstLineChars="200" w:firstLine="480"/>
        <w:rPr>
          <w:bCs/>
          <w:sz w:val="24"/>
        </w:rPr>
      </w:pPr>
      <w:bookmarkStart w:id="106" w:name="_Toc15118236"/>
      <w:bookmarkStart w:id="107" w:name="_Toc15118237"/>
      <w:r>
        <w:rPr>
          <w:bCs/>
          <w:sz w:val="24"/>
        </w:rPr>
        <w:t>名称：</w:t>
      </w:r>
      <w:bookmarkEnd w:id="106"/>
      <w:r>
        <w:rPr>
          <w:rFonts w:ascii="宋体" w:hAnsi="宋体" w:hint="eastAsia"/>
          <w:sz w:val="24"/>
          <w:szCs w:val="18"/>
        </w:rPr>
        <w:t>交银施罗德</w:t>
      </w:r>
      <w:r>
        <w:rPr>
          <w:rFonts w:ascii="宋体" w:hAnsi="宋体" w:hint="eastAsia"/>
          <w:sz w:val="24"/>
        </w:rPr>
        <w:t>基金管理有限公司</w:t>
      </w:r>
    </w:p>
    <w:p w:rsidR="00BF60A0" w:rsidRDefault="006E4EA0">
      <w:pPr>
        <w:adjustRightInd w:val="0"/>
        <w:snapToGrid w:val="0"/>
        <w:spacing w:line="360" w:lineRule="auto"/>
        <w:ind w:firstLineChars="200" w:firstLine="480"/>
        <w:rPr>
          <w:bCs/>
          <w:sz w:val="24"/>
        </w:rPr>
      </w:pPr>
      <w:r>
        <w:rPr>
          <w:bCs/>
          <w:sz w:val="24"/>
        </w:rPr>
        <w:t>住所：</w:t>
      </w:r>
      <w:r>
        <w:rPr>
          <w:rFonts w:ascii="宋体" w:hAnsi="宋体" w:hint="eastAsia"/>
          <w:sz w:val="24"/>
        </w:rPr>
        <w:t>中国（上海）自由贸易试验区银城中路</w:t>
      </w:r>
      <w:r>
        <w:rPr>
          <w:sz w:val="24"/>
        </w:rPr>
        <w:t>188</w:t>
      </w:r>
      <w:r>
        <w:rPr>
          <w:rFonts w:ascii="宋体" w:hAnsi="宋体" w:hint="eastAsia"/>
          <w:sz w:val="24"/>
        </w:rPr>
        <w:t>号交通银行大楼二层（裙）</w:t>
      </w:r>
    </w:p>
    <w:p w:rsidR="00BF60A0" w:rsidRDefault="006E4EA0">
      <w:pPr>
        <w:adjustRightInd w:val="0"/>
        <w:snapToGrid w:val="0"/>
        <w:spacing w:line="360" w:lineRule="auto"/>
        <w:ind w:firstLineChars="200" w:firstLine="480"/>
        <w:rPr>
          <w:bCs/>
          <w:sz w:val="24"/>
        </w:rPr>
      </w:pPr>
      <w:r>
        <w:rPr>
          <w:bCs/>
          <w:sz w:val="24"/>
        </w:rPr>
        <w:t>法定代表人：</w:t>
      </w:r>
      <w:r>
        <w:rPr>
          <w:rFonts w:hint="eastAsia"/>
          <w:bCs/>
          <w:sz w:val="24"/>
        </w:rPr>
        <w:t>张宏良</w:t>
      </w:r>
    </w:p>
    <w:p w:rsidR="00BF60A0" w:rsidRDefault="006E4EA0">
      <w:pPr>
        <w:adjustRightInd w:val="0"/>
        <w:snapToGrid w:val="0"/>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rsidR="00BF60A0" w:rsidRDefault="006E4EA0">
      <w:pPr>
        <w:adjustRightInd w:val="0"/>
        <w:snapToGrid w:val="0"/>
        <w:spacing w:line="360" w:lineRule="auto"/>
        <w:ind w:firstLineChars="200" w:firstLine="480"/>
        <w:rPr>
          <w:bCs/>
          <w:sz w:val="24"/>
        </w:rPr>
      </w:pPr>
      <w:r>
        <w:rPr>
          <w:bCs/>
          <w:sz w:val="24"/>
        </w:rPr>
        <w:t>批准设立机关及批准设立文号：</w:t>
      </w:r>
      <w:r>
        <w:rPr>
          <w:rFonts w:ascii="宋体" w:hAnsi="宋体" w:hint="eastAsia"/>
          <w:sz w:val="24"/>
        </w:rPr>
        <w:t>中国证监会证监基金字</w:t>
      </w:r>
      <w:r>
        <w:rPr>
          <w:rFonts w:hint="eastAsia"/>
          <w:sz w:val="24"/>
        </w:rPr>
        <w:t>[</w:t>
      </w:r>
      <w:r>
        <w:rPr>
          <w:sz w:val="24"/>
        </w:rPr>
        <w:t>2005</w:t>
      </w:r>
      <w:r>
        <w:rPr>
          <w:rFonts w:hint="eastAsia"/>
          <w:sz w:val="24"/>
        </w:rPr>
        <w:t>]</w:t>
      </w:r>
      <w:r>
        <w:rPr>
          <w:sz w:val="24"/>
        </w:rPr>
        <w:t>128</w:t>
      </w:r>
      <w:r>
        <w:rPr>
          <w:rFonts w:ascii="宋体" w:hAnsi="宋体" w:hint="eastAsia"/>
          <w:sz w:val="24"/>
        </w:rPr>
        <w:t>号</w:t>
      </w:r>
    </w:p>
    <w:p w:rsidR="00BF60A0" w:rsidRDefault="006E4EA0">
      <w:pPr>
        <w:adjustRightInd w:val="0"/>
        <w:snapToGrid w:val="0"/>
        <w:spacing w:line="360" w:lineRule="auto"/>
        <w:ind w:firstLineChars="200" w:firstLine="480"/>
        <w:rPr>
          <w:bCs/>
          <w:sz w:val="24"/>
        </w:rPr>
      </w:pPr>
      <w:r>
        <w:rPr>
          <w:bCs/>
          <w:sz w:val="24"/>
        </w:rPr>
        <w:t>组织形式：</w:t>
      </w:r>
      <w:r>
        <w:rPr>
          <w:rFonts w:ascii="宋体" w:hAnsi="宋体" w:hint="eastAsia"/>
          <w:sz w:val="24"/>
        </w:rPr>
        <w:t>有限责任公司</w:t>
      </w:r>
    </w:p>
    <w:p w:rsidR="00BF60A0" w:rsidRDefault="006E4EA0">
      <w:pPr>
        <w:adjustRightInd w:val="0"/>
        <w:snapToGrid w:val="0"/>
        <w:spacing w:line="360" w:lineRule="auto"/>
        <w:ind w:firstLineChars="200" w:firstLine="480"/>
        <w:rPr>
          <w:bCs/>
          <w:sz w:val="24"/>
        </w:rPr>
      </w:pPr>
      <w:r>
        <w:rPr>
          <w:bCs/>
          <w:sz w:val="24"/>
        </w:rPr>
        <w:t>注册资本：</w:t>
      </w:r>
      <w:r>
        <w:rPr>
          <w:rFonts w:hint="eastAsia"/>
          <w:sz w:val="24"/>
        </w:rPr>
        <w:t>2</w:t>
      </w:r>
      <w:r>
        <w:rPr>
          <w:rFonts w:ascii="宋体" w:hAnsi="宋体" w:hint="eastAsia"/>
          <w:sz w:val="24"/>
        </w:rPr>
        <w:t>亿元人民币</w:t>
      </w:r>
    </w:p>
    <w:p w:rsidR="00BF60A0" w:rsidRDefault="006E4EA0">
      <w:pPr>
        <w:adjustRightInd w:val="0"/>
        <w:snapToGrid w:val="0"/>
        <w:spacing w:line="360" w:lineRule="auto"/>
        <w:ind w:firstLineChars="200" w:firstLine="480"/>
        <w:rPr>
          <w:bCs/>
          <w:sz w:val="24"/>
        </w:rPr>
      </w:pPr>
      <w:r>
        <w:rPr>
          <w:bCs/>
          <w:sz w:val="24"/>
        </w:rPr>
        <w:t>存续期限：</w:t>
      </w:r>
      <w:r>
        <w:rPr>
          <w:rFonts w:ascii="宋体" w:hAnsi="宋体" w:hint="eastAsia"/>
          <w:sz w:val="24"/>
        </w:rPr>
        <w:t>持续经营</w:t>
      </w:r>
    </w:p>
    <w:p w:rsidR="00BF60A0" w:rsidRDefault="006E4EA0">
      <w:pPr>
        <w:adjustRightInd w:val="0"/>
        <w:snapToGrid w:val="0"/>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rsidR="00BF60A0" w:rsidRDefault="006E4EA0">
      <w:pPr>
        <w:adjustRightInd w:val="0"/>
        <w:snapToGrid w:val="0"/>
        <w:spacing w:line="360" w:lineRule="auto"/>
        <w:ind w:firstLineChars="200" w:firstLine="480"/>
        <w:rPr>
          <w:bCs/>
          <w:sz w:val="24"/>
        </w:rPr>
      </w:pPr>
      <w:r>
        <w:rPr>
          <w:bCs/>
          <w:sz w:val="24"/>
        </w:rPr>
        <w:t>（二）</w:t>
      </w:r>
      <w:r>
        <w:rPr>
          <w:bCs/>
          <w:sz w:val="24"/>
        </w:rPr>
        <w:tab/>
      </w:r>
      <w:r>
        <w:rPr>
          <w:bCs/>
          <w:sz w:val="24"/>
        </w:rPr>
        <w:t>基金管理人的权利与义务</w:t>
      </w:r>
      <w:bookmarkEnd w:id="107"/>
    </w:p>
    <w:p w:rsidR="00BF60A0" w:rsidRDefault="006E4EA0">
      <w:pPr>
        <w:adjustRightInd w:val="0"/>
        <w:snapToGrid w:val="0"/>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）依法募集基金；</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w:t>
      </w:r>
      <w:bookmarkStart w:id="108" w:name="_Hlt88896155"/>
      <w:r>
        <w:rPr>
          <w:bCs/>
          <w:sz w:val="24"/>
        </w:rPr>
        <w:t>召集</w:t>
      </w:r>
      <w:bookmarkEnd w:id="108"/>
      <w:r>
        <w:rPr>
          <w:bCs/>
          <w:sz w:val="24"/>
        </w:rPr>
        <w:t>基金份额持有人大会；</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BF60A0" w:rsidRDefault="006E4EA0">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BF60A0" w:rsidRDefault="006E4EA0">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w:t>
      </w:r>
      <w:r>
        <w:rPr>
          <w:bCs/>
          <w:sz w:val="24"/>
        </w:rPr>
        <w:lastRenderedPageBreak/>
        <w:t>获得基金合同规定的费用；</w:t>
      </w:r>
    </w:p>
    <w:p w:rsidR="00BF60A0" w:rsidRDefault="006E4EA0">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BF60A0" w:rsidRDefault="006E4EA0">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rsidR="00BF60A0" w:rsidRDefault="006E4EA0">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BF60A0" w:rsidRDefault="006E4EA0">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BF60A0" w:rsidRDefault="006E4EA0">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BF60A0" w:rsidRDefault="006E4EA0">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和调整有关基金申购、赎回、转换和非交易过户</w:t>
      </w:r>
      <w:r>
        <w:rPr>
          <w:rFonts w:hint="eastAsia"/>
          <w:bCs/>
          <w:sz w:val="24"/>
        </w:rPr>
        <w:t>等业务</w:t>
      </w:r>
      <w:r>
        <w:rPr>
          <w:bCs/>
          <w:sz w:val="24"/>
        </w:rPr>
        <w:t>的业务规则；</w:t>
      </w:r>
    </w:p>
    <w:p w:rsidR="00BF60A0" w:rsidRDefault="006E4EA0">
      <w:pPr>
        <w:adjustRightInd w:val="0"/>
        <w:snapToGrid w:val="0"/>
        <w:spacing w:line="360" w:lineRule="auto"/>
        <w:ind w:firstLineChars="200" w:firstLine="480"/>
        <w:rPr>
          <w:bCs/>
          <w:sz w:val="24"/>
        </w:rPr>
      </w:pPr>
      <w:r>
        <w:rPr>
          <w:bCs/>
          <w:sz w:val="24"/>
        </w:rPr>
        <w:t>（</w:t>
      </w:r>
      <w:r>
        <w:rPr>
          <w:bCs/>
          <w:sz w:val="24"/>
        </w:rPr>
        <w:t>17</w:t>
      </w:r>
      <w:r>
        <w:rPr>
          <w:bCs/>
          <w:sz w:val="24"/>
        </w:rPr>
        <w:t>）法律法规</w:t>
      </w:r>
      <w:r>
        <w:rPr>
          <w:rFonts w:hint="eastAsia"/>
          <w:bCs/>
          <w:sz w:val="24"/>
        </w:rPr>
        <w:t>及中国证监会规定的</w:t>
      </w:r>
      <w:r>
        <w:rPr>
          <w:bCs/>
          <w:sz w:val="24"/>
        </w:rPr>
        <w:t>和基金合同</w:t>
      </w:r>
      <w:r>
        <w:rPr>
          <w:rFonts w:hint="eastAsia"/>
          <w:bCs/>
          <w:sz w:val="24"/>
        </w:rPr>
        <w:t>约</w:t>
      </w:r>
      <w:r>
        <w:rPr>
          <w:bCs/>
          <w:sz w:val="24"/>
        </w:rPr>
        <w:t>定的其他权利。</w:t>
      </w:r>
    </w:p>
    <w:p w:rsidR="00BF60A0" w:rsidRDefault="006E4EA0">
      <w:pPr>
        <w:adjustRightInd w:val="0"/>
        <w:snapToGrid w:val="0"/>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BF60A0" w:rsidRDefault="006E4EA0">
      <w:pPr>
        <w:adjustRightInd w:val="0"/>
        <w:snapToGrid w:val="0"/>
        <w:spacing w:line="360" w:lineRule="auto"/>
        <w:ind w:firstLineChars="200" w:firstLine="480"/>
        <w:rPr>
          <w:bCs/>
          <w:sz w:val="24"/>
        </w:rPr>
      </w:pPr>
      <w:bookmarkStart w:id="109" w:name="_Toc523711669"/>
      <w:r>
        <w:rPr>
          <w:bCs/>
          <w:sz w:val="24"/>
        </w:rPr>
        <w:t>（</w:t>
      </w:r>
      <w:r>
        <w:rPr>
          <w:bCs/>
          <w:sz w:val="24"/>
        </w:rPr>
        <w:t>1</w:t>
      </w:r>
      <w:r>
        <w:rPr>
          <w:bCs/>
          <w:sz w:val="24"/>
        </w:rPr>
        <w:t>）依法募集基金，办理或者委托经中国证监会认定的其他机构代为办理基金份额的</w:t>
      </w:r>
      <w:r>
        <w:rPr>
          <w:rFonts w:hint="eastAsia"/>
          <w:bCs/>
          <w:sz w:val="24"/>
        </w:rPr>
        <w:t>销售</w:t>
      </w:r>
      <w:r>
        <w:rPr>
          <w:bCs/>
          <w:sz w:val="24"/>
        </w:rPr>
        <w:t>、申购、赎回和登记事宜；</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）办理基金备案手续；</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10" w:name="_Hlt88897298"/>
      <w:bookmarkEnd w:id="110"/>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）依法接受基金托管人的监督；</w:t>
      </w:r>
    </w:p>
    <w:p w:rsidR="00BF60A0" w:rsidRDefault="006E4EA0">
      <w:pPr>
        <w:adjustRightInd w:val="0"/>
        <w:snapToGrid w:val="0"/>
        <w:spacing w:line="360" w:lineRule="auto"/>
        <w:ind w:firstLineChars="200" w:firstLine="480"/>
        <w:rPr>
          <w:bCs/>
          <w:sz w:val="24"/>
        </w:rPr>
      </w:pPr>
      <w:r>
        <w:rPr>
          <w:bCs/>
          <w:sz w:val="24"/>
        </w:rPr>
        <w:t>（</w:t>
      </w:r>
      <w:r>
        <w:rPr>
          <w:bCs/>
          <w:sz w:val="24"/>
        </w:rPr>
        <w:t>8</w:t>
      </w:r>
      <w:r>
        <w:rPr>
          <w:bCs/>
          <w:sz w:val="24"/>
        </w:rPr>
        <w:t>）采取适当合理的措施使计算基金份额申购、赎回和注销价格的方法符合基金合同等法律文件的规定，按有关规定计算并公告基金净值</w:t>
      </w:r>
      <w:r>
        <w:rPr>
          <w:rFonts w:hint="eastAsia"/>
          <w:bCs/>
          <w:sz w:val="24"/>
        </w:rPr>
        <w:t>信息</w:t>
      </w:r>
      <w:r>
        <w:rPr>
          <w:bCs/>
          <w:sz w:val="24"/>
        </w:rPr>
        <w:t>，确定基金份额</w:t>
      </w:r>
      <w:r>
        <w:rPr>
          <w:bCs/>
          <w:sz w:val="24"/>
        </w:rPr>
        <w:lastRenderedPageBreak/>
        <w:t>申购、赎回的价格；</w:t>
      </w:r>
    </w:p>
    <w:p w:rsidR="00BF60A0" w:rsidRDefault="006E4EA0">
      <w:pPr>
        <w:adjustRightInd w:val="0"/>
        <w:snapToGrid w:val="0"/>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BF60A0" w:rsidRDefault="006E4EA0">
      <w:pPr>
        <w:adjustRightInd w:val="0"/>
        <w:snapToGrid w:val="0"/>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报告、中期报告和年度报告</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BF60A0" w:rsidRDefault="006E4EA0">
      <w:pPr>
        <w:adjustRightInd w:val="0"/>
        <w:snapToGrid w:val="0"/>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BF60A0" w:rsidRDefault="006E4EA0">
      <w:pPr>
        <w:adjustRightInd w:val="0"/>
        <w:snapToGrid w:val="0"/>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BF60A0" w:rsidRDefault="006E4EA0">
      <w:pPr>
        <w:adjustRightInd w:val="0"/>
        <w:snapToGrid w:val="0"/>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BF60A0" w:rsidRDefault="006E4EA0">
      <w:pPr>
        <w:adjustRightInd w:val="0"/>
        <w:snapToGrid w:val="0"/>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BF60A0" w:rsidRDefault="006E4EA0">
      <w:pPr>
        <w:adjustRightInd w:val="0"/>
        <w:snapToGrid w:val="0"/>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F60A0" w:rsidRDefault="006E4EA0">
      <w:pPr>
        <w:adjustRightInd w:val="0"/>
        <w:snapToGrid w:val="0"/>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BF60A0" w:rsidRDefault="006E4EA0">
      <w:pPr>
        <w:adjustRightInd w:val="0"/>
        <w:snapToGrid w:val="0"/>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BF60A0" w:rsidRDefault="006E4EA0">
      <w:pPr>
        <w:adjustRightInd w:val="0"/>
        <w:snapToGrid w:val="0"/>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BF60A0" w:rsidRDefault="006E4EA0">
      <w:pPr>
        <w:adjustRightInd w:val="0"/>
        <w:snapToGrid w:val="0"/>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BF60A0" w:rsidRDefault="006E4EA0">
      <w:pPr>
        <w:adjustRightInd w:val="0"/>
        <w:snapToGrid w:val="0"/>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BF60A0" w:rsidRDefault="006E4EA0">
      <w:pPr>
        <w:adjustRightInd w:val="0"/>
        <w:snapToGrid w:val="0"/>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w:t>
      </w:r>
      <w:r>
        <w:rPr>
          <w:bCs/>
          <w:sz w:val="24"/>
        </w:rPr>
        <w:lastRenderedPageBreak/>
        <w:t>法律行为；</w:t>
      </w:r>
      <w:r>
        <w:rPr>
          <w:bCs/>
          <w:sz w:val="24"/>
        </w:rPr>
        <w:tab/>
      </w:r>
    </w:p>
    <w:p w:rsidR="00BF60A0" w:rsidRDefault="006E4EA0">
      <w:pPr>
        <w:adjustRightInd w:val="0"/>
        <w:snapToGrid w:val="0"/>
        <w:spacing w:line="360" w:lineRule="auto"/>
        <w:ind w:firstLineChars="200" w:firstLine="480"/>
        <w:rPr>
          <w:bCs/>
          <w:sz w:val="24"/>
        </w:rPr>
      </w:pPr>
      <w:r>
        <w:rPr>
          <w:bCs/>
          <w:sz w:val="24"/>
        </w:rPr>
        <w:t>（</w:t>
      </w:r>
      <w:r>
        <w:rPr>
          <w:bCs/>
          <w:sz w:val="24"/>
        </w:rPr>
        <w:t>24</w:t>
      </w:r>
      <w:r>
        <w:rPr>
          <w:bCs/>
          <w:sz w:val="24"/>
        </w:rPr>
        <w:t>）执行生效的基金份额持有人大会的</w:t>
      </w:r>
      <w:r>
        <w:rPr>
          <w:rFonts w:hint="eastAsia"/>
          <w:bCs/>
          <w:sz w:val="24"/>
        </w:rPr>
        <w:t>决议</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25</w:t>
      </w:r>
      <w:r>
        <w:rPr>
          <w:bCs/>
          <w:sz w:val="24"/>
        </w:rPr>
        <w:t>）建立并保存基金份额持有人名册；</w:t>
      </w:r>
    </w:p>
    <w:p w:rsidR="00BF60A0" w:rsidRDefault="006E4EA0">
      <w:pPr>
        <w:adjustRightInd w:val="0"/>
        <w:snapToGrid w:val="0"/>
        <w:spacing w:line="360" w:lineRule="auto"/>
        <w:ind w:firstLineChars="200" w:firstLine="480"/>
        <w:rPr>
          <w:bCs/>
          <w:sz w:val="24"/>
        </w:rPr>
      </w:pPr>
      <w:r>
        <w:rPr>
          <w:rFonts w:ascii="宋体" w:hAnsi="宋体" w:hint="eastAsia"/>
          <w:sz w:val="24"/>
        </w:rPr>
        <w:t>（</w:t>
      </w:r>
      <w:r>
        <w:rPr>
          <w:sz w:val="24"/>
        </w:rPr>
        <w:t>26</w:t>
      </w:r>
      <w:r>
        <w:rPr>
          <w:rFonts w:ascii="宋体" w:hAnsi="宋体" w:hint="eastAsia"/>
          <w:sz w:val="24"/>
        </w:rPr>
        <w:t>）</w:t>
      </w:r>
      <w:r>
        <w:rPr>
          <w:bCs/>
          <w:sz w:val="24"/>
        </w:rPr>
        <w:t>法律法规及中国证监会规定的和基金合同约定的其他义务。</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bookmarkStart w:id="111" w:name="_Toc15118238"/>
      <w:bookmarkStart w:id="112" w:name="_Toc57530240"/>
      <w:bookmarkStart w:id="113" w:name="_Toc79392581"/>
      <w:r>
        <w:rPr>
          <w:rFonts w:hint="eastAsia"/>
          <w:bCs/>
          <w:sz w:val="24"/>
        </w:rPr>
        <w:t>二、基金托管人</w:t>
      </w:r>
      <w:bookmarkEnd w:id="109"/>
      <w:bookmarkEnd w:id="111"/>
      <w:bookmarkEnd w:id="112"/>
      <w:bookmarkEnd w:id="113"/>
    </w:p>
    <w:p w:rsidR="00BF60A0" w:rsidRDefault="006E4EA0">
      <w:pPr>
        <w:adjustRightInd w:val="0"/>
        <w:snapToGrid w:val="0"/>
        <w:spacing w:line="360" w:lineRule="auto"/>
        <w:ind w:firstLineChars="200" w:firstLine="480"/>
        <w:rPr>
          <w:bCs/>
          <w:sz w:val="24"/>
        </w:rPr>
      </w:pPr>
      <w:bookmarkStart w:id="114" w:name="_Toc15118239"/>
      <w:r>
        <w:rPr>
          <w:rFonts w:hint="eastAsia"/>
          <w:bCs/>
          <w:sz w:val="24"/>
        </w:rPr>
        <w:t>（一）</w:t>
      </w:r>
      <w:r>
        <w:rPr>
          <w:bCs/>
          <w:sz w:val="24"/>
        </w:rPr>
        <w:tab/>
      </w:r>
      <w:r>
        <w:rPr>
          <w:rFonts w:hint="eastAsia"/>
          <w:bCs/>
          <w:sz w:val="24"/>
        </w:rPr>
        <w:t>基金托管人简况</w:t>
      </w:r>
      <w:bookmarkEnd w:id="114"/>
    </w:p>
    <w:p w:rsidR="00BF60A0" w:rsidRDefault="006E4EA0" w:rsidP="003A4418">
      <w:pPr>
        <w:adjustRightInd w:val="0"/>
        <w:snapToGrid w:val="0"/>
        <w:spacing w:line="360" w:lineRule="auto"/>
        <w:ind w:firstLineChars="200" w:firstLine="480"/>
        <w:rPr>
          <w:bCs/>
          <w:sz w:val="24"/>
        </w:rPr>
      </w:pPr>
      <w:r>
        <w:rPr>
          <w:rFonts w:hint="eastAsia"/>
          <w:bCs/>
          <w:sz w:val="24"/>
        </w:rPr>
        <w:t>名称：中国农业银行股份有限公司</w:t>
      </w:r>
    </w:p>
    <w:p w:rsidR="00BF60A0" w:rsidRDefault="006E4EA0" w:rsidP="003A4418">
      <w:pPr>
        <w:adjustRightInd w:val="0"/>
        <w:snapToGrid w:val="0"/>
        <w:spacing w:line="360" w:lineRule="auto"/>
        <w:ind w:firstLineChars="200" w:firstLine="480"/>
        <w:rPr>
          <w:bCs/>
          <w:sz w:val="24"/>
        </w:rPr>
      </w:pPr>
      <w:r>
        <w:rPr>
          <w:rFonts w:hint="eastAsia"/>
          <w:bCs/>
          <w:sz w:val="24"/>
        </w:rPr>
        <w:t>住所：北京市东城区建国门内大街</w:t>
      </w:r>
      <w:r>
        <w:rPr>
          <w:rFonts w:hint="eastAsia"/>
          <w:bCs/>
          <w:sz w:val="24"/>
        </w:rPr>
        <w:t>69</w:t>
      </w:r>
      <w:r>
        <w:rPr>
          <w:rFonts w:hint="eastAsia"/>
          <w:bCs/>
          <w:sz w:val="24"/>
        </w:rPr>
        <w:t>号</w:t>
      </w:r>
    </w:p>
    <w:p w:rsidR="00BF60A0" w:rsidRDefault="006E4EA0" w:rsidP="003A4418">
      <w:pPr>
        <w:adjustRightInd w:val="0"/>
        <w:snapToGrid w:val="0"/>
        <w:spacing w:line="360" w:lineRule="auto"/>
        <w:ind w:firstLineChars="200" w:firstLine="480"/>
        <w:rPr>
          <w:bCs/>
          <w:sz w:val="24"/>
        </w:rPr>
      </w:pPr>
      <w:r>
        <w:rPr>
          <w:rFonts w:hint="eastAsia"/>
          <w:bCs/>
          <w:sz w:val="24"/>
        </w:rPr>
        <w:t>法定代表人：谷澍</w:t>
      </w:r>
    </w:p>
    <w:p w:rsidR="00BF60A0" w:rsidRDefault="006E4EA0" w:rsidP="003A4418">
      <w:pPr>
        <w:adjustRightInd w:val="0"/>
        <w:snapToGrid w:val="0"/>
        <w:spacing w:line="360" w:lineRule="auto"/>
        <w:ind w:firstLineChars="200" w:firstLine="480"/>
        <w:rPr>
          <w:bCs/>
          <w:sz w:val="24"/>
        </w:rPr>
      </w:pPr>
      <w:r>
        <w:rPr>
          <w:rFonts w:hint="eastAsia"/>
          <w:bCs/>
          <w:sz w:val="24"/>
        </w:rPr>
        <w:t>成立时间：</w:t>
      </w:r>
      <w:r>
        <w:rPr>
          <w:rFonts w:hint="eastAsia"/>
          <w:bCs/>
          <w:sz w:val="24"/>
        </w:rPr>
        <w:t>2009</w:t>
      </w:r>
      <w:r>
        <w:rPr>
          <w:rFonts w:hint="eastAsia"/>
          <w:bCs/>
          <w:sz w:val="24"/>
        </w:rPr>
        <w:t>年</w:t>
      </w:r>
      <w:r>
        <w:rPr>
          <w:rFonts w:hint="eastAsia"/>
          <w:bCs/>
          <w:sz w:val="24"/>
        </w:rPr>
        <w:t>1</w:t>
      </w:r>
      <w:r>
        <w:rPr>
          <w:rFonts w:hint="eastAsia"/>
          <w:bCs/>
          <w:sz w:val="24"/>
        </w:rPr>
        <w:t>月</w:t>
      </w:r>
      <w:r>
        <w:rPr>
          <w:rFonts w:hint="eastAsia"/>
          <w:bCs/>
          <w:sz w:val="24"/>
        </w:rPr>
        <w:t>15</w:t>
      </w:r>
      <w:r>
        <w:rPr>
          <w:rFonts w:hint="eastAsia"/>
          <w:bCs/>
          <w:sz w:val="24"/>
        </w:rPr>
        <w:t>日</w:t>
      </w:r>
    </w:p>
    <w:p w:rsidR="00BF60A0" w:rsidRDefault="006E4EA0" w:rsidP="003A4418">
      <w:pPr>
        <w:adjustRightInd w:val="0"/>
        <w:snapToGrid w:val="0"/>
        <w:spacing w:line="360" w:lineRule="auto"/>
        <w:ind w:firstLineChars="200" w:firstLine="480"/>
        <w:rPr>
          <w:bCs/>
          <w:sz w:val="24"/>
        </w:rPr>
      </w:pPr>
      <w:r>
        <w:rPr>
          <w:rFonts w:hint="eastAsia"/>
          <w:bCs/>
          <w:sz w:val="24"/>
        </w:rPr>
        <w:t>批准设立机关和批准设立文号：中国银监会银监复</w:t>
      </w:r>
      <w:r>
        <w:rPr>
          <w:rFonts w:hint="eastAsia"/>
          <w:bCs/>
          <w:sz w:val="24"/>
        </w:rPr>
        <w:t>[2009]13</w:t>
      </w:r>
      <w:r>
        <w:rPr>
          <w:rFonts w:hint="eastAsia"/>
          <w:bCs/>
          <w:sz w:val="24"/>
        </w:rPr>
        <w:t>号</w:t>
      </w:r>
    </w:p>
    <w:p w:rsidR="00BF60A0" w:rsidRDefault="006E4EA0" w:rsidP="003A4418">
      <w:pPr>
        <w:adjustRightInd w:val="0"/>
        <w:snapToGrid w:val="0"/>
        <w:spacing w:line="360" w:lineRule="auto"/>
        <w:ind w:firstLineChars="200" w:firstLine="480"/>
        <w:rPr>
          <w:bCs/>
          <w:sz w:val="24"/>
        </w:rPr>
      </w:pPr>
      <w:r>
        <w:rPr>
          <w:rFonts w:hint="eastAsia"/>
          <w:bCs/>
          <w:sz w:val="24"/>
        </w:rPr>
        <w:t>组织形式：股份有限公司</w:t>
      </w:r>
    </w:p>
    <w:p w:rsidR="00BF60A0" w:rsidRDefault="006E4EA0" w:rsidP="003A4418">
      <w:pPr>
        <w:adjustRightInd w:val="0"/>
        <w:snapToGrid w:val="0"/>
        <w:spacing w:line="360" w:lineRule="auto"/>
        <w:ind w:firstLineChars="200" w:firstLine="480"/>
        <w:rPr>
          <w:bCs/>
          <w:sz w:val="24"/>
        </w:rPr>
      </w:pPr>
      <w:r>
        <w:rPr>
          <w:rFonts w:hint="eastAsia"/>
          <w:bCs/>
          <w:sz w:val="24"/>
        </w:rPr>
        <w:t>注册资本：</w:t>
      </w:r>
      <w:r>
        <w:rPr>
          <w:rFonts w:hint="eastAsia"/>
          <w:bCs/>
          <w:sz w:val="24"/>
        </w:rPr>
        <w:t>34,998,303.4</w:t>
      </w:r>
      <w:r>
        <w:rPr>
          <w:rFonts w:hint="eastAsia"/>
          <w:bCs/>
          <w:sz w:val="24"/>
        </w:rPr>
        <w:t>万元人民币</w:t>
      </w:r>
    </w:p>
    <w:p w:rsidR="00BF60A0" w:rsidRDefault="006E4EA0" w:rsidP="003A4418">
      <w:pPr>
        <w:adjustRightInd w:val="0"/>
        <w:snapToGrid w:val="0"/>
        <w:spacing w:line="360" w:lineRule="auto"/>
        <w:ind w:firstLineChars="200" w:firstLine="480"/>
        <w:rPr>
          <w:bCs/>
          <w:sz w:val="24"/>
        </w:rPr>
      </w:pPr>
      <w:r>
        <w:rPr>
          <w:rFonts w:hint="eastAsia"/>
          <w:bCs/>
          <w:sz w:val="24"/>
        </w:rPr>
        <w:t>存续期间：持续经营</w:t>
      </w:r>
    </w:p>
    <w:p w:rsidR="00BF60A0" w:rsidRDefault="006E4EA0" w:rsidP="003A4418">
      <w:pPr>
        <w:adjustRightInd w:val="0"/>
        <w:snapToGrid w:val="0"/>
        <w:spacing w:line="360" w:lineRule="auto"/>
        <w:ind w:firstLineChars="200" w:firstLine="480"/>
        <w:rPr>
          <w:bCs/>
          <w:sz w:val="24"/>
        </w:rPr>
      </w:pPr>
      <w:r>
        <w:rPr>
          <w:rFonts w:hint="eastAsia"/>
          <w:bCs/>
          <w:sz w:val="24"/>
        </w:rPr>
        <w:t>基金托管资格批文及文号：中国证监会证监基字</w:t>
      </w:r>
      <w:r>
        <w:rPr>
          <w:rFonts w:hint="eastAsia"/>
          <w:bCs/>
          <w:sz w:val="24"/>
        </w:rPr>
        <w:t>[1998]23</w:t>
      </w:r>
      <w:r>
        <w:rPr>
          <w:rFonts w:hint="eastAsia"/>
          <w:bCs/>
          <w:sz w:val="24"/>
        </w:rPr>
        <w:t>号</w:t>
      </w:r>
    </w:p>
    <w:p w:rsidR="00BF60A0" w:rsidRDefault="006E4EA0">
      <w:pPr>
        <w:adjustRightInd w:val="0"/>
        <w:snapToGrid w:val="0"/>
        <w:spacing w:line="360" w:lineRule="auto"/>
        <w:ind w:firstLineChars="200" w:firstLine="480"/>
        <w:rPr>
          <w:bCs/>
          <w:sz w:val="24"/>
        </w:rPr>
      </w:pPr>
      <w:bookmarkStart w:id="115" w:name="_Toc15118240"/>
      <w:r>
        <w:rPr>
          <w:bCs/>
          <w:sz w:val="24"/>
        </w:rPr>
        <w:t>（二）</w:t>
      </w:r>
      <w:r>
        <w:rPr>
          <w:bCs/>
          <w:sz w:val="24"/>
        </w:rPr>
        <w:tab/>
      </w:r>
      <w:r>
        <w:rPr>
          <w:bCs/>
          <w:sz w:val="24"/>
        </w:rPr>
        <w:t>基金托管人的权利与义务</w:t>
      </w:r>
      <w:bookmarkEnd w:id="115"/>
    </w:p>
    <w:p w:rsidR="00BF60A0" w:rsidRDefault="006E4EA0">
      <w:pPr>
        <w:adjustRightInd w:val="0"/>
        <w:snapToGrid w:val="0"/>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）提议召开或召集基金份额持有人大会；</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BF60A0" w:rsidRDefault="006E4EA0">
      <w:pPr>
        <w:adjustRightInd w:val="0"/>
        <w:snapToGrid w:val="0"/>
        <w:spacing w:line="360" w:lineRule="auto"/>
        <w:ind w:firstLineChars="200" w:firstLine="480"/>
        <w:rPr>
          <w:bCs/>
          <w:sz w:val="24"/>
        </w:rPr>
      </w:pPr>
      <w:r>
        <w:rPr>
          <w:bCs/>
          <w:sz w:val="24"/>
        </w:rPr>
        <w:lastRenderedPageBreak/>
        <w:t>（</w:t>
      </w:r>
      <w:r>
        <w:rPr>
          <w:bCs/>
          <w:sz w:val="24"/>
        </w:rPr>
        <w:t>7</w:t>
      </w:r>
      <w:r>
        <w:rPr>
          <w:bCs/>
          <w:sz w:val="24"/>
        </w:rPr>
        <w:t>）</w:t>
      </w:r>
      <w:r>
        <w:rPr>
          <w:rFonts w:hint="eastAsia"/>
          <w:bCs/>
          <w:sz w:val="24"/>
        </w:rPr>
        <w:t>法律法规及中国证监会规定的和基金合同约定的其他权利</w:t>
      </w:r>
      <w:r>
        <w:rPr>
          <w:bCs/>
          <w:sz w:val="24"/>
        </w:rPr>
        <w:t>。</w:t>
      </w:r>
    </w:p>
    <w:p w:rsidR="00BF60A0" w:rsidRDefault="006E4EA0">
      <w:pPr>
        <w:adjustRightInd w:val="0"/>
        <w:snapToGrid w:val="0"/>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w:t>
      </w:r>
      <w:r>
        <w:rPr>
          <w:bCs/>
          <w:sz w:val="24"/>
        </w:rPr>
        <w:t>按照基金合同的约定，根据基金管理人的投资指令，及时办理清算、交割事宜；</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BF60A0" w:rsidRDefault="006E4EA0">
      <w:pPr>
        <w:adjustRightInd w:val="0"/>
        <w:snapToGrid w:val="0"/>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基金份额申购、赎回价格；</w:t>
      </w:r>
    </w:p>
    <w:p w:rsidR="00BF60A0" w:rsidRDefault="006E4EA0">
      <w:pPr>
        <w:adjustRightInd w:val="0"/>
        <w:snapToGrid w:val="0"/>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BF60A0" w:rsidRDefault="006E4EA0">
      <w:pPr>
        <w:adjustRightInd w:val="0"/>
        <w:snapToGrid w:val="0"/>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rsidR="00BF60A0" w:rsidRDefault="006E4EA0">
      <w:pPr>
        <w:adjustRightInd w:val="0"/>
        <w:snapToGrid w:val="0"/>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12</w:t>
      </w:r>
      <w:r>
        <w:rPr>
          <w:bCs/>
          <w:sz w:val="24"/>
        </w:rPr>
        <w:t>）建立并保存基金份额持有人名册；</w:t>
      </w:r>
    </w:p>
    <w:p w:rsidR="00BF60A0" w:rsidRDefault="006E4EA0">
      <w:pPr>
        <w:adjustRightInd w:val="0"/>
        <w:snapToGrid w:val="0"/>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BF60A0" w:rsidRDefault="006E4EA0">
      <w:pPr>
        <w:adjustRightInd w:val="0"/>
        <w:snapToGrid w:val="0"/>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BF60A0" w:rsidRDefault="006E4EA0">
      <w:pPr>
        <w:adjustRightInd w:val="0"/>
        <w:snapToGrid w:val="0"/>
        <w:spacing w:line="360" w:lineRule="auto"/>
        <w:ind w:firstLineChars="200" w:firstLine="480"/>
        <w:rPr>
          <w:bCs/>
          <w:sz w:val="24"/>
        </w:rPr>
      </w:pPr>
      <w:r>
        <w:rPr>
          <w:bCs/>
          <w:sz w:val="24"/>
        </w:rPr>
        <w:lastRenderedPageBreak/>
        <w:t>（</w:t>
      </w:r>
      <w:r>
        <w:rPr>
          <w:bCs/>
          <w:sz w:val="24"/>
        </w:rPr>
        <w:t>15</w:t>
      </w:r>
      <w:r>
        <w:rPr>
          <w:bCs/>
          <w:sz w:val="24"/>
        </w:rPr>
        <w:t>）依据《基金法》、基金合同及其他有关规定，召集基金份额持有人大会或配合基金份额持有人</w:t>
      </w:r>
      <w:r>
        <w:rPr>
          <w:rFonts w:hint="eastAsia"/>
          <w:bCs/>
          <w:sz w:val="24"/>
        </w:rPr>
        <w:t>、基金管理人</w:t>
      </w:r>
      <w:r>
        <w:rPr>
          <w:bCs/>
          <w:sz w:val="24"/>
        </w:rPr>
        <w:t>依法召集基金份额持有人大会；</w:t>
      </w:r>
    </w:p>
    <w:p w:rsidR="00BF60A0" w:rsidRDefault="006E4EA0">
      <w:pPr>
        <w:adjustRightInd w:val="0"/>
        <w:snapToGrid w:val="0"/>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BF60A0" w:rsidRDefault="006E4EA0">
      <w:pPr>
        <w:adjustRightInd w:val="0"/>
        <w:snapToGrid w:val="0"/>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BF60A0" w:rsidRDefault="006E4EA0">
      <w:pPr>
        <w:adjustRightInd w:val="0"/>
        <w:snapToGrid w:val="0"/>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rsidR="00BF60A0" w:rsidRDefault="006E4EA0">
      <w:pPr>
        <w:adjustRightInd w:val="0"/>
        <w:snapToGrid w:val="0"/>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BF60A0" w:rsidRDefault="006E4EA0">
      <w:pPr>
        <w:adjustRightInd w:val="0"/>
        <w:snapToGrid w:val="0"/>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16" w:name="_Hlt88825668"/>
      <w:bookmarkEnd w:id="116"/>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21</w:t>
      </w:r>
      <w:r>
        <w:rPr>
          <w:bCs/>
          <w:sz w:val="24"/>
        </w:rPr>
        <w:t>）执行生效的基金份额持有人大会的决议；</w:t>
      </w:r>
    </w:p>
    <w:p w:rsidR="00BF60A0" w:rsidRDefault="006E4EA0">
      <w:pPr>
        <w:adjustRightInd w:val="0"/>
        <w:snapToGrid w:val="0"/>
        <w:spacing w:line="360" w:lineRule="auto"/>
        <w:ind w:firstLineChars="200" w:firstLine="480"/>
        <w:rPr>
          <w:bCs/>
          <w:sz w:val="24"/>
        </w:rPr>
      </w:pPr>
      <w:r>
        <w:rPr>
          <w:bCs/>
          <w:sz w:val="24"/>
        </w:rPr>
        <w:t>（</w:t>
      </w:r>
      <w:r>
        <w:rPr>
          <w:bCs/>
          <w:sz w:val="24"/>
        </w:rPr>
        <w:t>22</w:t>
      </w:r>
      <w:r>
        <w:rPr>
          <w:bCs/>
          <w:sz w:val="24"/>
        </w:rPr>
        <w:t>）</w:t>
      </w:r>
      <w:bookmarkStart w:id="117" w:name="_Toc523711670"/>
      <w:r>
        <w:rPr>
          <w:bCs/>
          <w:sz w:val="24"/>
        </w:rPr>
        <w:t>法律法规及中国证监会规定的和基金合同约定的其他义务。</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bookmarkStart w:id="118" w:name="_Toc79392582"/>
      <w:bookmarkEnd w:id="117"/>
      <w:r>
        <w:rPr>
          <w:bCs/>
          <w:sz w:val="24"/>
        </w:rPr>
        <w:t>三、基金份额持有人</w:t>
      </w:r>
      <w:bookmarkEnd w:id="118"/>
    </w:p>
    <w:p w:rsidR="00BF60A0" w:rsidRDefault="006E4EA0">
      <w:pPr>
        <w:adjustRightInd w:val="0"/>
        <w:snapToGrid w:val="0"/>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19" w:name="_Hlt88899909"/>
      <w:bookmarkEnd w:id="119"/>
      <w:r>
        <w:rPr>
          <w:bCs/>
          <w:sz w:val="24"/>
        </w:rPr>
        <w:t>基金份额的行为即视为对基金合同的承认和接受，基金投资者自依据基金合同取得</w:t>
      </w:r>
      <w:r>
        <w:rPr>
          <w:rFonts w:hint="eastAsia"/>
          <w:bCs/>
          <w:sz w:val="24"/>
        </w:rPr>
        <w:t>本基金</w:t>
      </w:r>
      <w:r>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BF60A0" w:rsidRDefault="006E4EA0">
      <w:pPr>
        <w:adjustRightInd w:val="0"/>
        <w:snapToGrid w:val="0"/>
        <w:spacing w:line="360" w:lineRule="auto"/>
        <w:ind w:firstLineChars="200" w:firstLine="480"/>
        <w:rPr>
          <w:bCs/>
          <w:sz w:val="24"/>
        </w:rPr>
      </w:pPr>
      <w:r>
        <w:rPr>
          <w:rFonts w:hint="eastAsia"/>
          <w:bCs/>
          <w:sz w:val="24"/>
        </w:rPr>
        <w:t>同一类别的</w:t>
      </w:r>
      <w:r>
        <w:rPr>
          <w:bCs/>
          <w:sz w:val="24"/>
        </w:rPr>
        <w:t>每份基金份额具有同等的合法权益</w:t>
      </w:r>
      <w:r>
        <w:rPr>
          <w:rFonts w:hint="eastAsia"/>
          <w:bCs/>
          <w:sz w:val="24"/>
        </w:rPr>
        <w:t>，基金合同另有约定的除外</w:t>
      </w:r>
      <w:r>
        <w:rPr>
          <w:bCs/>
          <w:sz w:val="24"/>
        </w:rPr>
        <w:t>。</w:t>
      </w:r>
    </w:p>
    <w:p w:rsidR="00BF60A0" w:rsidRDefault="006E4EA0">
      <w:pPr>
        <w:adjustRightInd w:val="0"/>
        <w:snapToGrid w:val="0"/>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）分享基金财产收益；</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）参与分配清算后的剩余基金财产；</w:t>
      </w:r>
      <w:bookmarkStart w:id="120" w:name="_Hlt88825574"/>
      <w:bookmarkEnd w:id="120"/>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）依法申请赎回其持有的基金份额；</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）查阅或者复制公开披露的基金信息资料；</w:t>
      </w:r>
    </w:p>
    <w:p w:rsidR="00BF60A0" w:rsidRDefault="006E4EA0">
      <w:pPr>
        <w:adjustRightInd w:val="0"/>
        <w:snapToGrid w:val="0"/>
        <w:spacing w:line="360" w:lineRule="auto"/>
        <w:ind w:firstLineChars="200" w:firstLine="480"/>
        <w:rPr>
          <w:bCs/>
          <w:sz w:val="24"/>
        </w:rPr>
      </w:pPr>
      <w:r>
        <w:rPr>
          <w:bCs/>
          <w:sz w:val="24"/>
        </w:rPr>
        <w:lastRenderedPageBreak/>
        <w:t>（</w:t>
      </w:r>
      <w:r>
        <w:rPr>
          <w:bCs/>
          <w:sz w:val="24"/>
        </w:rPr>
        <w:t>7</w:t>
      </w:r>
      <w:r>
        <w:rPr>
          <w:bCs/>
          <w:sz w:val="24"/>
        </w:rPr>
        <w:t>）监督基金管理人的投资运作；</w:t>
      </w:r>
    </w:p>
    <w:p w:rsidR="00BF60A0" w:rsidRDefault="006E4EA0">
      <w:pPr>
        <w:adjustRightInd w:val="0"/>
        <w:snapToGrid w:val="0"/>
        <w:spacing w:line="360" w:lineRule="auto"/>
        <w:ind w:firstLineChars="200" w:firstLine="480"/>
        <w:rPr>
          <w:bCs/>
          <w:sz w:val="24"/>
        </w:rPr>
      </w:pPr>
      <w:r>
        <w:rPr>
          <w:bCs/>
          <w:sz w:val="24"/>
        </w:rPr>
        <w:t>（</w:t>
      </w:r>
      <w:r>
        <w:rPr>
          <w:bCs/>
          <w:sz w:val="24"/>
        </w:rPr>
        <w:t>8</w:t>
      </w:r>
      <w:r>
        <w:rPr>
          <w:bCs/>
          <w:sz w:val="24"/>
        </w:rPr>
        <w:t>）对基金管理人、基金托管人、基金销售机构损害其合法权益的行为依法提起诉讼或仲裁；</w:t>
      </w:r>
    </w:p>
    <w:p w:rsidR="00BF60A0" w:rsidRDefault="006E4EA0">
      <w:pPr>
        <w:adjustRightInd w:val="0"/>
        <w:snapToGrid w:val="0"/>
        <w:spacing w:line="360" w:lineRule="auto"/>
        <w:ind w:firstLineChars="200" w:firstLine="480"/>
        <w:rPr>
          <w:bCs/>
          <w:sz w:val="24"/>
        </w:rPr>
      </w:pPr>
      <w:r>
        <w:rPr>
          <w:rFonts w:hint="eastAsia"/>
          <w:bCs/>
          <w:sz w:val="24"/>
        </w:rPr>
        <w:t>（</w:t>
      </w:r>
      <w:r>
        <w:rPr>
          <w:bCs/>
          <w:sz w:val="24"/>
        </w:rPr>
        <w:t>9</w:t>
      </w:r>
      <w:r>
        <w:rPr>
          <w:rFonts w:hint="eastAsia"/>
          <w:bCs/>
          <w:sz w:val="24"/>
        </w:rPr>
        <w:t>）</w:t>
      </w:r>
      <w:r>
        <w:rPr>
          <w:bCs/>
          <w:sz w:val="24"/>
        </w:rPr>
        <w:t>法律法规</w:t>
      </w:r>
      <w:r>
        <w:rPr>
          <w:rFonts w:hint="eastAsia"/>
          <w:bCs/>
          <w:sz w:val="24"/>
        </w:rPr>
        <w:t>及中国证监会规定的</w:t>
      </w:r>
      <w:r>
        <w:rPr>
          <w:bCs/>
          <w:sz w:val="24"/>
        </w:rPr>
        <w:t>和基金合同</w:t>
      </w:r>
      <w:r>
        <w:rPr>
          <w:rFonts w:hint="eastAsia"/>
          <w:bCs/>
          <w:sz w:val="24"/>
        </w:rPr>
        <w:t>约</w:t>
      </w:r>
      <w:r>
        <w:rPr>
          <w:bCs/>
          <w:sz w:val="24"/>
        </w:rPr>
        <w:t>定的其他权利。</w:t>
      </w:r>
    </w:p>
    <w:p w:rsidR="00BF60A0" w:rsidRDefault="006E4EA0">
      <w:pPr>
        <w:adjustRightInd w:val="0"/>
        <w:snapToGrid w:val="0"/>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）认真阅读并遵守基金合同；</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）缴纳基金申购、赎回款项及法律法规和基金合同所规定的费用；</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）执行生效的基金份额持有人大会的决议；</w:t>
      </w:r>
    </w:p>
    <w:p w:rsidR="00BF60A0" w:rsidRDefault="006E4EA0">
      <w:pPr>
        <w:adjustRightInd w:val="0"/>
        <w:snapToGrid w:val="0"/>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BF60A0" w:rsidRDefault="006E4EA0">
      <w:pPr>
        <w:adjustRightInd w:val="0"/>
        <w:snapToGrid w:val="0"/>
        <w:spacing w:line="360" w:lineRule="auto"/>
        <w:ind w:firstLineChars="200" w:firstLine="480"/>
        <w:rPr>
          <w:bCs/>
          <w:sz w:val="24"/>
        </w:rPr>
      </w:pPr>
      <w:r>
        <w:rPr>
          <w:bCs/>
          <w:sz w:val="24"/>
        </w:rPr>
        <w:t>（</w:t>
      </w:r>
      <w:r>
        <w:rPr>
          <w:bCs/>
          <w:sz w:val="24"/>
        </w:rPr>
        <w:t>9</w:t>
      </w:r>
      <w:r>
        <w:rPr>
          <w:bCs/>
          <w:sz w:val="24"/>
        </w:rPr>
        <w:t>）</w:t>
      </w:r>
      <w:r>
        <w:rPr>
          <w:rFonts w:hint="eastAsia"/>
          <w:bCs/>
          <w:sz w:val="24"/>
        </w:rPr>
        <w:t>遵守基金管理人、基金托管人、销售机构和登记机构的相关交易及业务规则；</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bCs/>
          <w:sz w:val="24"/>
        </w:rPr>
        <w:t>法律法规及中国证监会规定的和基金合同约定的其他义务。</w:t>
      </w:r>
    </w:p>
    <w:p w:rsidR="00BF60A0" w:rsidRDefault="006E4EA0">
      <w:pPr>
        <w:pStyle w:val="1"/>
        <w:spacing w:before="0" w:after="0"/>
        <w:rPr>
          <w:sz w:val="30"/>
        </w:rPr>
      </w:pPr>
      <w:r>
        <w:rPr>
          <w:b w:val="0"/>
          <w:bCs/>
        </w:rPr>
        <w:br w:type="page"/>
      </w:r>
      <w:bookmarkStart w:id="121" w:name="_Toc18567"/>
      <w:bookmarkStart w:id="122" w:name="_Toc79392583"/>
      <w:bookmarkStart w:id="123" w:name="_Toc312933430"/>
      <w:bookmarkStart w:id="124" w:name="_Toc25783"/>
      <w:bookmarkStart w:id="125" w:name="_Toc3321"/>
      <w:bookmarkStart w:id="126" w:name="_Toc10650"/>
      <w:bookmarkStart w:id="127" w:name="_Toc123112236"/>
      <w:bookmarkStart w:id="128" w:name="_Toc4559"/>
      <w:bookmarkStart w:id="129" w:name="_Toc123102455"/>
      <w:bookmarkStart w:id="130" w:name="_Toc535765916"/>
      <w:bookmarkStart w:id="131" w:name="_Toc3771"/>
      <w:bookmarkStart w:id="132" w:name="_Toc139991738"/>
      <w:bookmarkStart w:id="133" w:name="_Toc141703888"/>
      <w:bookmarkStart w:id="134" w:name="_Toc123051454"/>
      <w:bookmarkStart w:id="135" w:name="_Toc9706"/>
      <w:bookmarkStart w:id="136" w:name="_Toc7058"/>
      <w:bookmarkStart w:id="137" w:name="_Toc98560354"/>
      <w:bookmarkStart w:id="138" w:name="_Toc11030"/>
      <w:bookmarkStart w:id="139" w:name="_Toc6447"/>
      <w:r>
        <w:rPr>
          <w:sz w:val="30"/>
        </w:rPr>
        <w:lastRenderedPageBreak/>
        <w:t>第八部分</w:t>
      </w:r>
      <w:r>
        <w:rPr>
          <w:sz w:val="30"/>
        </w:rPr>
        <w:t xml:space="preserve">  </w:t>
      </w:r>
      <w:r>
        <w:rPr>
          <w:sz w:val="30"/>
        </w:rPr>
        <w:t>基金份额持有人大会</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BF60A0" w:rsidRDefault="00BF60A0">
      <w:pPr>
        <w:tabs>
          <w:tab w:val="left" w:pos="1080"/>
        </w:tabs>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BF60A0" w:rsidRDefault="006E4EA0">
      <w:pPr>
        <w:adjustRightInd w:val="0"/>
        <w:snapToGrid w:val="0"/>
        <w:spacing w:line="360" w:lineRule="auto"/>
        <w:ind w:firstLineChars="200" w:firstLine="480"/>
        <w:rPr>
          <w:bCs/>
          <w:sz w:val="24"/>
        </w:rPr>
      </w:pPr>
      <w:r>
        <w:rPr>
          <w:rFonts w:hint="eastAsia"/>
          <w:bCs/>
          <w:sz w:val="24"/>
        </w:rPr>
        <w:t>本基金份额持有人大会不设日常机构。</w:t>
      </w:r>
    </w:p>
    <w:p w:rsidR="00BF60A0" w:rsidRDefault="006E4EA0">
      <w:pPr>
        <w:adjustRightInd w:val="0"/>
        <w:snapToGrid w:val="0"/>
        <w:spacing w:line="360" w:lineRule="auto"/>
        <w:ind w:firstLineChars="200" w:firstLine="480"/>
        <w:rPr>
          <w:bCs/>
          <w:sz w:val="24"/>
        </w:rPr>
      </w:pPr>
      <w:bookmarkStart w:id="140" w:name="_Toc79392584"/>
      <w:bookmarkStart w:id="141" w:name="_Toc15641220"/>
      <w:bookmarkStart w:id="142" w:name="_Toc57530243"/>
      <w:r>
        <w:rPr>
          <w:bCs/>
          <w:sz w:val="24"/>
        </w:rPr>
        <w:t>一、召开事由</w:t>
      </w:r>
      <w:bookmarkEnd w:id="140"/>
      <w:bookmarkEnd w:id="141"/>
      <w:bookmarkEnd w:id="142"/>
    </w:p>
    <w:p w:rsidR="00BF60A0" w:rsidRDefault="006E4EA0">
      <w:pPr>
        <w:adjustRightInd w:val="0"/>
        <w:snapToGrid w:val="0"/>
        <w:spacing w:line="360" w:lineRule="auto"/>
        <w:ind w:firstLineChars="200" w:firstLine="480"/>
        <w:rPr>
          <w:bCs/>
          <w:sz w:val="24"/>
        </w:rPr>
      </w:pPr>
      <w:r>
        <w:rPr>
          <w:bCs/>
          <w:sz w:val="24"/>
        </w:rPr>
        <w:t>1</w:t>
      </w:r>
      <w:r>
        <w:rPr>
          <w:bCs/>
          <w:sz w:val="24"/>
        </w:rPr>
        <w:t>、当出现或需要决定下列事由之一的，应当召开基金份额持有人大会：</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）终止基金合同；</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）更换基金管理人；</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）更换基金托管人；</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）转换基金运作方式；</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）提高基金管理人、基金托管人的报酬标准</w:t>
      </w:r>
      <w:r>
        <w:rPr>
          <w:rFonts w:hint="eastAsia"/>
          <w:bCs/>
          <w:sz w:val="24"/>
        </w:rPr>
        <w:t>或提高销售服务费率</w:t>
      </w:r>
      <w:r>
        <w:rPr>
          <w:rFonts w:ascii="宋体" w:hAnsi="宋体" w:hint="eastAsia"/>
          <w:bCs/>
          <w:sz w:val="24"/>
        </w:rPr>
        <w:t>，但法律法规要求提高该等报酬标准的除外</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）变更基金类别；</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）本基金与其他基金的合并；</w:t>
      </w:r>
    </w:p>
    <w:p w:rsidR="00BF60A0" w:rsidRDefault="006E4EA0">
      <w:pPr>
        <w:adjustRightInd w:val="0"/>
        <w:snapToGrid w:val="0"/>
        <w:spacing w:line="360" w:lineRule="auto"/>
        <w:ind w:firstLineChars="200" w:firstLine="480"/>
        <w:rPr>
          <w:bCs/>
          <w:sz w:val="24"/>
        </w:rPr>
      </w:pPr>
      <w:r>
        <w:rPr>
          <w:bCs/>
          <w:sz w:val="24"/>
        </w:rPr>
        <w:t>（</w:t>
      </w:r>
      <w:r>
        <w:rPr>
          <w:bCs/>
          <w:sz w:val="24"/>
        </w:rPr>
        <w:t>8</w:t>
      </w:r>
      <w:r>
        <w:rPr>
          <w:bCs/>
          <w:sz w:val="24"/>
        </w:rPr>
        <w:t>）变更基金投资目标、范围或策略</w:t>
      </w:r>
      <w:r>
        <w:rPr>
          <w:rFonts w:hint="eastAsia"/>
          <w:bCs/>
          <w:sz w:val="24"/>
        </w:rPr>
        <w:t>，</w:t>
      </w:r>
      <w:r>
        <w:rPr>
          <w:rFonts w:ascii="宋体" w:hAnsi="宋体" w:hint="eastAsia"/>
          <w:sz w:val="24"/>
        </w:rPr>
        <w:t>法律法规和中国证监会另有规定的除外</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9</w:t>
      </w:r>
      <w:r>
        <w:rPr>
          <w:bCs/>
          <w:sz w:val="24"/>
        </w:rPr>
        <w:t>）变更基金份额持有人大会程序；</w:t>
      </w:r>
    </w:p>
    <w:p w:rsidR="00BF60A0" w:rsidRDefault="006E4EA0">
      <w:pPr>
        <w:adjustRightInd w:val="0"/>
        <w:snapToGrid w:val="0"/>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rsidR="00BF60A0" w:rsidRDefault="006E4EA0">
      <w:pPr>
        <w:adjustRightInd w:val="0"/>
        <w:snapToGrid w:val="0"/>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BF60A0" w:rsidRDefault="006E4EA0">
      <w:pPr>
        <w:adjustRightInd w:val="0"/>
        <w:snapToGrid w:val="0"/>
        <w:spacing w:line="360" w:lineRule="auto"/>
        <w:ind w:firstLineChars="200" w:firstLine="480"/>
        <w:rPr>
          <w:bCs/>
          <w:sz w:val="24"/>
        </w:rPr>
      </w:pPr>
      <w:r>
        <w:rPr>
          <w:rFonts w:hAnsi="宋体"/>
          <w:sz w:val="24"/>
        </w:rPr>
        <w:t>（</w:t>
      </w:r>
      <w:r>
        <w:rPr>
          <w:sz w:val="24"/>
        </w:rPr>
        <w:t>12</w:t>
      </w:r>
      <w:r>
        <w:rPr>
          <w:rFonts w:hAnsi="宋体"/>
          <w:sz w:val="24"/>
        </w:rPr>
        <w:t>）</w:t>
      </w:r>
      <w:r>
        <w:rPr>
          <w:bCs/>
          <w:sz w:val="24"/>
        </w:rPr>
        <w:t>对基金当事人权利和义务产生重大影响的其他事项；</w:t>
      </w:r>
    </w:p>
    <w:p w:rsidR="00BF60A0" w:rsidRDefault="006E4EA0">
      <w:pPr>
        <w:adjustRightInd w:val="0"/>
        <w:snapToGrid w:val="0"/>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BF60A0" w:rsidRDefault="006E4EA0">
      <w:pPr>
        <w:adjustRightInd w:val="0"/>
        <w:snapToGrid w:val="0"/>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rsidR="00BF60A0" w:rsidRDefault="006E4EA0">
      <w:pPr>
        <w:adjustRightInd w:val="0"/>
        <w:snapToGrid w:val="0"/>
        <w:spacing w:line="360" w:lineRule="auto"/>
        <w:ind w:firstLineChars="200" w:firstLine="480"/>
        <w:rPr>
          <w:bCs/>
          <w:sz w:val="24"/>
        </w:rPr>
      </w:pPr>
      <w:r>
        <w:rPr>
          <w:bCs/>
          <w:sz w:val="24"/>
        </w:rPr>
        <w:lastRenderedPageBreak/>
        <w:t>（</w:t>
      </w:r>
      <w:r>
        <w:rPr>
          <w:bCs/>
          <w:sz w:val="24"/>
        </w:rPr>
        <w:t>1</w:t>
      </w:r>
      <w:r>
        <w:rPr>
          <w:bCs/>
          <w:sz w:val="24"/>
        </w:rPr>
        <w:t>）调低基金管理费、基金托管费</w:t>
      </w:r>
      <w:r>
        <w:rPr>
          <w:rFonts w:hint="eastAsia"/>
          <w:bCs/>
          <w:sz w:val="24"/>
        </w:rPr>
        <w:t>和其他应由本基金或基金份额持有人承担的费用</w:t>
      </w:r>
      <w:r>
        <w:rPr>
          <w:bCs/>
          <w:sz w:val="24"/>
        </w:rPr>
        <w:t>；</w:t>
      </w:r>
    </w:p>
    <w:p w:rsidR="00BF60A0" w:rsidRDefault="006E4EA0">
      <w:pPr>
        <w:adjustRightInd w:val="0"/>
        <w:snapToGrid w:val="0"/>
        <w:spacing w:line="360" w:lineRule="auto"/>
        <w:ind w:firstLineChars="200" w:firstLine="480"/>
        <w:rPr>
          <w:bCs/>
          <w:sz w:val="24"/>
        </w:rPr>
      </w:pPr>
      <w:r>
        <w:rPr>
          <w:rFonts w:hAnsi="宋体"/>
          <w:sz w:val="24"/>
        </w:rPr>
        <w:t>（</w:t>
      </w:r>
      <w:r>
        <w:rPr>
          <w:sz w:val="24"/>
        </w:rPr>
        <w:t>2</w:t>
      </w:r>
      <w:r>
        <w:rPr>
          <w:rFonts w:hAnsi="宋体"/>
          <w:sz w:val="24"/>
        </w:rPr>
        <w:t>）</w:t>
      </w:r>
      <w:r>
        <w:rPr>
          <w:bCs/>
          <w:sz w:val="24"/>
        </w:rPr>
        <w:t>法律法规要求增加的基金费用的收取；</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）在法律法规和基金合同规定的范围内调整本基金的申购费率、调低赎回费率</w:t>
      </w:r>
      <w:r>
        <w:rPr>
          <w:rFonts w:hint="eastAsia"/>
          <w:bCs/>
          <w:sz w:val="24"/>
        </w:rPr>
        <w:t>及销售服务费率、变更或增加收费方式</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w:t>
      </w:r>
      <w:r>
        <w:rPr>
          <w:rFonts w:hint="eastAsia"/>
          <w:bCs/>
          <w:sz w:val="24"/>
        </w:rPr>
        <w:t>在符合法律法规及本基金合同规定、并且对基金份额持有人利益无实质不利影响的前提下，调整基金份额类别设置、对基金份额分类办法及规则进行调整；</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）因相应的法律法规发生变动而应当对基金合同进行修改；</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）按照法律法规和基金合同规定不需召开基金份额持有人大会的以外的其他情形。</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bookmarkStart w:id="143" w:name="_Toc79392585"/>
      <w:bookmarkStart w:id="144" w:name="_Toc15641221"/>
      <w:bookmarkStart w:id="145" w:name="_Toc57530244"/>
      <w:r>
        <w:rPr>
          <w:bCs/>
          <w:sz w:val="24"/>
        </w:rPr>
        <w:t>二、会议召集人及召集方式</w:t>
      </w:r>
      <w:bookmarkEnd w:id="143"/>
      <w:bookmarkEnd w:id="144"/>
      <w:bookmarkEnd w:id="145"/>
    </w:p>
    <w:p w:rsidR="00BF60A0" w:rsidRDefault="006E4EA0">
      <w:pPr>
        <w:adjustRightInd w:val="0"/>
        <w:snapToGrid w:val="0"/>
        <w:spacing w:line="360" w:lineRule="auto"/>
        <w:ind w:firstLineChars="200" w:firstLine="480"/>
        <w:rPr>
          <w:bCs/>
          <w:sz w:val="24"/>
        </w:rPr>
      </w:pPr>
      <w:bookmarkStart w:id="146" w:name="_Toc15641222"/>
      <w:bookmarkStart w:id="147" w:name="_Toc57530245"/>
      <w:r>
        <w:rPr>
          <w:bCs/>
          <w:sz w:val="24"/>
        </w:rPr>
        <w:t>1</w:t>
      </w:r>
      <w:r>
        <w:rPr>
          <w:bCs/>
          <w:sz w:val="24"/>
        </w:rPr>
        <w:t>、除法律法规规定或基金合同另有约定外，基金份额持有人大会由基金管理人召集</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rsidR="00BF60A0" w:rsidRDefault="006E4EA0">
      <w:pPr>
        <w:adjustRightInd w:val="0"/>
        <w:snapToGrid w:val="0"/>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w:t>
      </w:r>
      <w:r>
        <w:rPr>
          <w:bCs/>
          <w:sz w:val="24"/>
        </w:rPr>
        <w:lastRenderedPageBreak/>
        <w:t>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rsidR="00BF60A0" w:rsidRDefault="006E4EA0">
      <w:pPr>
        <w:adjustRightInd w:val="0"/>
        <w:snapToGrid w:val="0"/>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BF60A0" w:rsidRDefault="006E4EA0">
      <w:pPr>
        <w:adjustRightInd w:val="0"/>
        <w:snapToGrid w:val="0"/>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bookmarkStart w:id="148" w:name="_Toc79392586"/>
      <w:r>
        <w:rPr>
          <w:bCs/>
          <w:sz w:val="24"/>
        </w:rPr>
        <w:t>三、召开基金份额持有人大会的通知时间、通知内容、通知方式</w:t>
      </w:r>
      <w:bookmarkEnd w:id="146"/>
      <w:bookmarkEnd w:id="147"/>
      <w:bookmarkEnd w:id="148"/>
    </w:p>
    <w:p w:rsidR="00BF60A0" w:rsidRDefault="006E4EA0">
      <w:pPr>
        <w:adjustRightInd w:val="0"/>
        <w:snapToGrid w:val="0"/>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）会议召开的时间、地点和会议形式；</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）会议拟审议的事项、议事程序和表决方式；</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）会务常设联系人姓名及联系电话；</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）召集人需要通知的其他事项。</w:t>
      </w:r>
    </w:p>
    <w:p w:rsidR="00BF60A0" w:rsidRDefault="006E4EA0">
      <w:pPr>
        <w:adjustRightInd w:val="0"/>
        <w:snapToGrid w:val="0"/>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F60A0" w:rsidRDefault="006E4EA0">
      <w:pPr>
        <w:adjustRightInd w:val="0"/>
        <w:snapToGrid w:val="0"/>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bookmarkStart w:id="149" w:name="_Toc79392587"/>
      <w:bookmarkStart w:id="150" w:name="_Toc57530246"/>
      <w:bookmarkStart w:id="151" w:name="_Toc15641223"/>
      <w:r>
        <w:rPr>
          <w:bCs/>
          <w:sz w:val="24"/>
        </w:rPr>
        <w:t>四、基金份额持有人出席会议的方式</w:t>
      </w:r>
      <w:bookmarkEnd w:id="149"/>
      <w:bookmarkEnd w:id="150"/>
      <w:bookmarkEnd w:id="151"/>
    </w:p>
    <w:p w:rsidR="00BF60A0" w:rsidRDefault="006E4EA0">
      <w:pPr>
        <w:adjustRightInd w:val="0"/>
        <w:snapToGrid w:val="0"/>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或法律法规和监管机关允许的其他方式</w:t>
      </w:r>
      <w:r>
        <w:rPr>
          <w:bCs/>
          <w:sz w:val="24"/>
        </w:rPr>
        <w:t>召开，会议的召开方式由会议召集人确定。</w:t>
      </w:r>
    </w:p>
    <w:p w:rsidR="00BF60A0" w:rsidRDefault="006E4EA0">
      <w:pPr>
        <w:adjustRightInd w:val="0"/>
        <w:snapToGrid w:val="0"/>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BF60A0" w:rsidRDefault="006E4EA0">
      <w:pPr>
        <w:adjustRightInd w:val="0"/>
        <w:snapToGrid w:val="0"/>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BF60A0" w:rsidRDefault="006E4EA0">
      <w:pPr>
        <w:adjustRightInd w:val="0"/>
        <w:snapToGrid w:val="0"/>
        <w:spacing w:line="360" w:lineRule="auto"/>
        <w:ind w:firstLineChars="200" w:firstLine="480"/>
        <w:rPr>
          <w:bCs/>
          <w:sz w:val="24"/>
        </w:rPr>
      </w:pPr>
      <w:r>
        <w:rPr>
          <w:bCs/>
          <w:sz w:val="24"/>
        </w:rPr>
        <w:t>在同时符合以下条件时，通讯开会的方式视为有效：</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r>
        <w:rPr>
          <w:rFonts w:hint="eastAsia"/>
          <w:bCs/>
          <w:sz w:val="24"/>
        </w:rPr>
        <w:t>；若本人直接</w:t>
      </w:r>
      <w:r>
        <w:rPr>
          <w:rFonts w:hint="eastAsia"/>
          <w:bCs/>
          <w:sz w:val="24"/>
        </w:rPr>
        <w:lastRenderedPageBreak/>
        <w:t>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）会议通知公布前报中国证监会备案。</w:t>
      </w:r>
    </w:p>
    <w:p w:rsidR="00BF60A0" w:rsidRDefault="006E4EA0">
      <w:pPr>
        <w:adjustRightInd w:val="0"/>
        <w:snapToGrid w:val="0"/>
        <w:spacing w:line="360" w:lineRule="auto"/>
        <w:ind w:firstLineChars="200" w:firstLine="480"/>
        <w:rPr>
          <w:rFonts w:ascii="宋体" w:hAnsi="宋体"/>
          <w:sz w:val="24"/>
        </w:rPr>
      </w:pPr>
      <w:r>
        <w:rPr>
          <w:bCs/>
          <w:sz w:val="24"/>
        </w:rPr>
        <w:t>3</w:t>
      </w:r>
      <w:r>
        <w:rPr>
          <w:rFonts w:hint="eastAsia"/>
          <w:bCs/>
          <w:sz w:val="24"/>
        </w:rPr>
        <w:t>、</w:t>
      </w:r>
      <w:r>
        <w:rPr>
          <w:rFonts w:ascii="宋体" w:hAnsi="宋体" w:hint="eastAsia"/>
          <w:sz w:val="24"/>
        </w:rPr>
        <w:t>在法律法规或监管机构允许的情况下，本基金亦可采用网络、电话等其他非书面方式由基金份额持有人向其授权代表进行授权。</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bookmarkStart w:id="152" w:name="_Toc57530247"/>
      <w:bookmarkStart w:id="153" w:name="_Toc15641224"/>
      <w:bookmarkStart w:id="154" w:name="_Toc79392588"/>
      <w:r>
        <w:rPr>
          <w:bCs/>
          <w:sz w:val="24"/>
        </w:rPr>
        <w:t>五、议事内容与程序</w:t>
      </w:r>
      <w:bookmarkEnd w:id="152"/>
      <w:bookmarkEnd w:id="153"/>
      <w:bookmarkEnd w:id="154"/>
    </w:p>
    <w:p w:rsidR="00BF60A0" w:rsidRDefault="006E4EA0">
      <w:pPr>
        <w:adjustRightInd w:val="0"/>
        <w:snapToGrid w:val="0"/>
        <w:spacing w:line="360" w:lineRule="auto"/>
        <w:ind w:firstLineChars="200" w:firstLine="480"/>
        <w:rPr>
          <w:bCs/>
          <w:sz w:val="24"/>
        </w:rPr>
      </w:pPr>
      <w:r>
        <w:rPr>
          <w:bCs/>
          <w:sz w:val="24"/>
        </w:rPr>
        <w:t>1</w:t>
      </w:r>
      <w:r>
        <w:rPr>
          <w:bCs/>
          <w:sz w:val="24"/>
        </w:rPr>
        <w:t>、议事内容及提案权</w:t>
      </w:r>
    </w:p>
    <w:p w:rsidR="00BF60A0" w:rsidRDefault="006E4EA0">
      <w:pPr>
        <w:adjustRightInd w:val="0"/>
        <w:snapToGrid w:val="0"/>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F60A0" w:rsidRDefault="006E4EA0">
      <w:pPr>
        <w:adjustRightInd w:val="0"/>
        <w:snapToGrid w:val="0"/>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BF60A0" w:rsidRDefault="006E4EA0">
      <w:pPr>
        <w:adjustRightInd w:val="0"/>
        <w:snapToGrid w:val="0"/>
        <w:spacing w:line="360" w:lineRule="auto"/>
        <w:ind w:firstLineChars="200" w:firstLine="480"/>
        <w:rPr>
          <w:bCs/>
          <w:sz w:val="24"/>
        </w:rPr>
      </w:pPr>
      <w:r>
        <w:rPr>
          <w:bCs/>
          <w:sz w:val="24"/>
        </w:rPr>
        <w:t>基金份额持有人大会不得对未事先公告的议事内容进行表决。</w:t>
      </w:r>
    </w:p>
    <w:p w:rsidR="00BF60A0" w:rsidRDefault="006E4EA0">
      <w:pPr>
        <w:adjustRightInd w:val="0"/>
        <w:snapToGrid w:val="0"/>
        <w:spacing w:line="360" w:lineRule="auto"/>
        <w:ind w:firstLineChars="200" w:firstLine="480"/>
        <w:rPr>
          <w:bCs/>
          <w:sz w:val="24"/>
        </w:rPr>
      </w:pPr>
      <w:r>
        <w:rPr>
          <w:bCs/>
          <w:sz w:val="24"/>
        </w:rPr>
        <w:t>2</w:t>
      </w:r>
      <w:r>
        <w:rPr>
          <w:bCs/>
          <w:sz w:val="24"/>
        </w:rPr>
        <w:t>、议事程序</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）现场开会</w:t>
      </w:r>
    </w:p>
    <w:p w:rsidR="00BF60A0" w:rsidRDefault="006E4EA0">
      <w:pPr>
        <w:adjustRightInd w:val="0"/>
        <w:snapToGrid w:val="0"/>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w:t>
      </w:r>
      <w:r>
        <w:rPr>
          <w:bCs/>
          <w:sz w:val="24"/>
        </w:rPr>
        <w:lastRenderedPageBreak/>
        <w:t>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F60A0" w:rsidRDefault="006E4EA0">
      <w:pPr>
        <w:adjustRightInd w:val="0"/>
        <w:snapToGrid w:val="0"/>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）通讯开会</w:t>
      </w:r>
    </w:p>
    <w:p w:rsidR="00BF60A0" w:rsidRDefault="006E4EA0">
      <w:pPr>
        <w:adjustRightInd w:val="0"/>
        <w:snapToGrid w:val="0"/>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bookmarkStart w:id="155" w:name="_Toc15641225"/>
      <w:bookmarkStart w:id="156" w:name="_Toc57530248"/>
      <w:bookmarkStart w:id="157" w:name="_Toc79392589"/>
      <w:r>
        <w:rPr>
          <w:bCs/>
          <w:sz w:val="24"/>
        </w:rPr>
        <w:t>六、表决</w:t>
      </w:r>
      <w:bookmarkEnd w:id="155"/>
      <w:bookmarkEnd w:id="156"/>
      <w:bookmarkEnd w:id="157"/>
    </w:p>
    <w:p w:rsidR="00BF60A0" w:rsidRDefault="006E4EA0">
      <w:pPr>
        <w:adjustRightInd w:val="0"/>
        <w:snapToGrid w:val="0"/>
        <w:spacing w:line="360" w:lineRule="auto"/>
        <w:ind w:firstLineChars="200" w:firstLine="480"/>
        <w:rPr>
          <w:bCs/>
          <w:sz w:val="24"/>
        </w:rPr>
      </w:pPr>
      <w:r>
        <w:rPr>
          <w:bCs/>
          <w:sz w:val="24"/>
        </w:rPr>
        <w:t>基金份额持有人所持每份基金份额有一票表决权。</w:t>
      </w:r>
    </w:p>
    <w:p w:rsidR="00BF60A0" w:rsidRDefault="006E4EA0">
      <w:pPr>
        <w:adjustRightInd w:val="0"/>
        <w:snapToGrid w:val="0"/>
        <w:spacing w:line="360" w:lineRule="auto"/>
        <w:ind w:firstLineChars="200" w:firstLine="480"/>
        <w:rPr>
          <w:bCs/>
          <w:sz w:val="24"/>
        </w:rPr>
      </w:pPr>
      <w:r>
        <w:rPr>
          <w:bCs/>
          <w:sz w:val="24"/>
        </w:rPr>
        <w:t>基金份额持有人大会决议分为一般决议和特别决议：</w:t>
      </w:r>
    </w:p>
    <w:p w:rsidR="00BF60A0" w:rsidRDefault="006E4EA0">
      <w:pPr>
        <w:adjustRightInd w:val="0"/>
        <w:snapToGrid w:val="0"/>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BF60A0" w:rsidRDefault="006E4EA0">
      <w:pPr>
        <w:adjustRightInd w:val="0"/>
        <w:snapToGrid w:val="0"/>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2/3</w:t>
      </w:r>
      <w:r>
        <w:rPr>
          <w:bCs/>
          <w:sz w:val="24"/>
        </w:rPr>
        <w:t>以上（含</w:t>
      </w:r>
      <w:r>
        <w:rPr>
          <w:rFonts w:hint="eastAsia"/>
          <w:bCs/>
          <w:sz w:val="24"/>
        </w:rPr>
        <w:t>2/3</w:t>
      </w:r>
      <w:r>
        <w:rPr>
          <w:bCs/>
          <w:sz w:val="24"/>
        </w:rPr>
        <w:t>）通过方可做出。除基金合同另有约定外</w:t>
      </w:r>
      <w:r>
        <w:rPr>
          <w:rFonts w:hint="eastAsia"/>
          <w:bCs/>
          <w:sz w:val="24"/>
        </w:rPr>
        <w:t>，</w:t>
      </w:r>
      <w:r>
        <w:rPr>
          <w:bCs/>
          <w:sz w:val="24"/>
        </w:rPr>
        <w:t>转换基金运作方式、更换基金管理人或者基金托管人、终止基金合同、与其他基金合并以特别决议通过方为有效。</w:t>
      </w:r>
    </w:p>
    <w:p w:rsidR="00BF60A0" w:rsidRDefault="006E4EA0">
      <w:pPr>
        <w:adjustRightInd w:val="0"/>
        <w:snapToGrid w:val="0"/>
        <w:spacing w:line="360" w:lineRule="auto"/>
        <w:ind w:firstLineChars="200" w:firstLine="480"/>
        <w:rPr>
          <w:bCs/>
          <w:sz w:val="24"/>
        </w:rPr>
      </w:pPr>
      <w:r>
        <w:rPr>
          <w:bCs/>
          <w:sz w:val="24"/>
        </w:rPr>
        <w:t>基金份额持有人大会采取记名方式进行投票表决。</w:t>
      </w:r>
    </w:p>
    <w:p w:rsidR="00BF60A0" w:rsidRDefault="006E4EA0">
      <w:pPr>
        <w:adjustRightInd w:val="0"/>
        <w:snapToGrid w:val="0"/>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F60A0" w:rsidRDefault="006E4EA0">
      <w:pPr>
        <w:adjustRightInd w:val="0"/>
        <w:snapToGrid w:val="0"/>
        <w:spacing w:line="360" w:lineRule="auto"/>
        <w:ind w:firstLineChars="200" w:firstLine="480"/>
        <w:rPr>
          <w:bCs/>
          <w:sz w:val="24"/>
        </w:rPr>
      </w:pPr>
      <w:r>
        <w:rPr>
          <w:bCs/>
          <w:sz w:val="24"/>
        </w:rPr>
        <w:t>基金份额持有人大会的各项提案或同一项提案内并列的各项议题应当分开审</w:t>
      </w:r>
      <w:r>
        <w:rPr>
          <w:bCs/>
          <w:sz w:val="24"/>
        </w:rPr>
        <w:lastRenderedPageBreak/>
        <w:t>议、逐项表决。</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bookmarkStart w:id="158" w:name="_Toc79392590"/>
      <w:bookmarkStart w:id="159" w:name="_Toc57530249"/>
      <w:bookmarkStart w:id="160" w:name="_Toc15641226"/>
      <w:r>
        <w:rPr>
          <w:bCs/>
          <w:sz w:val="24"/>
        </w:rPr>
        <w:t>七、计票</w:t>
      </w:r>
      <w:bookmarkEnd w:id="158"/>
      <w:bookmarkEnd w:id="159"/>
      <w:bookmarkEnd w:id="160"/>
    </w:p>
    <w:p w:rsidR="00BF60A0" w:rsidRDefault="006E4EA0">
      <w:pPr>
        <w:adjustRightInd w:val="0"/>
        <w:snapToGrid w:val="0"/>
        <w:spacing w:line="360" w:lineRule="auto"/>
        <w:ind w:firstLineChars="200" w:firstLine="480"/>
        <w:rPr>
          <w:bCs/>
          <w:sz w:val="24"/>
        </w:rPr>
      </w:pPr>
      <w:r>
        <w:rPr>
          <w:bCs/>
          <w:sz w:val="24"/>
        </w:rPr>
        <w:t>1</w:t>
      </w:r>
      <w:r>
        <w:rPr>
          <w:bCs/>
          <w:sz w:val="24"/>
        </w:rPr>
        <w:t>、现场开会</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BF60A0" w:rsidRDefault="006E4EA0">
      <w:pPr>
        <w:adjustRightInd w:val="0"/>
        <w:snapToGrid w:val="0"/>
        <w:spacing w:line="360" w:lineRule="auto"/>
        <w:ind w:firstLineChars="200" w:firstLine="480"/>
        <w:rPr>
          <w:bCs/>
          <w:sz w:val="24"/>
        </w:rPr>
      </w:pPr>
      <w:r>
        <w:rPr>
          <w:bCs/>
          <w:sz w:val="24"/>
        </w:rPr>
        <w:t>2</w:t>
      </w:r>
      <w:r>
        <w:rPr>
          <w:bCs/>
          <w:sz w:val="24"/>
        </w:rPr>
        <w:t>、通讯开会</w:t>
      </w:r>
    </w:p>
    <w:p w:rsidR="00BF60A0" w:rsidRDefault="006E4EA0">
      <w:pPr>
        <w:adjustRightInd w:val="0"/>
        <w:snapToGrid w:val="0"/>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61" w:name="_Toc57530250"/>
      <w:bookmarkStart w:id="162" w:name="_Toc15641227"/>
      <w:bookmarkStart w:id="163" w:name="_Toc79392591"/>
      <w:r>
        <w:rPr>
          <w:bCs/>
          <w:sz w:val="24"/>
        </w:rPr>
        <w:t>。基金管理人或基金托管人拒派代表对书面表决意见的计票进行监督的，不影响计票和表决结果。</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八、生效与公告</w:t>
      </w:r>
      <w:bookmarkEnd w:id="161"/>
      <w:bookmarkEnd w:id="162"/>
      <w:bookmarkEnd w:id="163"/>
    </w:p>
    <w:p w:rsidR="00BF60A0" w:rsidRDefault="006E4EA0">
      <w:pPr>
        <w:adjustRightInd w:val="0"/>
        <w:snapToGrid w:val="0"/>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BF60A0" w:rsidRDefault="006E4EA0">
      <w:pPr>
        <w:adjustRightInd w:val="0"/>
        <w:snapToGrid w:val="0"/>
        <w:spacing w:line="360" w:lineRule="auto"/>
        <w:ind w:firstLineChars="200" w:firstLine="480"/>
        <w:rPr>
          <w:bCs/>
          <w:sz w:val="24"/>
        </w:rPr>
      </w:pPr>
      <w:r>
        <w:rPr>
          <w:bCs/>
          <w:sz w:val="24"/>
        </w:rPr>
        <w:t>基金份额持有人大会的决议自</w:t>
      </w:r>
      <w:r>
        <w:rPr>
          <w:rFonts w:hint="eastAsia"/>
          <w:bCs/>
          <w:sz w:val="24"/>
        </w:rPr>
        <w:t>表决通过之日</w:t>
      </w:r>
      <w:r>
        <w:rPr>
          <w:bCs/>
          <w:sz w:val="24"/>
        </w:rPr>
        <w:t>起生效。</w:t>
      </w:r>
      <w:r>
        <w:rPr>
          <w:rFonts w:hint="eastAsia"/>
          <w:bCs/>
          <w:sz w:val="24"/>
        </w:rPr>
        <w:t>法律法规另有规定</w:t>
      </w:r>
      <w:r>
        <w:rPr>
          <w:bCs/>
          <w:sz w:val="24"/>
        </w:rPr>
        <w:t>的，从其规定。</w:t>
      </w:r>
    </w:p>
    <w:p w:rsidR="00BF60A0" w:rsidRDefault="006E4EA0">
      <w:pPr>
        <w:adjustRightInd w:val="0"/>
        <w:snapToGrid w:val="0"/>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164" w:name="_Hlt88820702"/>
      <w:bookmarkEnd w:id="164"/>
      <w:r>
        <w:rPr>
          <w:bCs/>
          <w:sz w:val="24"/>
        </w:rPr>
        <w:t>如果采用</w:t>
      </w:r>
      <w:r>
        <w:rPr>
          <w:bCs/>
          <w:sz w:val="24"/>
        </w:rPr>
        <w:lastRenderedPageBreak/>
        <w:t>通讯方式进行表决，在公告基金份额持有人大会决议时，必须将公证书全文、公证机构、公证员姓名等一同公告。</w:t>
      </w:r>
    </w:p>
    <w:p w:rsidR="00BF60A0" w:rsidRDefault="006E4EA0">
      <w:pPr>
        <w:adjustRightInd w:val="0"/>
        <w:snapToGrid w:val="0"/>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165" w:name="_Toc1745"/>
      <w:bookmarkStart w:id="166" w:name="_Toc3963"/>
    </w:p>
    <w:p w:rsidR="00BF60A0" w:rsidRDefault="006E4EA0">
      <w:pPr>
        <w:adjustRightInd w:val="0"/>
        <w:snapToGrid w:val="0"/>
        <w:spacing w:line="360" w:lineRule="auto"/>
        <w:ind w:firstLineChars="200" w:firstLine="480"/>
        <w:rPr>
          <w:bCs/>
          <w:sz w:val="24"/>
        </w:rPr>
      </w:pPr>
      <w:r>
        <w:rPr>
          <w:rFonts w:hint="eastAsia"/>
          <w:bCs/>
          <w:sz w:val="24"/>
        </w:rPr>
        <w:t>九、实施侧袋机制期间基金份额持有人大会的特殊约定</w:t>
      </w:r>
    </w:p>
    <w:p w:rsidR="00BF60A0" w:rsidRDefault="006E4EA0">
      <w:pPr>
        <w:adjustRightInd w:val="0"/>
        <w:snapToGrid w:val="0"/>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BF60A0" w:rsidRDefault="006E4EA0">
      <w:pPr>
        <w:adjustRightInd w:val="0"/>
        <w:snapToGrid w:val="0"/>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BF60A0" w:rsidRDefault="006E4EA0">
      <w:pPr>
        <w:adjustRightInd w:val="0"/>
        <w:snapToGrid w:val="0"/>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rsidR="00BF60A0" w:rsidRDefault="006E4EA0">
      <w:pPr>
        <w:adjustRightInd w:val="0"/>
        <w:snapToGrid w:val="0"/>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BF60A0" w:rsidRDefault="006E4EA0">
      <w:pPr>
        <w:adjustRightInd w:val="0"/>
        <w:snapToGrid w:val="0"/>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rsidR="00BF60A0" w:rsidRDefault="006E4EA0">
      <w:pPr>
        <w:adjustRightInd w:val="0"/>
        <w:snapToGrid w:val="0"/>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BF60A0" w:rsidRDefault="006E4EA0">
      <w:pPr>
        <w:adjustRightInd w:val="0"/>
        <w:snapToGrid w:val="0"/>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BF60A0" w:rsidRDefault="006E4EA0">
      <w:pPr>
        <w:adjustRightInd w:val="0"/>
        <w:snapToGrid w:val="0"/>
        <w:spacing w:line="360" w:lineRule="auto"/>
        <w:ind w:firstLineChars="200" w:firstLine="480"/>
        <w:rPr>
          <w:bCs/>
          <w:sz w:val="24"/>
        </w:rPr>
      </w:pPr>
      <w:r>
        <w:rPr>
          <w:rFonts w:hint="eastAsia"/>
          <w:bCs/>
          <w:sz w:val="24"/>
        </w:rPr>
        <w:t>同一主侧袋账户内的每份基金份额具有平等的表决权。</w:t>
      </w:r>
    </w:p>
    <w:p w:rsidR="00BF60A0" w:rsidRDefault="006E4EA0">
      <w:pPr>
        <w:adjustRightInd w:val="0"/>
        <w:snapToGrid w:val="0"/>
        <w:spacing w:line="360" w:lineRule="auto"/>
        <w:ind w:firstLineChars="200" w:firstLine="480"/>
      </w:pPr>
      <w:r>
        <w:rPr>
          <w:rFonts w:hint="eastAsia"/>
          <w:bCs/>
          <w:sz w:val="24"/>
        </w:rPr>
        <w:lastRenderedPageBreak/>
        <w:t>十、法律法规或监管部门对基金份额持有人大会另有规定的，从其规定。</w:t>
      </w:r>
    </w:p>
    <w:p w:rsidR="00BF60A0" w:rsidRDefault="006E4EA0">
      <w:pPr>
        <w:pStyle w:val="1"/>
        <w:spacing w:before="0" w:after="0"/>
      </w:pPr>
      <w:r>
        <w:rPr>
          <w:b w:val="0"/>
          <w:bCs/>
        </w:rPr>
        <w:br w:type="page"/>
      </w:r>
      <w:bookmarkStart w:id="167" w:name="_Toc3080"/>
      <w:bookmarkStart w:id="168" w:name="_Toc141703889"/>
      <w:bookmarkStart w:id="169" w:name="_Toc123051455"/>
      <w:bookmarkStart w:id="170" w:name="_Toc21735"/>
      <w:bookmarkStart w:id="171" w:name="_Toc10398"/>
      <w:bookmarkStart w:id="172" w:name="_Toc139991739"/>
      <w:bookmarkStart w:id="173" w:name="_Toc31821"/>
      <w:bookmarkStart w:id="174" w:name="_Toc312933431"/>
      <w:bookmarkStart w:id="175" w:name="_Toc535765917"/>
      <w:bookmarkStart w:id="176" w:name="_Toc123102456"/>
      <w:bookmarkStart w:id="177" w:name="_Toc3572"/>
      <w:bookmarkStart w:id="178" w:name="_Toc98560355"/>
      <w:bookmarkStart w:id="179" w:name="_Toc123112237"/>
      <w:bookmarkStart w:id="180" w:name="_Toc16164"/>
      <w:bookmarkStart w:id="181" w:name="_Toc725"/>
      <w:bookmarkStart w:id="182" w:name="_Toc18206"/>
      <w:r>
        <w:rPr>
          <w:sz w:val="30"/>
        </w:rPr>
        <w:lastRenderedPageBreak/>
        <w:t>第九部分</w:t>
      </w:r>
      <w:r>
        <w:rPr>
          <w:sz w:val="30"/>
        </w:rPr>
        <w:t xml:space="preserve">  </w:t>
      </w:r>
      <w:r>
        <w:rPr>
          <w:sz w:val="30"/>
        </w:rPr>
        <w:t>基金管理人、基金托管人的更换条件和程序</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BF60A0" w:rsidRDefault="00BF60A0">
      <w:pPr>
        <w:autoSpaceDE w:val="0"/>
        <w:autoSpaceDN w:val="0"/>
        <w:adjustRightInd w:val="0"/>
        <w:snapToGrid w:val="0"/>
        <w:spacing w:line="360" w:lineRule="auto"/>
        <w:ind w:firstLineChars="200" w:firstLine="480"/>
        <w:textAlignment w:val="bottom"/>
        <w:rPr>
          <w:bCs/>
          <w:sz w:val="24"/>
        </w:rPr>
      </w:pPr>
      <w:bookmarkStart w:id="183" w:name="_Toc15118245"/>
      <w:bookmarkStart w:id="184" w:name="_Toc57530252"/>
      <w:bookmarkStart w:id="185" w:name="_Toc79392593"/>
    </w:p>
    <w:p w:rsidR="00BF60A0" w:rsidRDefault="006E4EA0">
      <w:pPr>
        <w:adjustRightInd w:val="0"/>
        <w:snapToGrid w:val="0"/>
        <w:spacing w:line="360" w:lineRule="auto"/>
        <w:ind w:firstLineChars="200" w:firstLine="480"/>
        <w:rPr>
          <w:bCs/>
          <w:sz w:val="24"/>
        </w:rPr>
      </w:pPr>
      <w:r>
        <w:rPr>
          <w:bCs/>
          <w:sz w:val="24"/>
        </w:rPr>
        <w:t>一、基金管理人和基金托管人职责终止的情形</w:t>
      </w:r>
      <w:bookmarkEnd w:id="183"/>
      <w:bookmarkEnd w:id="184"/>
      <w:bookmarkEnd w:id="185"/>
    </w:p>
    <w:p w:rsidR="00BF60A0" w:rsidRDefault="006E4EA0">
      <w:pPr>
        <w:adjustRightInd w:val="0"/>
        <w:snapToGrid w:val="0"/>
        <w:spacing w:line="360" w:lineRule="auto"/>
        <w:ind w:firstLineChars="200" w:firstLine="480"/>
        <w:rPr>
          <w:bCs/>
          <w:sz w:val="24"/>
        </w:rPr>
      </w:pPr>
      <w:bookmarkStart w:id="186" w:name="_Toc22005971"/>
      <w:r>
        <w:rPr>
          <w:bCs/>
          <w:sz w:val="24"/>
        </w:rPr>
        <w:t>（一）</w:t>
      </w:r>
      <w:r>
        <w:rPr>
          <w:bCs/>
          <w:sz w:val="24"/>
        </w:rPr>
        <w:tab/>
      </w:r>
      <w:r>
        <w:rPr>
          <w:bCs/>
          <w:sz w:val="24"/>
        </w:rPr>
        <w:t>基金管理人职责终止的情形</w:t>
      </w:r>
      <w:bookmarkEnd w:id="186"/>
    </w:p>
    <w:p w:rsidR="00BF60A0" w:rsidRDefault="006E4EA0">
      <w:pPr>
        <w:adjustRightInd w:val="0"/>
        <w:snapToGrid w:val="0"/>
        <w:spacing w:line="360" w:lineRule="auto"/>
        <w:ind w:firstLineChars="200" w:firstLine="480"/>
        <w:rPr>
          <w:bCs/>
          <w:sz w:val="24"/>
        </w:rPr>
      </w:pPr>
      <w:r>
        <w:rPr>
          <w:bCs/>
          <w:sz w:val="24"/>
        </w:rPr>
        <w:t>有下列情形之一的，基金管理人职责终止：</w:t>
      </w:r>
    </w:p>
    <w:p w:rsidR="00BF60A0" w:rsidRDefault="006E4EA0">
      <w:pPr>
        <w:adjustRightInd w:val="0"/>
        <w:snapToGrid w:val="0"/>
        <w:spacing w:line="360" w:lineRule="auto"/>
        <w:ind w:firstLineChars="200" w:firstLine="480"/>
        <w:rPr>
          <w:bCs/>
          <w:sz w:val="24"/>
        </w:rPr>
      </w:pPr>
      <w:r>
        <w:rPr>
          <w:bCs/>
          <w:sz w:val="24"/>
        </w:rPr>
        <w:t>1</w:t>
      </w:r>
      <w:r>
        <w:rPr>
          <w:bCs/>
          <w:sz w:val="24"/>
        </w:rPr>
        <w:t>、被依法取消基金管理资格；</w:t>
      </w:r>
    </w:p>
    <w:p w:rsidR="00BF60A0" w:rsidRDefault="006E4EA0">
      <w:pPr>
        <w:adjustRightInd w:val="0"/>
        <w:snapToGrid w:val="0"/>
        <w:spacing w:line="360" w:lineRule="auto"/>
        <w:ind w:firstLineChars="200" w:firstLine="480"/>
        <w:rPr>
          <w:bCs/>
          <w:sz w:val="24"/>
        </w:rPr>
      </w:pPr>
      <w:r>
        <w:rPr>
          <w:bCs/>
          <w:sz w:val="24"/>
        </w:rPr>
        <w:t>2</w:t>
      </w:r>
      <w:r>
        <w:rPr>
          <w:bCs/>
          <w:sz w:val="24"/>
        </w:rPr>
        <w:t>、被基金份额持有人大会解任；</w:t>
      </w:r>
    </w:p>
    <w:p w:rsidR="00BF60A0" w:rsidRDefault="006E4EA0">
      <w:pPr>
        <w:adjustRightInd w:val="0"/>
        <w:snapToGrid w:val="0"/>
        <w:spacing w:line="360" w:lineRule="auto"/>
        <w:ind w:firstLineChars="200" w:firstLine="480"/>
        <w:rPr>
          <w:bCs/>
          <w:sz w:val="24"/>
        </w:rPr>
      </w:pPr>
      <w:r>
        <w:rPr>
          <w:bCs/>
          <w:sz w:val="24"/>
        </w:rPr>
        <w:t>3</w:t>
      </w:r>
      <w:r>
        <w:rPr>
          <w:bCs/>
          <w:sz w:val="24"/>
        </w:rPr>
        <w:t>、依法解散、被依法撤销或被依法宣告破产；</w:t>
      </w:r>
    </w:p>
    <w:p w:rsidR="00BF60A0" w:rsidRDefault="006E4EA0">
      <w:pPr>
        <w:adjustRightInd w:val="0"/>
        <w:snapToGrid w:val="0"/>
        <w:spacing w:line="360" w:lineRule="auto"/>
        <w:ind w:firstLineChars="200" w:firstLine="480"/>
        <w:rPr>
          <w:bCs/>
          <w:sz w:val="24"/>
        </w:rPr>
      </w:pPr>
      <w:r>
        <w:rPr>
          <w:bCs/>
          <w:sz w:val="24"/>
        </w:rPr>
        <w:t>4</w:t>
      </w:r>
      <w:r>
        <w:rPr>
          <w:bCs/>
          <w:sz w:val="24"/>
        </w:rPr>
        <w:t>、法律法规</w:t>
      </w:r>
      <w:r>
        <w:rPr>
          <w:rFonts w:hint="eastAsia"/>
          <w:bCs/>
          <w:sz w:val="24"/>
        </w:rPr>
        <w:t>及中国证监会规定的</w:t>
      </w:r>
      <w:r>
        <w:rPr>
          <w:bCs/>
          <w:sz w:val="24"/>
        </w:rPr>
        <w:t>和基金合同</w:t>
      </w:r>
      <w:r>
        <w:rPr>
          <w:rFonts w:hint="eastAsia"/>
          <w:bCs/>
          <w:sz w:val="24"/>
        </w:rPr>
        <w:t>约</w:t>
      </w:r>
      <w:r>
        <w:rPr>
          <w:bCs/>
          <w:sz w:val="24"/>
        </w:rPr>
        <w:t>定的其他情形。</w:t>
      </w:r>
    </w:p>
    <w:p w:rsidR="00BF60A0" w:rsidRDefault="006E4EA0">
      <w:pPr>
        <w:adjustRightInd w:val="0"/>
        <w:snapToGrid w:val="0"/>
        <w:spacing w:line="360" w:lineRule="auto"/>
        <w:ind w:firstLineChars="200" w:firstLine="480"/>
        <w:rPr>
          <w:bCs/>
          <w:sz w:val="24"/>
        </w:rPr>
      </w:pPr>
      <w:bookmarkStart w:id="187" w:name="_Toc22005972"/>
      <w:r>
        <w:rPr>
          <w:bCs/>
          <w:sz w:val="24"/>
        </w:rPr>
        <w:t>（二）</w:t>
      </w:r>
      <w:r>
        <w:rPr>
          <w:bCs/>
          <w:sz w:val="24"/>
        </w:rPr>
        <w:tab/>
      </w:r>
      <w:r>
        <w:rPr>
          <w:bCs/>
          <w:sz w:val="24"/>
        </w:rPr>
        <w:t>基金托管人职责终止的情形</w:t>
      </w:r>
      <w:bookmarkEnd w:id="187"/>
    </w:p>
    <w:p w:rsidR="00BF60A0" w:rsidRDefault="006E4EA0">
      <w:pPr>
        <w:adjustRightInd w:val="0"/>
        <w:snapToGrid w:val="0"/>
        <w:spacing w:line="360" w:lineRule="auto"/>
        <w:ind w:firstLineChars="200" w:firstLine="480"/>
        <w:rPr>
          <w:bCs/>
          <w:sz w:val="24"/>
        </w:rPr>
      </w:pPr>
      <w:r>
        <w:rPr>
          <w:bCs/>
          <w:sz w:val="24"/>
        </w:rPr>
        <w:t>有下列情形之一的，基金托管人职责终止：</w:t>
      </w:r>
    </w:p>
    <w:p w:rsidR="00BF60A0" w:rsidRDefault="006E4EA0">
      <w:pPr>
        <w:adjustRightInd w:val="0"/>
        <w:snapToGrid w:val="0"/>
        <w:spacing w:line="360" w:lineRule="auto"/>
        <w:ind w:firstLineChars="200" w:firstLine="480"/>
        <w:rPr>
          <w:bCs/>
          <w:sz w:val="24"/>
        </w:rPr>
      </w:pPr>
      <w:r>
        <w:rPr>
          <w:bCs/>
          <w:sz w:val="24"/>
        </w:rPr>
        <w:t>1</w:t>
      </w:r>
      <w:r>
        <w:rPr>
          <w:bCs/>
          <w:sz w:val="24"/>
        </w:rPr>
        <w:t>、被依法取消基金托管资格；</w:t>
      </w:r>
    </w:p>
    <w:p w:rsidR="00BF60A0" w:rsidRDefault="006E4EA0">
      <w:pPr>
        <w:adjustRightInd w:val="0"/>
        <w:snapToGrid w:val="0"/>
        <w:spacing w:line="360" w:lineRule="auto"/>
        <w:ind w:firstLineChars="200" w:firstLine="480"/>
        <w:rPr>
          <w:bCs/>
          <w:sz w:val="24"/>
        </w:rPr>
      </w:pPr>
      <w:r>
        <w:rPr>
          <w:bCs/>
          <w:sz w:val="24"/>
        </w:rPr>
        <w:t>2</w:t>
      </w:r>
      <w:r>
        <w:rPr>
          <w:bCs/>
          <w:sz w:val="24"/>
        </w:rPr>
        <w:t>、被基金份额持有人大会解任；</w:t>
      </w:r>
    </w:p>
    <w:p w:rsidR="00BF60A0" w:rsidRDefault="006E4EA0">
      <w:pPr>
        <w:adjustRightInd w:val="0"/>
        <w:snapToGrid w:val="0"/>
        <w:spacing w:line="360" w:lineRule="auto"/>
        <w:ind w:firstLineChars="200" w:firstLine="480"/>
        <w:rPr>
          <w:bCs/>
          <w:sz w:val="24"/>
        </w:rPr>
      </w:pPr>
      <w:r>
        <w:rPr>
          <w:bCs/>
          <w:sz w:val="24"/>
        </w:rPr>
        <w:t>3</w:t>
      </w:r>
      <w:r>
        <w:rPr>
          <w:bCs/>
          <w:sz w:val="24"/>
        </w:rPr>
        <w:t>、依法解散、被依法撤销或被依法宣告破产；</w:t>
      </w:r>
    </w:p>
    <w:p w:rsidR="00BF60A0" w:rsidRDefault="006E4EA0">
      <w:pPr>
        <w:adjustRightInd w:val="0"/>
        <w:snapToGrid w:val="0"/>
        <w:spacing w:line="360" w:lineRule="auto"/>
        <w:ind w:firstLineChars="200" w:firstLine="480"/>
        <w:rPr>
          <w:bCs/>
          <w:sz w:val="24"/>
        </w:rPr>
      </w:pPr>
      <w:r>
        <w:rPr>
          <w:bCs/>
          <w:sz w:val="24"/>
        </w:rPr>
        <w:t>4</w:t>
      </w:r>
      <w:r>
        <w:rPr>
          <w:bCs/>
          <w:sz w:val="24"/>
        </w:rPr>
        <w:t>、法律法规</w:t>
      </w:r>
      <w:r>
        <w:rPr>
          <w:rFonts w:hint="eastAsia"/>
          <w:bCs/>
          <w:sz w:val="24"/>
        </w:rPr>
        <w:t>及中国证监会规定的</w:t>
      </w:r>
      <w:r>
        <w:rPr>
          <w:bCs/>
          <w:sz w:val="24"/>
        </w:rPr>
        <w:t>和基金合同</w:t>
      </w:r>
      <w:r>
        <w:rPr>
          <w:rFonts w:hint="eastAsia"/>
          <w:bCs/>
          <w:sz w:val="24"/>
        </w:rPr>
        <w:t>约</w:t>
      </w:r>
      <w:r>
        <w:rPr>
          <w:bCs/>
          <w:sz w:val="24"/>
        </w:rPr>
        <w:t>定的其他情形。</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bookmarkStart w:id="188" w:name="_Toc79392594"/>
      <w:bookmarkStart w:id="189" w:name="_Toc57530253"/>
      <w:bookmarkStart w:id="190" w:name="_Toc15118246"/>
      <w:r>
        <w:rPr>
          <w:bCs/>
          <w:sz w:val="24"/>
        </w:rPr>
        <w:t>二、基金管理人和基金托管人的更换程序</w:t>
      </w:r>
      <w:bookmarkEnd w:id="188"/>
      <w:bookmarkEnd w:id="189"/>
      <w:bookmarkEnd w:id="190"/>
    </w:p>
    <w:p w:rsidR="00BF60A0" w:rsidRDefault="006E4EA0">
      <w:pPr>
        <w:adjustRightInd w:val="0"/>
        <w:snapToGrid w:val="0"/>
        <w:spacing w:line="360" w:lineRule="auto"/>
        <w:ind w:firstLineChars="200" w:firstLine="480"/>
        <w:rPr>
          <w:bCs/>
          <w:sz w:val="24"/>
        </w:rPr>
      </w:pPr>
      <w:bookmarkStart w:id="191" w:name="_Toc22005974"/>
      <w:r>
        <w:rPr>
          <w:bCs/>
          <w:sz w:val="24"/>
        </w:rPr>
        <w:t>（一）</w:t>
      </w:r>
      <w:r>
        <w:rPr>
          <w:bCs/>
          <w:sz w:val="24"/>
        </w:rPr>
        <w:tab/>
      </w:r>
      <w:r>
        <w:rPr>
          <w:bCs/>
          <w:sz w:val="24"/>
        </w:rPr>
        <w:t>基金管理人的更换程序</w:t>
      </w:r>
      <w:bookmarkEnd w:id="191"/>
    </w:p>
    <w:p w:rsidR="00BF60A0" w:rsidRDefault="006E4EA0">
      <w:pPr>
        <w:adjustRightInd w:val="0"/>
        <w:snapToGrid w:val="0"/>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BF60A0" w:rsidRDefault="006E4EA0">
      <w:pPr>
        <w:adjustRightInd w:val="0"/>
        <w:snapToGrid w:val="0"/>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2/3</w:t>
      </w:r>
      <w:r>
        <w:rPr>
          <w:bCs/>
          <w:sz w:val="24"/>
        </w:rPr>
        <w:t>以上（含</w:t>
      </w:r>
      <w:r>
        <w:rPr>
          <w:rFonts w:hint="eastAsia"/>
          <w:bCs/>
          <w:sz w:val="24"/>
        </w:rPr>
        <w:t>2/3</w:t>
      </w:r>
      <w:r>
        <w:rPr>
          <w:bCs/>
          <w:sz w:val="24"/>
        </w:rPr>
        <w:t>）表决通过</w:t>
      </w:r>
      <w:r>
        <w:rPr>
          <w:rFonts w:hint="eastAsia"/>
          <w:bCs/>
          <w:sz w:val="24"/>
        </w:rPr>
        <w:t>，新任基金管理人应当符合法律法规及中国证监会规定的资格条件</w:t>
      </w:r>
      <w:r>
        <w:rPr>
          <w:bCs/>
          <w:sz w:val="24"/>
        </w:rPr>
        <w:t>；</w:t>
      </w:r>
    </w:p>
    <w:p w:rsidR="00BF60A0" w:rsidRDefault="006E4EA0">
      <w:pPr>
        <w:adjustRightInd w:val="0"/>
        <w:snapToGrid w:val="0"/>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BF60A0" w:rsidRDefault="006E4EA0">
      <w:pPr>
        <w:adjustRightInd w:val="0"/>
        <w:snapToGrid w:val="0"/>
        <w:spacing w:line="360" w:lineRule="auto"/>
        <w:ind w:firstLineChars="200" w:firstLine="480"/>
        <w:rPr>
          <w:bCs/>
          <w:sz w:val="24"/>
        </w:rPr>
      </w:pPr>
      <w:r>
        <w:rPr>
          <w:bCs/>
          <w:sz w:val="24"/>
        </w:rPr>
        <w:t>4</w:t>
      </w:r>
      <w:r>
        <w:rPr>
          <w:bCs/>
          <w:sz w:val="24"/>
        </w:rPr>
        <w:t>、</w:t>
      </w:r>
      <w:r>
        <w:rPr>
          <w:rFonts w:hint="eastAsia"/>
          <w:bCs/>
          <w:sz w:val="24"/>
        </w:rPr>
        <w:t>备案：基金份额持有人大会更换基金管理人的决议须报中国证监会备案</w:t>
      </w:r>
      <w:r>
        <w:rPr>
          <w:bCs/>
          <w:sz w:val="24"/>
        </w:rPr>
        <w:t>；</w:t>
      </w:r>
    </w:p>
    <w:p w:rsidR="00BF60A0" w:rsidRDefault="006E4EA0">
      <w:pPr>
        <w:adjustRightInd w:val="0"/>
        <w:snapToGrid w:val="0"/>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更换基金管理人的基金份额持有人大会决议生效后</w:t>
      </w:r>
      <w:r>
        <w:rPr>
          <w:rFonts w:hint="eastAsia"/>
          <w:bCs/>
          <w:sz w:val="24"/>
        </w:rPr>
        <w:t>2</w:t>
      </w:r>
      <w:r>
        <w:rPr>
          <w:rFonts w:hint="eastAsia"/>
          <w:bCs/>
          <w:sz w:val="24"/>
        </w:rPr>
        <w:t>日内</w:t>
      </w:r>
      <w:r>
        <w:rPr>
          <w:bCs/>
          <w:sz w:val="24"/>
        </w:rPr>
        <w:t>在</w:t>
      </w:r>
      <w:r>
        <w:rPr>
          <w:rFonts w:hint="eastAsia"/>
          <w:bCs/>
          <w:sz w:val="24"/>
        </w:rPr>
        <w:t>规定媒介</w:t>
      </w:r>
      <w:r>
        <w:rPr>
          <w:bCs/>
          <w:sz w:val="24"/>
        </w:rPr>
        <w:t>公告</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lastRenderedPageBreak/>
        <w:t>6</w:t>
      </w:r>
      <w:r>
        <w:rPr>
          <w:bCs/>
          <w:sz w:val="24"/>
        </w:rPr>
        <w:t>、交接：基金管理人职责终止的，基金管理人应妥善保管基金管理业务资料，及时办理基金管理业务的移交手续，临时基金管理人或新任基金管理人应及时接收</w:t>
      </w:r>
      <w:r>
        <w:rPr>
          <w:rFonts w:hint="eastAsia"/>
          <w:bCs/>
          <w:sz w:val="24"/>
        </w:rPr>
        <w:t>，并</w:t>
      </w:r>
      <w:r>
        <w:rPr>
          <w:bCs/>
          <w:sz w:val="24"/>
        </w:rPr>
        <w:t>与基金托管人核对基金资产总值</w:t>
      </w:r>
      <w:r>
        <w:rPr>
          <w:rFonts w:hint="eastAsia"/>
          <w:bCs/>
          <w:sz w:val="24"/>
        </w:rPr>
        <w:t>和净值</w:t>
      </w:r>
      <w:r>
        <w:rPr>
          <w:bCs/>
          <w:sz w:val="24"/>
        </w:rPr>
        <w:t>；</w:t>
      </w:r>
    </w:p>
    <w:p w:rsidR="00BF60A0" w:rsidRDefault="006E4EA0">
      <w:pPr>
        <w:adjustRightInd w:val="0"/>
        <w:snapToGrid w:val="0"/>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，审计费用在基金财产中列支</w:t>
      </w:r>
      <w:r>
        <w:rPr>
          <w:bCs/>
          <w:sz w:val="24"/>
        </w:rPr>
        <w:t>；</w:t>
      </w:r>
    </w:p>
    <w:p w:rsidR="00BF60A0" w:rsidRDefault="006E4EA0">
      <w:pPr>
        <w:adjustRightInd w:val="0"/>
        <w:snapToGrid w:val="0"/>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BF60A0" w:rsidRDefault="006E4EA0">
      <w:pPr>
        <w:adjustRightInd w:val="0"/>
        <w:snapToGrid w:val="0"/>
        <w:spacing w:line="360" w:lineRule="auto"/>
        <w:ind w:firstLineChars="200" w:firstLine="480"/>
        <w:rPr>
          <w:bCs/>
          <w:sz w:val="24"/>
        </w:rPr>
      </w:pPr>
      <w:bookmarkStart w:id="192" w:name="_Toc22005975"/>
      <w:r>
        <w:rPr>
          <w:bCs/>
          <w:sz w:val="24"/>
        </w:rPr>
        <w:t>（二）</w:t>
      </w:r>
      <w:r>
        <w:rPr>
          <w:bCs/>
          <w:sz w:val="24"/>
        </w:rPr>
        <w:tab/>
      </w:r>
      <w:r>
        <w:rPr>
          <w:bCs/>
          <w:sz w:val="24"/>
        </w:rPr>
        <w:t>基金托管人的更换程序</w:t>
      </w:r>
      <w:bookmarkEnd w:id="192"/>
    </w:p>
    <w:p w:rsidR="00BF60A0" w:rsidRDefault="006E4EA0">
      <w:pPr>
        <w:adjustRightInd w:val="0"/>
        <w:snapToGrid w:val="0"/>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）基金份额的基金持有人提名；</w:t>
      </w:r>
    </w:p>
    <w:p w:rsidR="00BF60A0" w:rsidRDefault="006E4EA0">
      <w:pPr>
        <w:adjustRightInd w:val="0"/>
        <w:snapToGrid w:val="0"/>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2/3</w:t>
      </w:r>
      <w:r>
        <w:rPr>
          <w:bCs/>
          <w:sz w:val="24"/>
        </w:rPr>
        <w:t>以上（含</w:t>
      </w:r>
      <w:r>
        <w:rPr>
          <w:rFonts w:hint="eastAsia"/>
          <w:bCs/>
          <w:sz w:val="24"/>
        </w:rPr>
        <w:t>2/3</w:t>
      </w:r>
      <w:r>
        <w:rPr>
          <w:bCs/>
          <w:sz w:val="24"/>
        </w:rPr>
        <w:t>）表决通过</w:t>
      </w:r>
      <w:r>
        <w:rPr>
          <w:rFonts w:hint="eastAsia"/>
          <w:bCs/>
          <w:sz w:val="24"/>
        </w:rPr>
        <w:t>，新任基金托管人应当符合法律法规及中国证监会规定的资格条件</w:t>
      </w:r>
      <w:r>
        <w:rPr>
          <w:bCs/>
          <w:sz w:val="24"/>
        </w:rPr>
        <w:t>；</w:t>
      </w:r>
    </w:p>
    <w:p w:rsidR="00BF60A0" w:rsidRDefault="006E4EA0">
      <w:pPr>
        <w:adjustRightInd w:val="0"/>
        <w:snapToGrid w:val="0"/>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BF60A0" w:rsidRDefault="006E4EA0">
      <w:pPr>
        <w:adjustRightInd w:val="0"/>
        <w:snapToGrid w:val="0"/>
        <w:spacing w:line="360" w:lineRule="auto"/>
        <w:ind w:firstLineChars="200" w:firstLine="480"/>
        <w:rPr>
          <w:bCs/>
          <w:sz w:val="24"/>
        </w:rPr>
      </w:pPr>
      <w:r>
        <w:rPr>
          <w:bCs/>
          <w:sz w:val="24"/>
        </w:rPr>
        <w:t>4</w:t>
      </w:r>
      <w:r>
        <w:rPr>
          <w:bCs/>
          <w:sz w:val="24"/>
        </w:rPr>
        <w:t>、</w:t>
      </w:r>
      <w:r>
        <w:rPr>
          <w:rFonts w:hint="eastAsia"/>
          <w:bCs/>
          <w:sz w:val="24"/>
        </w:rPr>
        <w:t>备案：基金份额持有人大会更换基金托管人的决议须报中国证监会备案</w:t>
      </w:r>
      <w:r>
        <w:rPr>
          <w:bCs/>
          <w:sz w:val="24"/>
        </w:rPr>
        <w:t>；</w:t>
      </w:r>
    </w:p>
    <w:p w:rsidR="00BF60A0" w:rsidRDefault="006E4EA0">
      <w:pPr>
        <w:adjustRightInd w:val="0"/>
        <w:snapToGrid w:val="0"/>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，并</w:t>
      </w:r>
      <w:r>
        <w:rPr>
          <w:bCs/>
          <w:sz w:val="24"/>
        </w:rPr>
        <w:t>与基金管理人核对基金资产总值</w:t>
      </w:r>
      <w:r>
        <w:rPr>
          <w:rFonts w:hint="eastAsia"/>
          <w:bCs/>
          <w:sz w:val="24"/>
        </w:rPr>
        <w:t>和净值</w:t>
      </w:r>
      <w:r>
        <w:rPr>
          <w:bCs/>
          <w:sz w:val="24"/>
        </w:rPr>
        <w:t>；</w:t>
      </w:r>
    </w:p>
    <w:p w:rsidR="00BF60A0" w:rsidRDefault="006E4EA0">
      <w:pPr>
        <w:adjustRightInd w:val="0"/>
        <w:snapToGrid w:val="0"/>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rsidR="00BF60A0" w:rsidRDefault="006E4EA0">
      <w:pPr>
        <w:adjustRightInd w:val="0"/>
        <w:snapToGrid w:val="0"/>
        <w:spacing w:line="360" w:lineRule="auto"/>
        <w:ind w:firstLineChars="200" w:firstLine="480"/>
        <w:rPr>
          <w:bCs/>
          <w:sz w:val="24"/>
        </w:rPr>
      </w:pPr>
      <w:bookmarkStart w:id="193" w:name="_Toc1357"/>
      <w:r>
        <w:rPr>
          <w:bCs/>
          <w:sz w:val="24"/>
        </w:rPr>
        <w:t>（三）基金管理人与基金托管人同时更换的条件和程序。</w:t>
      </w:r>
      <w:bookmarkEnd w:id="193"/>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BF60A0" w:rsidRDefault="006E4EA0">
      <w:pPr>
        <w:adjustRightInd w:val="0"/>
        <w:snapToGrid w:val="0"/>
        <w:spacing w:line="360" w:lineRule="auto"/>
        <w:ind w:firstLineChars="200" w:firstLine="480"/>
        <w:rPr>
          <w:bCs/>
          <w:sz w:val="24"/>
        </w:rPr>
      </w:pPr>
      <w:r>
        <w:rPr>
          <w:bCs/>
          <w:sz w:val="24"/>
        </w:rPr>
        <w:lastRenderedPageBreak/>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2</w:t>
      </w:r>
      <w:r>
        <w:rPr>
          <w:rFonts w:hint="eastAsia"/>
          <w:bCs/>
          <w:sz w:val="24"/>
        </w:rPr>
        <w:t>日内</w:t>
      </w:r>
      <w:r>
        <w:rPr>
          <w:bCs/>
          <w:sz w:val="24"/>
        </w:rPr>
        <w:t>在规定媒介上联合公告。</w:t>
      </w:r>
    </w:p>
    <w:p w:rsidR="00BF60A0" w:rsidRDefault="006E4EA0">
      <w:pPr>
        <w:pStyle w:val="1"/>
        <w:spacing w:before="0" w:after="0"/>
        <w:rPr>
          <w:sz w:val="30"/>
        </w:rPr>
      </w:pPr>
      <w:r>
        <w:rPr>
          <w:b w:val="0"/>
          <w:bCs/>
          <w:kern w:val="2"/>
        </w:rPr>
        <w:br w:type="page"/>
      </w:r>
      <w:bookmarkStart w:id="194" w:name="_Toc17198"/>
      <w:bookmarkStart w:id="195" w:name="_Toc17920"/>
      <w:bookmarkStart w:id="196" w:name="_Toc79392622"/>
      <w:bookmarkStart w:id="197" w:name="_Toc29408"/>
      <w:bookmarkStart w:id="198" w:name="_Toc32092"/>
      <w:bookmarkStart w:id="199" w:name="_Toc3329"/>
      <w:bookmarkStart w:id="200" w:name="_Toc5170"/>
      <w:bookmarkStart w:id="201" w:name="_Toc32584"/>
      <w:bookmarkStart w:id="202" w:name="_Toc21237"/>
      <w:bookmarkStart w:id="203" w:name="_Toc123102457"/>
      <w:bookmarkStart w:id="204" w:name="_Toc8791"/>
      <w:bookmarkStart w:id="205" w:name="_Toc123051456"/>
      <w:bookmarkStart w:id="206" w:name="_Toc139991740"/>
      <w:bookmarkStart w:id="207" w:name="_Toc123112238"/>
      <w:bookmarkStart w:id="208" w:name="_Toc312933432"/>
      <w:bookmarkStart w:id="209" w:name="_Toc739"/>
      <w:bookmarkStart w:id="210" w:name="_Toc98560356"/>
      <w:bookmarkStart w:id="211" w:name="_Toc48649708"/>
      <w:bookmarkStart w:id="212" w:name="_Toc141703890"/>
      <w:bookmarkStart w:id="213" w:name="_Toc535765918"/>
      <w:r>
        <w:rPr>
          <w:sz w:val="30"/>
        </w:rPr>
        <w:lastRenderedPageBreak/>
        <w:t>第十部分</w:t>
      </w:r>
      <w:r>
        <w:rPr>
          <w:sz w:val="30"/>
        </w:rPr>
        <w:t xml:space="preserve">  </w:t>
      </w:r>
      <w:r>
        <w:rPr>
          <w:sz w:val="30"/>
        </w:rPr>
        <w:t>基金的托管</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BF60A0" w:rsidRDefault="00BF60A0">
      <w:pPr>
        <w:autoSpaceDE w:val="0"/>
        <w:autoSpaceDN w:val="0"/>
        <w:adjustRightInd w:val="0"/>
        <w:snapToGrid w:val="0"/>
        <w:spacing w:line="360" w:lineRule="auto"/>
        <w:ind w:firstLineChars="200" w:firstLine="480"/>
        <w:textAlignment w:val="bottom"/>
        <w:rPr>
          <w:bCs/>
          <w:sz w:val="24"/>
        </w:rPr>
      </w:pPr>
    </w:p>
    <w:p w:rsidR="00BF60A0" w:rsidRDefault="006E4EA0">
      <w:pPr>
        <w:adjustRightInd w:val="0"/>
        <w:snapToGrid w:val="0"/>
        <w:spacing w:line="360" w:lineRule="auto"/>
        <w:ind w:firstLineChars="200" w:firstLine="480"/>
        <w:rPr>
          <w:bCs/>
          <w:sz w:val="24"/>
        </w:rPr>
      </w:pPr>
      <w:r>
        <w:rPr>
          <w:bCs/>
          <w:sz w:val="24"/>
        </w:rPr>
        <w:t>基金托管人和基金管理人按照《基金法》、基金合同及其他有关规定订立托管协议。</w:t>
      </w:r>
    </w:p>
    <w:p w:rsidR="00BF60A0" w:rsidRDefault="006E4EA0">
      <w:pPr>
        <w:autoSpaceDE w:val="0"/>
        <w:autoSpaceDN w:val="0"/>
        <w:adjustRightInd w:val="0"/>
        <w:snapToGrid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BF60A0" w:rsidRDefault="006E4EA0">
      <w:pPr>
        <w:pStyle w:val="1"/>
        <w:spacing w:before="0" w:after="0"/>
        <w:rPr>
          <w:sz w:val="30"/>
        </w:rPr>
      </w:pPr>
      <w:r>
        <w:rPr>
          <w:b w:val="0"/>
          <w:bCs/>
        </w:rPr>
        <w:br w:type="page"/>
      </w:r>
      <w:bookmarkStart w:id="214" w:name="_Toc79392624"/>
      <w:bookmarkStart w:id="215" w:name="_Toc535765919"/>
      <w:bookmarkStart w:id="216" w:name="_Toc139991741"/>
      <w:bookmarkStart w:id="217" w:name="_Toc312933433"/>
      <w:bookmarkStart w:id="218" w:name="_Toc123102458"/>
      <w:bookmarkStart w:id="219" w:name="_Toc123112239"/>
      <w:bookmarkStart w:id="220" w:name="_Toc123051457"/>
      <w:bookmarkStart w:id="221" w:name="_Toc98560357"/>
      <w:bookmarkStart w:id="222" w:name="_Toc48649710"/>
      <w:bookmarkStart w:id="223" w:name="_Toc141703891"/>
      <w:bookmarkStart w:id="224" w:name="_Toc3244"/>
      <w:bookmarkStart w:id="225" w:name="_Toc22674"/>
      <w:bookmarkStart w:id="226" w:name="_Toc26383"/>
      <w:bookmarkStart w:id="227" w:name="_Toc19520"/>
      <w:bookmarkStart w:id="228" w:name="_Toc2255"/>
      <w:bookmarkStart w:id="229" w:name="_Toc26084"/>
      <w:bookmarkStart w:id="230" w:name="_Toc26152"/>
      <w:bookmarkStart w:id="231" w:name="_Toc21886"/>
      <w:bookmarkStart w:id="232" w:name="_Toc16789"/>
      <w:bookmarkStart w:id="233" w:name="_Toc14725"/>
      <w:r>
        <w:rPr>
          <w:sz w:val="30"/>
        </w:rPr>
        <w:lastRenderedPageBreak/>
        <w:t>第十一部分</w:t>
      </w:r>
      <w:r>
        <w:rPr>
          <w:sz w:val="30"/>
        </w:rPr>
        <w:t xml:space="preserve">  </w:t>
      </w:r>
      <w:r>
        <w:rPr>
          <w:sz w:val="30"/>
        </w:rPr>
        <w:t>基金份额的登记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BF60A0" w:rsidRDefault="00BF60A0">
      <w:pPr>
        <w:autoSpaceDE w:val="0"/>
        <w:autoSpaceDN w:val="0"/>
        <w:adjustRightInd w:val="0"/>
        <w:snapToGrid w:val="0"/>
        <w:spacing w:line="360" w:lineRule="auto"/>
        <w:ind w:firstLineChars="200" w:firstLine="480"/>
        <w:textAlignment w:val="bottom"/>
        <w:rPr>
          <w:bCs/>
          <w:sz w:val="24"/>
        </w:rPr>
      </w:pPr>
    </w:p>
    <w:p w:rsidR="00BF60A0" w:rsidRDefault="006E4EA0">
      <w:pPr>
        <w:adjustRightInd w:val="0"/>
        <w:snapToGrid w:val="0"/>
        <w:spacing w:line="360" w:lineRule="auto"/>
        <w:ind w:firstLineChars="200" w:firstLine="480"/>
        <w:rPr>
          <w:bCs/>
          <w:sz w:val="24"/>
        </w:rPr>
      </w:pPr>
      <w:r>
        <w:rPr>
          <w:bCs/>
          <w:sz w:val="24"/>
        </w:rPr>
        <w:t>一、基金的份额登记业务</w:t>
      </w:r>
    </w:p>
    <w:p w:rsidR="00BF60A0" w:rsidRDefault="006E4EA0">
      <w:pPr>
        <w:adjustRightInd w:val="0"/>
        <w:snapToGrid w:val="0"/>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二、基金登记业务办理机构</w:t>
      </w:r>
    </w:p>
    <w:p w:rsidR="00BF60A0" w:rsidRDefault="006E4EA0">
      <w:pPr>
        <w:adjustRightInd w:val="0"/>
        <w:snapToGrid w:val="0"/>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三、基金登记机构的权利</w:t>
      </w:r>
      <w:bookmarkStart w:id="234" w:name="_Hlt88820748"/>
      <w:bookmarkEnd w:id="234"/>
    </w:p>
    <w:p w:rsidR="00BF60A0" w:rsidRDefault="006E4EA0">
      <w:pPr>
        <w:adjustRightInd w:val="0"/>
        <w:snapToGrid w:val="0"/>
        <w:spacing w:line="360" w:lineRule="auto"/>
        <w:ind w:firstLineChars="200" w:firstLine="480"/>
        <w:rPr>
          <w:bCs/>
          <w:sz w:val="24"/>
        </w:rPr>
      </w:pPr>
      <w:r>
        <w:rPr>
          <w:bCs/>
          <w:sz w:val="24"/>
        </w:rPr>
        <w:t>基金登记机构享有以下权利：</w:t>
      </w:r>
    </w:p>
    <w:p w:rsidR="00BF60A0" w:rsidRDefault="006E4EA0">
      <w:pPr>
        <w:adjustRightInd w:val="0"/>
        <w:snapToGrid w:val="0"/>
        <w:spacing w:line="360" w:lineRule="auto"/>
        <w:ind w:firstLineChars="200" w:firstLine="480"/>
        <w:rPr>
          <w:bCs/>
          <w:sz w:val="24"/>
        </w:rPr>
      </w:pPr>
      <w:r>
        <w:rPr>
          <w:bCs/>
          <w:sz w:val="24"/>
        </w:rPr>
        <w:t>1</w:t>
      </w:r>
      <w:r>
        <w:rPr>
          <w:bCs/>
          <w:sz w:val="24"/>
        </w:rPr>
        <w:t>、取得登记费；</w:t>
      </w:r>
    </w:p>
    <w:p w:rsidR="00BF60A0" w:rsidRDefault="006E4EA0">
      <w:pPr>
        <w:adjustRightInd w:val="0"/>
        <w:snapToGrid w:val="0"/>
        <w:spacing w:line="360" w:lineRule="auto"/>
        <w:ind w:firstLineChars="200" w:firstLine="480"/>
        <w:rPr>
          <w:bCs/>
          <w:sz w:val="24"/>
        </w:rPr>
      </w:pPr>
      <w:r>
        <w:rPr>
          <w:bCs/>
          <w:sz w:val="24"/>
        </w:rPr>
        <w:t>2</w:t>
      </w:r>
      <w:r>
        <w:rPr>
          <w:bCs/>
          <w:sz w:val="24"/>
        </w:rPr>
        <w:t>、建立和管理投资者基金账户；</w:t>
      </w:r>
    </w:p>
    <w:p w:rsidR="00BF60A0" w:rsidRDefault="006E4EA0">
      <w:pPr>
        <w:adjustRightInd w:val="0"/>
        <w:snapToGrid w:val="0"/>
        <w:spacing w:line="360" w:lineRule="auto"/>
        <w:ind w:firstLineChars="200" w:firstLine="480"/>
        <w:rPr>
          <w:bCs/>
          <w:sz w:val="24"/>
        </w:rPr>
      </w:pPr>
      <w:r>
        <w:rPr>
          <w:bCs/>
          <w:sz w:val="24"/>
        </w:rPr>
        <w:t>3</w:t>
      </w:r>
      <w:r>
        <w:rPr>
          <w:bCs/>
          <w:sz w:val="24"/>
        </w:rPr>
        <w:t>、保管基金份额持有人开户资料、交易资料、基金份额持有人名册等；</w:t>
      </w:r>
    </w:p>
    <w:p w:rsidR="00BF60A0" w:rsidRDefault="006E4EA0">
      <w:pPr>
        <w:adjustRightInd w:val="0"/>
        <w:snapToGrid w:val="0"/>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进行调整，并依照有关规定于开始实施前在规定媒介上公告；</w:t>
      </w:r>
    </w:p>
    <w:p w:rsidR="00BF60A0" w:rsidRDefault="006E4EA0">
      <w:pPr>
        <w:adjustRightInd w:val="0"/>
        <w:snapToGrid w:val="0"/>
        <w:spacing w:line="360" w:lineRule="auto"/>
        <w:ind w:firstLineChars="200" w:firstLine="480"/>
        <w:rPr>
          <w:bCs/>
          <w:sz w:val="24"/>
        </w:rPr>
      </w:pPr>
      <w:r>
        <w:rPr>
          <w:bCs/>
          <w:sz w:val="24"/>
        </w:rPr>
        <w:t>5</w:t>
      </w:r>
      <w:r>
        <w:rPr>
          <w:bCs/>
          <w:sz w:val="24"/>
        </w:rPr>
        <w:t>、法律法规</w:t>
      </w:r>
      <w:r>
        <w:rPr>
          <w:rFonts w:hint="eastAsia"/>
          <w:bCs/>
          <w:sz w:val="24"/>
        </w:rPr>
        <w:t>及中国证监会</w:t>
      </w:r>
      <w:r>
        <w:rPr>
          <w:rFonts w:hint="eastAsia"/>
          <w:sz w:val="24"/>
        </w:rPr>
        <w:t>规定的</w:t>
      </w:r>
      <w:r>
        <w:rPr>
          <w:bCs/>
          <w:sz w:val="24"/>
        </w:rPr>
        <w:t>规定的</w:t>
      </w:r>
      <w:r>
        <w:rPr>
          <w:rFonts w:hint="eastAsia"/>
          <w:bCs/>
          <w:sz w:val="24"/>
        </w:rPr>
        <w:t>和基金合同约定的</w:t>
      </w:r>
      <w:r>
        <w:rPr>
          <w:bCs/>
          <w:sz w:val="24"/>
        </w:rPr>
        <w:t>其他权利。</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四、基金登记机构的义务</w:t>
      </w:r>
    </w:p>
    <w:p w:rsidR="00BF60A0" w:rsidRDefault="006E4EA0">
      <w:pPr>
        <w:adjustRightInd w:val="0"/>
        <w:snapToGrid w:val="0"/>
        <w:spacing w:line="360" w:lineRule="auto"/>
        <w:ind w:firstLineChars="200" w:firstLine="480"/>
        <w:rPr>
          <w:bCs/>
          <w:sz w:val="24"/>
        </w:rPr>
      </w:pPr>
      <w:r>
        <w:rPr>
          <w:bCs/>
          <w:sz w:val="24"/>
        </w:rPr>
        <w:t>基金登记机构承担以下义务：</w:t>
      </w:r>
    </w:p>
    <w:p w:rsidR="00BF60A0" w:rsidRDefault="006E4EA0">
      <w:pPr>
        <w:adjustRightInd w:val="0"/>
        <w:snapToGrid w:val="0"/>
        <w:spacing w:line="360" w:lineRule="auto"/>
        <w:ind w:firstLineChars="200" w:firstLine="480"/>
        <w:rPr>
          <w:bCs/>
          <w:sz w:val="24"/>
        </w:rPr>
      </w:pPr>
      <w:r>
        <w:rPr>
          <w:bCs/>
          <w:sz w:val="24"/>
        </w:rPr>
        <w:t>1</w:t>
      </w:r>
      <w:r>
        <w:rPr>
          <w:bCs/>
          <w:sz w:val="24"/>
        </w:rPr>
        <w:t>、配备足够的专业人员办理本基金份额的登记业务；</w:t>
      </w:r>
    </w:p>
    <w:p w:rsidR="00BF60A0" w:rsidRDefault="006E4EA0">
      <w:pPr>
        <w:adjustRightInd w:val="0"/>
        <w:snapToGrid w:val="0"/>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BF60A0" w:rsidRDefault="006E4EA0">
      <w:pPr>
        <w:adjustRightInd w:val="0"/>
        <w:snapToGrid w:val="0"/>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rsidR="00BF60A0" w:rsidRDefault="006E4EA0">
      <w:pPr>
        <w:adjustRightInd w:val="0"/>
        <w:snapToGrid w:val="0"/>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、对基金份额持有人的基金账户信息负有保密义务，因违反该保密义务对投资者或基金带来的损失，须承担相应的赔偿责任，但司法强制检查情形及法律法规</w:t>
      </w:r>
      <w:r>
        <w:rPr>
          <w:rFonts w:hint="eastAsia"/>
          <w:bCs/>
          <w:sz w:val="24"/>
        </w:rPr>
        <w:t>及中国证监会</w:t>
      </w:r>
      <w:r>
        <w:rPr>
          <w:bCs/>
          <w:sz w:val="24"/>
        </w:rPr>
        <w:t>规定的</w:t>
      </w:r>
      <w:r>
        <w:rPr>
          <w:rFonts w:hint="eastAsia"/>
          <w:bCs/>
          <w:sz w:val="24"/>
        </w:rPr>
        <w:t>和基金合同约定</w:t>
      </w:r>
      <w:r>
        <w:rPr>
          <w:rFonts w:hint="eastAsia"/>
          <w:sz w:val="24"/>
        </w:rPr>
        <w:t>的</w:t>
      </w:r>
      <w:r>
        <w:rPr>
          <w:bCs/>
          <w:sz w:val="24"/>
        </w:rPr>
        <w:t>其他情形除外；</w:t>
      </w:r>
    </w:p>
    <w:p w:rsidR="00BF60A0" w:rsidRDefault="006E4EA0">
      <w:pPr>
        <w:adjustRightInd w:val="0"/>
        <w:snapToGrid w:val="0"/>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BF60A0" w:rsidRDefault="006E4EA0">
      <w:pPr>
        <w:adjustRightInd w:val="0"/>
        <w:snapToGrid w:val="0"/>
        <w:spacing w:line="360" w:lineRule="auto"/>
        <w:ind w:firstLineChars="200" w:firstLine="480"/>
        <w:rPr>
          <w:bCs/>
          <w:sz w:val="24"/>
        </w:rPr>
      </w:pPr>
      <w:r>
        <w:rPr>
          <w:bCs/>
          <w:sz w:val="24"/>
        </w:rPr>
        <w:t>6</w:t>
      </w:r>
      <w:r>
        <w:rPr>
          <w:bCs/>
          <w:sz w:val="24"/>
        </w:rPr>
        <w:t>、接受基金管理人的监督；</w:t>
      </w:r>
    </w:p>
    <w:p w:rsidR="00BF60A0" w:rsidRDefault="006E4EA0">
      <w:pPr>
        <w:adjustRightInd w:val="0"/>
        <w:snapToGrid w:val="0"/>
        <w:spacing w:line="360" w:lineRule="auto"/>
        <w:ind w:firstLineChars="200" w:firstLine="480"/>
        <w:rPr>
          <w:bCs/>
          <w:sz w:val="24"/>
        </w:rPr>
      </w:pPr>
      <w:r>
        <w:rPr>
          <w:bCs/>
          <w:sz w:val="24"/>
        </w:rPr>
        <w:t>7</w:t>
      </w:r>
      <w:r>
        <w:rPr>
          <w:bCs/>
          <w:sz w:val="24"/>
        </w:rPr>
        <w:t>、</w:t>
      </w:r>
      <w:r>
        <w:rPr>
          <w:rFonts w:hint="eastAsia"/>
          <w:bCs/>
          <w:sz w:val="24"/>
        </w:rPr>
        <w:t>如因登记机构的原因而造成基金管理人或者基金份额持有人损失的，依法承担相应的赔偿责任；</w:t>
      </w:r>
    </w:p>
    <w:p w:rsidR="00BF60A0" w:rsidRDefault="006E4EA0">
      <w:pPr>
        <w:ind w:firstLineChars="250" w:firstLine="600"/>
      </w:pPr>
      <w:r>
        <w:rPr>
          <w:rFonts w:hint="eastAsia"/>
          <w:bCs/>
          <w:sz w:val="24"/>
        </w:rPr>
        <w:t>8</w:t>
      </w:r>
      <w:r>
        <w:rPr>
          <w:rFonts w:hint="eastAsia"/>
          <w:bCs/>
          <w:sz w:val="24"/>
        </w:rPr>
        <w:t>、</w:t>
      </w:r>
      <w:r>
        <w:rPr>
          <w:bCs/>
          <w:sz w:val="24"/>
        </w:rPr>
        <w:t>法律法规</w:t>
      </w:r>
      <w:r>
        <w:rPr>
          <w:rFonts w:hint="eastAsia"/>
          <w:bCs/>
          <w:sz w:val="24"/>
        </w:rPr>
        <w:t>及中国证监会</w:t>
      </w:r>
      <w:r>
        <w:rPr>
          <w:bCs/>
          <w:sz w:val="24"/>
        </w:rPr>
        <w:t>规定的</w:t>
      </w:r>
      <w:r>
        <w:rPr>
          <w:rFonts w:hint="eastAsia"/>
          <w:bCs/>
          <w:sz w:val="24"/>
        </w:rPr>
        <w:t>和《基金合同》约定的</w:t>
      </w:r>
      <w:r>
        <w:rPr>
          <w:bCs/>
          <w:sz w:val="24"/>
        </w:rPr>
        <w:t>其他义务。</w:t>
      </w:r>
      <w:bookmarkStart w:id="235" w:name="_Toc3872"/>
      <w:bookmarkStart w:id="236" w:name="_Toc5477"/>
      <w:bookmarkStart w:id="237" w:name="_Toc801"/>
      <w:bookmarkStart w:id="238" w:name="_Toc2981"/>
      <w:bookmarkStart w:id="239" w:name="_Toc11351"/>
      <w:bookmarkStart w:id="240" w:name="_Toc578"/>
      <w:bookmarkStart w:id="241" w:name="_Toc16437"/>
      <w:bookmarkStart w:id="242" w:name="_Toc22538"/>
      <w:bookmarkStart w:id="243" w:name="_Toc11395"/>
      <w:bookmarkStart w:id="244" w:name="_Toc21917"/>
      <w:r>
        <w:br w:type="page"/>
      </w:r>
    </w:p>
    <w:p w:rsidR="00BF60A0" w:rsidRDefault="006E4EA0">
      <w:pPr>
        <w:pStyle w:val="1"/>
        <w:spacing w:before="0" w:after="0"/>
        <w:rPr>
          <w:sz w:val="30"/>
        </w:rPr>
      </w:pPr>
      <w:bookmarkStart w:id="245" w:name="_Toc313008167"/>
      <w:bookmarkStart w:id="246" w:name="_Toc535765920"/>
      <w:r>
        <w:rPr>
          <w:sz w:val="30"/>
        </w:rPr>
        <w:lastRenderedPageBreak/>
        <w:t>第十</w:t>
      </w:r>
      <w:r>
        <w:rPr>
          <w:rFonts w:hint="eastAsia"/>
          <w:sz w:val="30"/>
        </w:rPr>
        <w:t>二</w:t>
      </w:r>
      <w:r>
        <w:rPr>
          <w:sz w:val="30"/>
        </w:rPr>
        <w:t>部分</w:t>
      </w:r>
      <w:r>
        <w:rPr>
          <w:sz w:val="30"/>
        </w:rPr>
        <w:t xml:space="preserve">  </w:t>
      </w:r>
      <w:r>
        <w:rPr>
          <w:rFonts w:hint="eastAsia"/>
          <w:sz w:val="30"/>
        </w:rPr>
        <w:t>基金</w:t>
      </w:r>
      <w:r>
        <w:rPr>
          <w:sz w:val="30"/>
        </w:rPr>
        <w:t>的</w:t>
      </w:r>
      <w:bookmarkEnd w:id="245"/>
      <w:r>
        <w:rPr>
          <w:sz w:val="30"/>
        </w:rPr>
        <w:t>投资</w:t>
      </w:r>
      <w:bookmarkEnd w:id="235"/>
      <w:bookmarkEnd w:id="236"/>
      <w:bookmarkEnd w:id="237"/>
      <w:bookmarkEnd w:id="238"/>
      <w:bookmarkEnd w:id="239"/>
      <w:bookmarkEnd w:id="240"/>
      <w:bookmarkEnd w:id="241"/>
      <w:bookmarkEnd w:id="242"/>
      <w:bookmarkEnd w:id="243"/>
      <w:bookmarkEnd w:id="244"/>
      <w:bookmarkEnd w:id="246"/>
    </w:p>
    <w:p w:rsidR="00BF60A0" w:rsidRDefault="00BF60A0">
      <w:pPr>
        <w:adjustRightInd w:val="0"/>
        <w:snapToGrid w:val="0"/>
        <w:spacing w:line="360" w:lineRule="auto"/>
        <w:ind w:firstLineChars="200" w:firstLine="480"/>
        <w:rPr>
          <w:rFonts w:ascii="宋体" w:hAnsi="宋体"/>
          <w:bCs/>
          <w:sz w:val="24"/>
        </w:rPr>
      </w:pPr>
    </w:p>
    <w:p w:rsidR="00BF60A0" w:rsidRDefault="006E4EA0">
      <w:pPr>
        <w:adjustRightInd w:val="0"/>
        <w:snapToGrid w:val="0"/>
        <w:spacing w:line="360" w:lineRule="auto"/>
        <w:ind w:firstLineChars="200" w:firstLine="480"/>
        <w:rPr>
          <w:rFonts w:ascii="宋体" w:hAnsi="宋体"/>
          <w:bCs/>
          <w:sz w:val="24"/>
        </w:rPr>
      </w:pPr>
      <w:r>
        <w:rPr>
          <w:rFonts w:ascii="宋体" w:hAnsi="宋体" w:hint="eastAsia"/>
          <w:sz w:val="24"/>
        </w:rPr>
        <w:t>一、</w:t>
      </w:r>
      <w:r>
        <w:rPr>
          <w:rFonts w:ascii="宋体" w:hAnsi="宋体" w:hint="eastAsia"/>
          <w:bCs/>
          <w:sz w:val="24"/>
        </w:rPr>
        <w:t>投资目标</w:t>
      </w:r>
    </w:p>
    <w:p w:rsidR="00BF60A0" w:rsidRDefault="006E4EA0">
      <w:pPr>
        <w:adjustRightInd w:val="0"/>
        <w:snapToGrid w:val="0"/>
        <w:spacing w:line="360" w:lineRule="auto"/>
        <w:ind w:firstLineChars="200" w:firstLine="480"/>
        <w:rPr>
          <w:rFonts w:ascii="宋体" w:hAnsi="宋体"/>
          <w:bCs/>
          <w:sz w:val="24"/>
        </w:rPr>
      </w:pPr>
      <w:r>
        <w:rPr>
          <w:rFonts w:ascii="宋体" w:hAnsi="宋体" w:hint="eastAsia"/>
          <w:bCs/>
          <w:sz w:val="24"/>
        </w:rPr>
        <w:t>在合理控制风险并保持基金资产良好流动性的前提下，追求超越业绩比较基准的投资回报，控制波动率，力争实现基金资产的长期稳健增值。</w:t>
      </w:r>
    </w:p>
    <w:p w:rsidR="00BF60A0" w:rsidRDefault="00BF60A0">
      <w:pPr>
        <w:adjustRightInd w:val="0"/>
        <w:snapToGrid w:val="0"/>
        <w:spacing w:line="360" w:lineRule="auto"/>
        <w:ind w:firstLineChars="200" w:firstLine="480"/>
        <w:rPr>
          <w:rFonts w:ascii="宋体" w:hAnsi="宋体"/>
          <w:sz w:val="24"/>
        </w:rPr>
      </w:pPr>
    </w:p>
    <w:p w:rsidR="00BF60A0" w:rsidRDefault="006E4EA0">
      <w:pPr>
        <w:adjustRightInd w:val="0"/>
        <w:snapToGrid w:val="0"/>
        <w:spacing w:line="360" w:lineRule="auto"/>
        <w:ind w:firstLineChars="200" w:firstLine="480"/>
        <w:rPr>
          <w:rFonts w:ascii="宋体" w:hAnsi="宋体"/>
          <w:bCs/>
          <w:sz w:val="24"/>
        </w:rPr>
      </w:pPr>
      <w:r>
        <w:rPr>
          <w:rFonts w:ascii="宋体" w:hAnsi="宋体" w:hint="eastAsia"/>
          <w:sz w:val="24"/>
        </w:rPr>
        <w:t>二、</w:t>
      </w:r>
      <w:r>
        <w:rPr>
          <w:rFonts w:ascii="宋体" w:hAnsi="宋体" w:hint="eastAsia"/>
          <w:bCs/>
          <w:sz w:val="24"/>
        </w:rPr>
        <w:t>投资范围</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以及法律法规或中国证监会允许基金投资的其他金融工具（但须符合中国证监会相关规定）。</w:t>
      </w:r>
    </w:p>
    <w:p w:rsidR="00BF60A0" w:rsidRDefault="006E4EA0">
      <w:pPr>
        <w:adjustRightInd w:val="0"/>
        <w:snapToGrid w:val="0"/>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rsidR="00BF60A0" w:rsidRDefault="006E4EA0">
      <w:pPr>
        <w:adjustRightInd w:val="0"/>
        <w:snapToGrid w:val="0"/>
        <w:spacing w:line="360" w:lineRule="auto"/>
        <w:ind w:firstLineChars="200" w:firstLine="480"/>
        <w:rPr>
          <w:bCs/>
          <w:sz w:val="24"/>
        </w:rPr>
      </w:pPr>
      <w:r>
        <w:rPr>
          <w:rFonts w:hint="eastAsia"/>
          <w:bCs/>
          <w:sz w:val="24"/>
        </w:rPr>
        <w:t>本基金的投资组合比例为：本基金投资于债券资产的比例不低于基金资产的</w:t>
      </w:r>
      <w:r>
        <w:rPr>
          <w:bCs/>
          <w:sz w:val="24"/>
        </w:rPr>
        <w:t>80%</w:t>
      </w:r>
      <w:r>
        <w:rPr>
          <w:rFonts w:hint="eastAsia"/>
          <w:bCs/>
          <w:sz w:val="24"/>
        </w:rPr>
        <w:t>；投资于股票资产（含存托凭证）、可转换债券、可交换公司债券的比例合计不高于基金资产净值的</w:t>
      </w:r>
      <w:r>
        <w:rPr>
          <w:bCs/>
          <w:sz w:val="24"/>
        </w:rPr>
        <w:t>20%</w:t>
      </w:r>
      <w:r>
        <w:rPr>
          <w:rFonts w:hint="eastAsia"/>
          <w:bCs/>
          <w:sz w:val="24"/>
        </w:rPr>
        <w:t>（其中投资于港股通标的股票的比例占股票资产的</w:t>
      </w:r>
      <w:r>
        <w:rPr>
          <w:bCs/>
          <w:sz w:val="24"/>
        </w:rPr>
        <w:t>0%-50%</w:t>
      </w:r>
      <w:r>
        <w:rPr>
          <w:rFonts w:hint="eastAsia"/>
          <w:bCs/>
          <w:sz w:val="24"/>
        </w:rPr>
        <w:t>）；本基金持有的现金或者到期日在一年以内的政府债券的比例合计不低于基金资产净值的</w:t>
      </w:r>
      <w:r>
        <w:rPr>
          <w:rFonts w:hint="eastAsia"/>
          <w:bCs/>
          <w:sz w:val="24"/>
        </w:rPr>
        <w:t>5%</w:t>
      </w:r>
      <w:r>
        <w:rPr>
          <w:rFonts w:hint="eastAsia"/>
          <w:bCs/>
          <w:sz w:val="24"/>
        </w:rPr>
        <w:t>，其中</w:t>
      </w:r>
      <w:r>
        <w:rPr>
          <w:bCs/>
          <w:sz w:val="24"/>
        </w:rPr>
        <w:t>现金不包括</w:t>
      </w:r>
      <w:r>
        <w:rPr>
          <w:rFonts w:hint="eastAsia"/>
          <w:bCs/>
          <w:sz w:val="24"/>
        </w:rPr>
        <w:t>结算备付金、存出保证金、应收申购款等；如果法律法规或中国证监会变更投资品种的投资比例限制，基金管理人在履行适当程序后，可以调整上述投资品种的投资比例。</w:t>
      </w:r>
    </w:p>
    <w:p w:rsidR="00BF60A0" w:rsidRDefault="00BF60A0">
      <w:pPr>
        <w:adjustRightInd w:val="0"/>
        <w:snapToGrid w:val="0"/>
        <w:spacing w:line="360" w:lineRule="auto"/>
        <w:ind w:firstLineChars="200" w:firstLine="480"/>
        <w:rPr>
          <w:rFonts w:ascii="宋体" w:hAnsi="宋体"/>
          <w:sz w:val="24"/>
        </w:rPr>
      </w:pPr>
    </w:p>
    <w:p w:rsidR="00BF60A0" w:rsidRDefault="006E4EA0">
      <w:pPr>
        <w:adjustRightInd w:val="0"/>
        <w:snapToGrid w:val="0"/>
        <w:spacing w:line="360" w:lineRule="auto"/>
        <w:ind w:firstLineChars="200" w:firstLine="480"/>
        <w:rPr>
          <w:rFonts w:ascii="宋体" w:hAnsi="宋体"/>
          <w:bCs/>
          <w:sz w:val="24"/>
        </w:rPr>
      </w:pPr>
      <w:r>
        <w:rPr>
          <w:rFonts w:ascii="宋体" w:hAnsi="宋体" w:hint="eastAsia"/>
          <w:sz w:val="24"/>
        </w:rPr>
        <w:t>三、</w:t>
      </w:r>
      <w:r>
        <w:rPr>
          <w:rFonts w:ascii="宋体" w:hAnsi="宋体" w:hint="eastAsia"/>
          <w:bCs/>
          <w:sz w:val="24"/>
        </w:rPr>
        <w:t>投资策略</w:t>
      </w:r>
    </w:p>
    <w:p w:rsidR="00BF60A0" w:rsidRDefault="006E4EA0">
      <w:pPr>
        <w:adjustRightInd w:val="0"/>
        <w:snapToGrid w:val="0"/>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w:t>
      </w:r>
      <w:r>
        <w:rPr>
          <w:rFonts w:hint="eastAsia"/>
          <w:bCs/>
          <w:sz w:val="24"/>
        </w:rPr>
        <w:lastRenderedPageBreak/>
        <w:t>基础上，自下而上精选个股和个券；在保持总体风险水平相对稳定的基础上，力争获取投资组合的较高回报。</w:t>
      </w:r>
    </w:p>
    <w:p w:rsidR="00BF60A0" w:rsidRDefault="006E4EA0">
      <w:pPr>
        <w:adjustRightInd w:val="0"/>
        <w:snapToGrid w:val="0"/>
        <w:spacing w:line="360" w:lineRule="auto"/>
        <w:ind w:firstLineChars="200" w:firstLine="480"/>
        <w:rPr>
          <w:rFonts w:ascii="宋体" w:hAnsi="宋体"/>
          <w:bCs/>
          <w:sz w:val="24"/>
        </w:rPr>
      </w:pPr>
      <w:r>
        <w:rPr>
          <w:bCs/>
          <w:sz w:val="24"/>
        </w:rPr>
        <w:t>1</w:t>
      </w:r>
      <w:r>
        <w:rPr>
          <w:rFonts w:hAnsi="宋体" w:hint="eastAsia"/>
          <w:bCs/>
          <w:sz w:val="24"/>
        </w:rPr>
        <w:t>、</w:t>
      </w:r>
      <w:r>
        <w:rPr>
          <w:rFonts w:ascii="宋体" w:hAnsi="宋体" w:hint="eastAsia"/>
          <w:bCs/>
          <w:sz w:val="24"/>
        </w:rPr>
        <w:t>资产配置策略</w:t>
      </w:r>
    </w:p>
    <w:p w:rsidR="00BF60A0" w:rsidRDefault="006E4EA0">
      <w:pPr>
        <w:adjustRightInd w:val="0"/>
        <w:snapToGrid w:val="0"/>
        <w:spacing w:line="360" w:lineRule="auto"/>
        <w:ind w:firstLineChars="200" w:firstLine="480"/>
        <w:rPr>
          <w:rFonts w:ascii="宋体" w:hAnsi="宋体"/>
          <w:bCs/>
          <w:sz w:val="24"/>
        </w:rPr>
      </w:pPr>
      <w:r>
        <w:rPr>
          <w:rFonts w:ascii="宋体" w:hAnsi="宋体" w:hint="eastAsia"/>
          <w:bCs/>
          <w:sz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rsidR="00BF60A0" w:rsidRDefault="006E4EA0">
      <w:pPr>
        <w:adjustRightInd w:val="0"/>
        <w:snapToGrid w:val="0"/>
        <w:spacing w:line="360" w:lineRule="auto"/>
        <w:ind w:firstLineChars="200" w:firstLine="480"/>
        <w:rPr>
          <w:bCs/>
          <w:sz w:val="24"/>
        </w:rPr>
      </w:pPr>
      <w:r>
        <w:rPr>
          <w:bCs/>
          <w:sz w:val="24"/>
        </w:rPr>
        <w:t>2</w:t>
      </w:r>
      <w:r>
        <w:rPr>
          <w:rFonts w:hAnsi="宋体"/>
          <w:bCs/>
          <w:sz w:val="24"/>
        </w:rPr>
        <w:t>、</w:t>
      </w:r>
      <w:r>
        <w:rPr>
          <w:rFonts w:hAnsi="宋体" w:hint="eastAsia"/>
          <w:bCs/>
          <w:sz w:val="24"/>
        </w:rPr>
        <w:t>债券投资</w:t>
      </w:r>
      <w:r>
        <w:rPr>
          <w:rFonts w:hAnsi="宋体"/>
          <w:bCs/>
          <w:sz w:val="24"/>
        </w:rPr>
        <w:t>策略</w:t>
      </w:r>
    </w:p>
    <w:p w:rsidR="00BF60A0" w:rsidRDefault="006E4EA0">
      <w:pPr>
        <w:adjustRightInd w:val="0"/>
        <w:snapToGrid w:val="0"/>
        <w:spacing w:line="360" w:lineRule="auto"/>
        <w:ind w:firstLineChars="200" w:firstLine="480"/>
        <w:rPr>
          <w:rFonts w:hAnsi="宋体"/>
          <w:bCs/>
          <w:sz w:val="24"/>
        </w:rPr>
      </w:pPr>
      <w:r>
        <w:rPr>
          <w:rFonts w:ascii="宋体" w:hAnsi="宋体" w:hint="eastAsia"/>
          <w:bCs/>
          <w:sz w:val="24"/>
        </w:rPr>
        <w:t>本基金的债券投资采取主动的投资管理方式，获得与风险相匹配的投资收益，以实现在一定程度上规避股票市场的系统性风险和保证基金资产的流动性。</w:t>
      </w:r>
    </w:p>
    <w:p w:rsidR="00BF60A0" w:rsidRDefault="006E4EA0">
      <w:pPr>
        <w:adjustRightInd w:val="0"/>
        <w:snapToGrid w:val="0"/>
        <w:spacing w:line="360" w:lineRule="auto"/>
        <w:ind w:firstLineChars="200" w:firstLine="480"/>
        <w:rPr>
          <w:rFonts w:ascii="宋体" w:hAnsi="宋体"/>
          <w:sz w:val="24"/>
        </w:rPr>
      </w:pPr>
      <w:r>
        <w:rPr>
          <w:rFonts w:hAnsi="宋体"/>
          <w:bCs/>
          <w:sz w:val="24"/>
        </w:rPr>
        <w:t>本基金</w:t>
      </w:r>
      <w:r>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BF60A0" w:rsidRDefault="006E4EA0">
      <w:pPr>
        <w:adjustRightInd w:val="0"/>
        <w:snapToGrid w:val="0"/>
        <w:spacing w:line="360" w:lineRule="auto"/>
        <w:ind w:firstLineChars="200" w:firstLine="480"/>
        <w:rPr>
          <w:rFonts w:ascii="宋体" w:hAnsi="宋体"/>
          <w:sz w:val="24"/>
        </w:rPr>
      </w:pPr>
      <w:r>
        <w:rPr>
          <w:rFonts w:hAnsi="宋体"/>
          <w:sz w:val="24"/>
        </w:rPr>
        <w:t>（</w:t>
      </w:r>
      <w:r>
        <w:rPr>
          <w:sz w:val="24"/>
        </w:rPr>
        <w:t>1</w:t>
      </w:r>
      <w:r>
        <w:rPr>
          <w:rFonts w:hAnsi="宋体"/>
          <w:sz w:val="24"/>
        </w:rPr>
        <w:t>）</w:t>
      </w:r>
      <w:r>
        <w:rPr>
          <w:rFonts w:ascii="宋体" w:hAnsi="宋体" w:hint="eastAsia"/>
          <w:sz w:val="24"/>
        </w:rPr>
        <w:t>久期管理策略</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本基金通过灵活的久期管理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基金管理人通过以下方面的分析来确定债券组合的目标久期：</w:t>
      </w:r>
    </w:p>
    <w:p w:rsidR="00BF60A0" w:rsidRDefault="006E4EA0">
      <w:pPr>
        <w:adjustRightInd w:val="0"/>
        <w:snapToGrid w:val="0"/>
        <w:spacing w:line="360" w:lineRule="auto"/>
        <w:ind w:firstLineChars="200" w:firstLine="480"/>
        <w:rPr>
          <w:rFonts w:ascii="宋体" w:hAnsi="宋体"/>
          <w:sz w:val="24"/>
        </w:rPr>
      </w:pPr>
      <w:r>
        <w:rPr>
          <w:sz w:val="24"/>
        </w:rPr>
        <w:t>1</w:t>
      </w:r>
      <w:r>
        <w:rPr>
          <w:rFonts w:hAnsi="宋体"/>
          <w:sz w:val="24"/>
        </w:rPr>
        <w:t>）</w:t>
      </w:r>
      <w:r>
        <w:rPr>
          <w:rFonts w:ascii="宋体" w:hAnsi="宋体"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BF60A0" w:rsidRDefault="006E4EA0">
      <w:pPr>
        <w:adjustRightInd w:val="0"/>
        <w:snapToGrid w:val="0"/>
        <w:spacing w:line="360" w:lineRule="auto"/>
        <w:ind w:firstLineChars="200" w:firstLine="480"/>
        <w:rPr>
          <w:rFonts w:ascii="宋体" w:hAnsi="宋体"/>
          <w:sz w:val="24"/>
        </w:rPr>
      </w:pPr>
      <w:r>
        <w:rPr>
          <w:sz w:val="24"/>
        </w:rPr>
        <w:t>2</w:t>
      </w:r>
      <w:r>
        <w:rPr>
          <w:rFonts w:hAnsi="宋体"/>
          <w:sz w:val="24"/>
        </w:rPr>
        <w:t>）</w:t>
      </w:r>
      <w:r>
        <w:rPr>
          <w:rFonts w:ascii="宋体" w:hAnsi="宋体" w:hint="eastAsia"/>
          <w:sz w:val="24"/>
        </w:rPr>
        <w:t>利率变动趋势分析。在宏观经济环境分析的基础上，密切关注月度CPI、PPI等物价指数，货币信贷、汇率等金融运行数据，预测未来利率的变动趋势。</w:t>
      </w:r>
    </w:p>
    <w:p w:rsidR="00BF60A0" w:rsidRDefault="006E4EA0">
      <w:pPr>
        <w:adjustRightInd w:val="0"/>
        <w:snapToGrid w:val="0"/>
        <w:spacing w:line="360" w:lineRule="auto"/>
        <w:ind w:firstLineChars="200" w:firstLine="480"/>
        <w:rPr>
          <w:rFonts w:ascii="宋体" w:hAnsi="宋体"/>
          <w:sz w:val="24"/>
        </w:rPr>
      </w:pPr>
      <w:r>
        <w:rPr>
          <w:sz w:val="24"/>
        </w:rPr>
        <w:t>3</w:t>
      </w:r>
      <w:r>
        <w:rPr>
          <w:rFonts w:hAnsi="宋体"/>
          <w:sz w:val="24"/>
        </w:rPr>
        <w:t>）</w:t>
      </w:r>
      <w:r>
        <w:rPr>
          <w:rFonts w:ascii="宋体" w:hAnsi="宋体"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w:t>
      </w:r>
      <w:r>
        <w:rPr>
          <w:rFonts w:ascii="宋体" w:hAnsi="宋体" w:hint="eastAsia"/>
          <w:sz w:val="24"/>
        </w:rPr>
        <w:lastRenderedPageBreak/>
        <w:t>价格上涨的收益。在利率持平阶段，采用骑乘策略与持有策略，以期获得稳定的当前回报。</w:t>
      </w:r>
    </w:p>
    <w:p w:rsidR="00BF60A0" w:rsidRDefault="006E4EA0">
      <w:pPr>
        <w:adjustRightInd w:val="0"/>
        <w:snapToGrid w:val="0"/>
        <w:spacing w:line="360" w:lineRule="auto"/>
        <w:ind w:firstLineChars="200" w:firstLine="480"/>
        <w:rPr>
          <w:rFonts w:ascii="宋体" w:hAnsi="宋体"/>
          <w:sz w:val="24"/>
        </w:rPr>
      </w:pPr>
      <w:r>
        <w:rPr>
          <w:sz w:val="24"/>
        </w:rPr>
        <w:t>4</w:t>
      </w:r>
      <w:r>
        <w:rPr>
          <w:rFonts w:hAnsi="宋体"/>
          <w:sz w:val="24"/>
        </w:rPr>
        <w:t>）</w:t>
      </w:r>
      <w:r>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rsidR="00BF60A0" w:rsidRDefault="006E4EA0">
      <w:pPr>
        <w:adjustRightInd w:val="0"/>
        <w:snapToGrid w:val="0"/>
        <w:spacing w:line="360" w:lineRule="auto"/>
        <w:ind w:firstLineChars="200" w:firstLine="480"/>
        <w:rPr>
          <w:rFonts w:ascii="宋体" w:hAnsi="宋体"/>
          <w:sz w:val="24"/>
        </w:rPr>
      </w:pPr>
      <w:r>
        <w:rPr>
          <w:rFonts w:hAnsi="宋体"/>
          <w:sz w:val="24"/>
        </w:rPr>
        <w:t>（</w:t>
      </w:r>
      <w:r>
        <w:rPr>
          <w:sz w:val="24"/>
        </w:rPr>
        <w:t>2</w:t>
      </w:r>
      <w:r>
        <w:rPr>
          <w:rFonts w:hAnsi="宋体"/>
          <w:sz w:val="24"/>
        </w:rPr>
        <w:t>）</w:t>
      </w:r>
      <w:r>
        <w:rPr>
          <w:rFonts w:ascii="宋体" w:hAnsi="宋体" w:hint="eastAsia"/>
          <w:sz w:val="24"/>
        </w:rPr>
        <w:t>期限结构配置策略</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BF60A0" w:rsidRDefault="006E4EA0">
      <w:pPr>
        <w:adjustRightInd w:val="0"/>
        <w:snapToGrid w:val="0"/>
        <w:spacing w:line="360" w:lineRule="auto"/>
        <w:ind w:firstLineChars="200" w:firstLine="480"/>
        <w:rPr>
          <w:rFonts w:ascii="宋体" w:hAnsi="宋体"/>
          <w:sz w:val="24"/>
        </w:rPr>
      </w:pPr>
      <w:r>
        <w:rPr>
          <w:rFonts w:hAnsi="宋体"/>
          <w:sz w:val="24"/>
        </w:rPr>
        <w:t>（</w:t>
      </w:r>
      <w:r>
        <w:rPr>
          <w:sz w:val="24"/>
        </w:rPr>
        <w:t>3</w:t>
      </w:r>
      <w:r>
        <w:rPr>
          <w:rFonts w:hAnsi="宋体"/>
          <w:sz w:val="24"/>
        </w:rPr>
        <w:t>）</w:t>
      </w:r>
      <w:r>
        <w:rPr>
          <w:rFonts w:ascii="宋体" w:hAnsi="宋体" w:hint="eastAsia"/>
          <w:sz w:val="24"/>
        </w:rPr>
        <w:t>类属配置策略</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BF60A0" w:rsidRDefault="006E4EA0">
      <w:pPr>
        <w:adjustRightInd w:val="0"/>
        <w:snapToGrid w:val="0"/>
        <w:spacing w:line="360" w:lineRule="auto"/>
        <w:ind w:firstLineChars="200" w:firstLine="480"/>
        <w:rPr>
          <w:rFonts w:ascii="宋体" w:hAnsi="宋体"/>
          <w:sz w:val="24"/>
        </w:rPr>
      </w:pPr>
      <w:r>
        <w:rPr>
          <w:rFonts w:hAnsi="宋体"/>
          <w:sz w:val="24"/>
        </w:rPr>
        <w:t>（</w:t>
      </w:r>
      <w:r>
        <w:rPr>
          <w:sz w:val="24"/>
        </w:rPr>
        <w:t>4</w:t>
      </w:r>
      <w:r>
        <w:rPr>
          <w:rFonts w:hAnsi="宋体"/>
          <w:sz w:val="24"/>
        </w:rPr>
        <w:t>）</w:t>
      </w:r>
      <w:r>
        <w:rPr>
          <w:rFonts w:ascii="宋体" w:hAnsi="宋体" w:hint="eastAsia"/>
          <w:sz w:val="24"/>
        </w:rPr>
        <w:t>骑乘策略</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BF60A0" w:rsidRDefault="006E4EA0">
      <w:pPr>
        <w:adjustRightInd w:val="0"/>
        <w:snapToGrid w:val="0"/>
        <w:spacing w:line="360" w:lineRule="auto"/>
        <w:ind w:firstLineChars="200" w:firstLine="480"/>
        <w:rPr>
          <w:rFonts w:ascii="宋体" w:hAnsi="宋体"/>
          <w:sz w:val="24"/>
        </w:rPr>
      </w:pPr>
      <w:r>
        <w:rPr>
          <w:rFonts w:hAnsi="宋体"/>
          <w:sz w:val="24"/>
        </w:rPr>
        <w:t>（</w:t>
      </w:r>
      <w:r>
        <w:rPr>
          <w:sz w:val="24"/>
        </w:rPr>
        <w:t>5</w:t>
      </w:r>
      <w:r>
        <w:rPr>
          <w:rFonts w:hAnsi="宋体"/>
          <w:sz w:val="24"/>
        </w:rPr>
        <w:t>）</w:t>
      </w:r>
      <w:r>
        <w:rPr>
          <w:rFonts w:ascii="宋体" w:hAnsi="宋体" w:hint="eastAsia"/>
          <w:sz w:val="24"/>
        </w:rPr>
        <w:t>杠杆放大策略</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rsidR="00BF60A0" w:rsidRDefault="006E4EA0">
      <w:pPr>
        <w:adjustRightInd w:val="0"/>
        <w:snapToGrid w:val="0"/>
        <w:spacing w:line="360" w:lineRule="auto"/>
        <w:ind w:firstLineChars="200" w:firstLine="480"/>
        <w:rPr>
          <w:rFonts w:ascii="宋体" w:hAnsi="宋体"/>
          <w:sz w:val="24"/>
        </w:rPr>
      </w:pPr>
      <w:r>
        <w:rPr>
          <w:rFonts w:hAnsi="宋体"/>
          <w:sz w:val="24"/>
        </w:rPr>
        <w:t>（</w:t>
      </w:r>
      <w:r>
        <w:rPr>
          <w:sz w:val="24"/>
        </w:rPr>
        <w:t>6</w:t>
      </w:r>
      <w:r>
        <w:rPr>
          <w:rFonts w:hAnsi="宋体"/>
          <w:sz w:val="24"/>
        </w:rPr>
        <w:t>）</w:t>
      </w:r>
      <w:r>
        <w:rPr>
          <w:rFonts w:ascii="宋体" w:hAnsi="宋体" w:hint="eastAsia"/>
          <w:sz w:val="24"/>
        </w:rPr>
        <w:t>信用债券（含资产支持证券，下同）投资策略</w:t>
      </w:r>
    </w:p>
    <w:p w:rsidR="00BF60A0" w:rsidRDefault="006E4EA0">
      <w:pPr>
        <w:adjustRightInd w:val="0"/>
        <w:snapToGrid w:val="0"/>
        <w:spacing w:line="360" w:lineRule="auto"/>
        <w:ind w:firstLineChars="200" w:firstLine="480"/>
        <w:rPr>
          <w:sz w:val="24"/>
        </w:rPr>
      </w:pPr>
      <w:r>
        <w:rPr>
          <w:rFonts w:hint="eastAsia"/>
          <w:sz w:val="24"/>
        </w:rPr>
        <w:t>本基金通过交银施罗德的信用债券信用评级指标体系，对信用债券进行信用评级，并在信用评级的基础上，建立本基金的信用债券池。基金经理从信用债券池中精选债券构建信用债券投资组合。</w:t>
      </w:r>
    </w:p>
    <w:p w:rsidR="00BF60A0" w:rsidRDefault="006E4EA0">
      <w:pPr>
        <w:adjustRightInd w:val="0"/>
        <w:snapToGrid w:val="0"/>
        <w:spacing w:line="360" w:lineRule="auto"/>
        <w:ind w:firstLineChars="200" w:firstLine="480"/>
        <w:rPr>
          <w:sz w:val="24"/>
        </w:rPr>
      </w:pPr>
      <w:r>
        <w:rPr>
          <w:rFonts w:hint="eastAsia"/>
          <w:sz w:val="24"/>
        </w:rPr>
        <w:t>本基金主动投资的信用债为信用评级在</w:t>
      </w:r>
      <w:r>
        <w:rPr>
          <w:sz w:val="24"/>
        </w:rPr>
        <w:t>AA+</w:t>
      </w:r>
      <w:r>
        <w:rPr>
          <w:rFonts w:hint="eastAsia"/>
          <w:sz w:val="24"/>
        </w:rPr>
        <w:t>级（含）以上的信用债，对信用评级的认定参照基金管理人选定的评级机构出具的信用评级，其中，信用债的信用评级依照评级机构出具的债项信用评级，若无债项信用评级的或债项信用评级为</w:t>
      </w:r>
      <w:r>
        <w:rPr>
          <w:sz w:val="24"/>
        </w:rPr>
        <w:t>A-1</w:t>
      </w:r>
      <w:r>
        <w:rPr>
          <w:rFonts w:hint="eastAsia"/>
          <w:sz w:val="24"/>
        </w:rPr>
        <w:t>的，依照其主体信用评级。本基金投资于评级</w:t>
      </w:r>
      <w:r>
        <w:rPr>
          <w:sz w:val="24"/>
        </w:rPr>
        <w:t>AA+</w:t>
      </w:r>
      <w:r>
        <w:rPr>
          <w:rFonts w:hint="eastAsia"/>
          <w:sz w:val="24"/>
        </w:rPr>
        <w:t>的信用债比例不高于信用债资产的</w:t>
      </w:r>
      <w:r>
        <w:rPr>
          <w:sz w:val="24"/>
        </w:rPr>
        <w:t>50%</w:t>
      </w:r>
      <w:r>
        <w:rPr>
          <w:rFonts w:hint="eastAsia"/>
          <w:sz w:val="24"/>
        </w:rPr>
        <w:t>，投资于评级</w:t>
      </w:r>
      <w:r>
        <w:rPr>
          <w:sz w:val="24"/>
        </w:rPr>
        <w:t>AAA</w:t>
      </w:r>
      <w:r>
        <w:rPr>
          <w:rFonts w:hint="eastAsia"/>
          <w:sz w:val="24"/>
        </w:rPr>
        <w:t>的信用债比例不低于信用债资产的</w:t>
      </w:r>
      <w:r>
        <w:rPr>
          <w:sz w:val="24"/>
        </w:rPr>
        <w:t>50%</w:t>
      </w:r>
      <w:r>
        <w:rPr>
          <w:rFonts w:hint="eastAsia"/>
          <w:sz w:val="24"/>
        </w:rPr>
        <w:t>。因信用</w:t>
      </w:r>
      <w:r>
        <w:rPr>
          <w:rFonts w:hint="eastAsia"/>
          <w:sz w:val="24"/>
        </w:rPr>
        <w:lastRenderedPageBreak/>
        <w:t>评级下降、证券市场波动、基金规模变动等基金管理人之外的因素致使基金投资比例不符合上述规定的，基金管理人应当在评级报告发布之日或不符合上述规定之日起</w:t>
      </w:r>
      <w:r>
        <w:rPr>
          <w:sz w:val="24"/>
        </w:rPr>
        <w:t>3</w:t>
      </w:r>
      <w:r>
        <w:rPr>
          <w:rFonts w:hint="eastAsia"/>
          <w:sz w:val="24"/>
        </w:rPr>
        <w:t>个月内调整至符合比例。</w:t>
      </w:r>
    </w:p>
    <w:p w:rsidR="00BF60A0" w:rsidRDefault="006E4EA0">
      <w:pPr>
        <w:adjustRightInd w:val="0"/>
        <w:snapToGrid w:val="0"/>
        <w:spacing w:line="360" w:lineRule="auto"/>
        <w:ind w:firstLineChars="200" w:firstLine="480"/>
        <w:rPr>
          <w:sz w:val="24"/>
        </w:rPr>
      </w:pPr>
      <w:r>
        <w:rPr>
          <w:rFonts w:hint="eastAsia"/>
          <w:sz w:val="24"/>
        </w:rPr>
        <w:t>（</w:t>
      </w:r>
      <w:r>
        <w:rPr>
          <w:sz w:val="24"/>
        </w:rPr>
        <w:t>7</w:t>
      </w:r>
      <w:r>
        <w:rPr>
          <w:rFonts w:hint="eastAsia"/>
          <w:sz w:val="24"/>
        </w:rPr>
        <w:t>）可转换债券与可交换公司债券投资策略</w:t>
      </w:r>
    </w:p>
    <w:p w:rsidR="00BF60A0" w:rsidRDefault="006E4EA0">
      <w:pPr>
        <w:adjustRightInd w:val="0"/>
        <w:snapToGrid w:val="0"/>
        <w:spacing w:line="360" w:lineRule="auto"/>
        <w:ind w:firstLineChars="200" w:firstLine="480"/>
        <w:rPr>
          <w:sz w:val="24"/>
        </w:rPr>
      </w:pPr>
      <w:r>
        <w:rPr>
          <w:rFonts w:hint="eastAsia"/>
          <w:sz w:val="24"/>
        </w:rPr>
        <w:t>本基金投资股票资产（含存托凭证）、可转换债券、可交换公司债券的比例合计不超过基金资产净值的</w:t>
      </w:r>
      <w:r>
        <w:rPr>
          <w:rFonts w:hint="eastAsia"/>
          <w:sz w:val="24"/>
        </w:rPr>
        <w:t>20%</w:t>
      </w:r>
      <w:r>
        <w:rPr>
          <w:rFonts w:hint="eastAsia"/>
          <w:sz w:val="24"/>
        </w:rPr>
        <w:t>，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rsidR="00BF60A0" w:rsidRDefault="006E4EA0">
      <w:pPr>
        <w:adjustRightInd w:val="0"/>
        <w:snapToGrid w:val="0"/>
        <w:spacing w:line="360" w:lineRule="auto"/>
        <w:ind w:firstLineChars="200" w:firstLine="480"/>
        <w:rPr>
          <w:sz w:val="24"/>
        </w:rPr>
      </w:pPr>
      <w:r>
        <w:rPr>
          <w:rFonts w:hint="eastAsia"/>
          <w:sz w:val="24"/>
        </w:rPr>
        <w:t>1</w:t>
      </w:r>
      <w:r>
        <w:rPr>
          <w:rFonts w:hint="eastAsia"/>
          <w:sz w:val="24"/>
        </w:rPr>
        <w:t>）行业配置策略</w:t>
      </w:r>
    </w:p>
    <w:p w:rsidR="00BF60A0" w:rsidRDefault="006E4EA0">
      <w:pPr>
        <w:adjustRightInd w:val="0"/>
        <w:snapToGrid w:val="0"/>
        <w:spacing w:line="360" w:lineRule="auto"/>
        <w:ind w:firstLineChars="200" w:firstLine="480"/>
        <w:rPr>
          <w:sz w:val="24"/>
        </w:rPr>
      </w:pPr>
      <w:r>
        <w:rPr>
          <w:rFonts w:hint="eastAsia"/>
          <w:sz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与可交换公司债券进行投资。</w:t>
      </w:r>
    </w:p>
    <w:p w:rsidR="00BF60A0" w:rsidRDefault="006E4EA0">
      <w:pPr>
        <w:adjustRightInd w:val="0"/>
        <w:snapToGrid w:val="0"/>
        <w:spacing w:line="360" w:lineRule="auto"/>
        <w:ind w:firstLineChars="200" w:firstLine="480"/>
        <w:rPr>
          <w:sz w:val="24"/>
        </w:rPr>
      </w:pPr>
      <w:r>
        <w:rPr>
          <w:rFonts w:hint="eastAsia"/>
          <w:sz w:val="24"/>
        </w:rPr>
        <w:t>2</w:t>
      </w:r>
      <w:r>
        <w:rPr>
          <w:rFonts w:hint="eastAsia"/>
          <w:sz w:val="24"/>
        </w:rPr>
        <w:t>）个券精选策略</w:t>
      </w:r>
    </w:p>
    <w:p w:rsidR="00BF60A0" w:rsidRDefault="006E4EA0">
      <w:pPr>
        <w:adjustRightInd w:val="0"/>
        <w:snapToGrid w:val="0"/>
        <w:spacing w:line="360" w:lineRule="auto"/>
        <w:ind w:firstLineChars="200" w:firstLine="480"/>
        <w:rPr>
          <w:sz w:val="24"/>
        </w:rPr>
      </w:pPr>
      <w:r>
        <w:rPr>
          <w:rFonts w:hint="eastAsia"/>
          <w:sz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券的筛选。</w:t>
      </w:r>
    </w:p>
    <w:p w:rsidR="00BF60A0" w:rsidRDefault="006E4EA0">
      <w:pPr>
        <w:adjustRightInd w:val="0"/>
        <w:snapToGrid w:val="0"/>
        <w:spacing w:line="360" w:lineRule="auto"/>
        <w:ind w:firstLineChars="200" w:firstLine="480"/>
        <w:rPr>
          <w:sz w:val="24"/>
        </w:rPr>
      </w:pPr>
      <w:r>
        <w:rPr>
          <w:sz w:val="24"/>
        </w:rPr>
        <w:t>3</w:t>
      </w:r>
      <w:r>
        <w:rPr>
          <w:sz w:val="24"/>
        </w:rPr>
        <w:t>、</w:t>
      </w:r>
      <w:r>
        <w:rPr>
          <w:rFonts w:hint="eastAsia"/>
          <w:sz w:val="24"/>
        </w:rPr>
        <w:t>股票</w:t>
      </w:r>
      <w:r>
        <w:rPr>
          <w:sz w:val="24"/>
        </w:rPr>
        <w:t>投资策略</w:t>
      </w:r>
    </w:p>
    <w:p w:rsidR="00BF60A0" w:rsidRDefault="006E4EA0">
      <w:pPr>
        <w:adjustRightInd w:val="0"/>
        <w:snapToGrid w:val="0"/>
        <w:spacing w:line="360" w:lineRule="auto"/>
        <w:ind w:firstLineChars="200" w:firstLine="480"/>
        <w:rPr>
          <w:sz w:val="24"/>
        </w:rPr>
      </w:pPr>
      <w:r>
        <w:rPr>
          <w:rFonts w:hint="eastAsia"/>
          <w:sz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rsidR="00BF60A0" w:rsidRDefault="006E4EA0">
      <w:pPr>
        <w:adjustRightInd w:val="0"/>
        <w:snapToGrid w:val="0"/>
        <w:spacing w:line="360" w:lineRule="auto"/>
        <w:ind w:firstLineChars="200" w:firstLine="480"/>
        <w:rPr>
          <w:rFonts w:hAnsi="宋体"/>
          <w:sz w:val="24"/>
          <w:szCs w:val="18"/>
        </w:rPr>
      </w:pPr>
      <w:r>
        <w:rPr>
          <w:rFonts w:hint="eastAsia"/>
          <w:sz w:val="24"/>
        </w:rPr>
        <w:t>本基金可通过内地与香港股票市场交易互联互通机制投资于香港股</w:t>
      </w:r>
      <w:r>
        <w:rPr>
          <w:rFonts w:hAnsi="宋体" w:hint="eastAsia"/>
          <w:sz w:val="24"/>
          <w:szCs w:val="18"/>
        </w:rPr>
        <w:t>票市场。本基金优先将基本面健康、业绩向上弹性较大、具有估值优势的港股纳入本基金的</w:t>
      </w:r>
      <w:r>
        <w:rPr>
          <w:rFonts w:hAnsi="宋体" w:hint="eastAsia"/>
          <w:sz w:val="24"/>
          <w:szCs w:val="18"/>
        </w:rPr>
        <w:lastRenderedPageBreak/>
        <w:t>股票投资组合。</w:t>
      </w:r>
    </w:p>
    <w:p w:rsidR="00BF60A0" w:rsidRDefault="006E4EA0">
      <w:pPr>
        <w:adjustRightInd w:val="0"/>
        <w:snapToGrid w:val="0"/>
        <w:spacing w:line="360" w:lineRule="auto"/>
        <w:ind w:firstLineChars="200" w:firstLine="480"/>
        <w:rPr>
          <w:rFonts w:hAnsi="宋体"/>
          <w:sz w:val="24"/>
          <w:szCs w:val="18"/>
        </w:rPr>
      </w:pPr>
      <w:r>
        <w:rPr>
          <w:rFonts w:hAnsi="宋体" w:hint="eastAsia"/>
          <w:sz w:val="24"/>
          <w:szCs w:val="18"/>
        </w:rPr>
        <w:t>本基金可根据投资策略需要或不同配置地市场环境的变化，选择将部分基金资产投资于港股或选择不将基金资产投资于港股，基金资产并非必然投资港股。</w:t>
      </w:r>
    </w:p>
    <w:p w:rsidR="00BF60A0" w:rsidRDefault="006E4EA0">
      <w:pPr>
        <w:adjustRightInd w:val="0"/>
        <w:snapToGrid w:val="0"/>
        <w:spacing w:line="360" w:lineRule="auto"/>
        <w:ind w:firstLineChars="200" w:firstLine="480"/>
        <w:rPr>
          <w:rFonts w:hAnsi="宋体"/>
          <w:sz w:val="24"/>
          <w:szCs w:val="18"/>
        </w:rPr>
      </w:pPr>
      <w:r>
        <w:rPr>
          <w:rFonts w:hAnsi="宋体" w:hint="eastAsia"/>
          <w:sz w:val="24"/>
          <w:szCs w:val="18"/>
        </w:rPr>
        <w:t>本基金投资存托凭证的策略依照境内上市交易的股票投资策略执行。</w:t>
      </w:r>
    </w:p>
    <w:p w:rsidR="00BF60A0" w:rsidRDefault="00BF60A0">
      <w:pPr>
        <w:adjustRightInd w:val="0"/>
        <w:snapToGrid w:val="0"/>
        <w:spacing w:line="360" w:lineRule="auto"/>
        <w:ind w:firstLineChars="200" w:firstLine="480"/>
        <w:rPr>
          <w:rFonts w:ascii="宋体" w:hAnsi="宋体"/>
          <w:bCs/>
          <w:sz w:val="24"/>
        </w:rPr>
      </w:pP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四、投资限制</w:t>
      </w:r>
    </w:p>
    <w:p w:rsidR="00BF60A0" w:rsidRDefault="006E4EA0">
      <w:pPr>
        <w:adjustRightInd w:val="0"/>
        <w:snapToGrid w:val="0"/>
        <w:spacing w:line="360" w:lineRule="auto"/>
        <w:ind w:firstLineChars="200" w:firstLine="480"/>
        <w:rPr>
          <w:rFonts w:ascii="宋体" w:hAnsi="宋体"/>
          <w:sz w:val="24"/>
        </w:rPr>
      </w:pPr>
      <w:r>
        <w:rPr>
          <w:rFonts w:ascii="宋体" w:hAnsi="宋体"/>
          <w:sz w:val="24"/>
        </w:rPr>
        <w:t>1、组合限制</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基金的投资组合应遵循以下限制：</w:t>
      </w:r>
    </w:p>
    <w:p w:rsidR="00BF60A0" w:rsidRDefault="006E4EA0">
      <w:pPr>
        <w:adjustRightInd w:val="0"/>
        <w:snapToGrid w:val="0"/>
        <w:spacing w:line="360" w:lineRule="auto"/>
        <w:ind w:firstLineChars="200" w:firstLine="480"/>
        <w:rPr>
          <w:sz w:val="24"/>
        </w:rPr>
      </w:pPr>
      <w:r>
        <w:rPr>
          <w:rFonts w:hint="eastAsia"/>
          <w:sz w:val="24"/>
        </w:rPr>
        <w:t>（</w:t>
      </w:r>
      <w:r>
        <w:rPr>
          <w:sz w:val="24"/>
        </w:rPr>
        <w:t>1</w:t>
      </w:r>
      <w:r>
        <w:rPr>
          <w:sz w:val="24"/>
        </w:rPr>
        <w:t>）</w:t>
      </w:r>
      <w:r>
        <w:rPr>
          <w:rFonts w:hint="eastAsia"/>
          <w:sz w:val="24"/>
        </w:rPr>
        <w:t>本基金投资于债券资产的比例不低于基金资产的</w:t>
      </w:r>
      <w:r>
        <w:rPr>
          <w:sz w:val="24"/>
        </w:rPr>
        <w:t>80%</w:t>
      </w:r>
      <w:r>
        <w:rPr>
          <w:rFonts w:hint="eastAsia"/>
          <w:sz w:val="24"/>
        </w:rPr>
        <w:t>，投资于股票资产（含存托凭证）、可转换债券、可交换公司债券的比例合计不高于基金资产净值的</w:t>
      </w:r>
      <w:r>
        <w:rPr>
          <w:sz w:val="24"/>
        </w:rPr>
        <w:t>20%</w:t>
      </w:r>
      <w:r>
        <w:rPr>
          <w:rFonts w:hint="eastAsia"/>
          <w:sz w:val="24"/>
        </w:rPr>
        <w:t>（其中投资于港股通标的股票的比</w:t>
      </w:r>
      <w:r>
        <w:rPr>
          <w:rFonts w:hAnsi="宋体" w:hint="eastAsia"/>
          <w:bCs/>
          <w:sz w:val="24"/>
        </w:rPr>
        <w:t>例占</w:t>
      </w:r>
      <w:r>
        <w:rPr>
          <w:rFonts w:hint="eastAsia"/>
          <w:sz w:val="24"/>
        </w:rPr>
        <w:t>股票资产的</w:t>
      </w:r>
      <w:r>
        <w:rPr>
          <w:sz w:val="24"/>
        </w:rPr>
        <w:t>0%-50%</w:t>
      </w:r>
      <w:r>
        <w:rPr>
          <w:rFonts w:hint="eastAsia"/>
          <w:sz w:val="24"/>
        </w:rPr>
        <w:t>）；</w:t>
      </w:r>
    </w:p>
    <w:p w:rsidR="00BF60A0" w:rsidRDefault="006E4EA0">
      <w:pPr>
        <w:adjustRightInd w:val="0"/>
        <w:snapToGrid w:val="0"/>
        <w:spacing w:line="360" w:lineRule="auto"/>
        <w:ind w:firstLineChars="200" w:firstLine="480"/>
        <w:rPr>
          <w:sz w:val="24"/>
        </w:rPr>
      </w:pPr>
      <w:r>
        <w:rPr>
          <w:rFonts w:hint="eastAsia"/>
          <w:sz w:val="24"/>
        </w:rPr>
        <w:t>（</w:t>
      </w:r>
      <w:r>
        <w:rPr>
          <w:sz w:val="24"/>
        </w:rPr>
        <w:t>2</w:t>
      </w:r>
      <w:r>
        <w:rPr>
          <w:rFonts w:hint="eastAsia"/>
          <w:sz w:val="24"/>
        </w:rPr>
        <w:t>）本基金持有的现金或者到期日在一年以内的政府债券的比例合计不低于基金资产净值的</w:t>
      </w:r>
      <w:r>
        <w:rPr>
          <w:sz w:val="24"/>
        </w:rPr>
        <w:t>5%</w:t>
      </w:r>
      <w:r>
        <w:rPr>
          <w:rFonts w:hint="eastAsia"/>
          <w:sz w:val="24"/>
        </w:rPr>
        <w:t>，其中现金不包括结算备付金、存出保证金、应收申购款等；</w:t>
      </w:r>
    </w:p>
    <w:p w:rsidR="00BF60A0" w:rsidRDefault="006E4EA0">
      <w:pPr>
        <w:adjustRightInd w:val="0"/>
        <w:snapToGrid w:val="0"/>
        <w:spacing w:line="360" w:lineRule="auto"/>
        <w:ind w:firstLineChars="200" w:firstLine="480"/>
        <w:rPr>
          <w:sz w:val="24"/>
        </w:rPr>
      </w:pPr>
      <w:r>
        <w:rPr>
          <w:rFonts w:hint="eastAsia"/>
          <w:sz w:val="24"/>
        </w:rPr>
        <w:t>（</w:t>
      </w:r>
      <w:r>
        <w:rPr>
          <w:sz w:val="24"/>
        </w:rPr>
        <w:t>3</w:t>
      </w:r>
      <w:r>
        <w:rPr>
          <w:rFonts w:hint="eastAsia"/>
          <w:sz w:val="24"/>
        </w:rPr>
        <w:t>）本基金持有一家公司发行的</w:t>
      </w:r>
      <w:r>
        <w:rPr>
          <w:sz w:val="24"/>
        </w:rPr>
        <w:t>证券</w:t>
      </w:r>
      <w:r>
        <w:rPr>
          <w:rFonts w:hint="eastAsia"/>
          <w:sz w:val="24"/>
        </w:rPr>
        <w:t>（同一家公司在内地和香港同时上市的</w:t>
      </w:r>
      <w:r>
        <w:rPr>
          <w:sz w:val="24"/>
        </w:rPr>
        <w:t>A+H</w:t>
      </w:r>
      <w:r>
        <w:rPr>
          <w:rFonts w:hint="eastAsia"/>
          <w:sz w:val="24"/>
        </w:rPr>
        <w:t>股合计计算），其市值不超过基金资产净值的</w:t>
      </w:r>
      <w:r>
        <w:rPr>
          <w:sz w:val="24"/>
        </w:rPr>
        <w:t>10%</w:t>
      </w:r>
      <w:r>
        <w:rPr>
          <w:rFonts w:hint="eastAsia"/>
          <w:sz w:val="24"/>
        </w:rPr>
        <w:t>；</w:t>
      </w:r>
    </w:p>
    <w:p w:rsidR="00BF60A0" w:rsidRDefault="006E4EA0">
      <w:pPr>
        <w:adjustRightInd w:val="0"/>
        <w:snapToGrid w:val="0"/>
        <w:spacing w:line="360" w:lineRule="auto"/>
        <w:ind w:firstLineChars="200" w:firstLine="480"/>
        <w:rPr>
          <w:sz w:val="24"/>
        </w:rPr>
      </w:pPr>
      <w:r>
        <w:rPr>
          <w:rFonts w:hint="eastAsia"/>
          <w:sz w:val="24"/>
        </w:rPr>
        <w:t>（</w:t>
      </w:r>
      <w:r>
        <w:rPr>
          <w:sz w:val="24"/>
        </w:rPr>
        <w:t>4</w:t>
      </w:r>
      <w:r>
        <w:rPr>
          <w:rFonts w:hint="eastAsia"/>
          <w:sz w:val="24"/>
        </w:rPr>
        <w:t>）本基金管理人管理的全部基金持有一家公司发行的证券（同一家公司在内地和香港同时上市的</w:t>
      </w:r>
      <w:r>
        <w:rPr>
          <w:rFonts w:hint="eastAsia"/>
          <w:sz w:val="24"/>
        </w:rPr>
        <w:t>A+H</w:t>
      </w:r>
      <w:r>
        <w:rPr>
          <w:rFonts w:hint="eastAsia"/>
          <w:sz w:val="24"/>
        </w:rPr>
        <w:t>股合计计算），不超过该证券的</w:t>
      </w:r>
      <w:r>
        <w:rPr>
          <w:sz w:val="24"/>
        </w:rPr>
        <w:t>10%</w:t>
      </w:r>
      <w:r>
        <w:rPr>
          <w:rFonts w:hint="eastAsia"/>
          <w:sz w:val="24"/>
        </w:rPr>
        <w:t>；完全按照有关指数的构成比例进行证券投资的基金品种可以不受此条款规定的比例限制；</w:t>
      </w:r>
    </w:p>
    <w:p w:rsidR="00BF60A0" w:rsidRDefault="006E4EA0">
      <w:pPr>
        <w:adjustRightInd w:val="0"/>
        <w:snapToGrid w:val="0"/>
        <w:spacing w:line="360" w:lineRule="auto"/>
        <w:ind w:firstLineChars="200" w:firstLine="480"/>
        <w:rPr>
          <w:sz w:val="24"/>
        </w:rPr>
      </w:pPr>
      <w:r>
        <w:rPr>
          <w:rFonts w:hint="eastAsia"/>
          <w:sz w:val="24"/>
        </w:rPr>
        <w:t>（</w:t>
      </w:r>
      <w:r>
        <w:rPr>
          <w:sz w:val="24"/>
        </w:rPr>
        <w:t>5</w:t>
      </w:r>
      <w:r>
        <w:rPr>
          <w:rFonts w:hint="eastAsia"/>
          <w:sz w:val="24"/>
        </w:rPr>
        <w:t>）本基金投资于同一原始权益人的各类资产支持证券的比例，不得超过基金资产净值的</w:t>
      </w:r>
      <w:r>
        <w:rPr>
          <w:sz w:val="24"/>
        </w:rPr>
        <w:t>10%</w:t>
      </w:r>
      <w:r>
        <w:rPr>
          <w:rFonts w:hint="eastAsia"/>
          <w:sz w:val="24"/>
        </w:rPr>
        <w:t>；</w:t>
      </w:r>
    </w:p>
    <w:p w:rsidR="00BF60A0" w:rsidRDefault="006E4EA0">
      <w:pPr>
        <w:adjustRightInd w:val="0"/>
        <w:snapToGrid w:val="0"/>
        <w:spacing w:line="360" w:lineRule="auto"/>
        <w:ind w:firstLineChars="200" w:firstLine="480"/>
        <w:rPr>
          <w:sz w:val="24"/>
        </w:rPr>
      </w:pPr>
      <w:r>
        <w:rPr>
          <w:rFonts w:hint="eastAsia"/>
          <w:sz w:val="24"/>
        </w:rPr>
        <w:t>（</w:t>
      </w:r>
      <w:r>
        <w:rPr>
          <w:sz w:val="24"/>
        </w:rPr>
        <w:t>6</w:t>
      </w:r>
      <w:r>
        <w:rPr>
          <w:rFonts w:hint="eastAsia"/>
          <w:sz w:val="24"/>
        </w:rPr>
        <w:t>）本基金持有的全部资产支持证券，其市值不得超过基金资产净值的</w:t>
      </w:r>
      <w:r>
        <w:rPr>
          <w:sz w:val="24"/>
        </w:rPr>
        <w:t>20%</w:t>
      </w:r>
      <w:r>
        <w:rPr>
          <w:rFonts w:hint="eastAsia"/>
          <w:sz w:val="24"/>
        </w:rPr>
        <w:t>；</w:t>
      </w:r>
    </w:p>
    <w:p w:rsidR="00BF60A0" w:rsidRDefault="006E4EA0">
      <w:pPr>
        <w:adjustRightInd w:val="0"/>
        <w:snapToGrid w:val="0"/>
        <w:spacing w:line="360" w:lineRule="auto"/>
        <w:ind w:firstLineChars="200" w:firstLine="480"/>
        <w:rPr>
          <w:sz w:val="24"/>
        </w:rPr>
      </w:pPr>
      <w:r>
        <w:rPr>
          <w:rFonts w:hint="eastAsia"/>
          <w:sz w:val="24"/>
        </w:rPr>
        <w:t>（</w:t>
      </w:r>
      <w:r>
        <w:rPr>
          <w:sz w:val="24"/>
        </w:rPr>
        <w:t>7</w:t>
      </w:r>
      <w:r>
        <w:rPr>
          <w:rFonts w:hint="eastAsia"/>
          <w:sz w:val="24"/>
        </w:rPr>
        <w:t>）本基金持有的同一（指同一信用级别）资产支持证券的比例，不得超过该资产支持证券规模的</w:t>
      </w:r>
      <w:r>
        <w:rPr>
          <w:sz w:val="24"/>
        </w:rPr>
        <w:t>10%</w:t>
      </w:r>
      <w:r>
        <w:rPr>
          <w:rFonts w:hint="eastAsia"/>
          <w:sz w:val="24"/>
        </w:rPr>
        <w:t>；</w:t>
      </w:r>
    </w:p>
    <w:p w:rsidR="00BF60A0" w:rsidRDefault="006E4EA0">
      <w:pPr>
        <w:adjustRightInd w:val="0"/>
        <w:snapToGrid w:val="0"/>
        <w:spacing w:line="360" w:lineRule="auto"/>
        <w:ind w:firstLineChars="200" w:firstLine="480"/>
        <w:rPr>
          <w:sz w:val="24"/>
        </w:rPr>
      </w:pPr>
      <w:r>
        <w:rPr>
          <w:rFonts w:hint="eastAsia"/>
          <w:sz w:val="24"/>
        </w:rPr>
        <w:t>（</w:t>
      </w:r>
      <w:r>
        <w:rPr>
          <w:sz w:val="24"/>
        </w:rPr>
        <w:t>8</w:t>
      </w:r>
      <w:r>
        <w:rPr>
          <w:rFonts w:hint="eastAsia"/>
          <w:sz w:val="24"/>
        </w:rPr>
        <w:t>）本基金管理人管理的全部基金投资于同一原始权益人的各类资产支持证券，不得超过其各类资产支持证券合计规模的</w:t>
      </w:r>
      <w:r>
        <w:rPr>
          <w:sz w:val="24"/>
        </w:rPr>
        <w:t>10%</w:t>
      </w:r>
      <w:r>
        <w:rPr>
          <w:rFonts w:hint="eastAsia"/>
          <w:sz w:val="24"/>
        </w:rPr>
        <w:t>；</w:t>
      </w:r>
    </w:p>
    <w:p w:rsidR="00BF60A0" w:rsidRDefault="006E4EA0">
      <w:pPr>
        <w:adjustRightInd w:val="0"/>
        <w:snapToGrid w:val="0"/>
        <w:spacing w:line="360" w:lineRule="auto"/>
        <w:ind w:firstLineChars="200" w:firstLine="480"/>
        <w:rPr>
          <w:sz w:val="24"/>
        </w:rPr>
      </w:pPr>
      <w:r>
        <w:rPr>
          <w:rFonts w:hint="eastAsia"/>
          <w:sz w:val="24"/>
        </w:rPr>
        <w:t>（</w:t>
      </w:r>
      <w:r>
        <w:rPr>
          <w:sz w:val="24"/>
        </w:rPr>
        <w:t>9</w:t>
      </w:r>
      <w:r>
        <w:rPr>
          <w:rFonts w:hint="eastAsia"/>
          <w:sz w:val="24"/>
        </w:rPr>
        <w:t>）本基金应投资于信用级别评级为</w:t>
      </w:r>
      <w:r>
        <w:rPr>
          <w:sz w:val="24"/>
        </w:rPr>
        <w:t>AA+</w:t>
      </w:r>
      <w:r>
        <w:rPr>
          <w:rFonts w:hint="eastAsia"/>
          <w:sz w:val="24"/>
        </w:rPr>
        <w:t>以上</w:t>
      </w:r>
      <w:r>
        <w:rPr>
          <w:sz w:val="24"/>
        </w:rPr>
        <w:t>(</w:t>
      </w:r>
      <w:r>
        <w:rPr>
          <w:rFonts w:hint="eastAsia"/>
          <w:sz w:val="24"/>
        </w:rPr>
        <w:t>含</w:t>
      </w:r>
      <w:r>
        <w:rPr>
          <w:sz w:val="24"/>
        </w:rPr>
        <w:t>AA+)</w:t>
      </w:r>
      <w:r>
        <w:rPr>
          <w:rFonts w:hint="eastAsia"/>
          <w:sz w:val="24"/>
        </w:rPr>
        <w:t>的资产支持证券。基金持有资产支持证券期间，如果其信用等级下降、不再符合投资标准，应在评级报告发布之日起</w:t>
      </w:r>
      <w:r>
        <w:rPr>
          <w:sz w:val="24"/>
        </w:rPr>
        <w:t>3</w:t>
      </w:r>
      <w:r>
        <w:rPr>
          <w:rFonts w:hint="eastAsia"/>
          <w:sz w:val="24"/>
        </w:rPr>
        <w:t>个月内予以全部卖出；</w:t>
      </w:r>
    </w:p>
    <w:p w:rsidR="00BF60A0" w:rsidRDefault="006E4EA0">
      <w:pPr>
        <w:adjustRightInd w:val="0"/>
        <w:snapToGrid w:val="0"/>
        <w:spacing w:line="360" w:lineRule="auto"/>
        <w:ind w:firstLineChars="200" w:firstLine="480"/>
        <w:rPr>
          <w:sz w:val="24"/>
        </w:rPr>
      </w:pPr>
      <w:r>
        <w:rPr>
          <w:rFonts w:hint="eastAsia"/>
          <w:sz w:val="24"/>
        </w:rPr>
        <w:t>（</w:t>
      </w:r>
      <w:r>
        <w:rPr>
          <w:sz w:val="24"/>
        </w:rPr>
        <w:t>10</w:t>
      </w:r>
      <w:r>
        <w:rPr>
          <w:rFonts w:hint="eastAsia"/>
          <w:sz w:val="24"/>
        </w:rPr>
        <w:t>）基金财产参与股票发行申购，本基金所申报的金额不超过本基金的总资产，本基金所申报的股票数量不超过拟发行股票公司本次发行股票的总量；</w:t>
      </w:r>
    </w:p>
    <w:p w:rsidR="00BF60A0" w:rsidRDefault="006E4EA0">
      <w:pPr>
        <w:adjustRightInd w:val="0"/>
        <w:snapToGrid w:val="0"/>
        <w:spacing w:line="360" w:lineRule="auto"/>
        <w:ind w:firstLineChars="200" w:firstLine="480"/>
        <w:rPr>
          <w:sz w:val="24"/>
        </w:rPr>
      </w:pPr>
      <w:r>
        <w:rPr>
          <w:rFonts w:hint="eastAsia"/>
          <w:sz w:val="24"/>
        </w:rPr>
        <w:lastRenderedPageBreak/>
        <w:t>（</w:t>
      </w:r>
      <w:r>
        <w:rPr>
          <w:sz w:val="24"/>
        </w:rPr>
        <w:t>11</w:t>
      </w:r>
      <w:r>
        <w:rPr>
          <w:rFonts w:hint="eastAsia"/>
          <w:sz w:val="24"/>
        </w:rPr>
        <w:t>）本基金进入全国银行间同业市场进行债券回购的资金余额不得超过基金资产净值的</w:t>
      </w:r>
      <w:r>
        <w:rPr>
          <w:sz w:val="24"/>
        </w:rPr>
        <w:t>40%</w:t>
      </w:r>
      <w:r>
        <w:rPr>
          <w:rFonts w:hint="eastAsia"/>
          <w:sz w:val="24"/>
        </w:rPr>
        <w:t>，进入全国银行间同业市场进行债券回购的最长期限为</w:t>
      </w:r>
      <w:r>
        <w:rPr>
          <w:sz w:val="24"/>
        </w:rPr>
        <w:t>1</w:t>
      </w:r>
      <w:r>
        <w:rPr>
          <w:rFonts w:hint="eastAsia"/>
          <w:sz w:val="24"/>
        </w:rPr>
        <w:t>年，债券回购到期后不得展期；</w:t>
      </w:r>
    </w:p>
    <w:p w:rsidR="00BF60A0" w:rsidRDefault="006E4EA0">
      <w:pPr>
        <w:adjustRightInd w:val="0"/>
        <w:snapToGrid w:val="0"/>
        <w:spacing w:line="360" w:lineRule="auto"/>
        <w:ind w:firstLineChars="200" w:firstLine="480"/>
        <w:rPr>
          <w:sz w:val="24"/>
        </w:rPr>
      </w:pPr>
      <w:r>
        <w:rPr>
          <w:rFonts w:hint="eastAsia"/>
          <w:sz w:val="24"/>
        </w:rPr>
        <w:t>（</w:t>
      </w:r>
      <w:r>
        <w:rPr>
          <w:sz w:val="24"/>
        </w:rPr>
        <w:t>12</w:t>
      </w:r>
      <w:r>
        <w:rPr>
          <w:rFonts w:hint="eastAsia"/>
          <w:sz w:val="24"/>
        </w:rPr>
        <w:t>）本基金管理人管理的全部开放式基金（包括开放式基金以及处于开放期的定期开放基金）持有一家上市公司发行的可流通股票，不得超过该上市公司可流通股票的</w:t>
      </w:r>
      <w:r>
        <w:rPr>
          <w:sz w:val="24"/>
        </w:rPr>
        <w:t>15%</w:t>
      </w:r>
      <w:r>
        <w:rPr>
          <w:rFonts w:hint="eastAsia"/>
          <w:sz w:val="24"/>
        </w:rPr>
        <w:t>；本基金管理人管理的全部投资组合持有一家上市公司发行的可流通股票，不得超过该上市公司可流通股票的</w:t>
      </w:r>
      <w:r>
        <w:rPr>
          <w:sz w:val="24"/>
        </w:rPr>
        <w:t>30%</w:t>
      </w:r>
      <w:r>
        <w:rPr>
          <w:rFonts w:hint="eastAsia"/>
          <w:sz w:val="24"/>
        </w:rPr>
        <w:t>；完全按照有关指数的构成比例进行证券投资的开放式基金以及中国证监会认定的特殊投资组合可不受前述比例限制；</w:t>
      </w:r>
    </w:p>
    <w:p w:rsidR="00BF60A0" w:rsidRDefault="006E4EA0">
      <w:pPr>
        <w:adjustRightInd w:val="0"/>
        <w:snapToGrid w:val="0"/>
        <w:spacing w:line="360" w:lineRule="auto"/>
        <w:ind w:firstLineChars="200" w:firstLine="480"/>
        <w:rPr>
          <w:sz w:val="24"/>
        </w:rPr>
      </w:pPr>
      <w:r>
        <w:rPr>
          <w:rFonts w:hint="eastAsia"/>
          <w:sz w:val="24"/>
        </w:rPr>
        <w:t>（</w:t>
      </w:r>
      <w:r>
        <w:rPr>
          <w:sz w:val="24"/>
        </w:rPr>
        <w:t>13</w:t>
      </w:r>
      <w:r>
        <w:rPr>
          <w:rFonts w:hint="eastAsia"/>
          <w:sz w:val="24"/>
        </w:rPr>
        <w:t>）本基金主动投资于流动性受限资产的市值合计不得超过基金资产净值的</w:t>
      </w:r>
      <w:r>
        <w:rPr>
          <w:sz w:val="24"/>
        </w:rPr>
        <w:t>15%</w:t>
      </w:r>
      <w:r>
        <w:rPr>
          <w:rFonts w:hint="eastAsia"/>
          <w:sz w:val="24"/>
        </w:rPr>
        <w:t>；因证券市场波动、上市公司股票停牌、基金规模变动等基金管理人之外的因素致使基金不符合该比例限制的，基金管理人不得主动新增流动性受限资产的投资；</w:t>
      </w:r>
    </w:p>
    <w:p w:rsidR="00BF60A0" w:rsidRDefault="006E4EA0">
      <w:pPr>
        <w:adjustRightInd w:val="0"/>
        <w:snapToGrid w:val="0"/>
        <w:spacing w:line="360" w:lineRule="auto"/>
        <w:ind w:firstLineChars="200" w:firstLine="480"/>
        <w:rPr>
          <w:sz w:val="24"/>
        </w:rPr>
      </w:pPr>
      <w:r>
        <w:rPr>
          <w:rFonts w:hint="eastAsia"/>
          <w:sz w:val="24"/>
        </w:rPr>
        <w:t>（</w:t>
      </w:r>
      <w:r>
        <w:rPr>
          <w:sz w:val="24"/>
        </w:rPr>
        <w:t>14</w:t>
      </w:r>
      <w:r>
        <w:rPr>
          <w:rFonts w:hint="eastAsia"/>
          <w:sz w:val="24"/>
        </w:rPr>
        <w:t>）本基金与私募类证券资管产品及中国证监会认定的其他主体为交易对手开展逆回购交易的，可接受质押品的资质要求应当与本基金合同约定的投资范围保持一致；</w:t>
      </w:r>
    </w:p>
    <w:p w:rsidR="00BF60A0" w:rsidRDefault="006E4EA0">
      <w:pPr>
        <w:adjustRightInd w:val="0"/>
        <w:snapToGrid w:val="0"/>
        <w:spacing w:line="360" w:lineRule="auto"/>
        <w:ind w:firstLineChars="200" w:firstLine="480"/>
        <w:rPr>
          <w:sz w:val="24"/>
        </w:rPr>
      </w:pPr>
      <w:r>
        <w:rPr>
          <w:rFonts w:hint="eastAsia"/>
          <w:sz w:val="24"/>
        </w:rPr>
        <w:t>（</w:t>
      </w:r>
      <w:r>
        <w:rPr>
          <w:sz w:val="24"/>
        </w:rPr>
        <w:t>15</w:t>
      </w:r>
      <w:r>
        <w:rPr>
          <w:rFonts w:hint="eastAsia"/>
          <w:sz w:val="24"/>
        </w:rPr>
        <w:t>）本基金资产总值不超过基金资产净值的</w:t>
      </w:r>
      <w:r>
        <w:rPr>
          <w:sz w:val="24"/>
        </w:rPr>
        <w:t>140%</w:t>
      </w:r>
      <w:r>
        <w:rPr>
          <w:rFonts w:hint="eastAsia"/>
          <w:sz w:val="24"/>
        </w:rPr>
        <w:t>；</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）本基金投资存托凭证的比例限制依照境内上市交易的股票执行；</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）法律法规及中国证监会规定的和《基金合同》约定的其他投资限制。</w:t>
      </w:r>
    </w:p>
    <w:p w:rsidR="00BF60A0" w:rsidRDefault="006E4EA0">
      <w:pPr>
        <w:adjustRightInd w:val="0"/>
        <w:snapToGrid w:val="0"/>
        <w:spacing w:line="360" w:lineRule="auto"/>
        <w:ind w:firstLineChars="200" w:firstLine="480"/>
        <w:rPr>
          <w:sz w:val="24"/>
        </w:rPr>
      </w:pPr>
      <w:r>
        <w:rPr>
          <w:rFonts w:hint="eastAsia"/>
          <w:bCs/>
          <w:sz w:val="24"/>
        </w:rPr>
        <w:t>除前述投资组合限制第（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w:t>
      </w:r>
      <w:r>
        <w:rPr>
          <w:bCs/>
          <w:sz w:val="24"/>
        </w:rPr>
        <w:t>3</w:t>
      </w:r>
      <w:r>
        <w:rPr>
          <w:rFonts w:hint="eastAsia"/>
          <w:bCs/>
          <w:sz w:val="24"/>
        </w:rPr>
        <w:t>）、（</w:t>
      </w:r>
      <w:r>
        <w:rPr>
          <w:rFonts w:hint="eastAsia"/>
          <w:bCs/>
          <w:sz w:val="24"/>
        </w:rPr>
        <w:t>1</w:t>
      </w:r>
      <w:r>
        <w:rPr>
          <w:bCs/>
          <w:sz w:val="24"/>
        </w:rPr>
        <w:t>4</w:t>
      </w:r>
      <w:r>
        <w:rPr>
          <w:rFonts w:hint="eastAsia"/>
          <w:bCs/>
          <w:sz w:val="24"/>
        </w:rPr>
        <w:t>）条外，</w:t>
      </w:r>
      <w:r>
        <w:rPr>
          <w:rFonts w:hint="eastAsia"/>
          <w:sz w:val="24"/>
        </w:rPr>
        <w:t>因证券市场波动、证券发行人合并、基金规模变动等基金管理人之外的因素致使基金投资比例不符合上述规定投资比例的，基金管理人应当在</w:t>
      </w:r>
      <w:r>
        <w:rPr>
          <w:rFonts w:hint="eastAsia"/>
          <w:sz w:val="24"/>
        </w:rPr>
        <w:t>10</w:t>
      </w:r>
      <w:r>
        <w:rPr>
          <w:rFonts w:hint="eastAsia"/>
          <w:sz w:val="24"/>
        </w:rPr>
        <w:t>个交易日内进行调整，</w:t>
      </w:r>
      <w:r>
        <w:rPr>
          <w:bCs/>
          <w:sz w:val="24"/>
        </w:rPr>
        <w:t>但中国证监会规定的特殊情形除外。</w:t>
      </w:r>
      <w:r>
        <w:rPr>
          <w:rFonts w:hint="eastAsia"/>
          <w:sz w:val="24"/>
        </w:rPr>
        <w:t>法律法规另有规定的，从其规定。</w:t>
      </w:r>
    </w:p>
    <w:p w:rsidR="00BF60A0" w:rsidRDefault="006E4EA0">
      <w:pPr>
        <w:adjustRightInd w:val="0"/>
        <w:snapToGrid w:val="0"/>
        <w:spacing w:line="360" w:lineRule="auto"/>
        <w:ind w:firstLineChars="200" w:firstLine="480"/>
        <w:rPr>
          <w:sz w:val="24"/>
        </w:rPr>
      </w:pPr>
      <w:r>
        <w:rPr>
          <w:rFonts w:hint="eastAsia"/>
          <w:sz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rsidR="00BF60A0" w:rsidRDefault="006E4EA0">
      <w:pPr>
        <w:adjustRightInd w:val="0"/>
        <w:snapToGrid w:val="0"/>
        <w:spacing w:line="360" w:lineRule="auto"/>
        <w:ind w:firstLineChars="200" w:firstLine="480"/>
        <w:rPr>
          <w:sz w:val="24"/>
        </w:rPr>
      </w:pPr>
      <w:r>
        <w:rPr>
          <w:sz w:val="24"/>
        </w:rPr>
        <w:t>2</w:t>
      </w:r>
      <w:r>
        <w:rPr>
          <w:rFonts w:hint="eastAsia"/>
          <w:sz w:val="24"/>
        </w:rPr>
        <w:t>、禁止行为</w:t>
      </w:r>
    </w:p>
    <w:p w:rsidR="00BF60A0" w:rsidRDefault="006E4EA0">
      <w:pPr>
        <w:adjustRightInd w:val="0"/>
        <w:snapToGrid w:val="0"/>
        <w:spacing w:line="360" w:lineRule="auto"/>
        <w:ind w:firstLineChars="200" w:firstLine="480"/>
        <w:rPr>
          <w:sz w:val="24"/>
        </w:rPr>
      </w:pPr>
      <w:r>
        <w:rPr>
          <w:rFonts w:hint="eastAsia"/>
          <w:sz w:val="24"/>
        </w:rPr>
        <w:t>为维护基金份额持有人的合法权益，基金财产不得用于下列投资或者活动：</w:t>
      </w:r>
    </w:p>
    <w:p w:rsidR="00BF60A0" w:rsidRDefault="006E4EA0">
      <w:pPr>
        <w:adjustRightInd w:val="0"/>
        <w:snapToGrid w:val="0"/>
        <w:spacing w:line="360" w:lineRule="auto"/>
        <w:ind w:firstLineChars="200" w:firstLine="480"/>
        <w:rPr>
          <w:sz w:val="24"/>
        </w:rPr>
      </w:pPr>
      <w:r>
        <w:rPr>
          <w:rFonts w:hint="eastAsia"/>
          <w:sz w:val="24"/>
        </w:rPr>
        <w:t>（</w:t>
      </w:r>
      <w:r>
        <w:rPr>
          <w:sz w:val="24"/>
        </w:rPr>
        <w:t>1</w:t>
      </w:r>
      <w:r>
        <w:rPr>
          <w:rFonts w:hint="eastAsia"/>
          <w:sz w:val="24"/>
        </w:rPr>
        <w:t>）承销证券；</w:t>
      </w:r>
    </w:p>
    <w:p w:rsidR="00BF60A0" w:rsidRDefault="006E4EA0">
      <w:pPr>
        <w:adjustRightInd w:val="0"/>
        <w:snapToGrid w:val="0"/>
        <w:spacing w:line="360" w:lineRule="auto"/>
        <w:ind w:firstLineChars="200" w:firstLine="480"/>
        <w:rPr>
          <w:sz w:val="24"/>
        </w:rPr>
      </w:pPr>
      <w:r>
        <w:rPr>
          <w:rFonts w:hint="eastAsia"/>
          <w:sz w:val="24"/>
        </w:rPr>
        <w:t>（</w:t>
      </w:r>
      <w:r>
        <w:rPr>
          <w:sz w:val="24"/>
        </w:rPr>
        <w:t>2</w:t>
      </w:r>
      <w:r>
        <w:rPr>
          <w:rFonts w:hint="eastAsia"/>
          <w:sz w:val="24"/>
        </w:rPr>
        <w:t>）违反规定向他人贷款或者提供担保；</w:t>
      </w:r>
    </w:p>
    <w:p w:rsidR="00BF60A0" w:rsidRDefault="006E4EA0">
      <w:pPr>
        <w:adjustRightInd w:val="0"/>
        <w:snapToGrid w:val="0"/>
        <w:spacing w:line="360" w:lineRule="auto"/>
        <w:ind w:firstLineChars="200" w:firstLine="480"/>
        <w:rPr>
          <w:sz w:val="24"/>
        </w:rPr>
      </w:pPr>
      <w:r>
        <w:rPr>
          <w:rFonts w:hint="eastAsia"/>
          <w:sz w:val="24"/>
        </w:rPr>
        <w:lastRenderedPageBreak/>
        <w:t>（</w:t>
      </w:r>
      <w:r>
        <w:rPr>
          <w:sz w:val="24"/>
        </w:rPr>
        <w:t>3</w:t>
      </w:r>
      <w:r>
        <w:rPr>
          <w:rFonts w:hint="eastAsia"/>
          <w:sz w:val="24"/>
        </w:rPr>
        <w:t>）从事承担无限责任的投资；</w:t>
      </w:r>
    </w:p>
    <w:p w:rsidR="00BF60A0" w:rsidRDefault="006E4EA0">
      <w:pPr>
        <w:adjustRightInd w:val="0"/>
        <w:snapToGrid w:val="0"/>
        <w:spacing w:line="360" w:lineRule="auto"/>
        <w:ind w:firstLineChars="200" w:firstLine="480"/>
        <w:rPr>
          <w:sz w:val="24"/>
        </w:rPr>
      </w:pPr>
      <w:r>
        <w:rPr>
          <w:rFonts w:hint="eastAsia"/>
          <w:sz w:val="24"/>
        </w:rPr>
        <w:t>（</w:t>
      </w:r>
      <w:r>
        <w:rPr>
          <w:sz w:val="24"/>
        </w:rPr>
        <w:t>4</w:t>
      </w:r>
      <w:r>
        <w:rPr>
          <w:rFonts w:hint="eastAsia"/>
          <w:sz w:val="24"/>
        </w:rPr>
        <w:t>）买卖其他基金份额，但是</w:t>
      </w:r>
      <w:r>
        <w:rPr>
          <w:rFonts w:hAnsi="宋体" w:hint="eastAsia"/>
          <w:bCs/>
          <w:sz w:val="24"/>
        </w:rPr>
        <w:t>法律法规或</w:t>
      </w:r>
      <w:r>
        <w:rPr>
          <w:rFonts w:hint="eastAsia"/>
          <w:sz w:val="24"/>
        </w:rPr>
        <w:t>国务院另有规定的除外；</w:t>
      </w:r>
    </w:p>
    <w:p w:rsidR="00BF60A0" w:rsidRDefault="006E4EA0">
      <w:pPr>
        <w:adjustRightInd w:val="0"/>
        <w:snapToGrid w:val="0"/>
        <w:spacing w:line="360" w:lineRule="auto"/>
        <w:ind w:firstLineChars="200" w:firstLine="480"/>
        <w:rPr>
          <w:sz w:val="24"/>
        </w:rPr>
      </w:pPr>
      <w:r>
        <w:rPr>
          <w:rFonts w:hint="eastAsia"/>
          <w:sz w:val="24"/>
        </w:rPr>
        <w:t>（</w:t>
      </w:r>
      <w:r>
        <w:rPr>
          <w:sz w:val="24"/>
        </w:rPr>
        <w:t>5</w:t>
      </w:r>
      <w:r>
        <w:rPr>
          <w:rFonts w:hint="eastAsia"/>
          <w:sz w:val="24"/>
        </w:rPr>
        <w:t>）向其基金管理人、基金托管人出资；</w:t>
      </w:r>
    </w:p>
    <w:p w:rsidR="00BF60A0" w:rsidRDefault="006E4EA0">
      <w:pPr>
        <w:adjustRightInd w:val="0"/>
        <w:snapToGrid w:val="0"/>
        <w:spacing w:line="360" w:lineRule="auto"/>
        <w:ind w:firstLineChars="200" w:firstLine="480"/>
        <w:rPr>
          <w:sz w:val="24"/>
        </w:rPr>
      </w:pPr>
      <w:r>
        <w:rPr>
          <w:rFonts w:hint="eastAsia"/>
          <w:sz w:val="24"/>
        </w:rPr>
        <w:t>（</w:t>
      </w:r>
      <w:r>
        <w:rPr>
          <w:sz w:val="24"/>
        </w:rPr>
        <w:t>6</w:t>
      </w:r>
      <w:r>
        <w:rPr>
          <w:rFonts w:hint="eastAsia"/>
          <w:sz w:val="24"/>
        </w:rPr>
        <w:t>）从事内幕交易、操纵证券交易价格及其他不正当的证券交易活动；</w:t>
      </w:r>
    </w:p>
    <w:p w:rsidR="00BF60A0" w:rsidRDefault="006E4EA0">
      <w:pPr>
        <w:adjustRightInd w:val="0"/>
        <w:snapToGrid w:val="0"/>
        <w:spacing w:line="360" w:lineRule="auto"/>
        <w:ind w:firstLineChars="200" w:firstLine="480"/>
        <w:rPr>
          <w:sz w:val="24"/>
        </w:rPr>
      </w:pPr>
      <w:r>
        <w:rPr>
          <w:rFonts w:hint="eastAsia"/>
          <w:sz w:val="24"/>
        </w:rPr>
        <w:t>（</w:t>
      </w:r>
      <w:r>
        <w:rPr>
          <w:sz w:val="24"/>
        </w:rPr>
        <w:t>7</w:t>
      </w:r>
      <w:r>
        <w:rPr>
          <w:rFonts w:hint="eastAsia"/>
          <w:sz w:val="24"/>
        </w:rPr>
        <w:t>）依照法律、行政法规有关规定，由中国证监会规定禁止的其他活动。</w:t>
      </w:r>
    </w:p>
    <w:p w:rsidR="00BF60A0" w:rsidRDefault="006E4EA0">
      <w:pPr>
        <w:adjustRightInd w:val="0"/>
        <w:snapToGrid w:val="0"/>
        <w:spacing w:line="360" w:lineRule="auto"/>
        <w:ind w:firstLineChars="200" w:firstLine="480"/>
        <w:rPr>
          <w:sz w:val="24"/>
        </w:rPr>
      </w:pPr>
      <w:r>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F60A0" w:rsidRDefault="006E4EA0">
      <w:pPr>
        <w:adjustRightInd w:val="0"/>
        <w:snapToGrid w:val="0"/>
        <w:spacing w:line="360" w:lineRule="auto"/>
        <w:ind w:firstLineChars="200" w:firstLine="480"/>
        <w:rPr>
          <w:sz w:val="24"/>
        </w:rPr>
      </w:pPr>
      <w:r>
        <w:rPr>
          <w:rFonts w:hint="eastAsia"/>
          <w:sz w:val="24"/>
        </w:rPr>
        <w:t>法律法规或监管部门取消上述限制，如适用于本基金，则履行适当程序后本基金投资不再受相关限制。</w:t>
      </w:r>
    </w:p>
    <w:p w:rsidR="00BF60A0" w:rsidRDefault="00BF60A0">
      <w:pPr>
        <w:adjustRightInd w:val="0"/>
        <w:snapToGrid w:val="0"/>
        <w:spacing w:line="360" w:lineRule="auto"/>
        <w:ind w:firstLineChars="200" w:firstLine="480"/>
        <w:rPr>
          <w:rFonts w:hAnsi="宋体"/>
          <w:sz w:val="24"/>
        </w:rPr>
      </w:pPr>
    </w:p>
    <w:p w:rsidR="00BF60A0" w:rsidRDefault="006E4EA0">
      <w:pPr>
        <w:adjustRightInd w:val="0"/>
        <w:snapToGrid w:val="0"/>
        <w:spacing w:line="360" w:lineRule="auto"/>
        <w:ind w:firstLineChars="200" w:firstLine="480"/>
        <w:rPr>
          <w:bCs/>
          <w:sz w:val="24"/>
        </w:rPr>
      </w:pPr>
      <w:r>
        <w:rPr>
          <w:rFonts w:hAnsi="宋体"/>
          <w:sz w:val="24"/>
        </w:rPr>
        <w:t>五</w:t>
      </w:r>
      <w:r>
        <w:rPr>
          <w:rFonts w:hAnsi="宋体" w:hint="eastAsia"/>
          <w:sz w:val="24"/>
        </w:rPr>
        <w:t>、</w:t>
      </w:r>
      <w:r>
        <w:rPr>
          <w:rFonts w:hAnsi="宋体"/>
          <w:bCs/>
          <w:sz w:val="24"/>
        </w:rPr>
        <w:t>业绩比较基准</w:t>
      </w:r>
    </w:p>
    <w:p w:rsidR="00BF60A0" w:rsidRDefault="006E4EA0">
      <w:pPr>
        <w:adjustRightInd w:val="0"/>
        <w:snapToGrid w:val="0"/>
        <w:spacing w:line="360" w:lineRule="auto"/>
        <w:ind w:firstLineChars="200" w:firstLine="480"/>
        <w:rPr>
          <w:rFonts w:hAnsi="宋体"/>
          <w:bCs/>
          <w:sz w:val="24"/>
        </w:rPr>
      </w:pPr>
      <w:r>
        <w:rPr>
          <w:rFonts w:hAnsi="宋体" w:hint="eastAsia"/>
          <w:bCs/>
          <w:sz w:val="24"/>
        </w:rPr>
        <w:t>沪深</w:t>
      </w:r>
      <w:r>
        <w:rPr>
          <w:rFonts w:hAnsi="宋体" w:hint="eastAsia"/>
          <w:bCs/>
          <w:sz w:val="24"/>
        </w:rPr>
        <w:t>300</w:t>
      </w:r>
      <w:r>
        <w:rPr>
          <w:rFonts w:hAnsi="宋体" w:hint="eastAsia"/>
          <w:bCs/>
          <w:sz w:val="24"/>
        </w:rPr>
        <w:t>指数收益率×</w:t>
      </w:r>
      <w:r>
        <w:rPr>
          <w:rFonts w:hAnsi="宋体" w:hint="eastAsia"/>
          <w:bCs/>
          <w:sz w:val="24"/>
        </w:rPr>
        <w:t>1</w:t>
      </w:r>
      <w:r>
        <w:rPr>
          <w:rFonts w:hAnsi="宋体"/>
          <w:bCs/>
          <w:sz w:val="24"/>
        </w:rPr>
        <w:t>0</w:t>
      </w:r>
      <w:r>
        <w:rPr>
          <w:rFonts w:hAnsi="宋体" w:hint="eastAsia"/>
          <w:bCs/>
          <w:sz w:val="24"/>
        </w:rPr>
        <w:t>%+</w:t>
      </w:r>
      <w:r>
        <w:rPr>
          <w:rFonts w:hAnsi="宋体" w:hint="eastAsia"/>
          <w:bCs/>
          <w:sz w:val="24"/>
        </w:rPr>
        <w:t>恒生指数收益率×</w:t>
      </w:r>
      <w:r>
        <w:rPr>
          <w:rFonts w:hAnsi="宋体" w:hint="eastAsia"/>
          <w:bCs/>
          <w:sz w:val="24"/>
        </w:rPr>
        <w:t>5%+</w:t>
      </w:r>
      <w:r>
        <w:rPr>
          <w:rFonts w:hAnsi="宋体" w:hint="eastAsia"/>
          <w:bCs/>
          <w:sz w:val="24"/>
        </w:rPr>
        <w:t>中证综合债券指数收益率×</w:t>
      </w:r>
      <w:r>
        <w:rPr>
          <w:rFonts w:hAnsi="宋体" w:hint="eastAsia"/>
          <w:bCs/>
          <w:sz w:val="24"/>
        </w:rPr>
        <w:t>8</w:t>
      </w:r>
      <w:r>
        <w:rPr>
          <w:rFonts w:hAnsi="宋体"/>
          <w:bCs/>
          <w:sz w:val="24"/>
        </w:rPr>
        <w:t>5</w:t>
      </w:r>
      <w:r>
        <w:rPr>
          <w:rFonts w:hAnsi="宋体" w:hint="eastAsia"/>
          <w:bCs/>
          <w:sz w:val="24"/>
        </w:rPr>
        <w:t>%</w:t>
      </w:r>
    </w:p>
    <w:p w:rsidR="00BF60A0" w:rsidRDefault="006E4EA0">
      <w:pPr>
        <w:adjustRightInd w:val="0"/>
        <w:snapToGrid w:val="0"/>
        <w:spacing w:line="360" w:lineRule="auto"/>
        <w:ind w:firstLineChars="200" w:firstLine="480"/>
        <w:rPr>
          <w:rFonts w:hAnsi="宋体"/>
          <w:bCs/>
          <w:sz w:val="24"/>
        </w:rPr>
      </w:pPr>
      <w:r>
        <w:rPr>
          <w:rFonts w:hAnsi="宋体" w:hint="eastAsia"/>
          <w:bCs/>
          <w:sz w:val="24"/>
        </w:rPr>
        <w:t>沪深</w:t>
      </w:r>
      <w:r>
        <w:rPr>
          <w:rFonts w:hAnsi="宋体" w:hint="eastAsia"/>
          <w:bCs/>
          <w:sz w:val="24"/>
        </w:rPr>
        <w:t>300</w:t>
      </w:r>
      <w:r>
        <w:rPr>
          <w:rFonts w:hAnsi="宋体" w:hint="eastAsia"/>
          <w:bCs/>
          <w:sz w:val="24"/>
        </w:rPr>
        <w:t>指数是沪深证券交易所第一次联合发布的反映</w:t>
      </w:r>
      <w:r>
        <w:rPr>
          <w:rFonts w:hAnsi="宋体" w:hint="eastAsia"/>
          <w:bCs/>
          <w:sz w:val="24"/>
        </w:rPr>
        <w:t>A</w:t>
      </w:r>
      <w:r>
        <w:rPr>
          <w:rFonts w:hAnsi="宋体" w:hint="eastAsia"/>
          <w:bCs/>
          <w:sz w:val="24"/>
        </w:rPr>
        <w:t>股市场整体走势的指数，由中证指数有限公司编制和维护，是在上海和深圳证券市场中选取</w:t>
      </w:r>
      <w:r>
        <w:rPr>
          <w:rFonts w:hAnsi="宋体" w:hint="eastAsia"/>
          <w:bCs/>
          <w:sz w:val="24"/>
        </w:rPr>
        <w:t>300</w:t>
      </w:r>
      <w:r>
        <w:rPr>
          <w:rFonts w:hAnsi="宋体" w:hint="eastAsia"/>
          <w:bCs/>
          <w:sz w:val="24"/>
        </w:rPr>
        <w:t>只</w:t>
      </w:r>
      <w:r>
        <w:rPr>
          <w:rFonts w:hAnsi="宋体" w:hint="eastAsia"/>
          <w:bCs/>
          <w:sz w:val="24"/>
        </w:rPr>
        <w:t>A</w:t>
      </w:r>
      <w:r>
        <w:rPr>
          <w:rFonts w:hAnsi="宋体" w:hint="eastAsia"/>
          <w:bCs/>
          <w:sz w:val="24"/>
        </w:rPr>
        <w:t>股作为样本编制而成。该指数样本对沪深市场的覆盖度高，具有良好的市场代表性，投资者可以方便地从报纸、互联网等财经媒体中获取。沪深</w:t>
      </w:r>
      <w:r>
        <w:rPr>
          <w:rFonts w:hAnsi="宋体" w:hint="eastAsia"/>
          <w:bCs/>
          <w:sz w:val="24"/>
        </w:rPr>
        <w:t>300</w:t>
      </w:r>
      <w:r>
        <w:rPr>
          <w:rFonts w:hAnsi="宋体"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Ansi="宋体" w:hint="eastAsia"/>
          <w:bCs/>
          <w:sz w:val="24"/>
        </w:rPr>
        <w:t>A</w:t>
      </w:r>
      <w:r>
        <w:rPr>
          <w:rFonts w:hAnsi="宋体" w:hint="eastAsia"/>
          <w:bCs/>
          <w:sz w:val="24"/>
        </w:rPr>
        <w:t>股资产投资的业绩比较基准。</w:t>
      </w:r>
    </w:p>
    <w:p w:rsidR="00BF60A0" w:rsidRDefault="006E4EA0">
      <w:pPr>
        <w:adjustRightInd w:val="0"/>
        <w:snapToGrid w:val="0"/>
        <w:spacing w:line="360" w:lineRule="auto"/>
        <w:ind w:firstLineChars="200" w:firstLine="480"/>
        <w:rPr>
          <w:rFonts w:hAnsi="宋体"/>
          <w:bCs/>
          <w:sz w:val="24"/>
        </w:rPr>
      </w:pPr>
      <w:r>
        <w:rPr>
          <w:rFonts w:hAnsi="宋体" w:hint="eastAsia"/>
          <w:bCs/>
          <w:sz w:val="24"/>
        </w:rPr>
        <w:t>恒生指数是由恒生指数服务有限公司编制，以香港股票市场中的</w:t>
      </w:r>
      <w:r>
        <w:rPr>
          <w:rFonts w:hAnsi="宋体" w:hint="eastAsia"/>
          <w:bCs/>
          <w:sz w:val="24"/>
        </w:rPr>
        <w:t>50</w:t>
      </w:r>
      <w:r>
        <w:rPr>
          <w:rFonts w:hAnsi="宋体" w:hint="eastAsia"/>
          <w:bCs/>
          <w:sz w:val="24"/>
        </w:rPr>
        <w:t>家上市股票为成份股样本，以其发行量为权数的加权平均股价指数，是反映香港股市价幅趋势最有影响的一种股价指数。</w:t>
      </w:r>
    </w:p>
    <w:p w:rsidR="00BF60A0" w:rsidRDefault="006E4EA0">
      <w:pPr>
        <w:adjustRightInd w:val="0"/>
        <w:snapToGrid w:val="0"/>
        <w:spacing w:line="360" w:lineRule="auto"/>
        <w:ind w:firstLineChars="200" w:firstLine="480"/>
        <w:rPr>
          <w:rFonts w:hAnsi="宋体"/>
          <w:bCs/>
          <w:sz w:val="24"/>
        </w:rPr>
      </w:pPr>
      <w:r>
        <w:rPr>
          <w:rFonts w:hAnsi="宋体" w:hint="eastAsia"/>
          <w:bCs/>
          <w:sz w:val="24"/>
        </w:rPr>
        <w:t>中证综合债券指数是综合反映银行间债券市场和沪深交易所债券市场国债、金融债、企业债、央行票据及短期融资券整体走势的跨市场债券指数，该指数旨在</w:t>
      </w:r>
      <w:r>
        <w:rPr>
          <w:rFonts w:hAnsi="宋体" w:hint="eastAsia"/>
          <w:bCs/>
          <w:sz w:val="24"/>
        </w:rPr>
        <w:lastRenderedPageBreak/>
        <w:t>更全面地反映我国债券市场的整体价格变动趋势，具有较强的市场代表性，适合作为本基金债券资产投资的业绩比较基准。</w:t>
      </w:r>
    </w:p>
    <w:p w:rsidR="00BF60A0" w:rsidRDefault="006E4EA0">
      <w:pPr>
        <w:adjustRightInd w:val="0"/>
        <w:snapToGrid w:val="0"/>
        <w:spacing w:line="360" w:lineRule="auto"/>
        <w:ind w:firstLineChars="200" w:firstLine="480"/>
        <w:rPr>
          <w:rFonts w:hAnsi="宋体"/>
          <w:bCs/>
          <w:sz w:val="24"/>
        </w:rPr>
      </w:pPr>
      <w:r>
        <w:rPr>
          <w:rFonts w:hAnsi="宋体" w:hint="eastAsia"/>
          <w:bCs/>
          <w:sz w:val="24"/>
        </w:rPr>
        <w:t>根据本基金的投资范围和投资比例，选用上述业绩比较基准能够客观、合理地反映本基金的风险收益特征。</w:t>
      </w:r>
    </w:p>
    <w:p w:rsidR="00BF60A0" w:rsidRDefault="006E4EA0">
      <w:pPr>
        <w:adjustRightInd w:val="0"/>
        <w:snapToGrid w:val="0"/>
        <w:spacing w:line="360" w:lineRule="auto"/>
        <w:ind w:firstLineChars="200" w:firstLine="480"/>
        <w:rPr>
          <w:rFonts w:hAnsi="宋体"/>
          <w:bCs/>
          <w:sz w:val="24"/>
        </w:rPr>
      </w:pPr>
      <w:r>
        <w:rPr>
          <w:rFonts w:hAnsi="宋体"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BF60A0" w:rsidRDefault="00BF60A0">
      <w:pPr>
        <w:adjustRightInd w:val="0"/>
        <w:snapToGrid w:val="0"/>
        <w:spacing w:line="360" w:lineRule="auto"/>
        <w:ind w:firstLineChars="200" w:firstLine="480"/>
        <w:rPr>
          <w:rFonts w:hAnsi="宋体"/>
          <w:sz w:val="24"/>
        </w:rPr>
      </w:pPr>
    </w:p>
    <w:p w:rsidR="00BF60A0" w:rsidRDefault="006E4EA0">
      <w:pPr>
        <w:adjustRightInd w:val="0"/>
        <w:snapToGrid w:val="0"/>
        <w:spacing w:line="360" w:lineRule="auto"/>
        <w:ind w:firstLineChars="200" w:firstLine="480"/>
        <w:rPr>
          <w:sz w:val="24"/>
        </w:rPr>
      </w:pPr>
      <w:r>
        <w:rPr>
          <w:rFonts w:hAnsi="宋体"/>
          <w:sz w:val="24"/>
        </w:rPr>
        <w:t>六</w:t>
      </w:r>
      <w:r>
        <w:rPr>
          <w:rFonts w:hAnsi="宋体" w:hint="eastAsia"/>
          <w:sz w:val="24"/>
        </w:rPr>
        <w:t>、</w:t>
      </w:r>
      <w:r>
        <w:rPr>
          <w:rFonts w:hAnsi="宋体"/>
          <w:sz w:val="24"/>
        </w:rPr>
        <w:t>风险收益特征</w:t>
      </w:r>
    </w:p>
    <w:p w:rsidR="00BF60A0" w:rsidRDefault="006E4EA0">
      <w:pPr>
        <w:adjustRightInd w:val="0"/>
        <w:snapToGrid w:val="0"/>
        <w:spacing w:line="360" w:lineRule="auto"/>
        <w:ind w:firstLineChars="200" w:firstLine="480"/>
        <w:rPr>
          <w:rFonts w:hAnsi="宋体"/>
          <w:bCs/>
          <w:sz w:val="24"/>
        </w:rPr>
      </w:pPr>
      <w:r>
        <w:rPr>
          <w:rFonts w:hAnsi="宋体" w:hint="eastAsia"/>
          <w:bCs/>
          <w:sz w:val="24"/>
        </w:rPr>
        <w:t>本基金是一只债券型基金，其预期风险与预期收益理论上高于货币市场基金，低于混合型基金和股票型基金。</w:t>
      </w:r>
    </w:p>
    <w:p w:rsidR="00BF60A0" w:rsidRDefault="006E4EA0">
      <w:pPr>
        <w:adjustRightInd w:val="0"/>
        <w:snapToGrid w:val="0"/>
        <w:spacing w:line="360" w:lineRule="auto"/>
        <w:ind w:firstLineChars="200" w:firstLine="480"/>
        <w:rPr>
          <w:rFonts w:hAnsi="宋体"/>
          <w:bCs/>
          <w:sz w:val="24"/>
        </w:rPr>
      </w:pPr>
      <w:r>
        <w:rPr>
          <w:rFonts w:hAnsi="宋体" w:hint="eastAsia"/>
          <w:bCs/>
          <w:sz w:val="24"/>
        </w:rPr>
        <w:t>本基金可投资港股通标的股票，会面临港股通机制下因投资环境、投资标的、市场制度以及交易规则等差异带来的特有风险。</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七、基金管理人代表基金行使股东及债权人权利的处理原则及方法</w:t>
      </w:r>
    </w:p>
    <w:p w:rsidR="00BF60A0" w:rsidRDefault="006E4EA0">
      <w:pPr>
        <w:adjustRightInd w:val="0"/>
        <w:snapToGrid w:val="0"/>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rsidR="00BF60A0" w:rsidRDefault="006E4EA0">
      <w:pPr>
        <w:adjustRightInd w:val="0"/>
        <w:snapToGrid w:val="0"/>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rsidR="00BF60A0" w:rsidRDefault="006E4EA0">
      <w:pPr>
        <w:adjustRightInd w:val="0"/>
        <w:snapToGrid w:val="0"/>
        <w:spacing w:line="360" w:lineRule="auto"/>
        <w:ind w:firstLineChars="200" w:firstLine="480"/>
        <w:rPr>
          <w:bCs/>
          <w:sz w:val="24"/>
        </w:rPr>
      </w:pPr>
      <w:r>
        <w:rPr>
          <w:rFonts w:hint="eastAsia"/>
          <w:bCs/>
          <w:sz w:val="24"/>
        </w:rPr>
        <w:t>3</w:t>
      </w:r>
      <w:r>
        <w:rPr>
          <w:rFonts w:hint="eastAsia"/>
          <w:bCs/>
          <w:sz w:val="24"/>
        </w:rPr>
        <w:t>、有利于基金财产的安全与增值；</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八、侧袋机制的实施和投资运作安排</w:t>
      </w:r>
    </w:p>
    <w:p w:rsidR="00BF60A0" w:rsidRDefault="006E4EA0">
      <w:pPr>
        <w:adjustRightInd w:val="0"/>
        <w:snapToGrid w:val="0"/>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BF60A0" w:rsidRDefault="006E4EA0">
      <w:pPr>
        <w:adjustRightInd w:val="0"/>
        <w:snapToGrid w:val="0"/>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rsidR="00BF60A0" w:rsidRDefault="006E4EA0">
      <w:pPr>
        <w:adjustRightInd w:val="0"/>
        <w:snapToGrid w:val="0"/>
        <w:spacing w:line="360" w:lineRule="auto"/>
        <w:ind w:firstLineChars="200" w:firstLine="480"/>
        <w:rPr>
          <w:bCs/>
          <w:sz w:val="24"/>
        </w:rPr>
      </w:pPr>
      <w:r>
        <w:rPr>
          <w:rFonts w:hint="eastAsia"/>
          <w:bCs/>
          <w:sz w:val="24"/>
        </w:rPr>
        <w:t>侧袋账户的实施条件、实施程序、运作安排、投资安排、特定资产的处置变现</w:t>
      </w:r>
      <w:r>
        <w:rPr>
          <w:rFonts w:hint="eastAsia"/>
          <w:bCs/>
          <w:sz w:val="24"/>
        </w:rPr>
        <w:lastRenderedPageBreak/>
        <w:t>和支付等对投资者权益有重大影响的事项详见招募说明书的规定。</w:t>
      </w:r>
    </w:p>
    <w:p w:rsidR="00BF60A0" w:rsidRDefault="006E4EA0">
      <w:pPr>
        <w:pStyle w:val="1"/>
        <w:spacing w:before="0" w:after="0"/>
        <w:ind w:firstLineChars="200" w:firstLine="420"/>
        <w:rPr>
          <w:sz w:val="30"/>
        </w:rPr>
      </w:pPr>
      <w:r>
        <w:rPr>
          <w:b w:val="0"/>
          <w:bCs/>
          <w:sz w:val="21"/>
        </w:rPr>
        <w:br w:type="page"/>
      </w:r>
      <w:bookmarkStart w:id="247" w:name="_Toc92662704"/>
      <w:bookmarkStart w:id="248" w:name="_Toc93226145"/>
      <w:bookmarkStart w:id="249" w:name="_Toc29561"/>
      <w:bookmarkStart w:id="250" w:name="_Toc24474"/>
      <w:bookmarkStart w:id="251" w:name="_Toc141703893"/>
      <w:bookmarkStart w:id="252" w:name="_Toc139991743"/>
      <w:bookmarkStart w:id="253" w:name="_Toc128310496"/>
      <w:bookmarkStart w:id="254" w:name="_Toc18000"/>
      <w:bookmarkStart w:id="255" w:name="_Toc31611"/>
      <w:bookmarkStart w:id="256" w:name="_Toc32030"/>
      <w:bookmarkStart w:id="257" w:name="_Toc312933442"/>
      <w:bookmarkStart w:id="258" w:name="_Toc26114"/>
      <w:bookmarkStart w:id="259" w:name="_Toc20102"/>
      <w:bookmarkStart w:id="260" w:name="_Toc21642"/>
      <w:bookmarkStart w:id="261" w:name="_Toc3054"/>
      <w:bookmarkStart w:id="262" w:name="_Toc20782"/>
      <w:bookmarkStart w:id="263" w:name="_Toc535765921"/>
      <w:r>
        <w:rPr>
          <w:sz w:val="30"/>
        </w:rPr>
        <w:lastRenderedPageBreak/>
        <w:t>第十</w:t>
      </w:r>
      <w:r>
        <w:rPr>
          <w:rFonts w:hint="eastAsia"/>
          <w:sz w:val="30"/>
        </w:rPr>
        <w:t>三</w:t>
      </w:r>
      <w:r>
        <w:rPr>
          <w:sz w:val="30"/>
        </w:rPr>
        <w:t>部分</w:t>
      </w:r>
      <w:r>
        <w:rPr>
          <w:sz w:val="30"/>
        </w:rPr>
        <w:t xml:space="preserve">  </w:t>
      </w:r>
      <w:r>
        <w:rPr>
          <w:sz w:val="30"/>
        </w:rPr>
        <w:t>基金</w:t>
      </w:r>
      <w:bookmarkEnd w:id="247"/>
      <w:bookmarkEnd w:id="248"/>
      <w:r>
        <w:rPr>
          <w:sz w:val="30"/>
        </w:rPr>
        <w:t>的财产</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一、基金资产总值</w:t>
      </w:r>
    </w:p>
    <w:p w:rsidR="00BF60A0" w:rsidRDefault="006E4EA0">
      <w:pPr>
        <w:adjustRightInd w:val="0"/>
        <w:snapToGrid w:val="0"/>
        <w:spacing w:line="360" w:lineRule="auto"/>
        <w:ind w:firstLineChars="200" w:firstLine="480"/>
        <w:rPr>
          <w:bCs/>
          <w:sz w:val="24"/>
        </w:rPr>
      </w:pPr>
      <w:r>
        <w:rPr>
          <w:bCs/>
          <w:sz w:val="24"/>
        </w:rPr>
        <w:t>基金资产总值是指</w:t>
      </w:r>
      <w:r>
        <w:rPr>
          <w:rFonts w:hint="eastAsia"/>
          <w:bCs/>
          <w:sz w:val="24"/>
        </w:rPr>
        <w:t>基金拥有的各类有价证券、银行存款本息、基金应收款项及其他资产的价值总和</w:t>
      </w:r>
      <w:r>
        <w:rPr>
          <w:bCs/>
          <w:sz w:val="24"/>
        </w:rPr>
        <w:t>。</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二、基金资产净值</w:t>
      </w:r>
    </w:p>
    <w:p w:rsidR="00BF60A0" w:rsidRDefault="006E4EA0">
      <w:pPr>
        <w:adjustRightInd w:val="0"/>
        <w:snapToGrid w:val="0"/>
        <w:spacing w:line="360" w:lineRule="auto"/>
        <w:ind w:firstLineChars="200" w:firstLine="480"/>
        <w:rPr>
          <w:bCs/>
          <w:sz w:val="24"/>
        </w:rPr>
      </w:pPr>
      <w:r>
        <w:rPr>
          <w:bCs/>
          <w:sz w:val="24"/>
        </w:rPr>
        <w:t>基金资产净值是指基金资产总值减去基金负债后的价值。</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三、基金财产的账户</w:t>
      </w:r>
    </w:p>
    <w:p w:rsidR="00BF60A0" w:rsidRDefault="006E4EA0">
      <w:pPr>
        <w:adjustRightInd w:val="0"/>
        <w:snapToGrid w:val="0"/>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64" w:name="_Hlt88841837"/>
      <w:bookmarkEnd w:id="264"/>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四、基金财产的保管和处分</w:t>
      </w:r>
      <w:bookmarkStart w:id="265" w:name="_Hlt88900062"/>
      <w:bookmarkEnd w:id="265"/>
    </w:p>
    <w:p w:rsidR="00BF60A0" w:rsidRDefault="006E4EA0">
      <w:pPr>
        <w:adjustRightInd w:val="0"/>
        <w:snapToGrid w:val="0"/>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F60A0" w:rsidRDefault="006E4EA0">
      <w:pPr>
        <w:adjustRightInd w:val="0"/>
        <w:snapToGrid w:val="0"/>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rsidR="00BF60A0" w:rsidRDefault="006E4EA0">
      <w:pPr>
        <w:pStyle w:val="1"/>
        <w:spacing w:before="0" w:after="0"/>
        <w:rPr>
          <w:sz w:val="30"/>
        </w:rPr>
      </w:pPr>
      <w:r>
        <w:rPr>
          <w:b w:val="0"/>
          <w:bCs/>
          <w:sz w:val="21"/>
        </w:rPr>
        <w:br w:type="page"/>
      </w:r>
      <w:bookmarkStart w:id="266" w:name="_Toc871"/>
      <w:bookmarkStart w:id="267" w:name="_Toc19714"/>
      <w:bookmarkStart w:id="268" w:name="_Toc312933443"/>
      <w:bookmarkStart w:id="269" w:name="_Toc31917"/>
      <w:bookmarkStart w:id="270" w:name="_Toc17782"/>
      <w:bookmarkStart w:id="271" w:name="_Toc27832"/>
      <w:bookmarkStart w:id="272" w:name="_Toc7802"/>
      <w:bookmarkStart w:id="273" w:name="_Toc535765922"/>
      <w:bookmarkStart w:id="274" w:name="_Toc139991744"/>
      <w:bookmarkStart w:id="275" w:name="_Toc141703894"/>
      <w:r>
        <w:rPr>
          <w:sz w:val="30"/>
        </w:rPr>
        <w:lastRenderedPageBreak/>
        <w:t>第十</w:t>
      </w:r>
      <w:r>
        <w:rPr>
          <w:rFonts w:hint="eastAsia"/>
          <w:sz w:val="30"/>
        </w:rPr>
        <w:t>四</w:t>
      </w:r>
      <w:r>
        <w:rPr>
          <w:sz w:val="30"/>
        </w:rPr>
        <w:t>部分</w:t>
      </w:r>
      <w:r>
        <w:rPr>
          <w:sz w:val="30"/>
        </w:rPr>
        <w:t xml:space="preserve">  </w:t>
      </w:r>
      <w:r>
        <w:rPr>
          <w:sz w:val="30"/>
        </w:rPr>
        <w:t>基金资产估值</w:t>
      </w:r>
      <w:bookmarkEnd w:id="266"/>
      <w:bookmarkEnd w:id="267"/>
      <w:bookmarkEnd w:id="268"/>
      <w:bookmarkEnd w:id="269"/>
      <w:bookmarkEnd w:id="270"/>
      <w:bookmarkEnd w:id="271"/>
      <w:bookmarkEnd w:id="272"/>
      <w:bookmarkEnd w:id="273"/>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bookmarkStart w:id="276" w:name="_Toc139991745"/>
      <w:bookmarkStart w:id="277" w:name="_Toc32046"/>
      <w:bookmarkStart w:id="278" w:name="_Toc141703895"/>
      <w:bookmarkEnd w:id="274"/>
      <w:bookmarkEnd w:id="275"/>
      <w:r>
        <w:rPr>
          <w:bCs/>
          <w:sz w:val="24"/>
        </w:rPr>
        <w:t>一、估值日</w:t>
      </w:r>
    </w:p>
    <w:p w:rsidR="00BF60A0" w:rsidRDefault="006E4EA0">
      <w:pPr>
        <w:adjustRightInd w:val="0"/>
        <w:snapToGrid w:val="0"/>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二、估值对象</w:t>
      </w:r>
    </w:p>
    <w:p w:rsidR="00BF60A0" w:rsidRDefault="006E4EA0">
      <w:pPr>
        <w:adjustRightInd w:val="0"/>
        <w:snapToGrid w:val="0"/>
        <w:spacing w:line="360" w:lineRule="auto"/>
        <w:ind w:firstLineChars="200" w:firstLine="480"/>
        <w:rPr>
          <w:bCs/>
          <w:sz w:val="24"/>
        </w:rPr>
      </w:pPr>
      <w:r>
        <w:rPr>
          <w:bCs/>
          <w:sz w:val="24"/>
        </w:rPr>
        <w:t>基金所拥有的股票、债券</w:t>
      </w:r>
      <w:r>
        <w:rPr>
          <w:rFonts w:hint="eastAsia"/>
          <w:bCs/>
          <w:sz w:val="24"/>
        </w:rPr>
        <w:t>、资产支持证券、衍生工具和其他投资等持续以公允价值计量的金融资产及负债。</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三、</w:t>
      </w:r>
      <w:r>
        <w:rPr>
          <w:rFonts w:hint="eastAsia"/>
          <w:bCs/>
          <w:sz w:val="24"/>
        </w:rPr>
        <w:t>估值原则</w:t>
      </w:r>
    </w:p>
    <w:p w:rsidR="00BF60A0" w:rsidRDefault="006E4EA0">
      <w:pPr>
        <w:adjustRightInd w:val="0"/>
        <w:snapToGrid w:val="0"/>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BF60A0" w:rsidRDefault="006E4EA0">
      <w:pPr>
        <w:adjustRightInd w:val="0"/>
        <w:snapToGrid w:val="0"/>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BF60A0" w:rsidRDefault="006E4EA0">
      <w:pPr>
        <w:adjustRightInd w:val="0"/>
        <w:snapToGrid w:val="0"/>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BF60A0" w:rsidRDefault="006E4EA0">
      <w:pPr>
        <w:adjustRightInd w:val="0"/>
        <w:snapToGrid w:val="0"/>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BF60A0" w:rsidRDefault="006E4EA0">
      <w:pPr>
        <w:adjustRightInd w:val="0"/>
        <w:snapToGrid w:val="0"/>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rsidR="00BF60A0" w:rsidRDefault="006E4EA0">
      <w:pPr>
        <w:adjustRightInd w:val="0"/>
        <w:snapToGrid w:val="0"/>
        <w:spacing w:line="360" w:lineRule="auto"/>
        <w:ind w:firstLineChars="200" w:firstLine="480"/>
        <w:rPr>
          <w:bCs/>
          <w:sz w:val="24"/>
        </w:rPr>
      </w:pPr>
      <w:r>
        <w:rPr>
          <w:rFonts w:hint="eastAsia"/>
          <w:bCs/>
          <w:sz w:val="24"/>
        </w:rPr>
        <w:lastRenderedPageBreak/>
        <w:t>四、</w:t>
      </w:r>
      <w:r>
        <w:rPr>
          <w:bCs/>
          <w:sz w:val="24"/>
        </w:rPr>
        <w:t>估值方法</w:t>
      </w:r>
    </w:p>
    <w:p w:rsidR="00BF60A0" w:rsidRDefault="006E4EA0">
      <w:pPr>
        <w:adjustRightInd w:val="0"/>
        <w:snapToGrid w:val="0"/>
        <w:spacing w:line="360" w:lineRule="auto"/>
        <w:ind w:firstLineChars="200" w:firstLine="480"/>
        <w:rPr>
          <w:bCs/>
          <w:sz w:val="24"/>
        </w:rPr>
      </w:pPr>
      <w:r>
        <w:rPr>
          <w:bCs/>
          <w:sz w:val="24"/>
        </w:rPr>
        <w:t>1</w:t>
      </w:r>
      <w:r>
        <w:rPr>
          <w:bCs/>
          <w:sz w:val="24"/>
        </w:rPr>
        <w:t>、证券交易所上市的有价证券的估值</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）交易所上市的有价证券，以其估值日在证券交易所挂牌的市价（收盘价）估值；估值日无交易的，且最近交易日后经济环境未发生重大变化</w:t>
      </w:r>
      <w:r>
        <w:rPr>
          <w:rFonts w:hint="eastAsia"/>
          <w:bCs/>
          <w:sz w:val="24"/>
        </w:rPr>
        <w:t>或证券发行机构未发生影响证券价格的重大事件的</w:t>
      </w:r>
      <w:r>
        <w:rPr>
          <w:bCs/>
          <w:sz w:val="24"/>
        </w:rPr>
        <w:t>，以最近交易日的市价（收盘价）估值；如最近交易日后经济环境发生了重大变化</w:t>
      </w:r>
      <w:r>
        <w:rPr>
          <w:rFonts w:hint="eastAsia"/>
          <w:bCs/>
          <w:sz w:val="24"/>
        </w:rPr>
        <w:t>或证券发行机构发生影响证券价格的重大事件</w:t>
      </w:r>
      <w:r>
        <w:rPr>
          <w:bCs/>
          <w:sz w:val="24"/>
        </w:rPr>
        <w:t>的，可参考类似投资品种的现行市价及重大变化因素，调整最近交易市价，确定公允价格</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w:t>
      </w:r>
      <w:r>
        <w:rPr>
          <w:rFonts w:hint="eastAsia"/>
          <w:bCs/>
          <w:sz w:val="24"/>
        </w:rPr>
        <w:t>交易所上市交易或挂牌转让的固定收益品种（另有规定的除外），选取估值日第三方估值机构提供的相应品种当日的估值净价进行估值；</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BF60A0" w:rsidRDefault="006E4EA0">
      <w:pPr>
        <w:adjustRightInd w:val="0"/>
        <w:snapToGrid w:val="0"/>
        <w:spacing w:line="360" w:lineRule="auto"/>
        <w:ind w:firstLineChars="200" w:firstLine="480"/>
        <w:rPr>
          <w:bCs/>
          <w:sz w:val="24"/>
        </w:rPr>
      </w:pPr>
      <w:r>
        <w:rPr>
          <w:bCs/>
          <w:sz w:val="24"/>
        </w:rPr>
        <w:t>2</w:t>
      </w:r>
      <w:r>
        <w:rPr>
          <w:bCs/>
          <w:sz w:val="24"/>
        </w:rPr>
        <w:t>、处于未上市期间的有价证券应区分如下情况处理：</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w:t>
      </w:r>
      <w:r>
        <w:rPr>
          <w:rFonts w:hint="eastAsia"/>
          <w:bCs/>
          <w:sz w:val="24"/>
        </w:rPr>
        <w:t>；该日无交易的，以最近一日的市价（收盘价）估值；</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lastRenderedPageBreak/>
        <w:t>（</w:t>
      </w:r>
      <w:r>
        <w:rPr>
          <w:bCs/>
          <w:sz w:val="24"/>
        </w:rPr>
        <w:t>3</w:t>
      </w:r>
      <w:r>
        <w:rPr>
          <w:bCs/>
          <w:sz w:val="24"/>
        </w:rPr>
        <w:t>）</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BF60A0" w:rsidRDefault="006E4EA0">
      <w:pPr>
        <w:adjustRightInd w:val="0"/>
        <w:snapToGrid w:val="0"/>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F60A0" w:rsidRDefault="006E4EA0">
      <w:pPr>
        <w:adjustRightInd w:val="0"/>
        <w:snapToGrid w:val="0"/>
        <w:spacing w:line="360" w:lineRule="auto"/>
        <w:ind w:firstLineChars="200" w:firstLine="480"/>
        <w:rPr>
          <w:bCs/>
          <w:sz w:val="24"/>
        </w:rPr>
      </w:pPr>
      <w:r>
        <w:rPr>
          <w:bCs/>
          <w:sz w:val="24"/>
        </w:rPr>
        <w:t>4</w:t>
      </w:r>
      <w:r>
        <w:rPr>
          <w:rFonts w:hint="eastAsia"/>
          <w:bCs/>
          <w:sz w:val="24"/>
        </w:rPr>
        <w:t>、同一证券同时在两个或两个以上市场交易的，按证券所处的市场分别估值。</w:t>
      </w:r>
    </w:p>
    <w:p w:rsidR="00BF60A0" w:rsidRDefault="006E4EA0">
      <w:pPr>
        <w:adjustRightInd w:val="0"/>
        <w:snapToGrid w:val="0"/>
        <w:spacing w:line="360" w:lineRule="auto"/>
        <w:ind w:firstLineChars="200" w:firstLine="480"/>
        <w:rPr>
          <w:bCs/>
          <w:sz w:val="24"/>
        </w:rPr>
      </w:pPr>
      <w:r>
        <w:rPr>
          <w:bCs/>
          <w:sz w:val="24"/>
        </w:rPr>
        <w:t>5</w:t>
      </w:r>
      <w:r>
        <w:rPr>
          <w:rFonts w:hint="eastAsia"/>
          <w:bCs/>
          <w:sz w:val="24"/>
        </w:rPr>
        <w:t>、估值计算中涉及港币对人民币汇率的，将依据下列信息提供机构所提供的汇率为基准：当日中国人民银行或其授权机构当日公布的人民币与港币的中间价。</w:t>
      </w:r>
    </w:p>
    <w:p w:rsidR="00BF60A0" w:rsidRDefault="006E4EA0">
      <w:pPr>
        <w:adjustRightInd w:val="0"/>
        <w:snapToGrid w:val="0"/>
        <w:spacing w:line="360" w:lineRule="auto"/>
        <w:ind w:firstLineChars="200" w:firstLine="480"/>
        <w:rPr>
          <w:bCs/>
          <w:sz w:val="24"/>
        </w:rPr>
      </w:pPr>
      <w:r>
        <w:rPr>
          <w:bCs/>
          <w:sz w:val="24"/>
        </w:rPr>
        <w:t>6</w:t>
      </w:r>
      <w:r>
        <w:rPr>
          <w:rFonts w:hint="eastAsia"/>
          <w:bCs/>
          <w:sz w:val="24"/>
        </w:rPr>
        <w:t>、对于因税收规定调整或其他原因导致产品实际交纳税金与估算的应交税金有差异的，产品将在相关税金调整日或实际支付日进行相应的会计处理。</w:t>
      </w:r>
    </w:p>
    <w:p w:rsidR="00BF60A0" w:rsidRDefault="006E4EA0">
      <w:pPr>
        <w:adjustRightInd w:val="0"/>
        <w:snapToGrid w:val="0"/>
        <w:spacing w:line="360" w:lineRule="auto"/>
        <w:ind w:firstLineChars="200" w:firstLine="480"/>
        <w:rPr>
          <w:bCs/>
          <w:sz w:val="24"/>
        </w:rPr>
      </w:pPr>
      <w:r>
        <w:rPr>
          <w:bCs/>
          <w:sz w:val="24"/>
        </w:rPr>
        <w:t>7</w:t>
      </w:r>
      <w:r>
        <w:rPr>
          <w:rFonts w:hint="eastAsia"/>
          <w:bCs/>
          <w:sz w:val="24"/>
        </w:rPr>
        <w:t>、本基金投资存托凭证的估值核算依照境内上市交易的股票执行。</w:t>
      </w:r>
    </w:p>
    <w:p w:rsidR="00BF60A0" w:rsidRDefault="006E4EA0">
      <w:pPr>
        <w:adjustRightInd w:val="0"/>
        <w:snapToGrid w:val="0"/>
        <w:spacing w:line="360" w:lineRule="auto"/>
        <w:ind w:firstLineChars="200" w:firstLine="480"/>
        <w:rPr>
          <w:rFonts w:ascii="宋体" w:hAnsi="宋体"/>
          <w:bCs/>
          <w:sz w:val="24"/>
        </w:rPr>
      </w:pPr>
      <w:r>
        <w:rPr>
          <w:bCs/>
          <w:sz w:val="24"/>
        </w:rPr>
        <w:t>8</w:t>
      </w:r>
      <w:r>
        <w:rPr>
          <w:rFonts w:hint="eastAsia"/>
          <w:bCs/>
          <w:sz w:val="24"/>
        </w:rPr>
        <w:t>、</w:t>
      </w:r>
      <w:r>
        <w:rPr>
          <w:bCs/>
          <w:sz w:val="24"/>
        </w:rPr>
        <w:t>如有确凿证据表明按上述方法进行估值不能客观反映其公允价值的，基金管</w:t>
      </w:r>
      <w:r>
        <w:rPr>
          <w:rFonts w:ascii="宋体" w:hAnsi="宋体"/>
          <w:bCs/>
          <w:sz w:val="24"/>
        </w:rPr>
        <w:t>理人可根据具体情况与基金托管人商定后，按最能反映公允价值的价格估值。</w:t>
      </w:r>
    </w:p>
    <w:p w:rsidR="00BF60A0" w:rsidRDefault="006E4EA0">
      <w:pPr>
        <w:adjustRightInd w:val="0"/>
        <w:snapToGrid w:val="0"/>
        <w:spacing w:line="360" w:lineRule="auto"/>
        <w:ind w:firstLineChars="200" w:firstLine="480"/>
        <w:rPr>
          <w:bCs/>
          <w:sz w:val="24"/>
        </w:rPr>
      </w:pPr>
      <w:r>
        <w:rPr>
          <w:bCs/>
          <w:sz w:val="24"/>
        </w:rPr>
        <w:t>9</w:t>
      </w:r>
      <w:r>
        <w:rPr>
          <w:rFonts w:hint="eastAsia"/>
          <w:bCs/>
          <w:sz w:val="24"/>
        </w:rPr>
        <w:t>、当发生大额申购或赎回情形时，基金管理人可以采用摆动定价机制，以确保基金估值的公平性。</w:t>
      </w:r>
    </w:p>
    <w:p w:rsidR="00BF60A0" w:rsidRDefault="006E4EA0">
      <w:pPr>
        <w:adjustRightInd w:val="0"/>
        <w:snapToGrid w:val="0"/>
        <w:spacing w:line="360" w:lineRule="auto"/>
        <w:ind w:firstLineChars="200" w:firstLine="480"/>
        <w:rPr>
          <w:rFonts w:ascii="宋体" w:hAnsi="宋体"/>
          <w:bCs/>
          <w:sz w:val="24"/>
        </w:rPr>
      </w:pPr>
      <w:r>
        <w:rPr>
          <w:bCs/>
          <w:sz w:val="24"/>
        </w:rPr>
        <w:t>10</w:t>
      </w:r>
      <w:r>
        <w:rPr>
          <w:rFonts w:ascii="宋体" w:hAnsi="宋体"/>
          <w:bCs/>
          <w:sz w:val="24"/>
        </w:rPr>
        <w:t>、相关法律法规以及监管部门有强制规定的，从其规定。如有新增事项，按国家最新规定估值。</w:t>
      </w:r>
    </w:p>
    <w:p w:rsidR="00BF60A0" w:rsidRDefault="006E4EA0">
      <w:pPr>
        <w:adjustRightInd w:val="0"/>
        <w:snapToGrid w:val="0"/>
        <w:spacing w:line="360" w:lineRule="auto"/>
        <w:ind w:firstLineChars="200" w:firstLine="480"/>
        <w:rPr>
          <w:rStyle w:val="read"/>
          <w:rFonts w:ascii="宋体" w:hAnsi="宋体"/>
          <w:bCs/>
          <w:sz w:val="24"/>
        </w:rPr>
      </w:pPr>
      <w:r>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F60A0" w:rsidRDefault="006E4EA0">
      <w:pPr>
        <w:adjustRightInd w:val="0"/>
        <w:snapToGrid w:val="0"/>
        <w:spacing w:line="360" w:lineRule="auto"/>
        <w:ind w:firstLineChars="200" w:firstLine="480"/>
        <w:rPr>
          <w:bCs/>
          <w:sz w:val="24"/>
        </w:rPr>
      </w:pPr>
      <w:r>
        <w:rPr>
          <w:rFonts w:ascii="宋体" w:hAnsi="宋体"/>
          <w:bCs/>
          <w:sz w:val="24"/>
        </w:rPr>
        <w:t>根据有关法律法</w:t>
      </w:r>
      <w:r>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五</w:t>
      </w:r>
      <w:r>
        <w:rPr>
          <w:bCs/>
          <w:sz w:val="24"/>
        </w:rPr>
        <w:t>、估值程序</w:t>
      </w:r>
    </w:p>
    <w:p w:rsidR="00BF60A0" w:rsidRDefault="006E4EA0">
      <w:pPr>
        <w:adjustRightInd w:val="0"/>
        <w:snapToGrid w:val="0"/>
        <w:spacing w:line="360" w:lineRule="auto"/>
        <w:ind w:firstLineChars="200" w:firstLine="480"/>
        <w:rPr>
          <w:bCs/>
          <w:sz w:val="24"/>
        </w:rPr>
      </w:pPr>
      <w:r>
        <w:rPr>
          <w:bCs/>
          <w:sz w:val="24"/>
        </w:rPr>
        <w:t>1</w:t>
      </w:r>
      <w:r>
        <w:rPr>
          <w:bCs/>
          <w:sz w:val="24"/>
        </w:rPr>
        <w:t>、</w:t>
      </w:r>
      <w:r>
        <w:rPr>
          <w:rFonts w:hint="eastAsia"/>
          <w:bCs/>
          <w:sz w:val="24"/>
        </w:rPr>
        <w:t>各类基金份额的</w:t>
      </w:r>
      <w:r>
        <w:rPr>
          <w:bCs/>
          <w:sz w:val="24"/>
        </w:rPr>
        <w:t>基金份额净值是按照每个工作日闭市后，</w:t>
      </w:r>
      <w:r>
        <w:rPr>
          <w:rFonts w:hint="eastAsia"/>
          <w:bCs/>
          <w:sz w:val="24"/>
        </w:rPr>
        <w:t>该类基金份额的</w:t>
      </w:r>
      <w:r>
        <w:rPr>
          <w:bCs/>
          <w:sz w:val="24"/>
        </w:rPr>
        <w:t>基金资产净值除以当日</w:t>
      </w:r>
      <w:r>
        <w:rPr>
          <w:rFonts w:hint="eastAsia"/>
          <w:bCs/>
          <w:sz w:val="24"/>
        </w:rPr>
        <w:t>该类</w:t>
      </w:r>
      <w:r>
        <w:rPr>
          <w:bCs/>
          <w:sz w:val="24"/>
        </w:rPr>
        <w:t>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w:t>
      </w:r>
      <w:r>
        <w:rPr>
          <w:rFonts w:hint="eastAsia"/>
          <w:bCs/>
          <w:sz w:val="24"/>
        </w:rPr>
        <w:t>基金管理人可以设立大额赎回情形下的净值精度应急调整机制，具体可参见相关公告。</w:t>
      </w:r>
      <w:r>
        <w:rPr>
          <w:bCs/>
          <w:sz w:val="24"/>
        </w:rPr>
        <w:t>国家另有规定的，从其规定。</w:t>
      </w:r>
    </w:p>
    <w:p w:rsidR="00BF60A0" w:rsidRDefault="006E4EA0">
      <w:pPr>
        <w:adjustRightInd w:val="0"/>
        <w:snapToGrid w:val="0"/>
        <w:spacing w:line="360" w:lineRule="auto"/>
        <w:ind w:firstLineChars="200" w:firstLine="480"/>
        <w:rPr>
          <w:bCs/>
          <w:sz w:val="24"/>
        </w:rPr>
      </w:pPr>
      <w:r>
        <w:rPr>
          <w:rFonts w:hint="eastAsia"/>
          <w:bCs/>
          <w:sz w:val="24"/>
        </w:rPr>
        <w:t>基金管理人于</w:t>
      </w:r>
      <w:r>
        <w:rPr>
          <w:bCs/>
          <w:sz w:val="24"/>
        </w:rPr>
        <w:t>每个</w:t>
      </w:r>
      <w:r>
        <w:rPr>
          <w:rFonts w:hint="eastAsia"/>
          <w:bCs/>
          <w:sz w:val="24"/>
        </w:rPr>
        <w:t>工作日</w:t>
      </w:r>
      <w:r>
        <w:rPr>
          <w:bCs/>
          <w:sz w:val="24"/>
        </w:rPr>
        <w:t>计算</w:t>
      </w:r>
      <w:r>
        <w:rPr>
          <w:rFonts w:hint="eastAsia"/>
          <w:bCs/>
          <w:sz w:val="24"/>
        </w:rPr>
        <w:t>各类基金份额的</w:t>
      </w:r>
      <w:r>
        <w:rPr>
          <w:bCs/>
          <w:sz w:val="24"/>
        </w:rPr>
        <w:t>基金资产净值及基金份额净值，并按规定公告。</w:t>
      </w:r>
      <w:r>
        <w:rPr>
          <w:rFonts w:hint="eastAsia"/>
          <w:bCs/>
          <w:sz w:val="24"/>
        </w:rPr>
        <w:t>如遇特殊情况，经履行适当程序，可以适当延迟计算或公告。</w:t>
      </w:r>
    </w:p>
    <w:p w:rsidR="00BF60A0" w:rsidRDefault="006E4EA0">
      <w:pPr>
        <w:adjustRightInd w:val="0"/>
        <w:snapToGrid w:val="0"/>
        <w:spacing w:line="360" w:lineRule="auto"/>
        <w:ind w:firstLineChars="200" w:firstLine="480"/>
        <w:rPr>
          <w:bCs/>
          <w:sz w:val="24"/>
        </w:rPr>
      </w:pPr>
      <w:r>
        <w:rPr>
          <w:bCs/>
          <w:sz w:val="24"/>
        </w:rPr>
        <w:t>2</w:t>
      </w:r>
      <w:r>
        <w:rPr>
          <w:bCs/>
          <w:sz w:val="24"/>
        </w:rPr>
        <w:t>、基金管理人应每个</w:t>
      </w:r>
      <w:r>
        <w:rPr>
          <w:rFonts w:hint="eastAsia"/>
          <w:bCs/>
          <w:sz w:val="24"/>
        </w:rPr>
        <w:t>工作日</w:t>
      </w:r>
      <w:r>
        <w:rPr>
          <w:bCs/>
          <w:sz w:val="24"/>
        </w:rPr>
        <w:t>对基金资产估值</w:t>
      </w:r>
      <w:r>
        <w:rPr>
          <w:rFonts w:hint="eastAsia"/>
          <w:bCs/>
          <w:sz w:val="24"/>
        </w:rPr>
        <w:t>，</w:t>
      </w:r>
      <w:r>
        <w:rPr>
          <w:bCs/>
          <w:sz w:val="24"/>
        </w:rPr>
        <w:t>但基金管理人根据法律法规或本基金合同的规定暂停估值时除外。基金管理人每个</w:t>
      </w:r>
      <w:r>
        <w:rPr>
          <w:rFonts w:hint="eastAsia"/>
          <w:bCs/>
          <w:sz w:val="24"/>
        </w:rPr>
        <w:t>工作日</w:t>
      </w:r>
      <w:r>
        <w:rPr>
          <w:bCs/>
          <w:sz w:val="24"/>
        </w:rPr>
        <w:t>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六</w:t>
      </w:r>
      <w:r>
        <w:rPr>
          <w:bCs/>
          <w:sz w:val="24"/>
        </w:rPr>
        <w:t>、估值错误的处理</w:t>
      </w:r>
    </w:p>
    <w:p w:rsidR="00BF60A0" w:rsidRDefault="006E4EA0">
      <w:pPr>
        <w:adjustRightInd w:val="0"/>
        <w:snapToGrid w:val="0"/>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rsidR="00BF60A0" w:rsidRDefault="006E4EA0">
      <w:pPr>
        <w:adjustRightInd w:val="0"/>
        <w:snapToGrid w:val="0"/>
        <w:spacing w:line="360" w:lineRule="auto"/>
        <w:ind w:firstLineChars="200" w:firstLine="480"/>
        <w:rPr>
          <w:bCs/>
          <w:sz w:val="24"/>
        </w:rPr>
      </w:pPr>
      <w:r>
        <w:rPr>
          <w:bCs/>
          <w:sz w:val="24"/>
        </w:rPr>
        <w:t>本基金合同的当事人应按照以下约定处理：</w:t>
      </w:r>
    </w:p>
    <w:p w:rsidR="00BF60A0" w:rsidRDefault="006E4EA0">
      <w:pPr>
        <w:adjustRightInd w:val="0"/>
        <w:snapToGrid w:val="0"/>
        <w:spacing w:line="360" w:lineRule="auto"/>
        <w:ind w:firstLineChars="200" w:firstLine="480"/>
        <w:rPr>
          <w:bCs/>
          <w:sz w:val="24"/>
        </w:rPr>
      </w:pPr>
      <w:r>
        <w:rPr>
          <w:bCs/>
          <w:sz w:val="24"/>
        </w:rPr>
        <w:t>1</w:t>
      </w:r>
      <w:r>
        <w:rPr>
          <w:bCs/>
          <w:sz w:val="24"/>
        </w:rPr>
        <w:t>、估值错误类型</w:t>
      </w:r>
    </w:p>
    <w:p w:rsidR="00BF60A0" w:rsidRDefault="006E4EA0">
      <w:pPr>
        <w:adjustRightInd w:val="0"/>
        <w:snapToGrid w:val="0"/>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w:t>
      </w:r>
      <w:r>
        <w:rPr>
          <w:bCs/>
          <w:sz w:val="24"/>
        </w:rPr>
        <w:t>受损方</w:t>
      </w:r>
      <w:r>
        <w:rPr>
          <w:rFonts w:hint="eastAsia"/>
          <w:bCs/>
          <w:sz w:val="24"/>
        </w:rPr>
        <w:t>”</w:t>
      </w:r>
      <w:r>
        <w:rPr>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rsidR="00BF60A0" w:rsidRDefault="006E4EA0">
      <w:pPr>
        <w:adjustRightInd w:val="0"/>
        <w:snapToGrid w:val="0"/>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BF60A0" w:rsidRDefault="006E4EA0">
      <w:pPr>
        <w:adjustRightInd w:val="0"/>
        <w:snapToGrid w:val="0"/>
        <w:spacing w:line="360" w:lineRule="auto"/>
        <w:ind w:firstLineChars="200" w:firstLine="480"/>
        <w:rPr>
          <w:bCs/>
          <w:sz w:val="24"/>
        </w:rPr>
      </w:pPr>
      <w:r>
        <w:rPr>
          <w:rFonts w:hint="eastAsia"/>
          <w:bCs/>
          <w:sz w:val="24"/>
        </w:rPr>
        <w:t>对于因技术原因引起的估值错误，若系同行业现有技术水平无法预见、无法避免、无法抗拒，则属不可抗力，按照下述规定执行。</w:t>
      </w:r>
    </w:p>
    <w:p w:rsidR="00BF60A0" w:rsidRDefault="006E4EA0">
      <w:pPr>
        <w:adjustRightInd w:val="0"/>
        <w:snapToGrid w:val="0"/>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BF60A0" w:rsidRDefault="006E4EA0">
      <w:pPr>
        <w:adjustRightInd w:val="0"/>
        <w:snapToGrid w:val="0"/>
        <w:spacing w:line="360" w:lineRule="auto"/>
        <w:ind w:firstLineChars="200" w:firstLine="480"/>
        <w:rPr>
          <w:bCs/>
          <w:sz w:val="24"/>
        </w:rPr>
      </w:pPr>
      <w:r>
        <w:rPr>
          <w:bCs/>
          <w:sz w:val="24"/>
        </w:rPr>
        <w:lastRenderedPageBreak/>
        <w:t>2</w:t>
      </w:r>
      <w:r>
        <w:rPr>
          <w:bCs/>
          <w:sz w:val="24"/>
        </w:rPr>
        <w:t>、估值错误处理原则</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F60A0" w:rsidRDefault="006E4EA0">
      <w:pPr>
        <w:adjustRightInd w:val="0"/>
        <w:snapToGrid w:val="0"/>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BF60A0" w:rsidRDefault="006E4EA0">
      <w:pPr>
        <w:adjustRightInd w:val="0"/>
        <w:snapToGrid w:val="0"/>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受损方</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F60A0" w:rsidRDefault="006E4EA0">
      <w:pPr>
        <w:adjustRightInd w:val="0"/>
        <w:snapToGrid w:val="0"/>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3</w:t>
      </w:r>
      <w:r>
        <w:rPr>
          <w:bCs/>
          <w:sz w:val="24"/>
        </w:rPr>
        <w:t>、估值错误处理程序</w:t>
      </w:r>
    </w:p>
    <w:p w:rsidR="00BF60A0" w:rsidRDefault="006E4EA0">
      <w:pPr>
        <w:adjustRightInd w:val="0"/>
        <w:snapToGrid w:val="0"/>
        <w:spacing w:line="360" w:lineRule="auto"/>
        <w:ind w:firstLineChars="200" w:firstLine="480"/>
        <w:rPr>
          <w:bCs/>
          <w:sz w:val="24"/>
        </w:rPr>
      </w:pPr>
      <w:r>
        <w:rPr>
          <w:bCs/>
          <w:sz w:val="24"/>
        </w:rPr>
        <w:t>估值错误被发现后，有关的当事人应当及时进行处理，处理的程序如下：</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BF60A0" w:rsidRDefault="006E4EA0">
      <w:pPr>
        <w:adjustRightInd w:val="0"/>
        <w:snapToGrid w:val="0"/>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BF60A0" w:rsidRDefault="006E4EA0">
      <w:pPr>
        <w:adjustRightInd w:val="0"/>
        <w:snapToGrid w:val="0"/>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BF60A0" w:rsidRDefault="006E4EA0">
      <w:pPr>
        <w:adjustRightInd w:val="0"/>
        <w:snapToGrid w:val="0"/>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BF60A0" w:rsidRDefault="006E4EA0">
      <w:pPr>
        <w:adjustRightInd w:val="0"/>
        <w:snapToGrid w:val="0"/>
        <w:spacing w:line="360" w:lineRule="auto"/>
        <w:ind w:firstLineChars="200" w:firstLine="480"/>
        <w:rPr>
          <w:bCs/>
          <w:sz w:val="24"/>
        </w:rPr>
      </w:pPr>
      <w:r>
        <w:rPr>
          <w:bCs/>
          <w:sz w:val="24"/>
        </w:rPr>
        <w:t>4</w:t>
      </w:r>
      <w:r>
        <w:rPr>
          <w:bCs/>
          <w:sz w:val="24"/>
        </w:rPr>
        <w:t>、基金份额净值估值错误处理的方法如下：</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w:t>
      </w:r>
      <w:r>
        <w:rPr>
          <w:bCs/>
          <w:sz w:val="24"/>
        </w:rPr>
        <w:lastRenderedPageBreak/>
        <w:t>金托管人，并采取合理的措施防止损失进一步扩大。</w:t>
      </w:r>
    </w:p>
    <w:p w:rsidR="00BF60A0" w:rsidRDefault="006E4EA0">
      <w:pPr>
        <w:adjustRightInd w:val="0"/>
        <w:snapToGrid w:val="0"/>
        <w:spacing w:line="360" w:lineRule="auto"/>
        <w:ind w:firstLineChars="200" w:firstLine="480"/>
        <w:rPr>
          <w:bCs/>
          <w:sz w:val="24"/>
        </w:rPr>
      </w:pPr>
      <w:r>
        <w:rPr>
          <w:bCs/>
          <w:sz w:val="24"/>
        </w:rPr>
        <w:t>（</w:t>
      </w:r>
      <w:r>
        <w:rPr>
          <w:rFonts w:hint="eastAsia"/>
          <w:bCs/>
          <w:sz w:val="24"/>
        </w:rPr>
        <w:t>2</w:t>
      </w:r>
      <w:r>
        <w:rPr>
          <w:bCs/>
          <w:sz w:val="24"/>
        </w:rPr>
        <w:t>）错误偏差达到基金</w:t>
      </w:r>
      <w:r>
        <w:rPr>
          <w:rFonts w:hint="eastAsia"/>
          <w:bCs/>
          <w:sz w:val="24"/>
        </w:rPr>
        <w:t>份额</w:t>
      </w:r>
      <w:r>
        <w:rPr>
          <w:bCs/>
          <w:sz w:val="24"/>
        </w:rPr>
        <w:t>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BF60A0" w:rsidRDefault="006E4EA0">
      <w:pPr>
        <w:adjustRightInd w:val="0"/>
        <w:snapToGrid w:val="0"/>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七</w:t>
      </w:r>
      <w:r>
        <w:rPr>
          <w:bCs/>
          <w:sz w:val="24"/>
        </w:rPr>
        <w:t>、暂停估值的情形</w:t>
      </w:r>
    </w:p>
    <w:p w:rsidR="00BF60A0" w:rsidRDefault="006E4EA0">
      <w:pPr>
        <w:adjustRightInd w:val="0"/>
        <w:snapToGrid w:val="0"/>
        <w:spacing w:line="360" w:lineRule="auto"/>
        <w:ind w:firstLineChars="200" w:firstLine="480"/>
        <w:rPr>
          <w:bCs/>
          <w:sz w:val="24"/>
        </w:rPr>
      </w:pPr>
      <w:r>
        <w:rPr>
          <w:bCs/>
          <w:sz w:val="24"/>
        </w:rPr>
        <w:t>1</w:t>
      </w:r>
      <w:r>
        <w:rPr>
          <w:bCs/>
          <w:sz w:val="24"/>
        </w:rPr>
        <w:t>、基金投资所涉及的证券交易市场遇法定节假日或因其他原因暂停</w:t>
      </w:r>
      <w:r>
        <w:rPr>
          <w:rFonts w:hint="eastAsia"/>
          <w:bCs/>
          <w:sz w:val="24"/>
        </w:rPr>
        <w:t>交易</w:t>
      </w:r>
      <w:r>
        <w:rPr>
          <w:bCs/>
          <w:sz w:val="24"/>
        </w:rPr>
        <w:t>时；</w:t>
      </w:r>
    </w:p>
    <w:p w:rsidR="00BF60A0" w:rsidRDefault="006E4EA0">
      <w:pPr>
        <w:adjustRightInd w:val="0"/>
        <w:snapToGrid w:val="0"/>
        <w:spacing w:line="360" w:lineRule="auto"/>
        <w:ind w:firstLineChars="200" w:firstLine="480"/>
        <w:rPr>
          <w:bCs/>
          <w:sz w:val="24"/>
        </w:rPr>
      </w:pPr>
      <w:r>
        <w:rPr>
          <w:bCs/>
          <w:sz w:val="24"/>
        </w:rPr>
        <w:t>2</w:t>
      </w:r>
      <w:r>
        <w:rPr>
          <w:bCs/>
          <w:sz w:val="24"/>
        </w:rPr>
        <w:t>、因不可抗力</w:t>
      </w:r>
      <w:r>
        <w:rPr>
          <w:rFonts w:hint="eastAsia"/>
          <w:bCs/>
          <w:sz w:val="24"/>
        </w:rPr>
        <w:t>或其他情形</w:t>
      </w:r>
      <w:r>
        <w:rPr>
          <w:bCs/>
          <w:sz w:val="24"/>
        </w:rPr>
        <w:t>致使基金管理人、基金托管人无法准确评估基金资产价值时；</w:t>
      </w:r>
    </w:p>
    <w:p w:rsidR="00BF60A0" w:rsidRDefault="006E4EA0">
      <w:pPr>
        <w:adjustRightInd w:val="0"/>
        <w:snapToGrid w:val="0"/>
        <w:spacing w:line="360" w:lineRule="auto"/>
        <w:ind w:firstLineChars="200" w:firstLine="480"/>
        <w:rPr>
          <w:bCs/>
          <w:sz w:val="24"/>
        </w:rPr>
      </w:pPr>
      <w:r>
        <w:rPr>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BF60A0" w:rsidRDefault="006E4EA0">
      <w:pPr>
        <w:adjustRightInd w:val="0"/>
        <w:snapToGrid w:val="0"/>
        <w:spacing w:line="360" w:lineRule="auto"/>
        <w:ind w:firstLineChars="200" w:firstLine="480"/>
        <w:rPr>
          <w:bCs/>
          <w:sz w:val="24"/>
        </w:rPr>
      </w:pPr>
      <w:r>
        <w:rPr>
          <w:bCs/>
          <w:sz w:val="24"/>
        </w:rPr>
        <w:t>4</w:t>
      </w:r>
      <w:r>
        <w:rPr>
          <w:rFonts w:hint="eastAsia"/>
          <w:bCs/>
          <w:sz w:val="24"/>
        </w:rPr>
        <w:t>、法律法规、</w:t>
      </w:r>
      <w:r>
        <w:rPr>
          <w:bCs/>
          <w:sz w:val="24"/>
        </w:rPr>
        <w:t>中国证监会和基金合同认定的其它情形。</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八</w:t>
      </w:r>
      <w:r>
        <w:rPr>
          <w:bCs/>
          <w:sz w:val="24"/>
        </w:rPr>
        <w:t>、基金净值的确认</w:t>
      </w:r>
    </w:p>
    <w:p w:rsidR="00BF60A0" w:rsidRDefault="006E4EA0">
      <w:pPr>
        <w:adjustRightInd w:val="0"/>
        <w:snapToGrid w:val="0"/>
        <w:spacing w:line="360" w:lineRule="auto"/>
        <w:ind w:firstLineChars="200" w:firstLine="480"/>
        <w:rPr>
          <w:bCs/>
          <w:sz w:val="24"/>
        </w:rPr>
      </w:pPr>
      <w:r>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Pr>
          <w:rFonts w:hint="eastAsia"/>
          <w:bCs/>
          <w:sz w:val="24"/>
        </w:rPr>
        <w:t>各类基金份额</w:t>
      </w:r>
      <w:r>
        <w:rPr>
          <w:bCs/>
          <w:sz w:val="24"/>
        </w:rPr>
        <w:t>的基金资产净值和基金份额净值并发送给基金托管人。基金托管人对净值计算结果复核确认后发送给基金管理人，由基金管理人对基金净值予以公布。</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九、特殊情况的处理</w:t>
      </w:r>
    </w:p>
    <w:p w:rsidR="00BF60A0" w:rsidRDefault="006E4EA0">
      <w:pPr>
        <w:adjustRightInd w:val="0"/>
        <w:snapToGrid w:val="0"/>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8</w:t>
      </w:r>
      <w:r>
        <w:rPr>
          <w:rFonts w:hint="eastAsia"/>
          <w:bCs/>
          <w:sz w:val="24"/>
        </w:rPr>
        <w:t>项进行估值时，所造成的误差不作为基金资产估值错误处理。</w:t>
      </w:r>
    </w:p>
    <w:p w:rsidR="00BF60A0" w:rsidRDefault="006E4EA0">
      <w:pPr>
        <w:adjustRightInd w:val="0"/>
        <w:snapToGrid w:val="0"/>
        <w:spacing w:line="360" w:lineRule="auto"/>
        <w:ind w:firstLineChars="200" w:firstLine="480"/>
        <w:rPr>
          <w:bCs/>
          <w:sz w:val="24"/>
        </w:rPr>
      </w:pPr>
      <w:r>
        <w:rPr>
          <w:bCs/>
          <w:sz w:val="24"/>
        </w:rPr>
        <w:t>2</w:t>
      </w:r>
      <w:r>
        <w:rPr>
          <w:rFonts w:hint="eastAsia"/>
          <w:bCs/>
          <w:sz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十、实施侧袋机制期间的基金资产估值</w:t>
      </w:r>
    </w:p>
    <w:p w:rsidR="00BF60A0" w:rsidRDefault="006E4EA0">
      <w:pPr>
        <w:adjustRightInd w:val="0"/>
        <w:snapToGrid w:val="0"/>
        <w:spacing w:line="360" w:lineRule="auto"/>
        <w:ind w:firstLineChars="200" w:firstLine="480"/>
        <w:rPr>
          <w:bCs/>
          <w:sz w:val="24"/>
        </w:rPr>
      </w:pPr>
      <w:r>
        <w:rPr>
          <w:rFonts w:hint="eastAsia"/>
          <w:bCs/>
          <w:sz w:val="24"/>
        </w:rPr>
        <w:lastRenderedPageBreak/>
        <w:t>本基金实施侧袋机制的，应根据本部分的约定对主袋账户资产进行估值并披露主袋账户的基金净值信息，暂停披露侧袋账户份额净值。</w:t>
      </w:r>
    </w:p>
    <w:p w:rsidR="00BF60A0" w:rsidRDefault="00BF60A0">
      <w:pPr>
        <w:adjustRightInd w:val="0"/>
        <w:snapToGrid w:val="0"/>
        <w:spacing w:line="360" w:lineRule="auto"/>
        <w:ind w:firstLineChars="200" w:firstLine="480"/>
        <w:rPr>
          <w:bCs/>
          <w:sz w:val="24"/>
        </w:rPr>
      </w:pPr>
    </w:p>
    <w:p w:rsidR="00BF60A0" w:rsidRDefault="006E4EA0">
      <w:pPr>
        <w:pStyle w:val="1"/>
        <w:spacing w:before="0" w:after="0"/>
        <w:rPr>
          <w:sz w:val="30"/>
        </w:rPr>
      </w:pPr>
      <w:r>
        <w:rPr>
          <w:b w:val="0"/>
          <w:bCs/>
          <w:sz w:val="30"/>
        </w:rPr>
        <w:br w:type="page"/>
      </w:r>
      <w:bookmarkStart w:id="279" w:name="_Toc15779"/>
      <w:bookmarkStart w:id="280" w:name="_Toc13987"/>
      <w:bookmarkStart w:id="281" w:name="_Toc312933444"/>
      <w:bookmarkStart w:id="282" w:name="_Toc19706"/>
      <w:bookmarkStart w:id="283" w:name="_Toc535765923"/>
      <w:bookmarkStart w:id="284" w:name="_Toc19752"/>
      <w:bookmarkStart w:id="285" w:name="_Toc3365"/>
      <w:bookmarkStart w:id="286" w:name="_Toc32041"/>
      <w:bookmarkStart w:id="287" w:name="_Toc32227"/>
      <w:bookmarkStart w:id="288" w:name="_Toc12105"/>
      <w:bookmarkStart w:id="289" w:name="_Toc24601"/>
      <w:r>
        <w:rPr>
          <w:sz w:val="30"/>
        </w:rPr>
        <w:lastRenderedPageBreak/>
        <w:t>第十</w:t>
      </w:r>
      <w:r>
        <w:rPr>
          <w:rFonts w:hint="eastAsia"/>
          <w:sz w:val="30"/>
        </w:rPr>
        <w:t>五</w:t>
      </w:r>
      <w:r>
        <w:rPr>
          <w:sz w:val="30"/>
        </w:rPr>
        <w:t>部分</w:t>
      </w:r>
      <w:r>
        <w:rPr>
          <w:sz w:val="30"/>
        </w:rPr>
        <w:t xml:space="preserve">  </w:t>
      </w:r>
      <w:r>
        <w:rPr>
          <w:sz w:val="30"/>
        </w:rPr>
        <w:t>基金费用与税收</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一、基金费用的种类</w:t>
      </w:r>
    </w:p>
    <w:p w:rsidR="00BF60A0" w:rsidRDefault="006E4EA0">
      <w:pPr>
        <w:adjustRightInd w:val="0"/>
        <w:snapToGrid w:val="0"/>
        <w:spacing w:line="360" w:lineRule="auto"/>
        <w:ind w:firstLineChars="200" w:firstLine="480"/>
        <w:rPr>
          <w:bCs/>
          <w:sz w:val="24"/>
        </w:rPr>
      </w:pPr>
      <w:r>
        <w:rPr>
          <w:bCs/>
          <w:sz w:val="24"/>
        </w:rPr>
        <w:t>1</w:t>
      </w:r>
      <w:r>
        <w:rPr>
          <w:bCs/>
          <w:sz w:val="24"/>
        </w:rPr>
        <w:t>、基金管理人的管理费；</w:t>
      </w:r>
    </w:p>
    <w:p w:rsidR="00BF60A0" w:rsidRDefault="006E4EA0">
      <w:pPr>
        <w:adjustRightInd w:val="0"/>
        <w:snapToGrid w:val="0"/>
        <w:spacing w:line="360" w:lineRule="auto"/>
        <w:ind w:firstLineChars="200" w:firstLine="480"/>
        <w:rPr>
          <w:bCs/>
          <w:sz w:val="24"/>
        </w:rPr>
      </w:pPr>
      <w:r>
        <w:rPr>
          <w:bCs/>
          <w:sz w:val="24"/>
        </w:rPr>
        <w:t>2</w:t>
      </w:r>
      <w:r>
        <w:rPr>
          <w:bCs/>
          <w:sz w:val="24"/>
        </w:rPr>
        <w:t>、基金托管人的托管费；</w:t>
      </w:r>
    </w:p>
    <w:p w:rsidR="00BF60A0" w:rsidRDefault="006E4EA0">
      <w:pPr>
        <w:adjustRightInd w:val="0"/>
        <w:snapToGrid w:val="0"/>
        <w:spacing w:line="360" w:lineRule="auto"/>
        <w:ind w:firstLineChars="200" w:firstLine="480"/>
        <w:rPr>
          <w:bCs/>
          <w:sz w:val="24"/>
        </w:rPr>
      </w:pPr>
      <w:r>
        <w:rPr>
          <w:bCs/>
          <w:sz w:val="24"/>
        </w:rPr>
        <w:t>3</w:t>
      </w:r>
      <w:r>
        <w:rPr>
          <w:bCs/>
          <w:sz w:val="24"/>
        </w:rPr>
        <w:t>、基金合同生效后与基金相关的信息披露费用；</w:t>
      </w:r>
    </w:p>
    <w:p w:rsidR="00BF60A0" w:rsidRDefault="006E4EA0">
      <w:pPr>
        <w:adjustRightInd w:val="0"/>
        <w:snapToGrid w:val="0"/>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w:t>
      </w:r>
      <w:r>
        <w:rPr>
          <w:rFonts w:hint="eastAsia"/>
          <w:bCs/>
          <w:sz w:val="24"/>
        </w:rPr>
        <w:t>费</w:t>
      </w:r>
      <w:r>
        <w:rPr>
          <w:bCs/>
          <w:sz w:val="24"/>
        </w:rPr>
        <w:t>和诉讼费；</w:t>
      </w:r>
    </w:p>
    <w:p w:rsidR="00BF60A0" w:rsidRDefault="006E4EA0">
      <w:pPr>
        <w:adjustRightInd w:val="0"/>
        <w:snapToGrid w:val="0"/>
        <w:spacing w:line="360" w:lineRule="auto"/>
        <w:ind w:firstLineChars="200" w:firstLine="480"/>
        <w:rPr>
          <w:bCs/>
          <w:sz w:val="24"/>
        </w:rPr>
      </w:pPr>
      <w:r>
        <w:rPr>
          <w:bCs/>
          <w:sz w:val="24"/>
        </w:rPr>
        <w:t>5</w:t>
      </w:r>
      <w:r>
        <w:rPr>
          <w:bCs/>
          <w:sz w:val="24"/>
        </w:rPr>
        <w:t>、基金份额持有人大会费用；</w:t>
      </w:r>
    </w:p>
    <w:p w:rsidR="00BF60A0" w:rsidRDefault="006E4EA0">
      <w:pPr>
        <w:adjustRightInd w:val="0"/>
        <w:snapToGrid w:val="0"/>
        <w:spacing w:line="360" w:lineRule="auto"/>
        <w:ind w:firstLineChars="200" w:firstLine="480"/>
        <w:rPr>
          <w:bCs/>
          <w:sz w:val="24"/>
        </w:rPr>
      </w:pPr>
      <w:r>
        <w:rPr>
          <w:bCs/>
          <w:sz w:val="24"/>
        </w:rPr>
        <w:t>6</w:t>
      </w:r>
      <w:r>
        <w:rPr>
          <w:bCs/>
          <w:sz w:val="24"/>
        </w:rPr>
        <w:t>、基金的证券交易费用；</w:t>
      </w:r>
    </w:p>
    <w:p w:rsidR="00BF60A0" w:rsidRDefault="006E4EA0">
      <w:pPr>
        <w:adjustRightInd w:val="0"/>
        <w:snapToGrid w:val="0"/>
        <w:spacing w:line="360" w:lineRule="auto"/>
        <w:ind w:firstLineChars="200" w:firstLine="480"/>
        <w:rPr>
          <w:bCs/>
          <w:sz w:val="24"/>
        </w:rPr>
      </w:pPr>
      <w:r>
        <w:rPr>
          <w:bCs/>
          <w:sz w:val="24"/>
        </w:rPr>
        <w:t>7</w:t>
      </w:r>
      <w:r>
        <w:rPr>
          <w:bCs/>
          <w:sz w:val="24"/>
        </w:rPr>
        <w:t>、基金的银行汇划费用；</w:t>
      </w:r>
    </w:p>
    <w:p w:rsidR="00BF60A0" w:rsidRDefault="006E4EA0">
      <w:pPr>
        <w:adjustRightInd w:val="0"/>
        <w:snapToGrid w:val="0"/>
        <w:spacing w:line="360" w:lineRule="auto"/>
        <w:ind w:firstLineChars="200" w:firstLine="480"/>
        <w:rPr>
          <w:bCs/>
          <w:sz w:val="24"/>
        </w:rPr>
      </w:pPr>
      <w:r>
        <w:rPr>
          <w:bCs/>
          <w:sz w:val="24"/>
        </w:rPr>
        <w:t>8</w:t>
      </w:r>
      <w:r>
        <w:rPr>
          <w:bCs/>
          <w:sz w:val="24"/>
        </w:rPr>
        <w:t>、</w:t>
      </w:r>
      <w:r>
        <w:rPr>
          <w:rFonts w:ascii="宋体" w:hAnsi="宋体" w:hint="eastAsia"/>
          <w:sz w:val="24"/>
        </w:rPr>
        <w:t>基金的开户费用、账户维护费用；</w:t>
      </w:r>
    </w:p>
    <w:p w:rsidR="00BF60A0" w:rsidRDefault="006E4EA0">
      <w:pPr>
        <w:adjustRightInd w:val="0"/>
        <w:snapToGrid w:val="0"/>
        <w:spacing w:line="360" w:lineRule="auto"/>
        <w:ind w:firstLineChars="200" w:firstLine="480"/>
        <w:rPr>
          <w:bCs/>
          <w:sz w:val="24"/>
        </w:rPr>
      </w:pPr>
      <w:r>
        <w:rPr>
          <w:bCs/>
          <w:sz w:val="24"/>
        </w:rPr>
        <w:t>9</w:t>
      </w:r>
      <w:r>
        <w:rPr>
          <w:bCs/>
          <w:sz w:val="24"/>
        </w:rPr>
        <w:t>、</w:t>
      </w:r>
      <w:r>
        <w:rPr>
          <w:rFonts w:hint="eastAsia"/>
          <w:bCs/>
          <w:sz w:val="24"/>
        </w:rPr>
        <w:t>因投资港股通标的股票而产生的各项合理费用；</w:t>
      </w:r>
    </w:p>
    <w:p w:rsidR="00BF60A0" w:rsidRDefault="006E4EA0">
      <w:pPr>
        <w:adjustRightInd w:val="0"/>
        <w:snapToGrid w:val="0"/>
        <w:spacing w:line="360" w:lineRule="auto"/>
        <w:ind w:firstLineChars="200" w:firstLine="480"/>
        <w:rPr>
          <w:bCs/>
          <w:sz w:val="24"/>
        </w:rPr>
      </w:pPr>
      <w:r>
        <w:rPr>
          <w:rFonts w:hint="eastAsia"/>
          <w:bCs/>
          <w:sz w:val="24"/>
        </w:rPr>
        <w:t>10</w:t>
      </w:r>
      <w:r>
        <w:rPr>
          <w:rFonts w:hint="eastAsia"/>
          <w:bCs/>
          <w:sz w:val="24"/>
        </w:rPr>
        <w:t>、本基金从</w:t>
      </w:r>
      <w:r>
        <w:rPr>
          <w:rFonts w:hint="eastAsia"/>
          <w:bCs/>
          <w:sz w:val="24"/>
        </w:rPr>
        <w:t>C</w:t>
      </w:r>
      <w:r>
        <w:rPr>
          <w:rFonts w:hint="eastAsia"/>
          <w:bCs/>
          <w:sz w:val="24"/>
        </w:rPr>
        <w:t>类基金份额的基金财产中计提的销售服务费；</w:t>
      </w:r>
    </w:p>
    <w:p w:rsidR="00BF60A0" w:rsidRDefault="006E4EA0">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Pr>
          <w:bCs/>
          <w:sz w:val="24"/>
        </w:rPr>
        <w:t>按照国家有关规定和基金合同约定，可以在基金财产中列支的其他费用。</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二、基金费用计提方法、计提标准和支付方式</w:t>
      </w:r>
    </w:p>
    <w:p w:rsidR="00BF60A0" w:rsidRDefault="006E4EA0">
      <w:pPr>
        <w:adjustRightInd w:val="0"/>
        <w:snapToGrid w:val="0"/>
        <w:spacing w:line="360" w:lineRule="auto"/>
        <w:ind w:firstLineChars="200" w:firstLine="480"/>
        <w:rPr>
          <w:bCs/>
          <w:sz w:val="24"/>
        </w:rPr>
      </w:pPr>
      <w:r>
        <w:rPr>
          <w:bCs/>
          <w:sz w:val="24"/>
        </w:rPr>
        <w:t>1</w:t>
      </w:r>
      <w:r>
        <w:rPr>
          <w:bCs/>
          <w:sz w:val="24"/>
        </w:rPr>
        <w:t>、基金管理人的管理费</w:t>
      </w:r>
    </w:p>
    <w:p w:rsidR="00BF60A0" w:rsidRDefault="006E4EA0">
      <w:pPr>
        <w:adjustRightInd w:val="0"/>
        <w:snapToGrid w:val="0"/>
        <w:spacing w:line="360" w:lineRule="auto"/>
        <w:ind w:firstLineChars="200" w:firstLine="480"/>
        <w:rPr>
          <w:bCs/>
          <w:sz w:val="24"/>
        </w:rPr>
      </w:pPr>
      <w:r>
        <w:rPr>
          <w:bCs/>
          <w:sz w:val="24"/>
        </w:rPr>
        <w:t>本基金的管理费按前一日基金资产净值的</w:t>
      </w:r>
      <w:r>
        <w:rPr>
          <w:bCs/>
          <w:sz w:val="24"/>
        </w:rPr>
        <w:t>0.7%</w:t>
      </w:r>
      <w:r>
        <w:rPr>
          <w:bCs/>
          <w:sz w:val="24"/>
        </w:rPr>
        <w:t>年费率计提。管理费的计算方法如下：</w:t>
      </w:r>
    </w:p>
    <w:p w:rsidR="00BF60A0" w:rsidRDefault="006E4EA0">
      <w:pPr>
        <w:adjustRightInd w:val="0"/>
        <w:snapToGrid w:val="0"/>
        <w:spacing w:line="360" w:lineRule="auto"/>
        <w:ind w:firstLineChars="200" w:firstLine="480"/>
        <w:rPr>
          <w:bCs/>
          <w:sz w:val="24"/>
        </w:rPr>
      </w:pPr>
      <w:r>
        <w:rPr>
          <w:bCs/>
          <w:sz w:val="24"/>
        </w:rPr>
        <w:t>H</w:t>
      </w:r>
      <w:r>
        <w:rPr>
          <w:bCs/>
          <w:sz w:val="24"/>
        </w:rPr>
        <w:t>＝</w:t>
      </w:r>
      <w:r>
        <w:rPr>
          <w:bCs/>
          <w:sz w:val="24"/>
        </w:rPr>
        <w:t>E×0.7%÷</w:t>
      </w:r>
      <w:r>
        <w:rPr>
          <w:bCs/>
          <w:sz w:val="24"/>
        </w:rPr>
        <w:t>当年天数</w:t>
      </w:r>
    </w:p>
    <w:p w:rsidR="00BF60A0" w:rsidRDefault="006E4EA0">
      <w:pPr>
        <w:adjustRightInd w:val="0"/>
        <w:snapToGrid w:val="0"/>
        <w:spacing w:line="360" w:lineRule="auto"/>
        <w:ind w:firstLineChars="200" w:firstLine="480"/>
        <w:rPr>
          <w:bCs/>
          <w:sz w:val="24"/>
        </w:rPr>
      </w:pPr>
      <w:r>
        <w:rPr>
          <w:bCs/>
          <w:sz w:val="24"/>
        </w:rPr>
        <w:t>H</w:t>
      </w:r>
      <w:r>
        <w:rPr>
          <w:bCs/>
          <w:sz w:val="24"/>
        </w:rPr>
        <w:t>为每日应计提的基金管理费</w:t>
      </w:r>
    </w:p>
    <w:p w:rsidR="00BF60A0" w:rsidRDefault="006E4EA0">
      <w:pPr>
        <w:adjustRightInd w:val="0"/>
        <w:snapToGrid w:val="0"/>
        <w:spacing w:line="360" w:lineRule="auto"/>
        <w:ind w:firstLineChars="200" w:firstLine="480"/>
        <w:rPr>
          <w:bCs/>
          <w:sz w:val="24"/>
        </w:rPr>
      </w:pPr>
      <w:r>
        <w:rPr>
          <w:bCs/>
          <w:sz w:val="24"/>
        </w:rPr>
        <w:t>E</w:t>
      </w:r>
      <w:r>
        <w:rPr>
          <w:bCs/>
          <w:sz w:val="24"/>
        </w:rPr>
        <w:t>为前一日的基金资产净值</w:t>
      </w:r>
    </w:p>
    <w:p w:rsidR="00BF60A0" w:rsidRDefault="006E4EA0">
      <w:pPr>
        <w:adjustRightInd w:val="0"/>
        <w:snapToGrid w:val="0"/>
        <w:spacing w:line="360" w:lineRule="auto"/>
        <w:ind w:firstLineChars="200" w:firstLine="480"/>
        <w:rPr>
          <w:bCs/>
          <w:sz w:val="24"/>
        </w:rPr>
      </w:pPr>
      <w:r>
        <w:rPr>
          <w:bCs/>
          <w:sz w:val="24"/>
        </w:rPr>
        <w:t>基金管理费每日计</w:t>
      </w:r>
      <w:r>
        <w:rPr>
          <w:rFonts w:hint="eastAsia"/>
          <w:bCs/>
          <w:sz w:val="24"/>
        </w:rPr>
        <w:t>提</w:t>
      </w:r>
      <w:r>
        <w:rPr>
          <w:bCs/>
          <w:sz w:val="24"/>
        </w:rPr>
        <w:t>，逐日累计至每月月末，按月支付，由基金管理人向基金托管人发送基金管理费划款指令，基金托管人复核后于次月前</w:t>
      </w:r>
      <w:r>
        <w:rPr>
          <w:rFonts w:hint="eastAsia"/>
          <w:bCs/>
          <w:sz w:val="24"/>
        </w:rPr>
        <w:t>3</w:t>
      </w:r>
      <w:r>
        <w:rPr>
          <w:bCs/>
          <w:sz w:val="24"/>
        </w:rPr>
        <w:t>个工作日内从基金财产中一次性支付给基金管理人。若遇</w:t>
      </w:r>
      <w:r>
        <w:rPr>
          <w:rFonts w:hint="eastAsia"/>
          <w:bCs/>
          <w:sz w:val="24"/>
        </w:rPr>
        <w:t>不可抗力致使无法按时支付的，支付日期顺延至最近可支付日</w:t>
      </w:r>
      <w:r>
        <w:rPr>
          <w:bCs/>
          <w:sz w:val="24"/>
        </w:rPr>
        <w:t>。</w:t>
      </w:r>
    </w:p>
    <w:p w:rsidR="00BF60A0" w:rsidRDefault="006E4EA0">
      <w:pPr>
        <w:adjustRightInd w:val="0"/>
        <w:snapToGrid w:val="0"/>
        <w:spacing w:line="360" w:lineRule="auto"/>
        <w:ind w:firstLineChars="200" w:firstLine="480"/>
        <w:rPr>
          <w:bCs/>
          <w:sz w:val="24"/>
        </w:rPr>
      </w:pPr>
      <w:r>
        <w:rPr>
          <w:bCs/>
          <w:sz w:val="24"/>
        </w:rPr>
        <w:t>2</w:t>
      </w:r>
      <w:r>
        <w:rPr>
          <w:bCs/>
          <w:sz w:val="24"/>
        </w:rPr>
        <w:t>、基金托管人的托管费</w:t>
      </w:r>
    </w:p>
    <w:p w:rsidR="00BF60A0" w:rsidRDefault="006E4EA0">
      <w:pPr>
        <w:adjustRightInd w:val="0"/>
        <w:snapToGrid w:val="0"/>
        <w:spacing w:line="360" w:lineRule="auto"/>
        <w:ind w:firstLineChars="200" w:firstLine="480"/>
        <w:rPr>
          <w:bCs/>
          <w:sz w:val="24"/>
        </w:rPr>
      </w:pPr>
      <w:r>
        <w:rPr>
          <w:bCs/>
          <w:sz w:val="24"/>
        </w:rPr>
        <w:t>本基金的托管费按前一日基金资产净值的</w:t>
      </w:r>
      <w:r>
        <w:rPr>
          <w:bCs/>
          <w:sz w:val="24"/>
        </w:rPr>
        <w:t>0.2%</w:t>
      </w:r>
      <w:r>
        <w:rPr>
          <w:bCs/>
          <w:sz w:val="24"/>
        </w:rPr>
        <w:t>的年费率计提。托管费的计算方法如下：</w:t>
      </w:r>
    </w:p>
    <w:p w:rsidR="00BF60A0" w:rsidRDefault="006E4EA0">
      <w:pPr>
        <w:adjustRightInd w:val="0"/>
        <w:snapToGrid w:val="0"/>
        <w:spacing w:line="360" w:lineRule="auto"/>
        <w:ind w:firstLineChars="200" w:firstLine="480"/>
        <w:rPr>
          <w:bCs/>
          <w:sz w:val="24"/>
        </w:rPr>
      </w:pPr>
      <w:r>
        <w:rPr>
          <w:bCs/>
          <w:sz w:val="24"/>
        </w:rPr>
        <w:lastRenderedPageBreak/>
        <w:t>H</w:t>
      </w:r>
      <w:r>
        <w:rPr>
          <w:bCs/>
          <w:sz w:val="24"/>
        </w:rPr>
        <w:t>＝</w:t>
      </w:r>
      <w:r>
        <w:rPr>
          <w:bCs/>
          <w:sz w:val="24"/>
        </w:rPr>
        <w:t>E×0.2%÷</w:t>
      </w:r>
      <w:r>
        <w:rPr>
          <w:bCs/>
          <w:sz w:val="24"/>
        </w:rPr>
        <w:t>当年天数</w:t>
      </w:r>
    </w:p>
    <w:p w:rsidR="00BF60A0" w:rsidRDefault="006E4EA0">
      <w:pPr>
        <w:adjustRightInd w:val="0"/>
        <w:snapToGrid w:val="0"/>
        <w:spacing w:line="360" w:lineRule="auto"/>
        <w:ind w:firstLineChars="200" w:firstLine="480"/>
        <w:rPr>
          <w:bCs/>
          <w:sz w:val="24"/>
        </w:rPr>
      </w:pPr>
      <w:r>
        <w:rPr>
          <w:bCs/>
          <w:sz w:val="24"/>
        </w:rPr>
        <w:t>H</w:t>
      </w:r>
      <w:r>
        <w:rPr>
          <w:bCs/>
          <w:sz w:val="24"/>
        </w:rPr>
        <w:t>为每日应计提的基金托管费</w:t>
      </w:r>
    </w:p>
    <w:p w:rsidR="00BF60A0" w:rsidRDefault="006E4EA0">
      <w:pPr>
        <w:adjustRightInd w:val="0"/>
        <w:snapToGrid w:val="0"/>
        <w:spacing w:line="360" w:lineRule="auto"/>
        <w:ind w:firstLineChars="200" w:firstLine="480"/>
        <w:rPr>
          <w:bCs/>
          <w:sz w:val="24"/>
        </w:rPr>
      </w:pPr>
      <w:r>
        <w:rPr>
          <w:bCs/>
          <w:sz w:val="24"/>
        </w:rPr>
        <w:t>E</w:t>
      </w:r>
      <w:r>
        <w:rPr>
          <w:bCs/>
          <w:sz w:val="24"/>
        </w:rPr>
        <w:t>为前一日的基金资产净值</w:t>
      </w:r>
    </w:p>
    <w:p w:rsidR="00BF60A0" w:rsidRDefault="006E4EA0">
      <w:pPr>
        <w:adjustRightInd w:val="0"/>
        <w:snapToGrid w:val="0"/>
        <w:spacing w:line="360" w:lineRule="auto"/>
        <w:ind w:firstLineChars="200" w:firstLine="480"/>
        <w:rPr>
          <w:bCs/>
          <w:sz w:val="24"/>
        </w:rPr>
      </w:pPr>
      <w:r>
        <w:rPr>
          <w:bCs/>
          <w:sz w:val="24"/>
        </w:rPr>
        <w:t>基金托管费每日计</w:t>
      </w:r>
      <w:r>
        <w:rPr>
          <w:rFonts w:hint="eastAsia"/>
          <w:bCs/>
          <w:sz w:val="24"/>
        </w:rPr>
        <w:t>提</w:t>
      </w:r>
      <w:r>
        <w:rPr>
          <w:bCs/>
          <w:sz w:val="24"/>
        </w:rPr>
        <w:t>，逐日累计至每月月末，按月支付，由基金管理人向基金托管人发送基金托管费划款指令，基金托管人复核后于次月前</w:t>
      </w:r>
      <w:r>
        <w:rPr>
          <w:rFonts w:hint="eastAsia"/>
          <w:bCs/>
          <w:sz w:val="24"/>
        </w:rPr>
        <w:t>3</w:t>
      </w:r>
      <w:r>
        <w:rPr>
          <w:bCs/>
          <w:sz w:val="24"/>
        </w:rPr>
        <w:t>个工作日内从基金财产中一次性支取。若遇</w:t>
      </w:r>
      <w:r>
        <w:rPr>
          <w:rFonts w:hint="eastAsia"/>
          <w:bCs/>
          <w:sz w:val="24"/>
        </w:rPr>
        <w:t>不可抗力致使无法按时支付的，支付日期顺延至最近可支付日</w:t>
      </w:r>
      <w:r>
        <w:rPr>
          <w:bCs/>
          <w:sz w:val="24"/>
        </w:rPr>
        <w:t>。</w:t>
      </w:r>
    </w:p>
    <w:p w:rsidR="00BF60A0" w:rsidRDefault="006E4EA0">
      <w:pPr>
        <w:adjustRightInd w:val="0"/>
        <w:snapToGrid w:val="0"/>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BF60A0" w:rsidRDefault="006E4EA0">
      <w:pPr>
        <w:adjustRightInd w:val="0"/>
        <w:snapToGrid w:val="0"/>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D</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4</w:t>
      </w:r>
      <w:r>
        <w:rPr>
          <w:rFonts w:hint="eastAsia"/>
          <w:bCs/>
          <w:sz w:val="24"/>
        </w:rPr>
        <w:t>%</w:t>
      </w:r>
      <w:r>
        <w:rPr>
          <w:rFonts w:hint="eastAsia"/>
          <w:bCs/>
          <w:sz w:val="24"/>
        </w:rPr>
        <w:t>年费率计提。计算方法如下：</w:t>
      </w:r>
    </w:p>
    <w:p w:rsidR="00BF60A0" w:rsidRDefault="006E4EA0">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4</w:t>
      </w:r>
      <w:r>
        <w:rPr>
          <w:rFonts w:hint="eastAsia"/>
          <w:bCs/>
          <w:sz w:val="24"/>
        </w:rPr>
        <w:t>%</w:t>
      </w:r>
      <w:r>
        <w:rPr>
          <w:rFonts w:hint="eastAsia"/>
          <w:bCs/>
          <w:sz w:val="24"/>
        </w:rPr>
        <w:t>÷当年天数</w:t>
      </w:r>
    </w:p>
    <w:p w:rsidR="00BF60A0" w:rsidRDefault="006E4EA0">
      <w:pPr>
        <w:adjustRightInd w:val="0"/>
        <w:snapToGrid w:val="0"/>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BF60A0" w:rsidRDefault="006E4EA0">
      <w:pPr>
        <w:adjustRightInd w:val="0"/>
        <w:snapToGrid w:val="0"/>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BF60A0" w:rsidRDefault="006E4EA0">
      <w:pPr>
        <w:adjustRightInd w:val="0"/>
        <w:snapToGrid w:val="0"/>
        <w:spacing w:line="360" w:lineRule="auto"/>
        <w:ind w:firstLineChars="200" w:firstLine="480"/>
        <w:rPr>
          <w:bCs/>
          <w:sz w:val="24"/>
        </w:rPr>
      </w:pPr>
      <w:r>
        <w:rPr>
          <w:rFonts w:hint="eastAsia"/>
          <w:bCs/>
          <w:sz w:val="24"/>
        </w:rPr>
        <w:t>C</w:t>
      </w:r>
      <w:r>
        <w:rPr>
          <w:rFonts w:hint="eastAsia"/>
          <w:bCs/>
          <w:sz w:val="24"/>
        </w:rPr>
        <w:t>类基金份额销售服务费每日计提，</w:t>
      </w:r>
      <w:r>
        <w:rPr>
          <w:bCs/>
          <w:sz w:val="24"/>
        </w:rPr>
        <w:t>逐日累计至每月月末，按月支付</w:t>
      </w:r>
      <w:r>
        <w:rPr>
          <w:rFonts w:hint="eastAsia"/>
          <w:bCs/>
          <w:sz w:val="24"/>
        </w:rPr>
        <w:t>。由基金管理人向基金托管人发送销售服务费划付指令，基金托管人复核后于次月</w:t>
      </w:r>
      <w:r>
        <w:rPr>
          <w:bCs/>
          <w:sz w:val="24"/>
        </w:rPr>
        <w:t>前</w:t>
      </w:r>
      <w:r>
        <w:rPr>
          <w:rFonts w:hint="eastAsia"/>
          <w:bCs/>
          <w:sz w:val="24"/>
        </w:rPr>
        <w:t>5</w:t>
      </w:r>
      <w:r>
        <w:rPr>
          <w:rFonts w:hint="eastAsia"/>
          <w:bCs/>
          <w:sz w:val="24"/>
        </w:rPr>
        <w:t>个工作日内从基金资产中一次性支付给基金管理人，由基金管理人代付给销售机构。若遇不可抗力致使无法按时支付的，顺延至最近可支付日支付。</w:t>
      </w:r>
    </w:p>
    <w:p w:rsidR="00BF60A0" w:rsidRDefault="006E4EA0">
      <w:pPr>
        <w:adjustRightInd w:val="0"/>
        <w:snapToGrid w:val="0"/>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w:t>
      </w:r>
      <w:r>
        <w:rPr>
          <w:bCs/>
          <w:sz w:val="24"/>
        </w:rPr>
        <w:t>上述</w:t>
      </w:r>
      <w:r>
        <w:rPr>
          <w:rFonts w:hint="eastAsia"/>
          <w:bCs/>
          <w:sz w:val="24"/>
        </w:rPr>
        <w:t>“</w:t>
      </w:r>
      <w:r>
        <w:rPr>
          <w:bCs/>
          <w:sz w:val="24"/>
        </w:rPr>
        <w:t>一、基金费用的种类中第</w:t>
      </w:r>
      <w:r>
        <w:rPr>
          <w:bCs/>
          <w:sz w:val="24"/>
        </w:rPr>
        <w:t>3</w:t>
      </w:r>
      <w:r>
        <w:rPr>
          <w:bCs/>
          <w:sz w:val="24"/>
        </w:rPr>
        <w:t>－</w:t>
      </w:r>
      <w:r>
        <w:rPr>
          <w:bCs/>
          <w:sz w:val="24"/>
        </w:rPr>
        <w:t>9</w:t>
      </w:r>
      <w:r>
        <w:rPr>
          <w:bCs/>
          <w:sz w:val="24"/>
        </w:rPr>
        <w:t>项</w:t>
      </w:r>
      <w:r>
        <w:rPr>
          <w:rFonts w:hint="eastAsia"/>
          <w:bCs/>
          <w:sz w:val="24"/>
        </w:rPr>
        <w:t>、第</w:t>
      </w:r>
      <w:r>
        <w:rPr>
          <w:rFonts w:hint="eastAsia"/>
          <w:bCs/>
          <w:sz w:val="24"/>
        </w:rPr>
        <w:t>1</w:t>
      </w:r>
      <w:r>
        <w:rPr>
          <w:bCs/>
          <w:sz w:val="24"/>
        </w:rPr>
        <w:t>1</w:t>
      </w:r>
      <w:r>
        <w:rPr>
          <w:rFonts w:hint="eastAsia"/>
          <w:bCs/>
          <w:sz w:val="24"/>
        </w:rPr>
        <w:t>项</w:t>
      </w:r>
      <w:r>
        <w:rPr>
          <w:bCs/>
          <w:sz w:val="24"/>
        </w:rPr>
        <w:t>费用</w:t>
      </w:r>
      <w:r>
        <w:rPr>
          <w:rFonts w:hint="eastAsia"/>
          <w:bCs/>
          <w:sz w:val="24"/>
        </w:rPr>
        <w:t>”</w:t>
      </w:r>
      <w:r>
        <w:rPr>
          <w:bCs/>
          <w:sz w:val="24"/>
        </w:rPr>
        <w:t>，根据有关</w:t>
      </w:r>
      <w:r>
        <w:rPr>
          <w:rFonts w:hint="eastAsia"/>
          <w:bCs/>
          <w:sz w:val="24"/>
        </w:rPr>
        <w:t>法律</w:t>
      </w:r>
      <w:r>
        <w:rPr>
          <w:bCs/>
          <w:sz w:val="24"/>
        </w:rPr>
        <w:t>法规及相应协议规定，按费用实际支出金额列入当期费用，由基金托管人从基金财产中支付。</w:t>
      </w:r>
    </w:p>
    <w:p w:rsidR="00BF60A0" w:rsidRDefault="00BF60A0">
      <w:pPr>
        <w:adjustRightInd w:val="0"/>
        <w:snapToGrid w:val="0"/>
        <w:spacing w:line="360" w:lineRule="auto"/>
        <w:ind w:firstLineChars="200" w:firstLine="480"/>
        <w:rPr>
          <w:rFonts w:ascii="宋体" w:hAnsi="宋体"/>
          <w:sz w:val="24"/>
        </w:rPr>
      </w:pPr>
    </w:p>
    <w:p w:rsidR="00BF60A0" w:rsidRDefault="006E4EA0">
      <w:pPr>
        <w:adjustRightInd w:val="0"/>
        <w:snapToGrid w:val="0"/>
        <w:spacing w:line="360" w:lineRule="auto"/>
        <w:ind w:firstLineChars="200" w:firstLine="480"/>
        <w:rPr>
          <w:bCs/>
          <w:sz w:val="24"/>
        </w:rPr>
      </w:pPr>
      <w:r>
        <w:rPr>
          <w:bCs/>
          <w:sz w:val="24"/>
        </w:rPr>
        <w:t>三、不列入基金费用的项目</w:t>
      </w:r>
    </w:p>
    <w:p w:rsidR="00BF60A0" w:rsidRDefault="006E4EA0">
      <w:pPr>
        <w:adjustRightInd w:val="0"/>
        <w:snapToGrid w:val="0"/>
        <w:spacing w:line="360" w:lineRule="auto"/>
        <w:ind w:firstLineChars="200" w:firstLine="480"/>
        <w:rPr>
          <w:bCs/>
          <w:sz w:val="24"/>
        </w:rPr>
      </w:pPr>
      <w:r>
        <w:rPr>
          <w:bCs/>
          <w:sz w:val="24"/>
        </w:rPr>
        <w:t>下列费用不列入基金费用：</w:t>
      </w:r>
    </w:p>
    <w:p w:rsidR="00BF60A0" w:rsidRDefault="006E4EA0">
      <w:pPr>
        <w:adjustRightInd w:val="0"/>
        <w:snapToGrid w:val="0"/>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BF60A0" w:rsidRDefault="006E4EA0">
      <w:pPr>
        <w:adjustRightInd w:val="0"/>
        <w:snapToGrid w:val="0"/>
        <w:spacing w:line="360" w:lineRule="auto"/>
        <w:ind w:firstLineChars="200" w:firstLine="480"/>
        <w:rPr>
          <w:bCs/>
          <w:sz w:val="24"/>
        </w:rPr>
      </w:pPr>
      <w:r>
        <w:rPr>
          <w:bCs/>
          <w:sz w:val="24"/>
        </w:rPr>
        <w:t>2</w:t>
      </w:r>
      <w:r>
        <w:rPr>
          <w:bCs/>
          <w:sz w:val="24"/>
        </w:rPr>
        <w:t>、基金管理人和基金托管人处理与基金运作无关的事项发生的费用；</w:t>
      </w:r>
    </w:p>
    <w:p w:rsidR="00BF60A0" w:rsidRDefault="006E4EA0">
      <w:pPr>
        <w:adjustRightInd w:val="0"/>
        <w:snapToGrid w:val="0"/>
        <w:spacing w:line="360" w:lineRule="auto"/>
        <w:ind w:firstLineChars="200" w:firstLine="480"/>
        <w:rPr>
          <w:bCs/>
          <w:sz w:val="24"/>
        </w:rPr>
      </w:pPr>
      <w:r>
        <w:rPr>
          <w:bCs/>
          <w:sz w:val="24"/>
        </w:rPr>
        <w:t>3</w:t>
      </w:r>
      <w:r>
        <w:rPr>
          <w:bCs/>
          <w:sz w:val="24"/>
        </w:rPr>
        <w:t>、《</w:t>
      </w:r>
      <w:r>
        <w:rPr>
          <w:rFonts w:hint="eastAsia"/>
          <w:bCs/>
          <w:sz w:val="24"/>
        </w:rPr>
        <w:t>交银施罗德荣祥保本混合型证券投资基金</w:t>
      </w:r>
      <w:r>
        <w:rPr>
          <w:bCs/>
          <w:sz w:val="24"/>
        </w:rPr>
        <w:t>基金合同》生效前的相关费用；</w:t>
      </w:r>
    </w:p>
    <w:p w:rsidR="00BF60A0" w:rsidRDefault="006E4EA0">
      <w:pPr>
        <w:adjustRightInd w:val="0"/>
        <w:snapToGrid w:val="0"/>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290" w:name="_Hlt88827255"/>
      <w:bookmarkEnd w:id="290"/>
    </w:p>
    <w:p w:rsidR="00BF60A0" w:rsidRDefault="00BF60A0">
      <w:pPr>
        <w:adjustRightInd w:val="0"/>
        <w:snapToGrid w:val="0"/>
        <w:spacing w:line="360" w:lineRule="auto"/>
        <w:ind w:firstLineChars="200" w:firstLine="480"/>
        <w:rPr>
          <w:bCs/>
          <w:sz w:val="24"/>
        </w:rPr>
      </w:pPr>
    </w:p>
    <w:p w:rsidR="00BF60A0" w:rsidRDefault="006E4EA0">
      <w:pPr>
        <w:spacing w:line="360" w:lineRule="auto"/>
        <w:ind w:firstLineChars="200" w:firstLine="480"/>
        <w:rPr>
          <w:bCs/>
          <w:sz w:val="24"/>
        </w:rPr>
      </w:pPr>
      <w:r>
        <w:rPr>
          <w:rFonts w:hint="eastAsia"/>
          <w:bCs/>
          <w:sz w:val="24"/>
        </w:rPr>
        <w:t>四、《交银施罗德稳固收益债券型证券投资基金基金合同》生效前的相关费用按当时有效的《交银施罗德荣祥保本混合型</w:t>
      </w:r>
      <w:r>
        <w:rPr>
          <w:bCs/>
          <w:sz w:val="24"/>
        </w:rPr>
        <w:t>证券投资基金</w:t>
      </w:r>
      <w:r>
        <w:rPr>
          <w:rFonts w:hint="eastAsia"/>
          <w:bCs/>
          <w:sz w:val="24"/>
        </w:rPr>
        <w:t>基金合同》的约定支付。</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五</w:t>
      </w:r>
      <w:r>
        <w:rPr>
          <w:bCs/>
          <w:sz w:val="24"/>
        </w:rPr>
        <w:t>、</w:t>
      </w:r>
      <w:r>
        <w:rPr>
          <w:rFonts w:hint="eastAsia"/>
          <w:bCs/>
          <w:sz w:val="24"/>
        </w:rPr>
        <w:t>实施侧袋机制期间的基金费用</w:t>
      </w:r>
    </w:p>
    <w:p w:rsidR="00BF60A0" w:rsidRDefault="006E4EA0">
      <w:pPr>
        <w:adjustRightInd w:val="0"/>
        <w:snapToGrid w:val="0"/>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六、</w:t>
      </w:r>
      <w:r>
        <w:rPr>
          <w:bCs/>
          <w:sz w:val="24"/>
        </w:rPr>
        <w:t>基金税收</w:t>
      </w:r>
    </w:p>
    <w:p w:rsidR="00BF60A0" w:rsidRDefault="006E4EA0">
      <w:pPr>
        <w:adjustRightInd w:val="0"/>
        <w:snapToGrid w:val="0"/>
        <w:spacing w:line="360" w:lineRule="auto"/>
        <w:ind w:firstLineChars="200" w:firstLine="480"/>
        <w:rPr>
          <w:bCs/>
          <w:sz w:val="24"/>
        </w:rPr>
      </w:pPr>
      <w:r>
        <w:rPr>
          <w:bCs/>
          <w:sz w:val="24"/>
        </w:rPr>
        <w:t>本基金运作过程中涉及的各纳税主体，其纳税义务按国家税收法律、法规执行。</w:t>
      </w:r>
    </w:p>
    <w:p w:rsidR="00BF60A0" w:rsidRDefault="006E4EA0">
      <w:pPr>
        <w:pStyle w:val="1"/>
        <w:spacing w:before="0" w:after="0"/>
        <w:ind w:firstLine="600"/>
      </w:pPr>
      <w:bookmarkStart w:id="291" w:name="_Toc92662707"/>
      <w:bookmarkStart w:id="292" w:name="_Toc93226149"/>
      <w:bookmarkStart w:id="293" w:name="_Toc128310499"/>
      <w:bookmarkStart w:id="294" w:name="_Toc139991746"/>
      <w:bookmarkStart w:id="295" w:name="_Toc22552"/>
      <w:bookmarkStart w:id="296" w:name="_Toc141703896"/>
      <w:r>
        <w:rPr>
          <w:b w:val="0"/>
          <w:bCs/>
          <w:sz w:val="30"/>
        </w:rPr>
        <w:br w:type="page"/>
      </w:r>
      <w:bookmarkStart w:id="297" w:name="_Toc20052"/>
      <w:bookmarkStart w:id="298" w:name="_Toc3656"/>
      <w:bookmarkStart w:id="299" w:name="_Toc25883"/>
      <w:bookmarkStart w:id="300" w:name="_Toc312933445"/>
      <w:bookmarkStart w:id="301" w:name="_Toc21829"/>
      <w:bookmarkStart w:id="302" w:name="_Toc178"/>
      <w:bookmarkStart w:id="303" w:name="_Toc12761"/>
      <w:bookmarkStart w:id="304" w:name="_Toc19558"/>
      <w:bookmarkStart w:id="305" w:name="_Toc1617"/>
      <w:bookmarkStart w:id="306" w:name="_Toc15525"/>
      <w:bookmarkStart w:id="307" w:name="_Toc535765924"/>
      <w:r>
        <w:rPr>
          <w:sz w:val="30"/>
        </w:rPr>
        <w:lastRenderedPageBreak/>
        <w:t>第十</w:t>
      </w:r>
      <w:r>
        <w:rPr>
          <w:rFonts w:hint="eastAsia"/>
          <w:sz w:val="30"/>
        </w:rPr>
        <w:t>六</w:t>
      </w:r>
      <w:r>
        <w:rPr>
          <w:sz w:val="30"/>
        </w:rPr>
        <w:t>部分</w:t>
      </w:r>
      <w:r>
        <w:rPr>
          <w:sz w:val="30"/>
        </w:rPr>
        <w:t xml:space="preserve">  </w:t>
      </w:r>
      <w:r>
        <w:rPr>
          <w:sz w:val="30"/>
        </w:rPr>
        <w:t>基金</w:t>
      </w:r>
      <w:bookmarkEnd w:id="291"/>
      <w:bookmarkEnd w:id="292"/>
      <w:r>
        <w:rPr>
          <w:sz w:val="30"/>
        </w:rPr>
        <w:t>的收益与分配</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BF60A0" w:rsidRDefault="006E4EA0">
      <w:pPr>
        <w:adjustRightInd w:val="0"/>
        <w:snapToGrid w:val="0"/>
        <w:spacing w:line="360" w:lineRule="auto"/>
        <w:ind w:firstLineChars="200" w:firstLine="480"/>
        <w:rPr>
          <w:bCs/>
          <w:sz w:val="24"/>
        </w:rPr>
      </w:pPr>
      <w:r>
        <w:rPr>
          <w:bCs/>
          <w:sz w:val="24"/>
        </w:rPr>
        <w:t>一、基金利润的构成</w:t>
      </w:r>
    </w:p>
    <w:p w:rsidR="00BF60A0" w:rsidRDefault="006E4EA0">
      <w:pPr>
        <w:adjustRightInd w:val="0"/>
        <w:snapToGrid w:val="0"/>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二、基金可供分配利润</w:t>
      </w:r>
    </w:p>
    <w:p w:rsidR="00BF60A0" w:rsidRDefault="006E4EA0">
      <w:pPr>
        <w:adjustRightInd w:val="0"/>
        <w:snapToGrid w:val="0"/>
        <w:spacing w:line="360" w:lineRule="auto"/>
        <w:ind w:firstLineChars="200" w:firstLine="480"/>
        <w:rPr>
          <w:bCs/>
          <w:sz w:val="24"/>
        </w:rPr>
      </w:pPr>
      <w:r>
        <w:rPr>
          <w:bCs/>
          <w:sz w:val="24"/>
        </w:rPr>
        <w:t>基金可供分配利润指截至收益分配基准日基金未分配利润与未分配利润中已实现收益的孰低数。</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三、基金收益分配原则</w:t>
      </w:r>
    </w:p>
    <w:p w:rsidR="00BF60A0" w:rsidRDefault="006E4EA0">
      <w:pPr>
        <w:adjustRightInd w:val="0"/>
        <w:snapToGrid w:val="0"/>
        <w:spacing w:line="360" w:lineRule="auto"/>
        <w:ind w:firstLineChars="200" w:firstLine="480"/>
        <w:rPr>
          <w:sz w:val="24"/>
        </w:rPr>
      </w:pPr>
      <w:r>
        <w:rPr>
          <w:sz w:val="24"/>
        </w:rPr>
        <w:t>1</w:t>
      </w:r>
      <w:r>
        <w:rPr>
          <w:rFonts w:hAnsi="宋体" w:hint="eastAsia"/>
          <w:sz w:val="24"/>
        </w:rPr>
        <w:t>、</w:t>
      </w:r>
      <w:r>
        <w:rPr>
          <w:bCs/>
          <w:sz w:val="24"/>
        </w:rPr>
        <w:t>在符合有关基金分红条件的前提下，</w:t>
      </w:r>
      <w:r>
        <w:rPr>
          <w:rFonts w:hint="eastAsia"/>
          <w:bCs/>
          <w:sz w:val="24"/>
        </w:rPr>
        <w:t>本基金管理人可以根据实际情况进行收益分配，具体分配方案以公告为准；</w:t>
      </w:r>
    </w:p>
    <w:p w:rsidR="00BF60A0" w:rsidRDefault="006E4EA0">
      <w:pPr>
        <w:adjustRightInd w:val="0"/>
        <w:snapToGrid w:val="0"/>
        <w:spacing w:line="360" w:lineRule="auto"/>
        <w:ind w:firstLineChars="200" w:firstLine="480"/>
        <w:rPr>
          <w:bCs/>
          <w:sz w:val="24"/>
        </w:rPr>
      </w:pPr>
      <w:r>
        <w:rPr>
          <w:sz w:val="24"/>
        </w:rPr>
        <w:t>2</w:t>
      </w:r>
      <w:r>
        <w:rPr>
          <w:rFonts w:hAnsi="宋体" w:hint="eastAsia"/>
          <w:sz w:val="24"/>
        </w:rPr>
        <w:t>、</w:t>
      </w:r>
      <w:r>
        <w:rPr>
          <w:rFonts w:hAnsi="宋体"/>
          <w:sz w:val="24"/>
        </w:rPr>
        <w:t>基金收益分配方式分为现金分红与红利再投资，投资人可选择现金红利或将现金红利按除权日的单位净值自动转为</w:t>
      </w:r>
      <w:r>
        <w:rPr>
          <w:rFonts w:hAnsi="宋体" w:hint="eastAsia"/>
          <w:sz w:val="24"/>
        </w:rPr>
        <w:t>相应类别的</w:t>
      </w:r>
      <w:r>
        <w:rPr>
          <w:rFonts w:hAnsi="宋体"/>
          <w:sz w:val="24"/>
        </w:rPr>
        <w:t>基金份额进行再投资；若投资人不选择，本基金默认的收益分配方式是现金分红</w:t>
      </w:r>
      <w:r>
        <w:rPr>
          <w:rFonts w:hAnsi="宋体" w:hint="eastAsia"/>
          <w:sz w:val="24"/>
          <w:szCs w:val="21"/>
        </w:rPr>
        <w:t>；基金份额持有人可对其持有的各类基金份额分别选择不同的收益分配方式；</w:t>
      </w:r>
    </w:p>
    <w:p w:rsidR="00BF60A0" w:rsidRDefault="006E4EA0">
      <w:pPr>
        <w:adjustRightInd w:val="0"/>
        <w:snapToGrid w:val="0"/>
        <w:spacing w:line="360" w:lineRule="auto"/>
        <w:ind w:firstLineChars="200" w:firstLine="480"/>
        <w:rPr>
          <w:bCs/>
          <w:sz w:val="24"/>
        </w:rPr>
      </w:pPr>
      <w:r>
        <w:rPr>
          <w:bCs/>
          <w:sz w:val="24"/>
        </w:rPr>
        <w:t>3</w:t>
      </w:r>
      <w:r>
        <w:rPr>
          <w:bCs/>
          <w:sz w:val="24"/>
        </w:rPr>
        <w:t>、基金收益分配后</w:t>
      </w:r>
      <w:r>
        <w:rPr>
          <w:rFonts w:hint="eastAsia"/>
          <w:bCs/>
          <w:sz w:val="24"/>
        </w:rPr>
        <w:t>任一类</w:t>
      </w:r>
      <w:r>
        <w:rPr>
          <w:bCs/>
          <w:sz w:val="24"/>
        </w:rPr>
        <w:t>基金份额净值不能低于面值；即基金收益分配基准日的</w:t>
      </w:r>
      <w:r>
        <w:rPr>
          <w:rFonts w:hint="eastAsia"/>
          <w:bCs/>
          <w:sz w:val="24"/>
        </w:rPr>
        <w:t>任一类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类基金份额和</w:t>
      </w:r>
      <w:r>
        <w:rPr>
          <w:rFonts w:hint="eastAsia"/>
          <w:bCs/>
          <w:sz w:val="24"/>
        </w:rPr>
        <w:t>D</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类基金份额收取销售服务费，各基金份额类别对应的可供分配利润将有所不同；本基金同一基金份额类别的</w:t>
      </w:r>
      <w:r>
        <w:rPr>
          <w:bCs/>
          <w:sz w:val="24"/>
        </w:rPr>
        <w:t>每一基金份额享有同等</w:t>
      </w:r>
      <w:r>
        <w:rPr>
          <w:rFonts w:hint="eastAsia"/>
          <w:bCs/>
          <w:sz w:val="24"/>
        </w:rPr>
        <w:t>的收益</w:t>
      </w:r>
      <w:r>
        <w:rPr>
          <w:bCs/>
          <w:sz w:val="24"/>
        </w:rPr>
        <w:t>分配权</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5</w:t>
      </w:r>
      <w:r>
        <w:rPr>
          <w:bCs/>
          <w:sz w:val="24"/>
        </w:rPr>
        <w:t>、法律法规或监管机关另有规定的，从其规定。</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四、收益分配方案</w:t>
      </w:r>
    </w:p>
    <w:p w:rsidR="00BF60A0" w:rsidRDefault="006E4EA0">
      <w:pPr>
        <w:adjustRightInd w:val="0"/>
        <w:snapToGrid w:val="0"/>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五、收益分配方案的确定、公告与实施</w:t>
      </w:r>
    </w:p>
    <w:p w:rsidR="00BF60A0" w:rsidRDefault="006E4EA0">
      <w:pPr>
        <w:adjustRightInd w:val="0"/>
        <w:snapToGrid w:val="0"/>
        <w:spacing w:line="360" w:lineRule="auto"/>
        <w:ind w:firstLineChars="200" w:firstLine="480"/>
        <w:rPr>
          <w:bCs/>
          <w:sz w:val="24"/>
        </w:rPr>
      </w:pPr>
      <w:r>
        <w:rPr>
          <w:bCs/>
          <w:sz w:val="24"/>
        </w:rPr>
        <w:t>本基金收益分配方案由基金管理人拟定，并由基金托管人复核，</w:t>
      </w:r>
      <w:r>
        <w:rPr>
          <w:rFonts w:hint="eastAsia"/>
          <w:bCs/>
          <w:sz w:val="24"/>
        </w:rPr>
        <w:t>依照《信息披露办法》的有关规定在规定媒介公告</w:t>
      </w:r>
      <w:r>
        <w:rPr>
          <w:bCs/>
          <w:sz w:val="24"/>
        </w:rPr>
        <w:t>。</w:t>
      </w:r>
    </w:p>
    <w:p w:rsidR="00BF60A0" w:rsidRDefault="006E4EA0">
      <w:pPr>
        <w:spacing w:line="360" w:lineRule="auto"/>
        <w:ind w:firstLineChars="225" w:firstLine="540"/>
        <w:rPr>
          <w:bCs/>
          <w:sz w:val="24"/>
        </w:rPr>
      </w:pPr>
      <w:r>
        <w:rPr>
          <w:rFonts w:ascii="宋体" w:hAnsi="宋体" w:hint="eastAsia"/>
          <w:sz w:val="24"/>
        </w:rPr>
        <w:lastRenderedPageBreak/>
        <w:t>法律法规或监管机关另有规定的，从其规定。</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六、基金收益分配中发生的费用</w:t>
      </w:r>
    </w:p>
    <w:p w:rsidR="00BF60A0" w:rsidRDefault="006E4EA0">
      <w:pPr>
        <w:adjustRightInd w:val="0"/>
        <w:snapToGrid w:val="0"/>
        <w:spacing w:line="360" w:lineRule="auto"/>
        <w:ind w:firstLineChars="200" w:firstLine="480"/>
        <w:rPr>
          <w:rFonts w:hAnsi="宋体"/>
          <w:sz w:val="24"/>
        </w:rPr>
      </w:pPr>
      <w:r>
        <w:rPr>
          <w:bCs/>
          <w:sz w:val="24"/>
        </w:rPr>
        <w:t>基金收益分配时所发生的银行转账或其他手续费用由投资者自行承担。</w:t>
      </w:r>
      <w:r>
        <w:rPr>
          <w:rFonts w:hAnsi="宋体"/>
          <w:sz w:val="24"/>
          <w:szCs w:val="21"/>
        </w:rPr>
        <w:t>当投资人的现金红利小于一定金额，不足以支付银行转账或其他手续费用时，登记机构可将投资人的现金红利按除权后的基金份额净值自动转为</w:t>
      </w:r>
      <w:r>
        <w:rPr>
          <w:rFonts w:ascii="宋体" w:hAnsi="宋体" w:hint="eastAsia"/>
          <w:sz w:val="24"/>
        </w:rPr>
        <w:t>相应类别的</w:t>
      </w:r>
      <w:r>
        <w:rPr>
          <w:rFonts w:hAnsi="宋体"/>
          <w:sz w:val="24"/>
          <w:szCs w:val="21"/>
        </w:rPr>
        <w:t>基金份额</w:t>
      </w:r>
      <w:r>
        <w:rPr>
          <w:rFonts w:hAnsi="宋体"/>
          <w:sz w:val="24"/>
        </w:rPr>
        <w:t>，红利再投资的计算方法，依照登记机构的业务规则执行</w:t>
      </w:r>
      <w:r>
        <w:rPr>
          <w:rFonts w:hAnsi="宋体" w:hint="eastAsia"/>
          <w:sz w:val="24"/>
        </w:rPr>
        <w:t>。</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七、实施侧袋机制期间的收益分配</w:t>
      </w:r>
    </w:p>
    <w:p w:rsidR="00BF60A0" w:rsidRDefault="006E4EA0">
      <w:pPr>
        <w:adjustRightInd w:val="0"/>
        <w:snapToGrid w:val="0"/>
        <w:spacing w:line="360" w:lineRule="auto"/>
        <w:ind w:firstLineChars="200" w:firstLine="480"/>
        <w:rPr>
          <w:bCs/>
          <w:sz w:val="24"/>
        </w:rPr>
      </w:pPr>
      <w:r>
        <w:rPr>
          <w:rFonts w:hint="eastAsia"/>
          <w:bCs/>
          <w:sz w:val="24"/>
        </w:rPr>
        <w:t>本基金实施侧袋机制的，侧袋账户不进行收益分配，详见招募说明书的规定。</w:t>
      </w:r>
    </w:p>
    <w:p w:rsidR="00BF60A0" w:rsidRDefault="00BF60A0">
      <w:pPr>
        <w:adjustRightInd w:val="0"/>
        <w:snapToGrid w:val="0"/>
        <w:spacing w:line="360" w:lineRule="auto"/>
        <w:ind w:firstLineChars="200" w:firstLine="480"/>
        <w:rPr>
          <w:bCs/>
          <w:sz w:val="24"/>
        </w:rPr>
      </w:pPr>
    </w:p>
    <w:p w:rsidR="00BF60A0" w:rsidRDefault="006E4EA0">
      <w:pPr>
        <w:pStyle w:val="1"/>
        <w:spacing w:before="0" w:after="0"/>
        <w:rPr>
          <w:sz w:val="30"/>
        </w:rPr>
      </w:pPr>
      <w:r>
        <w:rPr>
          <w:b w:val="0"/>
          <w:bCs/>
          <w:sz w:val="21"/>
        </w:rPr>
        <w:br w:type="page"/>
      </w:r>
      <w:bookmarkStart w:id="308" w:name="_Toc93226150"/>
      <w:bookmarkStart w:id="309" w:name="_Toc92662708"/>
      <w:bookmarkStart w:id="310" w:name="_Toc128310500"/>
      <w:bookmarkStart w:id="311" w:name="_Toc139991747"/>
      <w:bookmarkStart w:id="312" w:name="_Toc1043"/>
      <w:bookmarkStart w:id="313" w:name="_Toc29695"/>
      <w:bookmarkStart w:id="314" w:name="_Toc23859"/>
      <w:bookmarkStart w:id="315" w:name="_Toc17499"/>
      <w:bookmarkStart w:id="316" w:name="_Toc13255"/>
      <w:bookmarkStart w:id="317" w:name="_Toc141703897"/>
      <w:bookmarkStart w:id="318" w:name="_Toc10894"/>
      <w:bookmarkStart w:id="319" w:name="_Toc312933446"/>
      <w:bookmarkStart w:id="320" w:name="_Toc18007"/>
      <w:bookmarkStart w:id="321" w:name="_Toc21206"/>
      <w:bookmarkStart w:id="322" w:name="_Toc28961"/>
      <w:bookmarkStart w:id="323" w:name="_Toc31736"/>
      <w:bookmarkStart w:id="324" w:name="_Toc535765925"/>
      <w:r>
        <w:rPr>
          <w:sz w:val="30"/>
        </w:rPr>
        <w:lastRenderedPageBreak/>
        <w:t>第十</w:t>
      </w:r>
      <w:r>
        <w:rPr>
          <w:rFonts w:hint="eastAsia"/>
          <w:sz w:val="30"/>
        </w:rPr>
        <w:t>七</w:t>
      </w:r>
      <w:r>
        <w:rPr>
          <w:sz w:val="30"/>
        </w:rPr>
        <w:t>部分</w:t>
      </w:r>
      <w:r>
        <w:rPr>
          <w:sz w:val="30"/>
        </w:rPr>
        <w:t xml:space="preserve">  </w:t>
      </w:r>
      <w:r>
        <w:rPr>
          <w:sz w:val="30"/>
        </w:rPr>
        <w:t>基金</w:t>
      </w:r>
      <w:bookmarkEnd w:id="308"/>
      <w:bookmarkEnd w:id="309"/>
      <w:r>
        <w:rPr>
          <w:sz w:val="30"/>
        </w:rPr>
        <w:t>的会计与审计</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一、基金会计政策</w:t>
      </w:r>
    </w:p>
    <w:p w:rsidR="00BF60A0" w:rsidRDefault="006E4EA0">
      <w:pPr>
        <w:adjustRightInd w:val="0"/>
        <w:snapToGrid w:val="0"/>
        <w:spacing w:line="360" w:lineRule="auto"/>
        <w:ind w:firstLineChars="200" w:firstLine="480"/>
        <w:rPr>
          <w:bCs/>
          <w:sz w:val="24"/>
        </w:rPr>
      </w:pPr>
      <w:r>
        <w:rPr>
          <w:bCs/>
          <w:sz w:val="24"/>
        </w:rPr>
        <w:t>1</w:t>
      </w:r>
      <w:r>
        <w:rPr>
          <w:bCs/>
          <w:sz w:val="24"/>
        </w:rPr>
        <w:t>、基金管理人为本基金的基金会计责任方；</w:t>
      </w:r>
    </w:p>
    <w:p w:rsidR="00BF60A0" w:rsidRDefault="006E4EA0">
      <w:pPr>
        <w:adjustRightInd w:val="0"/>
        <w:snapToGrid w:val="0"/>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rsidR="00BF60A0" w:rsidRDefault="006E4EA0">
      <w:pPr>
        <w:adjustRightInd w:val="0"/>
        <w:snapToGrid w:val="0"/>
        <w:spacing w:line="360" w:lineRule="auto"/>
        <w:ind w:firstLineChars="200" w:firstLine="480"/>
        <w:rPr>
          <w:bCs/>
          <w:sz w:val="24"/>
        </w:rPr>
      </w:pPr>
      <w:r>
        <w:rPr>
          <w:bCs/>
          <w:sz w:val="24"/>
        </w:rPr>
        <w:t>3</w:t>
      </w:r>
      <w:r>
        <w:rPr>
          <w:bCs/>
          <w:sz w:val="24"/>
        </w:rPr>
        <w:t>、基金核算以人民币为记账本位币，以人民币元为记账单位；</w:t>
      </w:r>
    </w:p>
    <w:p w:rsidR="00BF60A0" w:rsidRDefault="006E4EA0">
      <w:pPr>
        <w:adjustRightInd w:val="0"/>
        <w:snapToGrid w:val="0"/>
        <w:spacing w:line="360" w:lineRule="auto"/>
        <w:ind w:firstLineChars="200" w:firstLine="480"/>
        <w:rPr>
          <w:bCs/>
          <w:sz w:val="24"/>
        </w:rPr>
      </w:pPr>
      <w:r>
        <w:rPr>
          <w:bCs/>
          <w:sz w:val="24"/>
        </w:rPr>
        <w:t>4</w:t>
      </w:r>
      <w:r>
        <w:rPr>
          <w:bCs/>
          <w:sz w:val="24"/>
        </w:rPr>
        <w:t>、会计制度执行国家有关会计制度；</w:t>
      </w:r>
    </w:p>
    <w:p w:rsidR="00BF60A0" w:rsidRDefault="006E4EA0">
      <w:pPr>
        <w:adjustRightInd w:val="0"/>
        <w:snapToGrid w:val="0"/>
        <w:spacing w:line="360" w:lineRule="auto"/>
        <w:ind w:firstLineChars="200" w:firstLine="480"/>
        <w:rPr>
          <w:bCs/>
          <w:sz w:val="24"/>
        </w:rPr>
      </w:pPr>
      <w:r>
        <w:rPr>
          <w:bCs/>
          <w:sz w:val="24"/>
        </w:rPr>
        <w:t>5</w:t>
      </w:r>
      <w:r>
        <w:rPr>
          <w:bCs/>
          <w:sz w:val="24"/>
        </w:rPr>
        <w:t>、本基金独立建账、独立核算；</w:t>
      </w:r>
    </w:p>
    <w:p w:rsidR="00BF60A0" w:rsidRDefault="006E4EA0">
      <w:pPr>
        <w:adjustRightInd w:val="0"/>
        <w:snapToGrid w:val="0"/>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BF60A0" w:rsidRDefault="006E4EA0">
      <w:pPr>
        <w:adjustRightInd w:val="0"/>
        <w:snapToGrid w:val="0"/>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二、基金的年度审计</w:t>
      </w:r>
    </w:p>
    <w:p w:rsidR="00BF60A0" w:rsidRDefault="006E4EA0">
      <w:pPr>
        <w:adjustRightInd w:val="0"/>
        <w:snapToGrid w:val="0"/>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rsidR="00BF60A0" w:rsidRDefault="006E4EA0">
      <w:pPr>
        <w:adjustRightInd w:val="0"/>
        <w:snapToGrid w:val="0"/>
        <w:spacing w:line="360" w:lineRule="auto"/>
        <w:ind w:firstLineChars="200" w:firstLine="480"/>
        <w:rPr>
          <w:bCs/>
          <w:sz w:val="24"/>
        </w:rPr>
      </w:pPr>
      <w:r>
        <w:rPr>
          <w:bCs/>
          <w:sz w:val="24"/>
        </w:rPr>
        <w:t>2</w:t>
      </w:r>
      <w:r>
        <w:rPr>
          <w:bCs/>
          <w:sz w:val="24"/>
        </w:rPr>
        <w:t>、会计师事务所更换经办注册会计师，应事先征得基金管理人同意。</w:t>
      </w:r>
    </w:p>
    <w:p w:rsidR="00BF60A0" w:rsidRDefault="006E4EA0">
      <w:pPr>
        <w:adjustRightInd w:val="0"/>
        <w:snapToGrid w:val="0"/>
        <w:spacing w:line="360" w:lineRule="auto"/>
        <w:ind w:firstLineChars="200" w:firstLine="480"/>
        <w:rPr>
          <w:bCs/>
          <w:sz w:val="24"/>
        </w:rPr>
      </w:pPr>
      <w:r>
        <w:rPr>
          <w:bCs/>
          <w:sz w:val="24"/>
        </w:rPr>
        <w:t>3</w:t>
      </w:r>
      <w:r>
        <w:rPr>
          <w:bCs/>
          <w:sz w:val="24"/>
        </w:rPr>
        <w:t>、</w:t>
      </w:r>
      <w:bookmarkStart w:id="325" w:name="_Hlt4221115"/>
      <w:bookmarkEnd w:id="325"/>
      <w:r>
        <w:rPr>
          <w:bCs/>
          <w:sz w:val="24"/>
        </w:rPr>
        <w:t>基金管理人认为有充足理由更换会计师事务所，须通报基金托管人。更换会计师事务所需</w:t>
      </w:r>
      <w:r>
        <w:rPr>
          <w:rFonts w:hint="eastAsia"/>
          <w:bCs/>
          <w:sz w:val="24"/>
        </w:rPr>
        <w:t>按照《信息披露办法》的有关规定在规定媒介公告</w:t>
      </w:r>
      <w:r>
        <w:rPr>
          <w:bCs/>
          <w:sz w:val="24"/>
        </w:rPr>
        <w:t>。</w:t>
      </w:r>
    </w:p>
    <w:p w:rsidR="00BF60A0" w:rsidRDefault="006E4EA0">
      <w:pPr>
        <w:pStyle w:val="1"/>
        <w:spacing w:before="0" w:after="0"/>
        <w:rPr>
          <w:sz w:val="30"/>
        </w:rPr>
      </w:pPr>
      <w:r>
        <w:rPr>
          <w:b w:val="0"/>
          <w:bCs/>
        </w:rPr>
        <w:br w:type="page"/>
      </w:r>
      <w:bookmarkStart w:id="326" w:name="_Toc92662709"/>
      <w:bookmarkStart w:id="327" w:name="_Toc93226151"/>
      <w:bookmarkStart w:id="328" w:name="_Toc31866"/>
      <w:bookmarkStart w:id="329" w:name="_Toc1421"/>
      <w:bookmarkStart w:id="330" w:name="_Toc12028"/>
      <w:bookmarkStart w:id="331" w:name="_Toc8512"/>
      <w:bookmarkStart w:id="332" w:name="_Toc11049"/>
      <w:bookmarkStart w:id="333" w:name="_Toc3056"/>
      <w:bookmarkStart w:id="334" w:name="_Toc29289"/>
      <w:bookmarkStart w:id="335" w:name="_Toc11802"/>
      <w:bookmarkStart w:id="336" w:name="_Toc312933447"/>
      <w:bookmarkStart w:id="337" w:name="_Toc128310501"/>
      <w:bookmarkStart w:id="338" w:name="_Toc141703898"/>
      <w:bookmarkStart w:id="339" w:name="_Toc193"/>
      <w:bookmarkStart w:id="340" w:name="_Toc139991748"/>
      <w:bookmarkStart w:id="341" w:name="_Toc1173"/>
      <w:bookmarkStart w:id="342" w:name="_Toc535765926"/>
      <w:r>
        <w:rPr>
          <w:sz w:val="30"/>
        </w:rPr>
        <w:lastRenderedPageBreak/>
        <w:t>第</w:t>
      </w:r>
      <w:r>
        <w:rPr>
          <w:rFonts w:hint="eastAsia"/>
          <w:sz w:val="30"/>
        </w:rPr>
        <w:t>十八</w:t>
      </w:r>
      <w:r>
        <w:rPr>
          <w:sz w:val="30"/>
        </w:rPr>
        <w:t>部分</w:t>
      </w:r>
      <w:r>
        <w:rPr>
          <w:sz w:val="30"/>
        </w:rPr>
        <w:t xml:space="preserve">  </w:t>
      </w:r>
      <w:r>
        <w:rPr>
          <w:sz w:val="30"/>
        </w:rPr>
        <w:t>基金</w:t>
      </w:r>
      <w:bookmarkEnd w:id="326"/>
      <w:bookmarkEnd w:id="327"/>
      <w:r>
        <w:rPr>
          <w:sz w:val="30"/>
        </w:rPr>
        <w:t>的信息披露</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一、本基金的信息披露应符合《基金法》、《运作办法》、《信息披露办法》、《流动性规定》、《基金合同》及其他有关规定。</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二、信息披露义务人</w:t>
      </w:r>
    </w:p>
    <w:p w:rsidR="00BF60A0" w:rsidRDefault="006E4EA0">
      <w:pPr>
        <w:adjustRightInd w:val="0"/>
        <w:snapToGrid w:val="0"/>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rsidR="00BF60A0" w:rsidRDefault="006E4EA0">
      <w:pPr>
        <w:adjustRightInd w:val="0"/>
        <w:snapToGrid w:val="0"/>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BF60A0" w:rsidRDefault="006E4EA0">
      <w:pPr>
        <w:adjustRightInd w:val="0"/>
        <w:snapToGrid w:val="0"/>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三、本基金信息披露义务人承诺公开披露的基金信息，不得有下列行为：</w:t>
      </w:r>
    </w:p>
    <w:p w:rsidR="00BF60A0" w:rsidRDefault="006E4EA0">
      <w:pPr>
        <w:adjustRightInd w:val="0"/>
        <w:snapToGrid w:val="0"/>
        <w:spacing w:line="360" w:lineRule="auto"/>
        <w:ind w:firstLineChars="200" w:firstLine="480"/>
        <w:rPr>
          <w:bCs/>
          <w:sz w:val="24"/>
        </w:rPr>
      </w:pPr>
      <w:r>
        <w:rPr>
          <w:rFonts w:hint="eastAsia"/>
          <w:bCs/>
          <w:sz w:val="24"/>
        </w:rPr>
        <w:t>1</w:t>
      </w:r>
      <w:r>
        <w:rPr>
          <w:rFonts w:hint="eastAsia"/>
          <w:bCs/>
          <w:sz w:val="24"/>
        </w:rPr>
        <w:t>、虚假记载、误导性陈述或者重大遗漏；</w:t>
      </w:r>
    </w:p>
    <w:p w:rsidR="00BF60A0" w:rsidRDefault="006E4EA0">
      <w:pPr>
        <w:adjustRightInd w:val="0"/>
        <w:snapToGrid w:val="0"/>
        <w:spacing w:line="360" w:lineRule="auto"/>
        <w:ind w:firstLineChars="200" w:firstLine="480"/>
        <w:rPr>
          <w:bCs/>
          <w:sz w:val="24"/>
        </w:rPr>
      </w:pPr>
      <w:r>
        <w:rPr>
          <w:rFonts w:hint="eastAsia"/>
          <w:bCs/>
          <w:sz w:val="24"/>
        </w:rPr>
        <w:t>2</w:t>
      </w:r>
      <w:r>
        <w:rPr>
          <w:rFonts w:hint="eastAsia"/>
          <w:bCs/>
          <w:sz w:val="24"/>
        </w:rPr>
        <w:t>、对证券投资业绩进行预测；</w:t>
      </w:r>
    </w:p>
    <w:p w:rsidR="00BF60A0" w:rsidRDefault="006E4EA0">
      <w:pPr>
        <w:adjustRightInd w:val="0"/>
        <w:snapToGrid w:val="0"/>
        <w:spacing w:line="360" w:lineRule="auto"/>
        <w:ind w:firstLineChars="200" w:firstLine="480"/>
        <w:rPr>
          <w:bCs/>
          <w:sz w:val="24"/>
        </w:rPr>
      </w:pPr>
      <w:r>
        <w:rPr>
          <w:rFonts w:hint="eastAsia"/>
          <w:bCs/>
          <w:sz w:val="24"/>
        </w:rPr>
        <w:t>3</w:t>
      </w:r>
      <w:r>
        <w:rPr>
          <w:rFonts w:hint="eastAsia"/>
          <w:bCs/>
          <w:sz w:val="24"/>
        </w:rPr>
        <w:t>、违规承诺收益或者承担损失；</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、诋毁其他基金管理人、基金托管人或者基金销售机构；</w:t>
      </w:r>
    </w:p>
    <w:p w:rsidR="00BF60A0" w:rsidRDefault="006E4EA0">
      <w:pPr>
        <w:adjustRightInd w:val="0"/>
        <w:snapToGrid w:val="0"/>
        <w:spacing w:line="360" w:lineRule="auto"/>
        <w:ind w:firstLineChars="200" w:firstLine="480"/>
        <w:rPr>
          <w:bCs/>
          <w:sz w:val="24"/>
        </w:rPr>
      </w:pPr>
      <w:r>
        <w:rPr>
          <w:rFonts w:hint="eastAsia"/>
          <w:bCs/>
          <w:sz w:val="24"/>
        </w:rPr>
        <w:t>5</w:t>
      </w:r>
      <w:r>
        <w:rPr>
          <w:rFonts w:hint="eastAsia"/>
          <w:bCs/>
          <w:sz w:val="24"/>
        </w:rPr>
        <w:t>、登载任何自然人、法人和非法人组织的祝贺性、恭维性或推荐性的文字；</w:t>
      </w:r>
    </w:p>
    <w:p w:rsidR="00BF60A0" w:rsidRDefault="006E4EA0">
      <w:pPr>
        <w:adjustRightInd w:val="0"/>
        <w:snapToGrid w:val="0"/>
        <w:spacing w:line="360" w:lineRule="auto"/>
        <w:ind w:firstLineChars="200" w:firstLine="480"/>
        <w:rPr>
          <w:bCs/>
          <w:sz w:val="24"/>
        </w:rPr>
      </w:pPr>
      <w:r>
        <w:rPr>
          <w:rFonts w:hint="eastAsia"/>
          <w:bCs/>
          <w:sz w:val="24"/>
        </w:rPr>
        <w:t>6</w:t>
      </w:r>
      <w:r>
        <w:rPr>
          <w:rFonts w:hint="eastAsia"/>
          <w:bCs/>
          <w:sz w:val="24"/>
        </w:rPr>
        <w:t>、中国证监会禁止的其他行为。</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rsidR="00BF60A0" w:rsidRDefault="006E4EA0">
      <w:pPr>
        <w:adjustRightInd w:val="0"/>
        <w:snapToGrid w:val="0"/>
        <w:spacing w:line="360" w:lineRule="auto"/>
        <w:ind w:firstLineChars="200" w:firstLine="480"/>
        <w:rPr>
          <w:bCs/>
          <w:sz w:val="24"/>
        </w:rPr>
      </w:pPr>
      <w:r>
        <w:rPr>
          <w:rFonts w:hint="eastAsia"/>
          <w:bCs/>
          <w:sz w:val="24"/>
        </w:rPr>
        <w:t>本基金公开披露的信息采用阿拉伯数字；除特别说明外，货币单位为人民币元。</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五、公开披露的基金信息</w:t>
      </w:r>
    </w:p>
    <w:p w:rsidR="00BF60A0" w:rsidRDefault="006E4EA0">
      <w:pPr>
        <w:adjustRightInd w:val="0"/>
        <w:snapToGrid w:val="0"/>
        <w:spacing w:line="360" w:lineRule="auto"/>
        <w:ind w:firstLineChars="200" w:firstLine="480"/>
        <w:rPr>
          <w:bCs/>
          <w:sz w:val="24"/>
        </w:rPr>
      </w:pPr>
      <w:r>
        <w:rPr>
          <w:rFonts w:hint="eastAsia"/>
          <w:bCs/>
          <w:sz w:val="24"/>
        </w:rPr>
        <w:lastRenderedPageBreak/>
        <w:t>公开披露的基金信息包括：</w:t>
      </w:r>
    </w:p>
    <w:p w:rsidR="00BF60A0" w:rsidRDefault="006E4EA0">
      <w:pPr>
        <w:adjustRightInd w:val="0"/>
        <w:snapToGrid w:val="0"/>
        <w:spacing w:line="360" w:lineRule="auto"/>
        <w:ind w:firstLineChars="200" w:firstLine="480"/>
        <w:rPr>
          <w:bCs/>
          <w:sz w:val="24"/>
        </w:rPr>
      </w:pPr>
      <w:r>
        <w:rPr>
          <w:rFonts w:hint="eastAsia"/>
          <w:bCs/>
          <w:sz w:val="24"/>
        </w:rPr>
        <w:t>（一）基金招募说明书、《基金合同》、基金托管协议、基金产品资料概要</w:t>
      </w:r>
    </w:p>
    <w:p w:rsidR="00BF60A0" w:rsidRDefault="006E4EA0">
      <w:pPr>
        <w:adjustRightInd w:val="0"/>
        <w:snapToGrid w:val="0"/>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BF60A0" w:rsidRDefault="006E4EA0">
      <w:pPr>
        <w:adjustRightInd w:val="0"/>
        <w:snapToGrid w:val="0"/>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BF60A0" w:rsidRDefault="006E4EA0">
      <w:pPr>
        <w:adjustRightInd w:val="0"/>
        <w:snapToGrid w:val="0"/>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BF60A0" w:rsidRDefault="006E4EA0">
      <w:pPr>
        <w:adjustRightInd w:val="0"/>
        <w:snapToGrid w:val="0"/>
        <w:spacing w:line="360" w:lineRule="auto"/>
        <w:ind w:firstLineChars="200" w:firstLine="480"/>
        <w:rPr>
          <w:bCs/>
          <w:sz w:val="24"/>
        </w:rPr>
      </w:pPr>
      <w:r>
        <w:rPr>
          <w:rFonts w:hint="eastAsia"/>
          <w:bCs/>
          <w:sz w:val="24"/>
        </w:rPr>
        <w:t>基金经中国证监会准予变更注册后，基金管理人按照《信息披露办法》的规定，将基金招募说明书、基金产品资料概要、《基金合同》和基金托管协议登载在规定媒介上；基金管理人、基金托管人应当将《基金合同》、基金托管协议登载在网站上。</w:t>
      </w:r>
    </w:p>
    <w:p w:rsidR="00BF60A0" w:rsidRDefault="006E4EA0">
      <w:pPr>
        <w:adjustRightInd w:val="0"/>
        <w:snapToGrid w:val="0"/>
        <w:spacing w:line="360" w:lineRule="auto"/>
        <w:ind w:firstLineChars="200" w:firstLine="480"/>
        <w:rPr>
          <w:bCs/>
          <w:sz w:val="24"/>
        </w:rPr>
      </w:pPr>
      <w:r>
        <w:rPr>
          <w:rFonts w:hint="eastAsia"/>
          <w:bCs/>
          <w:sz w:val="24"/>
        </w:rPr>
        <w:t>（二）基金净值信息</w:t>
      </w:r>
    </w:p>
    <w:p w:rsidR="00BF60A0" w:rsidRDefault="006E4EA0">
      <w:pPr>
        <w:adjustRightInd w:val="0"/>
        <w:snapToGrid w:val="0"/>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BF60A0" w:rsidRDefault="006E4EA0">
      <w:pPr>
        <w:adjustRightInd w:val="0"/>
        <w:snapToGrid w:val="0"/>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在开始办理基金份额申购或者赎回后，基金管理人应当在不晚于每个开放日的次日，通过规定网站、基金销售机构网站或者营业网点分别披露开放日各类基金份额所对应的基金份额净值和基金份额累计净值。</w:t>
      </w:r>
    </w:p>
    <w:p w:rsidR="00BF60A0" w:rsidRDefault="006E4EA0">
      <w:pPr>
        <w:adjustRightInd w:val="0"/>
        <w:snapToGrid w:val="0"/>
        <w:spacing w:line="360" w:lineRule="auto"/>
        <w:ind w:firstLineChars="200" w:firstLine="480"/>
        <w:rPr>
          <w:bCs/>
          <w:sz w:val="24"/>
        </w:rPr>
      </w:pPr>
      <w:r>
        <w:rPr>
          <w:rFonts w:hint="eastAsia"/>
          <w:bCs/>
          <w:sz w:val="24"/>
        </w:rPr>
        <w:t>基金管理人应当在不晚于半年度和年度最后一日的次日，在规定网站披露半</w:t>
      </w:r>
      <w:r>
        <w:rPr>
          <w:rFonts w:hint="eastAsia"/>
          <w:bCs/>
          <w:sz w:val="24"/>
        </w:rPr>
        <w:lastRenderedPageBreak/>
        <w:t>年度和年度最后一日各类基金份额所对应的基金份额净值和基金份额累计净值。</w:t>
      </w:r>
    </w:p>
    <w:p w:rsidR="00BF60A0" w:rsidRDefault="006E4EA0">
      <w:pPr>
        <w:adjustRightInd w:val="0"/>
        <w:snapToGrid w:val="0"/>
        <w:spacing w:line="360" w:lineRule="auto"/>
        <w:ind w:firstLineChars="200" w:firstLine="480"/>
        <w:rPr>
          <w:bCs/>
          <w:sz w:val="24"/>
        </w:rPr>
      </w:pPr>
      <w:r>
        <w:rPr>
          <w:rFonts w:hint="eastAsia"/>
          <w:bCs/>
          <w:sz w:val="24"/>
        </w:rPr>
        <w:t>（三）基金份额申购、赎回价格</w:t>
      </w:r>
    </w:p>
    <w:p w:rsidR="00BF60A0" w:rsidRDefault="006E4EA0">
      <w:pPr>
        <w:adjustRightInd w:val="0"/>
        <w:snapToGrid w:val="0"/>
        <w:spacing w:line="360" w:lineRule="auto"/>
        <w:ind w:firstLineChars="200" w:firstLine="480"/>
        <w:rPr>
          <w:bCs/>
          <w:sz w:val="24"/>
        </w:rPr>
      </w:pPr>
      <w:r>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BF60A0" w:rsidRDefault="006E4EA0">
      <w:pPr>
        <w:adjustRightInd w:val="0"/>
        <w:snapToGrid w:val="0"/>
        <w:spacing w:line="360" w:lineRule="auto"/>
        <w:ind w:firstLineChars="200" w:firstLine="480"/>
        <w:rPr>
          <w:bCs/>
          <w:sz w:val="24"/>
        </w:rPr>
      </w:pPr>
      <w:r>
        <w:rPr>
          <w:rFonts w:hint="eastAsia"/>
          <w:bCs/>
          <w:sz w:val="24"/>
        </w:rPr>
        <w:t>（四）基金定期报告，包括基金年度报告、基金中期报告和基金季度报告</w:t>
      </w:r>
    </w:p>
    <w:p w:rsidR="00BF60A0" w:rsidRDefault="006E4EA0">
      <w:pPr>
        <w:adjustRightInd w:val="0"/>
        <w:snapToGrid w:val="0"/>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BF60A0" w:rsidRDefault="006E4EA0">
      <w:pPr>
        <w:adjustRightInd w:val="0"/>
        <w:snapToGrid w:val="0"/>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rsidR="00BF60A0" w:rsidRDefault="006E4EA0">
      <w:pPr>
        <w:adjustRightInd w:val="0"/>
        <w:snapToGrid w:val="0"/>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个工作日内，编制完成基金季度报告，将季度报告登载在规定网站上，并将季度报告提示性公告登载在规定报刊上。</w:t>
      </w:r>
    </w:p>
    <w:p w:rsidR="00BF60A0" w:rsidRDefault="006E4EA0">
      <w:pPr>
        <w:adjustRightInd w:val="0"/>
        <w:snapToGrid w:val="0"/>
        <w:spacing w:line="360" w:lineRule="auto"/>
        <w:ind w:firstLineChars="200" w:firstLine="480"/>
        <w:rPr>
          <w:bCs/>
          <w:sz w:val="24"/>
        </w:rPr>
      </w:pPr>
      <w:r>
        <w:rPr>
          <w:rFonts w:hint="eastAsia"/>
          <w:bCs/>
          <w:sz w:val="24"/>
        </w:rPr>
        <w:t>基金运作期间，如报告期内出现单一投资者持有基金份额达到或超过基金总份额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BF60A0" w:rsidRDefault="006E4EA0">
      <w:pPr>
        <w:adjustRightInd w:val="0"/>
        <w:snapToGrid w:val="0"/>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rsidR="00BF60A0" w:rsidRDefault="006E4EA0">
      <w:pPr>
        <w:adjustRightInd w:val="0"/>
        <w:snapToGrid w:val="0"/>
        <w:spacing w:line="360" w:lineRule="auto"/>
        <w:ind w:firstLineChars="200" w:firstLine="480"/>
        <w:rPr>
          <w:bCs/>
          <w:sz w:val="24"/>
        </w:rPr>
      </w:pPr>
      <w:r>
        <w:rPr>
          <w:rFonts w:hint="eastAsia"/>
          <w:bCs/>
          <w:sz w:val="24"/>
        </w:rPr>
        <w:t>（五）临时报告</w:t>
      </w:r>
    </w:p>
    <w:p w:rsidR="00BF60A0" w:rsidRDefault="006E4EA0">
      <w:pPr>
        <w:adjustRightInd w:val="0"/>
        <w:snapToGrid w:val="0"/>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日内编制临时报告书，并登载在规定报刊和规定网站上。</w:t>
      </w:r>
    </w:p>
    <w:p w:rsidR="00BF60A0" w:rsidRDefault="006E4EA0">
      <w:pPr>
        <w:adjustRightInd w:val="0"/>
        <w:snapToGrid w:val="0"/>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rsidR="00BF60A0" w:rsidRDefault="006E4EA0">
      <w:pPr>
        <w:adjustRightInd w:val="0"/>
        <w:snapToGrid w:val="0"/>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rsidR="00BF60A0" w:rsidRDefault="006E4EA0">
      <w:pPr>
        <w:adjustRightInd w:val="0"/>
        <w:snapToGrid w:val="0"/>
        <w:spacing w:line="360" w:lineRule="auto"/>
        <w:ind w:firstLineChars="200" w:firstLine="480"/>
        <w:rPr>
          <w:bCs/>
          <w:sz w:val="24"/>
        </w:rPr>
      </w:pPr>
      <w:r>
        <w:rPr>
          <w:rFonts w:hint="eastAsia"/>
          <w:bCs/>
          <w:sz w:val="24"/>
        </w:rPr>
        <w:t>2</w:t>
      </w:r>
      <w:r>
        <w:rPr>
          <w:rFonts w:hint="eastAsia"/>
          <w:bCs/>
          <w:sz w:val="24"/>
        </w:rPr>
        <w:t>、《基金合同》终止、基金清算；</w:t>
      </w:r>
    </w:p>
    <w:p w:rsidR="00BF60A0" w:rsidRDefault="006E4EA0">
      <w:pPr>
        <w:adjustRightInd w:val="0"/>
        <w:snapToGrid w:val="0"/>
        <w:spacing w:line="360" w:lineRule="auto"/>
        <w:ind w:firstLineChars="200" w:firstLine="480"/>
        <w:rPr>
          <w:bCs/>
          <w:sz w:val="24"/>
        </w:rPr>
      </w:pPr>
      <w:r>
        <w:rPr>
          <w:rFonts w:hint="eastAsia"/>
          <w:bCs/>
          <w:sz w:val="24"/>
        </w:rPr>
        <w:t>3</w:t>
      </w:r>
      <w:r>
        <w:rPr>
          <w:rFonts w:hint="eastAsia"/>
          <w:bCs/>
          <w:sz w:val="24"/>
        </w:rPr>
        <w:t>、转换基金运作方式、基金合并；</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w:t>
      </w:r>
      <w:r>
        <w:rPr>
          <w:rFonts w:hint="eastAsia"/>
          <w:bCs/>
          <w:sz w:val="24"/>
        </w:rPr>
        <w:lastRenderedPageBreak/>
        <w:t>所；</w:t>
      </w:r>
    </w:p>
    <w:p w:rsidR="00BF60A0" w:rsidRDefault="006E4EA0">
      <w:pPr>
        <w:adjustRightInd w:val="0"/>
        <w:snapToGrid w:val="0"/>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BF60A0" w:rsidRDefault="006E4EA0">
      <w:pPr>
        <w:adjustRightInd w:val="0"/>
        <w:snapToGrid w:val="0"/>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rsidR="00BF60A0" w:rsidRDefault="006E4EA0">
      <w:pPr>
        <w:adjustRightInd w:val="0"/>
        <w:snapToGrid w:val="0"/>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rsidR="00BF60A0" w:rsidRDefault="006E4EA0">
      <w:pPr>
        <w:adjustRightInd w:val="0"/>
        <w:snapToGrid w:val="0"/>
        <w:spacing w:line="360" w:lineRule="auto"/>
        <w:ind w:firstLineChars="200" w:firstLine="480"/>
        <w:rPr>
          <w:bCs/>
          <w:sz w:val="24"/>
        </w:rPr>
      </w:pPr>
      <w:r>
        <w:rPr>
          <w:rFonts w:hint="eastAsia"/>
          <w:bCs/>
          <w:sz w:val="24"/>
        </w:rPr>
        <w:t>8</w:t>
      </w:r>
      <w:r>
        <w:rPr>
          <w:rFonts w:hint="eastAsia"/>
          <w:bCs/>
          <w:sz w:val="24"/>
        </w:rPr>
        <w:t>、基金募集期延长或提前结束募集；</w:t>
      </w:r>
    </w:p>
    <w:p w:rsidR="00BF60A0" w:rsidRDefault="006E4EA0">
      <w:pPr>
        <w:adjustRightInd w:val="0"/>
        <w:snapToGrid w:val="0"/>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rsidR="00BF60A0" w:rsidRDefault="006E4EA0">
      <w:pPr>
        <w:adjustRightInd w:val="0"/>
        <w:snapToGrid w:val="0"/>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rsidR="00BF60A0" w:rsidRDefault="006E4EA0">
      <w:pPr>
        <w:adjustRightInd w:val="0"/>
        <w:snapToGrid w:val="0"/>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rsidR="00BF60A0" w:rsidRDefault="006E4EA0">
      <w:pPr>
        <w:adjustRightInd w:val="0"/>
        <w:snapToGrid w:val="0"/>
        <w:spacing w:line="360" w:lineRule="auto"/>
        <w:ind w:firstLineChars="200" w:firstLine="480"/>
        <w:rPr>
          <w:bCs/>
          <w:sz w:val="24"/>
        </w:rPr>
      </w:pPr>
      <w:r>
        <w:rPr>
          <w:rFonts w:hint="eastAsia"/>
          <w:bCs/>
          <w:sz w:val="24"/>
        </w:rPr>
        <w:t>1</w:t>
      </w:r>
      <w:r>
        <w:rPr>
          <w:bCs/>
          <w:sz w:val="24"/>
        </w:rPr>
        <w:t>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BF60A0" w:rsidRDefault="006E4EA0">
      <w:pPr>
        <w:adjustRightInd w:val="0"/>
        <w:snapToGrid w:val="0"/>
        <w:spacing w:line="360" w:lineRule="auto"/>
        <w:ind w:firstLineChars="200" w:firstLine="480"/>
        <w:rPr>
          <w:bCs/>
          <w:sz w:val="24"/>
        </w:rPr>
      </w:pPr>
      <w:r>
        <w:rPr>
          <w:rFonts w:hint="eastAsia"/>
          <w:bCs/>
          <w:sz w:val="24"/>
        </w:rPr>
        <w:t>1</w:t>
      </w:r>
      <w:r>
        <w:rPr>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F60A0" w:rsidRDefault="006E4EA0">
      <w:pPr>
        <w:adjustRightInd w:val="0"/>
        <w:snapToGrid w:val="0"/>
        <w:spacing w:line="360" w:lineRule="auto"/>
        <w:ind w:firstLineChars="200" w:firstLine="480"/>
        <w:rPr>
          <w:bCs/>
          <w:sz w:val="24"/>
        </w:rPr>
      </w:pPr>
      <w:r>
        <w:rPr>
          <w:rFonts w:hint="eastAsia"/>
          <w:bCs/>
          <w:sz w:val="24"/>
        </w:rPr>
        <w:t>1</w:t>
      </w:r>
      <w:r>
        <w:rPr>
          <w:bCs/>
          <w:sz w:val="24"/>
        </w:rPr>
        <w:t>4</w:t>
      </w:r>
      <w:r>
        <w:rPr>
          <w:rFonts w:hint="eastAsia"/>
          <w:bCs/>
          <w:sz w:val="24"/>
        </w:rPr>
        <w:t>、基金收益分配事项；</w:t>
      </w:r>
    </w:p>
    <w:p w:rsidR="00BF60A0" w:rsidRDefault="006E4EA0">
      <w:pPr>
        <w:adjustRightInd w:val="0"/>
        <w:snapToGrid w:val="0"/>
        <w:spacing w:line="360" w:lineRule="auto"/>
        <w:ind w:firstLineChars="200" w:firstLine="480"/>
        <w:rPr>
          <w:bCs/>
          <w:sz w:val="24"/>
        </w:rPr>
      </w:pPr>
      <w:r>
        <w:rPr>
          <w:rFonts w:hint="eastAsia"/>
          <w:bCs/>
          <w:sz w:val="24"/>
        </w:rPr>
        <w:t>1</w:t>
      </w:r>
      <w:r>
        <w:rPr>
          <w:bCs/>
          <w:sz w:val="24"/>
        </w:rPr>
        <w:t>5</w:t>
      </w:r>
      <w:r>
        <w:rPr>
          <w:rFonts w:hint="eastAsia"/>
          <w:bCs/>
          <w:sz w:val="24"/>
        </w:rPr>
        <w:t>、管理费、托管费、销售服务费、申购费、赎回费等费用计提标准、计提方式和费率发生变更；</w:t>
      </w:r>
    </w:p>
    <w:p w:rsidR="00BF60A0" w:rsidRDefault="006E4EA0">
      <w:pPr>
        <w:adjustRightInd w:val="0"/>
        <w:snapToGrid w:val="0"/>
        <w:spacing w:line="360" w:lineRule="auto"/>
        <w:ind w:firstLineChars="200" w:firstLine="480"/>
        <w:rPr>
          <w:bCs/>
          <w:sz w:val="24"/>
        </w:rPr>
      </w:pPr>
      <w:r>
        <w:rPr>
          <w:rFonts w:hint="eastAsia"/>
          <w:bCs/>
          <w:sz w:val="24"/>
        </w:rPr>
        <w:t>1</w:t>
      </w:r>
      <w:r>
        <w:rPr>
          <w:bCs/>
          <w:sz w:val="24"/>
        </w:rPr>
        <w:t>6</w:t>
      </w:r>
      <w:r>
        <w:rPr>
          <w:rFonts w:hint="eastAsia"/>
          <w:bCs/>
          <w:sz w:val="24"/>
        </w:rPr>
        <w:t>、任一类基金份额净值计价错误达该类基金份额净值百分之零点五；</w:t>
      </w:r>
    </w:p>
    <w:p w:rsidR="00BF60A0" w:rsidRDefault="006E4EA0">
      <w:pPr>
        <w:adjustRightInd w:val="0"/>
        <w:snapToGrid w:val="0"/>
        <w:spacing w:line="360" w:lineRule="auto"/>
        <w:ind w:firstLineChars="200" w:firstLine="480"/>
        <w:rPr>
          <w:bCs/>
          <w:sz w:val="24"/>
        </w:rPr>
      </w:pPr>
      <w:r>
        <w:rPr>
          <w:rFonts w:hint="eastAsia"/>
          <w:bCs/>
          <w:sz w:val="24"/>
        </w:rPr>
        <w:t>1</w:t>
      </w:r>
      <w:r>
        <w:rPr>
          <w:bCs/>
          <w:sz w:val="24"/>
        </w:rPr>
        <w:t>7</w:t>
      </w:r>
      <w:r>
        <w:rPr>
          <w:rFonts w:hint="eastAsia"/>
          <w:bCs/>
          <w:sz w:val="24"/>
        </w:rPr>
        <w:t>、本基金开始办理申购、赎回；</w:t>
      </w:r>
    </w:p>
    <w:p w:rsidR="00BF60A0" w:rsidRDefault="006E4EA0">
      <w:pPr>
        <w:adjustRightInd w:val="0"/>
        <w:snapToGrid w:val="0"/>
        <w:spacing w:line="360" w:lineRule="auto"/>
        <w:ind w:firstLineChars="200" w:firstLine="480"/>
        <w:rPr>
          <w:bCs/>
          <w:sz w:val="24"/>
        </w:rPr>
      </w:pPr>
      <w:r>
        <w:rPr>
          <w:rFonts w:hint="eastAsia"/>
          <w:bCs/>
          <w:sz w:val="24"/>
        </w:rPr>
        <w:t>1</w:t>
      </w:r>
      <w:r>
        <w:rPr>
          <w:bCs/>
          <w:sz w:val="24"/>
        </w:rPr>
        <w:t>8</w:t>
      </w:r>
      <w:r>
        <w:rPr>
          <w:rFonts w:hint="eastAsia"/>
          <w:bCs/>
          <w:sz w:val="24"/>
        </w:rPr>
        <w:t>、本基金发生巨额赎回并延期办理；</w:t>
      </w:r>
    </w:p>
    <w:p w:rsidR="00BF60A0" w:rsidRDefault="006E4EA0">
      <w:pPr>
        <w:adjustRightInd w:val="0"/>
        <w:snapToGrid w:val="0"/>
        <w:spacing w:line="360" w:lineRule="auto"/>
        <w:ind w:firstLineChars="200" w:firstLine="480"/>
        <w:rPr>
          <w:bCs/>
          <w:sz w:val="24"/>
        </w:rPr>
      </w:pPr>
      <w:r>
        <w:rPr>
          <w:bCs/>
          <w:sz w:val="24"/>
        </w:rPr>
        <w:t>19</w:t>
      </w:r>
      <w:r>
        <w:rPr>
          <w:rFonts w:hint="eastAsia"/>
          <w:bCs/>
          <w:sz w:val="24"/>
        </w:rPr>
        <w:t>、本基金连续发生巨额赎回并暂停接受赎回申请或延缓支付赎回款项；</w:t>
      </w:r>
    </w:p>
    <w:p w:rsidR="00BF60A0" w:rsidRDefault="006E4EA0">
      <w:pPr>
        <w:adjustRightInd w:val="0"/>
        <w:snapToGrid w:val="0"/>
        <w:spacing w:line="360" w:lineRule="auto"/>
        <w:ind w:firstLineChars="200" w:firstLine="480"/>
        <w:rPr>
          <w:bCs/>
          <w:sz w:val="24"/>
        </w:rPr>
      </w:pPr>
      <w:r>
        <w:rPr>
          <w:rFonts w:hint="eastAsia"/>
          <w:bCs/>
          <w:sz w:val="24"/>
        </w:rPr>
        <w:t>2</w:t>
      </w:r>
      <w:r>
        <w:rPr>
          <w:bCs/>
          <w:sz w:val="24"/>
        </w:rPr>
        <w:t>0</w:t>
      </w:r>
      <w:r>
        <w:rPr>
          <w:rFonts w:hint="eastAsia"/>
          <w:bCs/>
          <w:sz w:val="24"/>
        </w:rPr>
        <w:t>、本基金暂停接受申购、赎回申请或重新接受申购、赎回申请；</w:t>
      </w:r>
    </w:p>
    <w:p w:rsidR="00BF60A0" w:rsidRDefault="006E4EA0">
      <w:pPr>
        <w:adjustRightInd w:val="0"/>
        <w:snapToGrid w:val="0"/>
        <w:spacing w:line="360" w:lineRule="auto"/>
        <w:ind w:firstLineChars="200" w:firstLine="480"/>
        <w:rPr>
          <w:bCs/>
          <w:sz w:val="24"/>
        </w:rPr>
      </w:pPr>
      <w:r>
        <w:rPr>
          <w:rFonts w:hint="eastAsia"/>
          <w:bCs/>
          <w:sz w:val="24"/>
        </w:rPr>
        <w:t>2</w:t>
      </w:r>
      <w:r>
        <w:rPr>
          <w:bCs/>
          <w:sz w:val="24"/>
        </w:rPr>
        <w:t>1</w:t>
      </w:r>
      <w:r>
        <w:rPr>
          <w:rFonts w:hint="eastAsia"/>
          <w:bCs/>
          <w:sz w:val="24"/>
        </w:rPr>
        <w:t>、发生涉及基金申购、赎回事项调整或潜在影响投资者赎回等重大事项时；</w:t>
      </w:r>
    </w:p>
    <w:p w:rsidR="00BF60A0" w:rsidRDefault="006E4EA0">
      <w:pPr>
        <w:adjustRightInd w:val="0"/>
        <w:snapToGrid w:val="0"/>
        <w:spacing w:line="360" w:lineRule="auto"/>
        <w:ind w:firstLineChars="200" w:firstLine="480"/>
        <w:rPr>
          <w:bCs/>
          <w:sz w:val="24"/>
        </w:rPr>
      </w:pPr>
      <w:r>
        <w:rPr>
          <w:rFonts w:hint="eastAsia"/>
          <w:bCs/>
          <w:sz w:val="24"/>
        </w:rPr>
        <w:t>2</w:t>
      </w:r>
      <w:r>
        <w:rPr>
          <w:bCs/>
          <w:sz w:val="24"/>
        </w:rPr>
        <w:t>2</w:t>
      </w:r>
      <w:r>
        <w:rPr>
          <w:rFonts w:hint="eastAsia"/>
          <w:bCs/>
          <w:sz w:val="24"/>
        </w:rPr>
        <w:t>、基金管理人采用摆动定价机制进行估值；</w:t>
      </w:r>
    </w:p>
    <w:p w:rsidR="00BF60A0" w:rsidRDefault="006E4EA0">
      <w:pPr>
        <w:adjustRightInd w:val="0"/>
        <w:snapToGrid w:val="0"/>
        <w:spacing w:line="360" w:lineRule="auto"/>
        <w:ind w:firstLineChars="200" w:firstLine="480"/>
        <w:rPr>
          <w:bCs/>
          <w:sz w:val="24"/>
        </w:rPr>
      </w:pPr>
      <w:r>
        <w:rPr>
          <w:bCs/>
          <w:sz w:val="24"/>
        </w:rPr>
        <w:t>23</w:t>
      </w:r>
      <w:r>
        <w:rPr>
          <w:rFonts w:hint="eastAsia"/>
          <w:bCs/>
          <w:sz w:val="24"/>
        </w:rPr>
        <w:t>、本基金增加或调整基金份额类别；</w:t>
      </w:r>
    </w:p>
    <w:p w:rsidR="00BF60A0" w:rsidRDefault="006E4EA0">
      <w:pPr>
        <w:adjustRightInd w:val="0"/>
        <w:snapToGrid w:val="0"/>
        <w:spacing w:line="360" w:lineRule="auto"/>
        <w:ind w:firstLineChars="200" w:firstLine="480"/>
        <w:rPr>
          <w:bCs/>
          <w:sz w:val="24"/>
        </w:rPr>
      </w:pPr>
      <w:r>
        <w:rPr>
          <w:rFonts w:hint="eastAsia"/>
          <w:bCs/>
          <w:sz w:val="24"/>
        </w:rPr>
        <w:lastRenderedPageBreak/>
        <w:t>24</w:t>
      </w:r>
      <w:r>
        <w:rPr>
          <w:rFonts w:hint="eastAsia"/>
          <w:bCs/>
          <w:sz w:val="24"/>
        </w:rPr>
        <w:t>、本基金推出新业务或服务；</w:t>
      </w:r>
    </w:p>
    <w:p w:rsidR="00BF60A0" w:rsidRDefault="006E4EA0">
      <w:pPr>
        <w:adjustRightInd w:val="0"/>
        <w:snapToGrid w:val="0"/>
        <w:spacing w:line="360" w:lineRule="auto"/>
        <w:ind w:firstLineChars="200" w:firstLine="480"/>
        <w:rPr>
          <w:bCs/>
          <w:sz w:val="24"/>
        </w:rPr>
      </w:pPr>
      <w:r>
        <w:rPr>
          <w:rFonts w:hint="eastAsia"/>
          <w:bCs/>
          <w:sz w:val="24"/>
        </w:rPr>
        <w:t>2</w:t>
      </w:r>
      <w:r>
        <w:rPr>
          <w:bCs/>
          <w:sz w:val="24"/>
        </w:rPr>
        <w:t>5</w:t>
      </w:r>
      <w:r>
        <w:rPr>
          <w:rFonts w:hint="eastAsia"/>
          <w:bCs/>
          <w:sz w:val="24"/>
        </w:rPr>
        <w:t>、本基金连续</w:t>
      </w:r>
      <w:r>
        <w:rPr>
          <w:rFonts w:hint="eastAsia"/>
          <w:bCs/>
          <w:sz w:val="24"/>
        </w:rPr>
        <w:t>30</w:t>
      </w:r>
      <w:r>
        <w:rPr>
          <w:rFonts w:hint="eastAsia"/>
          <w:bCs/>
          <w:sz w:val="24"/>
        </w:rPr>
        <w:t>个工作日、</w:t>
      </w:r>
      <w:r>
        <w:rPr>
          <w:rFonts w:hint="eastAsia"/>
          <w:bCs/>
          <w:sz w:val="24"/>
        </w:rPr>
        <w:t>40</w:t>
      </w:r>
      <w:r>
        <w:rPr>
          <w:rFonts w:hint="eastAsia"/>
          <w:bCs/>
          <w:sz w:val="24"/>
        </w:rPr>
        <w:t>个工作日、</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rsidR="00BF60A0" w:rsidRDefault="006E4EA0">
      <w:pPr>
        <w:adjustRightInd w:val="0"/>
        <w:snapToGrid w:val="0"/>
        <w:spacing w:line="360" w:lineRule="auto"/>
        <w:ind w:firstLineChars="200" w:firstLine="480"/>
        <w:rPr>
          <w:bCs/>
          <w:sz w:val="24"/>
        </w:rPr>
      </w:pPr>
      <w:r>
        <w:rPr>
          <w:bCs/>
          <w:sz w:val="24"/>
        </w:rPr>
        <w:t>26</w:t>
      </w:r>
      <w:r>
        <w:rPr>
          <w:rFonts w:hint="eastAsia"/>
          <w:bCs/>
          <w:sz w:val="24"/>
        </w:rPr>
        <w:t>、基金信息披露义务人认为可能对基金份额持有人权益或者基金份额的价格产生重大影响的其他事项或中国证监会规定的其他事项。</w:t>
      </w:r>
    </w:p>
    <w:p w:rsidR="00BF60A0" w:rsidRDefault="006E4EA0">
      <w:pPr>
        <w:adjustRightInd w:val="0"/>
        <w:snapToGrid w:val="0"/>
        <w:spacing w:line="360" w:lineRule="auto"/>
        <w:ind w:firstLineChars="200" w:firstLine="480"/>
        <w:rPr>
          <w:bCs/>
          <w:sz w:val="24"/>
        </w:rPr>
      </w:pPr>
      <w:r>
        <w:rPr>
          <w:rFonts w:hint="eastAsia"/>
          <w:bCs/>
          <w:sz w:val="24"/>
        </w:rPr>
        <w:t>（六）澄清公告</w:t>
      </w:r>
    </w:p>
    <w:p w:rsidR="00BF60A0" w:rsidRDefault="006E4EA0">
      <w:pPr>
        <w:adjustRightInd w:val="0"/>
        <w:snapToGrid w:val="0"/>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F60A0" w:rsidRDefault="006E4EA0">
      <w:pPr>
        <w:adjustRightInd w:val="0"/>
        <w:snapToGrid w:val="0"/>
        <w:spacing w:line="360" w:lineRule="auto"/>
        <w:ind w:firstLineChars="200" w:firstLine="480"/>
        <w:rPr>
          <w:bCs/>
          <w:sz w:val="24"/>
        </w:rPr>
      </w:pPr>
      <w:r>
        <w:rPr>
          <w:rFonts w:hint="eastAsia"/>
          <w:bCs/>
          <w:sz w:val="24"/>
        </w:rPr>
        <w:t>（七）基金份额持有人大会决议</w:t>
      </w:r>
    </w:p>
    <w:p w:rsidR="00BF60A0" w:rsidRDefault="006E4EA0">
      <w:pPr>
        <w:adjustRightInd w:val="0"/>
        <w:snapToGrid w:val="0"/>
        <w:spacing w:line="360" w:lineRule="auto"/>
        <w:ind w:firstLineChars="200" w:firstLine="480"/>
        <w:rPr>
          <w:bCs/>
          <w:sz w:val="24"/>
        </w:rPr>
      </w:pPr>
      <w:r>
        <w:rPr>
          <w:rFonts w:hint="eastAsia"/>
          <w:bCs/>
          <w:sz w:val="24"/>
        </w:rPr>
        <w:t>基金份额持有人大会决定的事项，应当依法报中国证监会备案，并予以公告。</w:t>
      </w:r>
    </w:p>
    <w:p w:rsidR="00BF60A0" w:rsidRDefault="006E4EA0">
      <w:pPr>
        <w:adjustRightInd w:val="0"/>
        <w:snapToGrid w:val="0"/>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BF60A0" w:rsidRDefault="006E4EA0">
      <w:pPr>
        <w:adjustRightInd w:val="0"/>
        <w:snapToGrid w:val="0"/>
        <w:spacing w:line="360" w:lineRule="auto"/>
        <w:ind w:firstLineChars="200" w:firstLine="480"/>
        <w:rPr>
          <w:bCs/>
          <w:sz w:val="24"/>
        </w:rPr>
      </w:pPr>
      <w:r>
        <w:rPr>
          <w:rFonts w:hint="eastAsia"/>
          <w:bCs/>
          <w:sz w:val="24"/>
        </w:rPr>
        <w:t>（八）清算报告</w:t>
      </w:r>
    </w:p>
    <w:p w:rsidR="00BF60A0" w:rsidRDefault="006E4EA0">
      <w:pPr>
        <w:adjustRightInd w:val="0"/>
        <w:snapToGrid w:val="0"/>
        <w:spacing w:line="360" w:lineRule="auto"/>
        <w:ind w:firstLineChars="200" w:firstLine="480"/>
        <w:rPr>
          <w:bCs/>
          <w:sz w:val="24"/>
        </w:rPr>
      </w:pPr>
      <w:r>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rsidR="00BF60A0" w:rsidRDefault="006E4EA0">
      <w:pPr>
        <w:adjustRightInd w:val="0"/>
        <w:snapToGrid w:val="0"/>
        <w:spacing w:line="360" w:lineRule="auto"/>
        <w:ind w:firstLineChars="200" w:firstLine="480"/>
        <w:rPr>
          <w:bCs/>
          <w:sz w:val="24"/>
        </w:rPr>
      </w:pPr>
      <w:r>
        <w:rPr>
          <w:rFonts w:hint="eastAsia"/>
          <w:bCs/>
          <w:sz w:val="24"/>
        </w:rPr>
        <w:t>（九）基金投资资产支持证券情况</w:t>
      </w:r>
    </w:p>
    <w:p w:rsidR="00BF60A0" w:rsidRDefault="006E4EA0">
      <w:pPr>
        <w:adjustRightInd w:val="0"/>
        <w:snapToGrid w:val="0"/>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BF60A0" w:rsidRDefault="006E4EA0">
      <w:pPr>
        <w:adjustRightInd w:val="0"/>
        <w:snapToGrid w:val="0"/>
        <w:spacing w:line="360" w:lineRule="auto"/>
        <w:ind w:firstLineChars="200" w:firstLine="480"/>
        <w:rPr>
          <w:bCs/>
          <w:sz w:val="24"/>
        </w:rPr>
      </w:pPr>
      <w:r>
        <w:rPr>
          <w:rFonts w:hint="eastAsia"/>
          <w:bCs/>
          <w:sz w:val="24"/>
        </w:rPr>
        <w:t>（十）基金投资港股通标的股票情况</w:t>
      </w:r>
    </w:p>
    <w:p w:rsidR="00BF60A0" w:rsidRDefault="006E4EA0">
      <w:pPr>
        <w:adjustRightInd w:val="0"/>
        <w:snapToGrid w:val="0"/>
        <w:spacing w:line="360" w:lineRule="auto"/>
        <w:ind w:firstLineChars="200" w:firstLine="480"/>
        <w:rPr>
          <w:bCs/>
          <w:sz w:val="24"/>
        </w:rPr>
      </w:pPr>
      <w:r>
        <w:rPr>
          <w:rFonts w:hint="eastAsia"/>
          <w:bCs/>
          <w:sz w:val="24"/>
        </w:rPr>
        <w:t>基金应当在季度报告、中期报告、年度报告等定期报告和招募说明书（更新）等文件中披露港股通标的股票的投资情况。法律法规或中国证监会另有规定的，从其规定。</w:t>
      </w:r>
    </w:p>
    <w:p w:rsidR="00BF60A0" w:rsidRDefault="006E4EA0">
      <w:pPr>
        <w:adjustRightInd w:val="0"/>
        <w:snapToGrid w:val="0"/>
        <w:spacing w:line="360" w:lineRule="auto"/>
        <w:ind w:firstLineChars="200" w:firstLine="480"/>
        <w:rPr>
          <w:bCs/>
          <w:sz w:val="24"/>
        </w:rPr>
      </w:pPr>
      <w:r>
        <w:rPr>
          <w:rFonts w:hint="eastAsia"/>
          <w:bCs/>
          <w:sz w:val="24"/>
        </w:rPr>
        <w:lastRenderedPageBreak/>
        <w:t>（十一）基金投资非公开发行股票情况</w:t>
      </w:r>
    </w:p>
    <w:p w:rsidR="00BF60A0" w:rsidRDefault="006E4EA0">
      <w:pPr>
        <w:adjustRightInd w:val="0"/>
        <w:snapToGrid w:val="0"/>
        <w:spacing w:line="360" w:lineRule="auto"/>
        <w:ind w:firstLineChars="200" w:firstLine="480"/>
        <w:rPr>
          <w:bCs/>
          <w:sz w:val="24"/>
        </w:rPr>
      </w:pPr>
      <w:r>
        <w:rPr>
          <w:rFonts w:hint="eastAsia"/>
          <w:bCs/>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rsidR="00BF60A0" w:rsidRDefault="006E4EA0">
      <w:pPr>
        <w:adjustRightInd w:val="0"/>
        <w:snapToGrid w:val="0"/>
        <w:spacing w:line="360" w:lineRule="auto"/>
        <w:ind w:firstLineChars="200" w:firstLine="480"/>
        <w:rPr>
          <w:bCs/>
          <w:sz w:val="24"/>
        </w:rPr>
      </w:pPr>
      <w:r>
        <w:rPr>
          <w:rFonts w:hint="eastAsia"/>
          <w:bCs/>
          <w:sz w:val="24"/>
        </w:rPr>
        <w:t>（十二）实施侧袋机制期间的信息披露</w:t>
      </w:r>
    </w:p>
    <w:p w:rsidR="00BF60A0" w:rsidRDefault="006E4EA0">
      <w:pPr>
        <w:adjustRightInd w:val="0"/>
        <w:snapToGrid w:val="0"/>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rsidR="00BF60A0" w:rsidRDefault="006E4EA0">
      <w:pPr>
        <w:adjustRightInd w:val="0"/>
        <w:snapToGrid w:val="0"/>
        <w:spacing w:line="360" w:lineRule="auto"/>
        <w:ind w:firstLineChars="200" w:firstLine="480"/>
        <w:rPr>
          <w:bCs/>
          <w:sz w:val="24"/>
        </w:rPr>
      </w:pPr>
      <w:r>
        <w:rPr>
          <w:rFonts w:hint="eastAsia"/>
          <w:bCs/>
          <w:sz w:val="24"/>
        </w:rPr>
        <w:t>（十三）中国证监会规定的其他信息。</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六、信息披露事务管理</w:t>
      </w:r>
    </w:p>
    <w:p w:rsidR="00BF60A0" w:rsidRDefault="006E4EA0">
      <w:pPr>
        <w:adjustRightInd w:val="0"/>
        <w:snapToGrid w:val="0"/>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rsidR="00BF60A0" w:rsidRDefault="006E4EA0">
      <w:pPr>
        <w:adjustRightInd w:val="0"/>
        <w:snapToGrid w:val="0"/>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基金信息披露义务人公开披露基金信息，应当符合中国证监会相关基金信息披露内容与格式准则等法律法规规定。</w:t>
      </w:r>
    </w:p>
    <w:p w:rsidR="00BF60A0" w:rsidRDefault="006E4EA0">
      <w:pPr>
        <w:adjustRightInd w:val="0"/>
        <w:snapToGrid w:val="0"/>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BF60A0" w:rsidRDefault="006E4EA0">
      <w:pPr>
        <w:adjustRightInd w:val="0"/>
        <w:snapToGrid w:val="0"/>
        <w:spacing w:line="360" w:lineRule="auto"/>
        <w:ind w:firstLineChars="200" w:firstLine="48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BF60A0" w:rsidRDefault="006E4EA0">
      <w:pPr>
        <w:adjustRightInd w:val="0"/>
        <w:snapToGrid w:val="0"/>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BF60A0" w:rsidRDefault="006E4EA0">
      <w:pPr>
        <w:adjustRightInd w:val="0"/>
        <w:snapToGrid w:val="0"/>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rsidR="00BF60A0" w:rsidRDefault="006E4EA0">
      <w:pPr>
        <w:adjustRightInd w:val="0"/>
        <w:snapToGrid w:val="0"/>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w:t>
      </w:r>
      <w:r>
        <w:rPr>
          <w:rFonts w:hint="eastAsia"/>
          <w:bCs/>
          <w:sz w:val="24"/>
        </w:rPr>
        <w:lastRenderedPageBreak/>
        <w:t>财产中列支。</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七、信息披露文件的存放与查阅</w:t>
      </w:r>
    </w:p>
    <w:p w:rsidR="00BF60A0" w:rsidRDefault="006E4EA0">
      <w:pPr>
        <w:adjustRightInd w:val="0"/>
        <w:snapToGrid w:val="0"/>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依法必须披露的信息发布后，基金管理人、基金托管人应当按照相关法律法规规定将信息置备于各自办公场所，供社会公众查阅、复制。</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八、本基金信息披露事项以法律法规规定及本章节约定的内容为准。</w:t>
      </w:r>
    </w:p>
    <w:p w:rsidR="00BF60A0" w:rsidRDefault="006E4EA0">
      <w:pPr>
        <w:pStyle w:val="1"/>
        <w:spacing w:before="0" w:after="0"/>
        <w:rPr>
          <w:szCs w:val="18"/>
        </w:rPr>
      </w:pPr>
      <w:r>
        <w:rPr>
          <w:b w:val="0"/>
          <w:bCs/>
          <w:sz w:val="21"/>
        </w:rPr>
        <w:br w:type="page"/>
      </w:r>
      <w:bookmarkStart w:id="343" w:name="_Toc535765927"/>
      <w:bookmarkStart w:id="344" w:name="_Toc8059"/>
      <w:bookmarkStart w:id="345" w:name="_Toc7170"/>
      <w:bookmarkStart w:id="346" w:name="_Toc139991749"/>
      <w:bookmarkStart w:id="347" w:name="_Toc25647"/>
      <w:bookmarkStart w:id="348" w:name="_Toc123102466"/>
      <w:bookmarkStart w:id="349" w:name="_Toc29891"/>
      <w:bookmarkStart w:id="350" w:name="_Toc9005"/>
      <w:bookmarkStart w:id="351" w:name="_Toc98560364"/>
      <w:bookmarkStart w:id="352" w:name="_Toc10006"/>
      <w:bookmarkStart w:id="353" w:name="_Toc141703899"/>
      <w:bookmarkStart w:id="354" w:name="_Toc123051465"/>
      <w:bookmarkStart w:id="355" w:name="_Toc6237"/>
      <w:bookmarkStart w:id="356" w:name="_Toc22978"/>
      <w:bookmarkStart w:id="357" w:name="_Toc27464"/>
      <w:bookmarkStart w:id="358" w:name="_Toc123112247"/>
      <w:bookmarkStart w:id="359" w:name="_Toc8049"/>
      <w:r>
        <w:rPr>
          <w:rFonts w:hAnsi="宋体" w:hint="eastAsia"/>
        </w:rPr>
        <w:lastRenderedPageBreak/>
        <w:t>第十九部分</w:t>
      </w:r>
      <w:r>
        <w:rPr>
          <w:rFonts w:hAnsi="宋体"/>
        </w:rPr>
        <w:t xml:space="preserve">  </w:t>
      </w:r>
      <w:r>
        <w:rPr>
          <w:rFonts w:hint="eastAsia"/>
          <w:sz w:val="30"/>
        </w:rPr>
        <w:t>基金合同的变更、终止与基金财产的清算</w:t>
      </w:r>
      <w:bookmarkEnd w:id="343"/>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bookmarkStart w:id="360" w:name="_Toc79392639"/>
      <w:r>
        <w:rPr>
          <w:bCs/>
          <w:sz w:val="24"/>
        </w:rPr>
        <w:t>一、基金合同的变更</w:t>
      </w:r>
      <w:bookmarkEnd w:id="360"/>
    </w:p>
    <w:p w:rsidR="00BF60A0" w:rsidRDefault="006E4EA0">
      <w:pPr>
        <w:adjustRightInd w:val="0"/>
        <w:snapToGrid w:val="0"/>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F60A0" w:rsidRDefault="006E4EA0">
      <w:pPr>
        <w:adjustRightInd w:val="0"/>
        <w:snapToGrid w:val="0"/>
        <w:spacing w:line="360" w:lineRule="auto"/>
        <w:ind w:firstLineChars="200" w:firstLine="480"/>
        <w:rPr>
          <w:bCs/>
          <w:sz w:val="24"/>
        </w:rPr>
      </w:pPr>
      <w:r>
        <w:rPr>
          <w:bCs/>
          <w:sz w:val="24"/>
        </w:rPr>
        <w:t>2</w:t>
      </w:r>
      <w:r>
        <w:rPr>
          <w:bCs/>
          <w:sz w:val="24"/>
        </w:rPr>
        <w:t>、</w:t>
      </w:r>
      <w:r>
        <w:rPr>
          <w:rFonts w:hint="eastAsia"/>
          <w:bCs/>
          <w:sz w:val="24"/>
        </w:rPr>
        <w:t>关于《基金合同》变更的基金份额持有人大会决议自生效后方可执行</w:t>
      </w:r>
      <w:r>
        <w:rPr>
          <w:bCs/>
          <w:sz w:val="24"/>
        </w:rPr>
        <w:t>，自决议</w:t>
      </w:r>
      <w:r>
        <w:rPr>
          <w:rFonts w:hint="eastAsia"/>
          <w:sz w:val="24"/>
        </w:rPr>
        <w:t>生效</w:t>
      </w:r>
      <w:r>
        <w:rPr>
          <w:rFonts w:hint="eastAsia"/>
          <w:bCs/>
          <w:sz w:val="24"/>
        </w:rPr>
        <w:t>后两日内依照《信息披露办法》的规定</w:t>
      </w:r>
      <w:r>
        <w:rPr>
          <w:bCs/>
          <w:sz w:val="24"/>
        </w:rPr>
        <w:t>在</w:t>
      </w:r>
      <w:r>
        <w:rPr>
          <w:rFonts w:hint="eastAsia"/>
          <w:bCs/>
          <w:sz w:val="24"/>
        </w:rPr>
        <w:t>规定媒介</w:t>
      </w:r>
      <w:r>
        <w:rPr>
          <w:bCs/>
          <w:sz w:val="24"/>
        </w:rPr>
        <w:t>公告。</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二、基金合同的终止事由</w:t>
      </w:r>
    </w:p>
    <w:p w:rsidR="00BF60A0" w:rsidRDefault="006E4EA0">
      <w:pPr>
        <w:adjustRightInd w:val="0"/>
        <w:snapToGrid w:val="0"/>
        <w:spacing w:line="360" w:lineRule="auto"/>
        <w:ind w:firstLineChars="200" w:firstLine="480"/>
        <w:rPr>
          <w:bCs/>
          <w:sz w:val="24"/>
        </w:rPr>
      </w:pPr>
      <w:r>
        <w:rPr>
          <w:bCs/>
          <w:sz w:val="24"/>
        </w:rPr>
        <w:t>有下列情形之一的，基金合同应当终止：</w:t>
      </w:r>
    </w:p>
    <w:p w:rsidR="00BF60A0" w:rsidRDefault="006E4EA0">
      <w:pPr>
        <w:adjustRightInd w:val="0"/>
        <w:snapToGrid w:val="0"/>
        <w:spacing w:line="360" w:lineRule="auto"/>
        <w:ind w:firstLineChars="200" w:firstLine="480"/>
        <w:rPr>
          <w:bCs/>
          <w:sz w:val="24"/>
        </w:rPr>
      </w:pPr>
      <w:r>
        <w:rPr>
          <w:bCs/>
          <w:sz w:val="24"/>
        </w:rPr>
        <w:t>1</w:t>
      </w:r>
      <w:r>
        <w:rPr>
          <w:bCs/>
          <w:sz w:val="24"/>
        </w:rPr>
        <w:t>、基金份额持有人大会决定终止的；</w:t>
      </w:r>
    </w:p>
    <w:p w:rsidR="00BF60A0" w:rsidRDefault="006E4EA0">
      <w:pPr>
        <w:adjustRightInd w:val="0"/>
        <w:snapToGrid w:val="0"/>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BF60A0" w:rsidRDefault="006E4EA0">
      <w:pPr>
        <w:adjustRightInd w:val="0"/>
        <w:snapToGrid w:val="0"/>
        <w:spacing w:line="360" w:lineRule="auto"/>
        <w:ind w:firstLineChars="200" w:firstLine="480"/>
        <w:rPr>
          <w:bCs/>
          <w:sz w:val="24"/>
        </w:rPr>
      </w:pPr>
      <w:r>
        <w:rPr>
          <w:bCs/>
          <w:sz w:val="24"/>
        </w:rPr>
        <w:t>3</w:t>
      </w:r>
      <w:r>
        <w:rPr>
          <w:bCs/>
          <w:sz w:val="24"/>
        </w:rPr>
        <w:t>、</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rsidR="00BF60A0" w:rsidRDefault="006E4EA0">
      <w:pPr>
        <w:adjustRightInd w:val="0"/>
        <w:snapToGrid w:val="0"/>
        <w:spacing w:line="360" w:lineRule="auto"/>
        <w:ind w:firstLineChars="200" w:firstLine="480"/>
        <w:rPr>
          <w:bCs/>
          <w:sz w:val="24"/>
        </w:rPr>
      </w:pPr>
      <w:r>
        <w:rPr>
          <w:bCs/>
          <w:sz w:val="24"/>
        </w:rPr>
        <w:t>5</w:t>
      </w:r>
      <w:r>
        <w:rPr>
          <w:bCs/>
          <w:sz w:val="24"/>
        </w:rPr>
        <w:t>、相关法律法规和中国证监会规定的其他情况。</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三、基金财产的清算</w:t>
      </w:r>
    </w:p>
    <w:p w:rsidR="00BF60A0" w:rsidRDefault="006E4EA0">
      <w:pPr>
        <w:adjustRightInd w:val="0"/>
        <w:snapToGrid w:val="0"/>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BF60A0" w:rsidRDefault="006E4EA0">
      <w:pPr>
        <w:adjustRightInd w:val="0"/>
        <w:snapToGrid w:val="0"/>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rsidR="00BF60A0" w:rsidRDefault="006E4EA0">
      <w:pPr>
        <w:adjustRightInd w:val="0"/>
        <w:snapToGrid w:val="0"/>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BF60A0" w:rsidRDefault="006E4EA0">
      <w:pPr>
        <w:adjustRightInd w:val="0"/>
        <w:snapToGrid w:val="0"/>
        <w:spacing w:line="360" w:lineRule="auto"/>
        <w:ind w:firstLineChars="200" w:firstLine="480"/>
        <w:rPr>
          <w:bCs/>
          <w:sz w:val="24"/>
        </w:rPr>
      </w:pPr>
      <w:r>
        <w:rPr>
          <w:bCs/>
          <w:sz w:val="24"/>
        </w:rPr>
        <w:t>4</w:t>
      </w:r>
      <w:r>
        <w:rPr>
          <w:bCs/>
          <w:sz w:val="24"/>
        </w:rPr>
        <w:t>、基金财产清算程序：</w:t>
      </w:r>
    </w:p>
    <w:p w:rsidR="00BF60A0" w:rsidRDefault="006E4EA0">
      <w:pPr>
        <w:adjustRightInd w:val="0"/>
        <w:snapToGrid w:val="0"/>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）对基金财产和债权债务进行清理和确认；</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）对基金财产进行估值和变现；</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）制作清算报告；</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，若遇基金持有的股票或其他有价证券出现长期休市、停牌或其他流通受限的情形除外</w:t>
      </w:r>
      <w:r>
        <w:rPr>
          <w:bCs/>
          <w:sz w:val="24"/>
        </w:rPr>
        <w:t>。</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四、清算费用</w:t>
      </w:r>
    </w:p>
    <w:p w:rsidR="00BF60A0" w:rsidRDefault="006E4EA0">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五、基金财产清算剩余资产的分配</w:t>
      </w:r>
    </w:p>
    <w:p w:rsidR="00BF60A0" w:rsidRDefault="006E4EA0">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六、基金财产清算的公告</w:t>
      </w:r>
    </w:p>
    <w:p w:rsidR="00BF60A0" w:rsidRDefault="006E4EA0">
      <w:pPr>
        <w:adjustRightInd w:val="0"/>
        <w:snapToGrid w:val="0"/>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七、基金财产清算账册及文件的保存</w:t>
      </w:r>
    </w:p>
    <w:p w:rsidR="00BF60A0" w:rsidRDefault="006E4EA0">
      <w:pPr>
        <w:adjustRightInd w:val="0"/>
        <w:snapToGrid w:val="0"/>
        <w:spacing w:line="360" w:lineRule="auto"/>
        <w:ind w:firstLineChars="200" w:firstLine="480"/>
        <w:rPr>
          <w:bCs/>
          <w:sz w:val="24"/>
        </w:rPr>
      </w:pPr>
      <w:r>
        <w:rPr>
          <w:bCs/>
          <w:sz w:val="24"/>
        </w:rPr>
        <w:t>基金财产清算账册及有关文件由基金托管人保存</w:t>
      </w:r>
      <w:r>
        <w:rPr>
          <w:rFonts w:hint="eastAsia"/>
          <w:bCs/>
          <w:sz w:val="24"/>
        </w:rPr>
        <w:t>不低于法律法规规定的最低期限</w:t>
      </w:r>
      <w:r>
        <w:rPr>
          <w:bCs/>
          <w:sz w:val="24"/>
        </w:rPr>
        <w:t>。</w:t>
      </w:r>
    </w:p>
    <w:p w:rsidR="00BF60A0" w:rsidRDefault="006E4EA0">
      <w:pPr>
        <w:pStyle w:val="1"/>
        <w:spacing w:before="0" w:after="0"/>
        <w:rPr>
          <w:sz w:val="30"/>
        </w:rPr>
      </w:pPr>
      <w:bookmarkStart w:id="361" w:name="_Toc98560365"/>
      <w:bookmarkStart w:id="362" w:name="_Toc123102467"/>
      <w:bookmarkStart w:id="363" w:name="_Toc123051466"/>
      <w:bookmarkStart w:id="364" w:name="_Toc123112248"/>
      <w:bookmarkStart w:id="365" w:name="_Toc79392641"/>
      <w:bookmarkStart w:id="366" w:name="_Toc48649720"/>
      <w:r>
        <w:rPr>
          <w:b w:val="0"/>
          <w:bCs/>
        </w:rPr>
        <w:br w:type="page"/>
      </w:r>
      <w:bookmarkStart w:id="367" w:name="_Toc139991750"/>
      <w:bookmarkStart w:id="368" w:name="_Toc535765928"/>
      <w:bookmarkStart w:id="369" w:name="_Toc27058"/>
      <w:bookmarkStart w:id="370" w:name="_Toc28549"/>
      <w:bookmarkStart w:id="371" w:name="_Toc21240"/>
      <w:bookmarkStart w:id="372" w:name="_Toc12191"/>
      <w:bookmarkStart w:id="373" w:name="_Toc8710"/>
      <w:bookmarkStart w:id="374" w:name="_Toc9708"/>
      <w:bookmarkStart w:id="375" w:name="_Toc7367"/>
      <w:bookmarkStart w:id="376" w:name="_Toc30645"/>
      <w:bookmarkStart w:id="377" w:name="_Toc13398"/>
      <w:bookmarkStart w:id="378" w:name="_Toc312933450"/>
      <w:bookmarkStart w:id="379" w:name="_Toc23022"/>
      <w:bookmarkStart w:id="380" w:name="_Toc141703901"/>
      <w:r>
        <w:rPr>
          <w:sz w:val="30"/>
        </w:rPr>
        <w:lastRenderedPageBreak/>
        <w:t>第二十部分</w:t>
      </w:r>
      <w:r>
        <w:rPr>
          <w:sz w:val="30"/>
        </w:rPr>
        <w:t xml:space="preserve">  </w:t>
      </w:r>
      <w:r>
        <w:rPr>
          <w:sz w:val="30"/>
        </w:rPr>
        <w:t>违约责任</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rFonts w:ascii="宋体"/>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但是发生下列情况的，当事人免责：</w:t>
      </w:r>
    </w:p>
    <w:p w:rsidR="00BF60A0" w:rsidRDefault="006E4EA0">
      <w:pPr>
        <w:adjustRightInd w:val="0"/>
        <w:snapToGrid w:val="0"/>
        <w:spacing w:line="360" w:lineRule="auto"/>
        <w:ind w:firstLineChars="200" w:firstLine="480"/>
        <w:rPr>
          <w:sz w:val="24"/>
        </w:rPr>
      </w:pPr>
      <w:r>
        <w:rPr>
          <w:sz w:val="24"/>
        </w:rPr>
        <w:t>1</w:t>
      </w:r>
      <w:r>
        <w:rPr>
          <w:rFonts w:hAnsi="宋体"/>
          <w:sz w:val="24"/>
        </w:rPr>
        <w:t>、不可抗力；</w:t>
      </w:r>
    </w:p>
    <w:p w:rsidR="00BF60A0" w:rsidRDefault="006E4EA0">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rsidR="00BF60A0" w:rsidRDefault="006E4EA0">
      <w:pPr>
        <w:adjustRightInd w:val="0"/>
        <w:snapToGrid w:val="0"/>
        <w:spacing w:line="360" w:lineRule="auto"/>
        <w:ind w:firstLineChars="200" w:firstLine="480"/>
        <w:rPr>
          <w:rFonts w:ascii="宋体" w:hAnsi="宋体"/>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BF60A0" w:rsidRDefault="006E4EA0">
      <w:pPr>
        <w:pStyle w:val="1"/>
        <w:spacing w:before="0" w:after="0"/>
        <w:rPr>
          <w:sz w:val="30"/>
        </w:rPr>
      </w:pPr>
      <w:r>
        <w:rPr>
          <w:b w:val="0"/>
          <w:bCs/>
        </w:rPr>
        <w:br w:type="page"/>
      </w:r>
      <w:bookmarkStart w:id="381" w:name="_Toc30350"/>
      <w:bookmarkStart w:id="382" w:name="_Toc24923"/>
      <w:bookmarkStart w:id="383" w:name="_Toc7288"/>
      <w:bookmarkStart w:id="384" w:name="_Toc141703902"/>
      <w:bookmarkStart w:id="385" w:name="_Toc123102468"/>
      <w:bookmarkStart w:id="386" w:name="_Toc23999"/>
      <w:bookmarkStart w:id="387" w:name="_Toc21983"/>
      <w:bookmarkStart w:id="388" w:name="_Toc535765929"/>
      <w:bookmarkStart w:id="389" w:name="_Toc3319"/>
      <w:bookmarkStart w:id="390" w:name="_Toc312933451"/>
      <w:bookmarkStart w:id="391" w:name="_Toc25651"/>
      <w:bookmarkStart w:id="392" w:name="_Toc8636"/>
      <w:bookmarkStart w:id="393" w:name="_Toc123112249"/>
      <w:bookmarkStart w:id="394" w:name="_Toc123051467"/>
      <w:bookmarkStart w:id="395" w:name="_Toc98560366"/>
      <w:bookmarkStart w:id="396" w:name="_Toc1790"/>
      <w:bookmarkStart w:id="397" w:name="_Toc6202"/>
      <w:bookmarkStart w:id="398" w:name="_Toc139991751"/>
      <w:r>
        <w:rPr>
          <w:sz w:val="30"/>
        </w:rPr>
        <w:lastRenderedPageBreak/>
        <w:t>第二十</w:t>
      </w:r>
      <w:r>
        <w:rPr>
          <w:rFonts w:hint="eastAsia"/>
          <w:sz w:val="30"/>
        </w:rPr>
        <w:t>一</w:t>
      </w:r>
      <w:r>
        <w:rPr>
          <w:sz w:val="30"/>
        </w:rPr>
        <w:t>部分</w:t>
      </w:r>
      <w:r>
        <w:rPr>
          <w:sz w:val="30"/>
        </w:rPr>
        <w:t xml:space="preserve">  </w:t>
      </w:r>
      <w:r>
        <w:rPr>
          <w:sz w:val="30"/>
        </w:rPr>
        <w:t>争议的处理和适用的法律</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BF60A0" w:rsidRDefault="006E4EA0">
      <w:pPr>
        <w:adjustRightInd w:val="0"/>
        <w:snapToGrid w:val="0"/>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p>
    <w:p w:rsidR="00BF60A0" w:rsidRDefault="006E4EA0">
      <w:pPr>
        <w:pStyle w:val="1"/>
        <w:spacing w:before="0" w:after="0"/>
        <w:rPr>
          <w:sz w:val="30"/>
        </w:rPr>
      </w:pPr>
      <w:r>
        <w:rPr>
          <w:b w:val="0"/>
          <w:bCs/>
        </w:rPr>
        <w:br w:type="page"/>
      </w:r>
      <w:bookmarkStart w:id="399" w:name="_Toc535765930"/>
      <w:r>
        <w:rPr>
          <w:sz w:val="30"/>
        </w:rPr>
        <w:lastRenderedPageBreak/>
        <w:t>第二十</w:t>
      </w:r>
      <w:r>
        <w:rPr>
          <w:rFonts w:hint="eastAsia"/>
          <w:sz w:val="30"/>
        </w:rPr>
        <w:t>二</w:t>
      </w:r>
      <w:r>
        <w:rPr>
          <w:sz w:val="30"/>
        </w:rPr>
        <w:t>部分</w:t>
      </w:r>
      <w:r>
        <w:rPr>
          <w:sz w:val="30"/>
        </w:rPr>
        <w:t xml:space="preserve">  </w:t>
      </w:r>
      <w:r>
        <w:rPr>
          <w:rFonts w:hint="eastAsia"/>
          <w:sz w:val="30"/>
        </w:rPr>
        <w:t>基金合同的效力</w:t>
      </w:r>
      <w:bookmarkEnd w:id="399"/>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rsidR="00BF60A0" w:rsidRDefault="006E4EA0">
      <w:pPr>
        <w:adjustRightInd w:val="0"/>
        <w:snapToGrid w:val="0"/>
        <w:spacing w:line="360" w:lineRule="auto"/>
        <w:ind w:firstLineChars="200" w:firstLine="480"/>
        <w:rPr>
          <w:bCs/>
          <w:sz w:val="24"/>
        </w:rPr>
      </w:pPr>
      <w:r>
        <w:rPr>
          <w:bCs/>
          <w:sz w:val="24"/>
        </w:rPr>
        <w:t>1</w:t>
      </w:r>
      <w:r>
        <w:rPr>
          <w:bCs/>
          <w:sz w:val="24"/>
        </w:rPr>
        <w:t>、</w:t>
      </w:r>
      <w:r>
        <w:rPr>
          <w:rFonts w:hint="eastAsia"/>
          <w:bCs/>
          <w:sz w:val="24"/>
        </w:rPr>
        <w:t>本基金由交银施罗德荣祥保本混合型证券投资基金保本周期到期转型而来。《基金合同》由原《交银施罗德稳固收益债券型证券投资基金基金合同》修订而来，经基金管理人、基金托管人双方盖章以及双方法定代表人或授权代表签章，并经基金管理人向中国证监会办理基金变更注册手续获得中国证监会书面确认。经</w:t>
      </w:r>
      <w:r>
        <w:rPr>
          <w:rFonts w:hint="eastAsia"/>
          <w:bCs/>
          <w:sz w:val="24"/>
        </w:rPr>
        <w:t>202</w:t>
      </w:r>
      <w:r>
        <w:rPr>
          <w:bCs/>
          <w:sz w:val="24"/>
        </w:rPr>
        <w:t>3</w:t>
      </w:r>
      <w:r>
        <w:rPr>
          <w:rFonts w:hint="eastAsia"/>
          <w:bCs/>
          <w:sz w:val="24"/>
        </w:rPr>
        <w:t>年</w:t>
      </w:r>
      <w:r>
        <w:rPr>
          <w:bCs/>
          <w:sz w:val="24"/>
        </w:rPr>
        <w:t>4</w:t>
      </w:r>
      <w:r>
        <w:rPr>
          <w:rFonts w:hint="eastAsia"/>
          <w:bCs/>
          <w:sz w:val="24"/>
        </w:rPr>
        <w:t>月</w:t>
      </w:r>
      <w:r>
        <w:rPr>
          <w:bCs/>
          <w:sz w:val="24"/>
        </w:rPr>
        <w:t>25</w:t>
      </w:r>
      <w:r>
        <w:rPr>
          <w:rFonts w:hint="eastAsia"/>
          <w:bCs/>
          <w:sz w:val="24"/>
        </w:rPr>
        <w:t>日交银施罗德稳固收益债券型证券投资基金的基金份额持有人大会决议通过，并报中国证监会备案，自</w:t>
      </w:r>
      <w:r>
        <w:rPr>
          <w:rFonts w:hint="eastAsia"/>
          <w:bCs/>
          <w:sz w:val="24"/>
        </w:rPr>
        <w:t>202</w:t>
      </w:r>
      <w:r>
        <w:rPr>
          <w:bCs/>
          <w:sz w:val="24"/>
        </w:rPr>
        <w:t>3</w:t>
      </w:r>
      <w:r>
        <w:rPr>
          <w:rFonts w:hint="eastAsia"/>
          <w:bCs/>
          <w:sz w:val="24"/>
        </w:rPr>
        <w:t>年</w:t>
      </w:r>
      <w:r>
        <w:rPr>
          <w:bCs/>
          <w:sz w:val="24"/>
        </w:rPr>
        <w:t>4</w:t>
      </w:r>
      <w:r>
        <w:rPr>
          <w:rFonts w:hint="eastAsia"/>
          <w:bCs/>
          <w:sz w:val="24"/>
        </w:rPr>
        <w:t>月</w:t>
      </w:r>
      <w:r>
        <w:rPr>
          <w:bCs/>
          <w:sz w:val="24"/>
        </w:rPr>
        <w:t>26</w:t>
      </w:r>
      <w:r>
        <w:rPr>
          <w:rFonts w:hint="eastAsia"/>
          <w:bCs/>
          <w:sz w:val="24"/>
        </w:rPr>
        <w:t>日起修订后的基金合同生效。</w:t>
      </w:r>
    </w:p>
    <w:p w:rsidR="00BF60A0" w:rsidRDefault="006E4EA0">
      <w:pPr>
        <w:adjustRightInd w:val="0"/>
        <w:snapToGrid w:val="0"/>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BF60A0" w:rsidRDefault="006E4EA0">
      <w:pPr>
        <w:adjustRightInd w:val="0"/>
        <w:snapToGrid w:val="0"/>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BF60A0" w:rsidRDefault="006E4EA0">
      <w:pPr>
        <w:adjustRightInd w:val="0"/>
        <w:snapToGrid w:val="0"/>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BF60A0" w:rsidRDefault="006E4EA0">
      <w:pPr>
        <w:adjustRightInd w:val="0"/>
        <w:snapToGrid w:val="0"/>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r>
        <w:rPr>
          <w:rFonts w:hint="eastAsia"/>
          <w:bCs/>
          <w:sz w:val="24"/>
        </w:rPr>
        <w:t>，但应以基金合同正本为准。</w:t>
      </w:r>
    </w:p>
    <w:p w:rsidR="00BF60A0" w:rsidRDefault="006E4EA0">
      <w:pPr>
        <w:pStyle w:val="1"/>
        <w:spacing w:before="0" w:after="0"/>
        <w:rPr>
          <w:sz w:val="30"/>
        </w:rPr>
      </w:pPr>
      <w:r>
        <w:rPr>
          <w:b w:val="0"/>
          <w:bCs/>
        </w:rPr>
        <w:br w:type="page"/>
      </w:r>
      <w:bookmarkStart w:id="400" w:name="_Toc21726"/>
      <w:bookmarkStart w:id="401" w:name="_Toc312933453"/>
      <w:bookmarkStart w:id="402" w:name="_Toc535765931"/>
      <w:r>
        <w:rPr>
          <w:rFonts w:hint="eastAsia"/>
          <w:sz w:val="30"/>
        </w:rPr>
        <w:lastRenderedPageBreak/>
        <w:t>第二十三部分</w:t>
      </w:r>
      <w:r>
        <w:rPr>
          <w:rFonts w:hint="eastAsia"/>
          <w:sz w:val="30"/>
        </w:rPr>
        <w:t xml:space="preserve">  </w:t>
      </w:r>
      <w:r>
        <w:rPr>
          <w:rFonts w:hint="eastAsia"/>
          <w:sz w:val="30"/>
        </w:rPr>
        <w:t>其他事项</w:t>
      </w:r>
      <w:bookmarkEnd w:id="400"/>
      <w:bookmarkEnd w:id="401"/>
      <w:bookmarkEnd w:id="402"/>
    </w:p>
    <w:p w:rsidR="00BF60A0" w:rsidRDefault="00BF60A0">
      <w:pPr>
        <w:adjustRightInd w:val="0"/>
        <w:snapToGrid w:val="0"/>
        <w:spacing w:line="360" w:lineRule="auto"/>
        <w:ind w:firstLineChars="200" w:firstLine="480"/>
        <w:rPr>
          <w:rFonts w:ascii="宋体" w:hAnsi="宋体"/>
          <w:sz w:val="24"/>
        </w:rPr>
      </w:pPr>
    </w:p>
    <w:p w:rsidR="00BF60A0" w:rsidRDefault="006E4EA0">
      <w:pPr>
        <w:adjustRightInd w:val="0"/>
        <w:snapToGrid w:val="0"/>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rsidR="00BF60A0" w:rsidRDefault="006E4EA0">
      <w:pPr>
        <w:pStyle w:val="1"/>
        <w:spacing w:before="0" w:after="0"/>
      </w:pPr>
      <w:r>
        <w:rPr>
          <w:b w:val="0"/>
          <w:bCs/>
        </w:rPr>
        <w:br w:type="page"/>
      </w:r>
      <w:bookmarkStart w:id="403" w:name="_Toc535765932"/>
      <w:r>
        <w:rPr>
          <w:sz w:val="30"/>
        </w:rPr>
        <w:lastRenderedPageBreak/>
        <w:t>第二十</w:t>
      </w:r>
      <w:r>
        <w:rPr>
          <w:rFonts w:hint="eastAsia"/>
          <w:sz w:val="30"/>
        </w:rPr>
        <w:t>四</w:t>
      </w:r>
      <w:r>
        <w:rPr>
          <w:sz w:val="30"/>
        </w:rPr>
        <w:t>部分</w:t>
      </w:r>
      <w:r>
        <w:rPr>
          <w:sz w:val="30"/>
        </w:rPr>
        <w:t xml:space="preserve">  </w:t>
      </w:r>
      <w:r>
        <w:rPr>
          <w:rFonts w:hint="eastAsia"/>
          <w:sz w:val="30"/>
        </w:rPr>
        <w:t>基金合同内容摘要</w:t>
      </w:r>
      <w:bookmarkEnd w:id="26"/>
      <w:bookmarkEnd w:id="27"/>
      <w:bookmarkEnd w:id="403"/>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一、</w:t>
      </w:r>
      <w:r>
        <w:rPr>
          <w:bCs/>
          <w:sz w:val="24"/>
        </w:rPr>
        <w:t>基金份额持有人、基金管理人和基金托管人的权利、义务</w:t>
      </w:r>
    </w:p>
    <w:p w:rsidR="00BF60A0" w:rsidRDefault="006E4EA0">
      <w:pPr>
        <w:adjustRightInd w:val="0"/>
        <w:snapToGrid w:val="0"/>
        <w:spacing w:line="360" w:lineRule="auto"/>
        <w:ind w:firstLineChars="200" w:firstLine="480"/>
        <w:rPr>
          <w:bCs/>
          <w:sz w:val="24"/>
        </w:rPr>
      </w:pPr>
      <w:r>
        <w:rPr>
          <w:bCs/>
          <w:sz w:val="24"/>
        </w:rPr>
        <w:t>（一）基金管理人的权利与义务</w:t>
      </w:r>
    </w:p>
    <w:p w:rsidR="00BF60A0" w:rsidRDefault="006E4EA0">
      <w:pPr>
        <w:adjustRightInd w:val="0"/>
        <w:snapToGrid w:val="0"/>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）依法募集基金；</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）召集基金份额持有人大会；</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BF60A0" w:rsidRDefault="006E4EA0">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BF60A0" w:rsidRDefault="006E4EA0">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BF60A0" w:rsidRDefault="006E4EA0">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BF60A0" w:rsidRDefault="006E4EA0">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rsidR="00BF60A0" w:rsidRDefault="006E4EA0">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BF60A0" w:rsidRDefault="006E4EA0">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BF60A0" w:rsidRDefault="006E4EA0">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BF60A0" w:rsidRDefault="006E4EA0">
      <w:pPr>
        <w:adjustRightInd w:val="0"/>
        <w:snapToGrid w:val="0"/>
        <w:spacing w:line="360" w:lineRule="auto"/>
        <w:ind w:firstLineChars="200" w:firstLine="480"/>
        <w:rPr>
          <w:bCs/>
          <w:sz w:val="24"/>
        </w:rPr>
      </w:pPr>
      <w:r>
        <w:rPr>
          <w:bCs/>
          <w:sz w:val="24"/>
        </w:rPr>
        <w:lastRenderedPageBreak/>
        <w:t>（</w:t>
      </w:r>
      <w:r>
        <w:rPr>
          <w:bCs/>
          <w:sz w:val="24"/>
        </w:rPr>
        <w:t>16</w:t>
      </w:r>
      <w:r>
        <w:rPr>
          <w:bCs/>
          <w:sz w:val="24"/>
        </w:rPr>
        <w:t>）在符合有关法律、法规的前提下，制</w:t>
      </w:r>
      <w:r>
        <w:rPr>
          <w:rFonts w:hint="eastAsia"/>
          <w:bCs/>
          <w:sz w:val="24"/>
        </w:rPr>
        <w:t>定</w:t>
      </w:r>
      <w:r>
        <w:rPr>
          <w:bCs/>
          <w:sz w:val="24"/>
        </w:rPr>
        <w:t>和调整有关基金申购、赎回、转换和非交易过户</w:t>
      </w:r>
      <w:r>
        <w:rPr>
          <w:rFonts w:hint="eastAsia"/>
          <w:bCs/>
          <w:sz w:val="24"/>
        </w:rPr>
        <w:t>等业务</w:t>
      </w:r>
      <w:r>
        <w:rPr>
          <w:bCs/>
          <w:sz w:val="24"/>
        </w:rPr>
        <w:t>的业务规则；</w:t>
      </w:r>
    </w:p>
    <w:p w:rsidR="00BF60A0" w:rsidRDefault="006E4EA0">
      <w:pPr>
        <w:adjustRightInd w:val="0"/>
        <w:snapToGrid w:val="0"/>
        <w:spacing w:line="360" w:lineRule="auto"/>
        <w:ind w:firstLineChars="200" w:firstLine="480"/>
        <w:rPr>
          <w:bCs/>
          <w:sz w:val="24"/>
        </w:rPr>
      </w:pPr>
      <w:r>
        <w:rPr>
          <w:bCs/>
          <w:sz w:val="24"/>
        </w:rPr>
        <w:t>（</w:t>
      </w:r>
      <w:r>
        <w:rPr>
          <w:bCs/>
          <w:sz w:val="24"/>
        </w:rPr>
        <w:t>17</w:t>
      </w:r>
      <w:r>
        <w:rPr>
          <w:bCs/>
          <w:sz w:val="24"/>
        </w:rPr>
        <w:t>）法律法规</w:t>
      </w:r>
      <w:r>
        <w:rPr>
          <w:rFonts w:hint="eastAsia"/>
          <w:bCs/>
          <w:sz w:val="24"/>
        </w:rPr>
        <w:t>及中国证监会规定的</w:t>
      </w:r>
      <w:r>
        <w:rPr>
          <w:bCs/>
          <w:sz w:val="24"/>
        </w:rPr>
        <w:t>和基金合同</w:t>
      </w:r>
      <w:r>
        <w:rPr>
          <w:rFonts w:hint="eastAsia"/>
          <w:bCs/>
          <w:sz w:val="24"/>
        </w:rPr>
        <w:t>约</w:t>
      </w:r>
      <w:r>
        <w:rPr>
          <w:bCs/>
          <w:sz w:val="24"/>
        </w:rPr>
        <w:t>定的其他权利。</w:t>
      </w:r>
    </w:p>
    <w:p w:rsidR="00BF60A0" w:rsidRDefault="006E4EA0">
      <w:pPr>
        <w:adjustRightInd w:val="0"/>
        <w:snapToGrid w:val="0"/>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）依法募集基金，办理或者委托经中国证监会认定的其他机构代为办理基金份额的</w:t>
      </w:r>
      <w:r>
        <w:rPr>
          <w:rFonts w:hint="eastAsia"/>
          <w:bCs/>
          <w:sz w:val="24"/>
        </w:rPr>
        <w:t>销售</w:t>
      </w:r>
      <w:r>
        <w:rPr>
          <w:bCs/>
          <w:sz w:val="24"/>
        </w:rPr>
        <w:t>、申购、赎回和登记事宜；</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）办理基金备案手续；</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）依法接受基金托管人的监督；</w:t>
      </w:r>
    </w:p>
    <w:p w:rsidR="00BF60A0" w:rsidRDefault="006E4EA0">
      <w:pPr>
        <w:adjustRightInd w:val="0"/>
        <w:snapToGrid w:val="0"/>
        <w:spacing w:line="360" w:lineRule="auto"/>
        <w:ind w:firstLineChars="200" w:firstLine="480"/>
        <w:rPr>
          <w:bCs/>
          <w:sz w:val="24"/>
        </w:rPr>
      </w:pPr>
      <w:r>
        <w:rPr>
          <w:bCs/>
          <w:sz w:val="24"/>
        </w:rPr>
        <w:t>（</w:t>
      </w:r>
      <w:r>
        <w:rPr>
          <w:bCs/>
          <w:sz w:val="24"/>
        </w:rPr>
        <w:t>8</w:t>
      </w:r>
      <w:r>
        <w:rPr>
          <w:bCs/>
          <w:sz w:val="24"/>
        </w:rPr>
        <w:t>）采取适当合理的措施使计算基金份额申购、赎回和注销价格的方法符合基金合同等法律文件的规定，按有关规定计算并公告基金</w:t>
      </w:r>
      <w:r>
        <w:rPr>
          <w:rFonts w:hint="eastAsia"/>
          <w:bCs/>
          <w:sz w:val="24"/>
        </w:rPr>
        <w:t>净值信息</w:t>
      </w:r>
      <w:r>
        <w:rPr>
          <w:bCs/>
          <w:sz w:val="24"/>
        </w:rPr>
        <w:t>，确定基金份额申购、赎回的价格；</w:t>
      </w:r>
    </w:p>
    <w:p w:rsidR="00BF60A0" w:rsidRDefault="006E4EA0">
      <w:pPr>
        <w:adjustRightInd w:val="0"/>
        <w:snapToGrid w:val="0"/>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BF60A0" w:rsidRDefault="006E4EA0">
      <w:pPr>
        <w:adjustRightInd w:val="0"/>
        <w:snapToGrid w:val="0"/>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报告、中期报告和年度报告</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BF60A0" w:rsidRDefault="006E4EA0">
      <w:pPr>
        <w:adjustRightInd w:val="0"/>
        <w:snapToGrid w:val="0"/>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BF60A0" w:rsidRDefault="006E4EA0">
      <w:pPr>
        <w:adjustRightInd w:val="0"/>
        <w:snapToGrid w:val="0"/>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BF60A0" w:rsidRDefault="006E4EA0">
      <w:pPr>
        <w:adjustRightInd w:val="0"/>
        <w:snapToGrid w:val="0"/>
        <w:spacing w:line="360" w:lineRule="auto"/>
        <w:ind w:firstLineChars="200" w:firstLine="480"/>
        <w:rPr>
          <w:bCs/>
          <w:sz w:val="24"/>
        </w:rPr>
      </w:pPr>
      <w:r>
        <w:rPr>
          <w:bCs/>
          <w:sz w:val="24"/>
        </w:rPr>
        <w:lastRenderedPageBreak/>
        <w:t>（</w:t>
      </w:r>
      <w:r>
        <w:rPr>
          <w:bCs/>
          <w:sz w:val="24"/>
        </w:rPr>
        <w:t>14</w:t>
      </w:r>
      <w:r>
        <w:rPr>
          <w:bCs/>
          <w:sz w:val="24"/>
        </w:rPr>
        <w:t>）按规定受理申购与赎回申请，及时、足额支付赎回款项；</w:t>
      </w:r>
    </w:p>
    <w:p w:rsidR="00BF60A0" w:rsidRDefault="006E4EA0">
      <w:pPr>
        <w:adjustRightInd w:val="0"/>
        <w:snapToGrid w:val="0"/>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BF60A0" w:rsidRDefault="006E4EA0">
      <w:pPr>
        <w:adjustRightInd w:val="0"/>
        <w:snapToGrid w:val="0"/>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F60A0" w:rsidRDefault="006E4EA0">
      <w:pPr>
        <w:adjustRightInd w:val="0"/>
        <w:snapToGrid w:val="0"/>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BF60A0" w:rsidRDefault="006E4EA0">
      <w:pPr>
        <w:adjustRightInd w:val="0"/>
        <w:snapToGrid w:val="0"/>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BF60A0" w:rsidRDefault="006E4EA0">
      <w:pPr>
        <w:adjustRightInd w:val="0"/>
        <w:snapToGrid w:val="0"/>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BF60A0" w:rsidRDefault="006E4EA0">
      <w:pPr>
        <w:adjustRightInd w:val="0"/>
        <w:snapToGrid w:val="0"/>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BF60A0" w:rsidRDefault="006E4EA0">
      <w:pPr>
        <w:adjustRightInd w:val="0"/>
        <w:snapToGrid w:val="0"/>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BF60A0" w:rsidRDefault="006E4EA0">
      <w:pPr>
        <w:adjustRightInd w:val="0"/>
        <w:snapToGrid w:val="0"/>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BF60A0" w:rsidRDefault="006E4EA0">
      <w:pPr>
        <w:adjustRightInd w:val="0"/>
        <w:snapToGrid w:val="0"/>
        <w:spacing w:line="360" w:lineRule="auto"/>
        <w:ind w:firstLineChars="200" w:firstLine="480"/>
        <w:rPr>
          <w:bCs/>
          <w:sz w:val="24"/>
        </w:rPr>
      </w:pPr>
      <w:r>
        <w:rPr>
          <w:bCs/>
          <w:sz w:val="24"/>
        </w:rPr>
        <w:t>（</w:t>
      </w:r>
      <w:r>
        <w:rPr>
          <w:bCs/>
          <w:sz w:val="24"/>
        </w:rPr>
        <w:t>24</w:t>
      </w:r>
      <w:r>
        <w:rPr>
          <w:bCs/>
          <w:sz w:val="24"/>
        </w:rPr>
        <w:t>）执行生效的基金份额持有人大会的</w:t>
      </w:r>
      <w:r>
        <w:rPr>
          <w:rFonts w:hint="eastAsia"/>
          <w:bCs/>
          <w:sz w:val="24"/>
        </w:rPr>
        <w:t>决议</w:t>
      </w:r>
      <w:r>
        <w:rPr>
          <w:bCs/>
          <w:sz w:val="24"/>
        </w:rPr>
        <w:t>；</w:t>
      </w:r>
    </w:p>
    <w:p w:rsidR="00BF60A0" w:rsidRDefault="006E4EA0">
      <w:pPr>
        <w:adjustRightInd w:val="0"/>
        <w:snapToGrid w:val="0"/>
        <w:spacing w:line="360" w:lineRule="auto"/>
        <w:ind w:firstLineChars="200" w:firstLine="480"/>
        <w:rPr>
          <w:bCs/>
          <w:sz w:val="24"/>
        </w:rPr>
      </w:pPr>
      <w:r>
        <w:rPr>
          <w:bCs/>
          <w:sz w:val="24"/>
        </w:rPr>
        <w:t>（</w:t>
      </w:r>
      <w:r>
        <w:rPr>
          <w:rFonts w:hint="eastAsia"/>
          <w:bCs/>
          <w:sz w:val="24"/>
        </w:rPr>
        <w:t>2</w:t>
      </w:r>
      <w:r>
        <w:rPr>
          <w:bCs/>
          <w:sz w:val="24"/>
        </w:rPr>
        <w:t>5</w:t>
      </w:r>
      <w:r>
        <w:rPr>
          <w:bCs/>
          <w:sz w:val="24"/>
        </w:rPr>
        <w:t>）建立并保存基金份额持有人名册；</w:t>
      </w:r>
    </w:p>
    <w:p w:rsidR="00BF60A0" w:rsidRDefault="006E4EA0">
      <w:pPr>
        <w:adjustRightInd w:val="0"/>
        <w:snapToGrid w:val="0"/>
        <w:spacing w:line="360" w:lineRule="auto"/>
        <w:ind w:firstLineChars="200" w:firstLine="480"/>
        <w:rPr>
          <w:bCs/>
          <w:sz w:val="24"/>
        </w:rPr>
      </w:pPr>
      <w:r>
        <w:rPr>
          <w:rFonts w:ascii="宋体" w:hAnsi="宋体" w:hint="eastAsia"/>
          <w:sz w:val="24"/>
        </w:rPr>
        <w:t>（</w:t>
      </w:r>
      <w:r>
        <w:rPr>
          <w:sz w:val="24"/>
        </w:rPr>
        <w:t>26</w:t>
      </w:r>
      <w:r>
        <w:rPr>
          <w:rFonts w:ascii="宋体" w:hAnsi="宋体" w:hint="eastAsia"/>
          <w:sz w:val="24"/>
        </w:rPr>
        <w:t>）</w:t>
      </w:r>
      <w:r>
        <w:rPr>
          <w:bCs/>
          <w:sz w:val="24"/>
        </w:rPr>
        <w:t>法律法规及中国证监会规定的和基金合同约定的其他义务。</w:t>
      </w:r>
    </w:p>
    <w:p w:rsidR="00BF60A0" w:rsidRDefault="006E4EA0">
      <w:pPr>
        <w:adjustRightInd w:val="0"/>
        <w:snapToGrid w:val="0"/>
        <w:spacing w:line="360" w:lineRule="auto"/>
        <w:ind w:firstLineChars="200" w:firstLine="480"/>
        <w:rPr>
          <w:bCs/>
          <w:sz w:val="24"/>
        </w:rPr>
      </w:pPr>
      <w:r>
        <w:rPr>
          <w:bCs/>
          <w:sz w:val="24"/>
        </w:rPr>
        <w:t>（二）</w:t>
      </w:r>
      <w:r>
        <w:rPr>
          <w:bCs/>
          <w:sz w:val="24"/>
        </w:rPr>
        <w:tab/>
      </w:r>
      <w:r>
        <w:rPr>
          <w:bCs/>
          <w:sz w:val="24"/>
        </w:rPr>
        <w:t>基金托管人的权利与义务</w:t>
      </w:r>
    </w:p>
    <w:p w:rsidR="00BF60A0" w:rsidRDefault="006E4EA0">
      <w:pPr>
        <w:adjustRightInd w:val="0"/>
        <w:snapToGrid w:val="0"/>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w:t>
      </w:r>
      <w:r>
        <w:rPr>
          <w:bCs/>
          <w:sz w:val="24"/>
        </w:rPr>
        <w:lastRenderedPageBreak/>
        <w:t>他费用；</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）提议召开或召集基金份额持有人大会；</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法律法规及中国证监会规定的和基金合同约定的其他权利</w:t>
      </w:r>
      <w:r>
        <w:rPr>
          <w:bCs/>
          <w:sz w:val="24"/>
        </w:rPr>
        <w:t>。</w:t>
      </w:r>
    </w:p>
    <w:p w:rsidR="00BF60A0" w:rsidRDefault="006E4EA0">
      <w:pPr>
        <w:adjustRightInd w:val="0"/>
        <w:snapToGrid w:val="0"/>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w:t>
      </w:r>
      <w:r>
        <w:rPr>
          <w:bCs/>
          <w:sz w:val="24"/>
        </w:rPr>
        <w:t>按照基金合同的约定，根据基金管理人的投资指令，及时办理清算、交割事宜；</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BF60A0" w:rsidRDefault="006E4EA0">
      <w:pPr>
        <w:adjustRightInd w:val="0"/>
        <w:snapToGrid w:val="0"/>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基金份额申购、赎回价格；</w:t>
      </w:r>
    </w:p>
    <w:p w:rsidR="00BF60A0" w:rsidRDefault="006E4EA0">
      <w:pPr>
        <w:adjustRightInd w:val="0"/>
        <w:snapToGrid w:val="0"/>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BF60A0" w:rsidRDefault="006E4EA0">
      <w:pPr>
        <w:adjustRightInd w:val="0"/>
        <w:snapToGrid w:val="0"/>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w:t>
      </w:r>
      <w:r>
        <w:rPr>
          <w:bCs/>
          <w:sz w:val="24"/>
        </w:rPr>
        <w:lastRenderedPageBreak/>
        <w:t>理人有未执行基金合同规定的行为，还应当说明基金托管人是否采取了适当的措施；</w:t>
      </w:r>
    </w:p>
    <w:p w:rsidR="00BF60A0" w:rsidRDefault="006E4EA0">
      <w:pPr>
        <w:adjustRightInd w:val="0"/>
        <w:snapToGrid w:val="0"/>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12</w:t>
      </w:r>
      <w:r>
        <w:rPr>
          <w:bCs/>
          <w:sz w:val="24"/>
        </w:rPr>
        <w:t>）建立并保存基金份额持有人名册；</w:t>
      </w:r>
    </w:p>
    <w:p w:rsidR="00BF60A0" w:rsidRDefault="006E4EA0">
      <w:pPr>
        <w:adjustRightInd w:val="0"/>
        <w:snapToGrid w:val="0"/>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BF60A0" w:rsidRDefault="006E4EA0">
      <w:pPr>
        <w:adjustRightInd w:val="0"/>
        <w:snapToGrid w:val="0"/>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BF60A0" w:rsidRDefault="006E4EA0">
      <w:pPr>
        <w:adjustRightInd w:val="0"/>
        <w:snapToGrid w:val="0"/>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）依据《基金法》、基金合同及其他有关规定，召集基金份额持有人大会或配合基金份额持有人</w:t>
      </w:r>
      <w:r>
        <w:rPr>
          <w:rFonts w:hint="eastAsia"/>
          <w:bCs/>
          <w:sz w:val="24"/>
        </w:rPr>
        <w:t>、基金管理人</w:t>
      </w:r>
      <w:r>
        <w:rPr>
          <w:bCs/>
          <w:sz w:val="24"/>
        </w:rPr>
        <w:t>依法召集基金份额持有人大会；</w:t>
      </w:r>
    </w:p>
    <w:p w:rsidR="00BF60A0" w:rsidRDefault="006E4EA0">
      <w:pPr>
        <w:adjustRightInd w:val="0"/>
        <w:snapToGrid w:val="0"/>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BF60A0" w:rsidRDefault="006E4EA0">
      <w:pPr>
        <w:adjustRightInd w:val="0"/>
        <w:snapToGrid w:val="0"/>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BF60A0" w:rsidRDefault="006E4EA0">
      <w:pPr>
        <w:adjustRightInd w:val="0"/>
        <w:snapToGrid w:val="0"/>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rsidR="00BF60A0" w:rsidRDefault="006E4EA0">
      <w:pPr>
        <w:adjustRightInd w:val="0"/>
        <w:snapToGrid w:val="0"/>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BF60A0" w:rsidRDefault="006E4EA0">
      <w:pPr>
        <w:adjustRightInd w:val="0"/>
        <w:snapToGrid w:val="0"/>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BF60A0" w:rsidRDefault="006E4EA0">
      <w:pPr>
        <w:adjustRightInd w:val="0"/>
        <w:snapToGrid w:val="0"/>
        <w:spacing w:line="360" w:lineRule="auto"/>
        <w:ind w:firstLineChars="200" w:firstLine="480"/>
        <w:rPr>
          <w:bCs/>
          <w:sz w:val="24"/>
        </w:rPr>
      </w:pPr>
      <w:r>
        <w:rPr>
          <w:bCs/>
          <w:sz w:val="24"/>
        </w:rPr>
        <w:t>（</w:t>
      </w:r>
      <w:r>
        <w:rPr>
          <w:bCs/>
          <w:sz w:val="24"/>
        </w:rPr>
        <w:t>21</w:t>
      </w:r>
      <w:r>
        <w:rPr>
          <w:bCs/>
          <w:sz w:val="24"/>
        </w:rPr>
        <w:t>）执行生效的基金份额持有人大会的决议；</w:t>
      </w:r>
    </w:p>
    <w:p w:rsidR="00BF60A0" w:rsidRDefault="006E4EA0">
      <w:pPr>
        <w:adjustRightInd w:val="0"/>
        <w:snapToGrid w:val="0"/>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BF60A0" w:rsidRDefault="006E4EA0">
      <w:pPr>
        <w:adjustRightInd w:val="0"/>
        <w:snapToGrid w:val="0"/>
        <w:spacing w:line="360" w:lineRule="auto"/>
        <w:ind w:firstLineChars="200" w:firstLine="480"/>
        <w:rPr>
          <w:bCs/>
          <w:sz w:val="24"/>
        </w:rPr>
      </w:pPr>
      <w:r>
        <w:rPr>
          <w:rFonts w:hint="eastAsia"/>
          <w:bCs/>
          <w:sz w:val="24"/>
        </w:rPr>
        <w:t>（三）</w:t>
      </w:r>
      <w:r>
        <w:rPr>
          <w:bCs/>
          <w:sz w:val="24"/>
        </w:rPr>
        <w:t>基金份额持有人</w:t>
      </w:r>
      <w:r>
        <w:rPr>
          <w:rFonts w:hint="eastAsia"/>
          <w:bCs/>
          <w:sz w:val="24"/>
        </w:rPr>
        <w:t>的权利与义务</w:t>
      </w:r>
    </w:p>
    <w:p w:rsidR="00BF60A0" w:rsidRDefault="006E4EA0">
      <w:pPr>
        <w:adjustRightInd w:val="0"/>
        <w:snapToGrid w:val="0"/>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BF60A0" w:rsidRDefault="006E4EA0">
      <w:pPr>
        <w:adjustRightInd w:val="0"/>
        <w:snapToGrid w:val="0"/>
        <w:spacing w:line="360" w:lineRule="auto"/>
        <w:ind w:firstLineChars="200" w:firstLine="480"/>
        <w:rPr>
          <w:bCs/>
          <w:sz w:val="24"/>
        </w:rPr>
      </w:pPr>
      <w:r>
        <w:rPr>
          <w:rFonts w:hint="eastAsia"/>
          <w:bCs/>
          <w:sz w:val="24"/>
        </w:rPr>
        <w:t>同一类别的</w:t>
      </w:r>
      <w:r>
        <w:rPr>
          <w:bCs/>
          <w:sz w:val="24"/>
        </w:rPr>
        <w:t>每份基金份额具有同等的合法权益</w:t>
      </w:r>
      <w:r>
        <w:rPr>
          <w:rFonts w:hint="eastAsia"/>
          <w:bCs/>
          <w:sz w:val="24"/>
        </w:rPr>
        <w:t>，基金合同另有约定的除外</w:t>
      </w:r>
      <w:r>
        <w:rPr>
          <w:bCs/>
          <w:sz w:val="24"/>
        </w:rPr>
        <w:t>。</w:t>
      </w:r>
    </w:p>
    <w:p w:rsidR="00BF60A0" w:rsidRDefault="006E4EA0">
      <w:pPr>
        <w:adjustRightInd w:val="0"/>
        <w:snapToGrid w:val="0"/>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BF60A0" w:rsidRDefault="006E4EA0">
      <w:pPr>
        <w:adjustRightInd w:val="0"/>
        <w:snapToGrid w:val="0"/>
        <w:spacing w:line="360" w:lineRule="auto"/>
        <w:ind w:firstLineChars="200" w:firstLine="480"/>
        <w:rPr>
          <w:bCs/>
          <w:sz w:val="24"/>
        </w:rPr>
      </w:pPr>
      <w:r>
        <w:rPr>
          <w:bCs/>
          <w:sz w:val="24"/>
        </w:rPr>
        <w:lastRenderedPageBreak/>
        <w:t>（</w:t>
      </w:r>
      <w:r>
        <w:rPr>
          <w:bCs/>
          <w:sz w:val="24"/>
        </w:rPr>
        <w:t>1</w:t>
      </w:r>
      <w:r>
        <w:rPr>
          <w:bCs/>
          <w:sz w:val="24"/>
        </w:rPr>
        <w:t>）分享基金财产收益；</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）参与分配清算后的剩余基金财产；</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）依法申请赎回其持有的基金份额；</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）查阅或者复制公开披露的基金信息资料；</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）监督基金管理人的投资运作；</w:t>
      </w:r>
    </w:p>
    <w:p w:rsidR="00BF60A0" w:rsidRDefault="006E4EA0">
      <w:pPr>
        <w:adjustRightInd w:val="0"/>
        <w:snapToGrid w:val="0"/>
        <w:spacing w:line="360" w:lineRule="auto"/>
        <w:ind w:firstLineChars="200" w:firstLine="480"/>
        <w:rPr>
          <w:bCs/>
          <w:sz w:val="24"/>
        </w:rPr>
      </w:pPr>
      <w:r>
        <w:rPr>
          <w:bCs/>
          <w:sz w:val="24"/>
        </w:rPr>
        <w:t>（</w:t>
      </w:r>
      <w:r>
        <w:rPr>
          <w:bCs/>
          <w:sz w:val="24"/>
        </w:rPr>
        <w:t>8</w:t>
      </w:r>
      <w:r>
        <w:rPr>
          <w:bCs/>
          <w:sz w:val="24"/>
        </w:rPr>
        <w:t>）对基金管理人、基金托管人、基金销售机构损害其合法权益的行为依法提起诉讼或仲裁；</w:t>
      </w:r>
    </w:p>
    <w:p w:rsidR="00BF60A0" w:rsidRDefault="006E4EA0">
      <w:pPr>
        <w:adjustRightInd w:val="0"/>
        <w:snapToGrid w:val="0"/>
        <w:spacing w:line="360" w:lineRule="auto"/>
        <w:ind w:firstLineChars="200" w:firstLine="480"/>
        <w:rPr>
          <w:bCs/>
          <w:sz w:val="24"/>
        </w:rPr>
      </w:pPr>
      <w:r>
        <w:rPr>
          <w:rFonts w:hint="eastAsia"/>
          <w:bCs/>
          <w:sz w:val="24"/>
        </w:rPr>
        <w:t>（</w:t>
      </w:r>
      <w:r>
        <w:rPr>
          <w:bCs/>
          <w:sz w:val="24"/>
        </w:rPr>
        <w:t>9</w:t>
      </w:r>
      <w:r>
        <w:rPr>
          <w:rFonts w:hint="eastAsia"/>
          <w:bCs/>
          <w:sz w:val="24"/>
        </w:rPr>
        <w:t>）</w:t>
      </w:r>
      <w:r>
        <w:rPr>
          <w:bCs/>
          <w:sz w:val="24"/>
        </w:rPr>
        <w:t>法律法规</w:t>
      </w:r>
      <w:r>
        <w:rPr>
          <w:rFonts w:hint="eastAsia"/>
          <w:bCs/>
          <w:sz w:val="24"/>
        </w:rPr>
        <w:t>及中国证监会规定的</w:t>
      </w:r>
      <w:r>
        <w:rPr>
          <w:bCs/>
          <w:sz w:val="24"/>
        </w:rPr>
        <w:t>和基金合同</w:t>
      </w:r>
      <w:r>
        <w:rPr>
          <w:rFonts w:hint="eastAsia"/>
          <w:bCs/>
          <w:sz w:val="24"/>
        </w:rPr>
        <w:t>约</w:t>
      </w:r>
      <w:r>
        <w:rPr>
          <w:bCs/>
          <w:sz w:val="24"/>
        </w:rPr>
        <w:t>定的其他权利。</w:t>
      </w:r>
    </w:p>
    <w:p w:rsidR="00BF60A0" w:rsidRDefault="006E4EA0">
      <w:pPr>
        <w:adjustRightInd w:val="0"/>
        <w:snapToGrid w:val="0"/>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）认真阅读并遵守基金合同；</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）缴纳基金申购、赎回款项及法律法规和基金合同所规定的费用；</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）执行生效的基金份额持有人大会的决议；</w:t>
      </w:r>
    </w:p>
    <w:p w:rsidR="00BF60A0" w:rsidRDefault="006E4EA0">
      <w:pPr>
        <w:adjustRightInd w:val="0"/>
        <w:snapToGrid w:val="0"/>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BF60A0" w:rsidRDefault="006E4EA0">
      <w:pPr>
        <w:adjustRightInd w:val="0"/>
        <w:snapToGrid w:val="0"/>
        <w:spacing w:line="360" w:lineRule="auto"/>
        <w:ind w:firstLineChars="200" w:firstLine="480"/>
        <w:rPr>
          <w:bCs/>
          <w:sz w:val="24"/>
        </w:rPr>
      </w:pPr>
      <w:r>
        <w:rPr>
          <w:bCs/>
          <w:sz w:val="24"/>
        </w:rPr>
        <w:t>（</w:t>
      </w:r>
      <w:r>
        <w:rPr>
          <w:bCs/>
          <w:sz w:val="24"/>
        </w:rPr>
        <w:t>9</w:t>
      </w:r>
      <w:r>
        <w:rPr>
          <w:bCs/>
          <w:sz w:val="24"/>
        </w:rPr>
        <w:t>）</w:t>
      </w:r>
      <w:r>
        <w:rPr>
          <w:rFonts w:hint="eastAsia"/>
          <w:bCs/>
          <w:sz w:val="24"/>
        </w:rPr>
        <w:t>遵守基金管理人、基金托管人、销售机构和登记机构的相关交易及业务规则；</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bCs/>
          <w:sz w:val="24"/>
        </w:rPr>
        <w:t>法律法规及中国证监会规定的和基金合同约定的其他义务。</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二、</w:t>
      </w:r>
      <w:r>
        <w:rPr>
          <w:bCs/>
          <w:sz w:val="24"/>
        </w:rPr>
        <w:t>基金份额持有人大会召集、议事及表决的程序和规则</w:t>
      </w:r>
    </w:p>
    <w:p w:rsidR="00BF60A0" w:rsidRDefault="006E4EA0">
      <w:pPr>
        <w:adjustRightInd w:val="0"/>
        <w:snapToGrid w:val="0"/>
        <w:spacing w:line="360" w:lineRule="auto"/>
        <w:ind w:firstLineChars="200" w:firstLine="480"/>
        <w:rPr>
          <w:bCs/>
          <w:sz w:val="24"/>
        </w:rPr>
      </w:pPr>
      <w:r>
        <w:rPr>
          <w:bCs/>
          <w:sz w:val="24"/>
        </w:rPr>
        <w:t>基金份额持有人大会由基金份额持有人组成，基金份额持有人的合法授权代</w:t>
      </w:r>
      <w:r>
        <w:rPr>
          <w:bCs/>
          <w:sz w:val="24"/>
        </w:rPr>
        <w:lastRenderedPageBreak/>
        <w:t>表有权代表基金份额持有人出席会议并表决。基金份额持有人持有的每一基金份额拥有平等的投票权。</w:t>
      </w:r>
    </w:p>
    <w:p w:rsidR="00BF60A0" w:rsidRDefault="006E4EA0">
      <w:pPr>
        <w:adjustRightInd w:val="0"/>
        <w:snapToGrid w:val="0"/>
        <w:spacing w:line="360" w:lineRule="auto"/>
        <w:ind w:firstLineChars="200" w:firstLine="480"/>
        <w:rPr>
          <w:bCs/>
          <w:sz w:val="24"/>
        </w:rPr>
      </w:pPr>
      <w:r>
        <w:rPr>
          <w:rFonts w:hint="eastAsia"/>
          <w:bCs/>
          <w:sz w:val="24"/>
        </w:rPr>
        <w:t>本基金份额持有人大会不设日常机构。</w:t>
      </w:r>
    </w:p>
    <w:p w:rsidR="00BF60A0" w:rsidRDefault="006E4EA0">
      <w:pPr>
        <w:adjustRightInd w:val="0"/>
        <w:snapToGrid w:val="0"/>
        <w:spacing w:line="360" w:lineRule="auto"/>
        <w:ind w:firstLineChars="200" w:firstLine="480"/>
        <w:rPr>
          <w:bCs/>
          <w:sz w:val="24"/>
        </w:rPr>
      </w:pPr>
      <w:r>
        <w:rPr>
          <w:rFonts w:hint="eastAsia"/>
          <w:bCs/>
          <w:sz w:val="24"/>
        </w:rPr>
        <w:t>（一）</w:t>
      </w:r>
      <w:r>
        <w:rPr>
          <w:bCs/>
          <w:sz w:val="24"/>
        </w:rPr>
        <w:t>召开事由</w:t>
      </w:r>
    </w:p>
    <w:p w:rsidR="00BF60A0" w:rsidRDefault="006E4EA0">
      <w:pPr>
        <w:adjustRightInd w:val="0"/>
        <w:snapToGrid w:val="0"/>
        <w:spacing w:line="360" w:lineRule="auto"/>
        <w:ind w:firstLineChars="200" w:firstLine="480"/>
        <w:rPr>
          <w:bCs/>
          <w:sz w:val="24"/>
        </w:rPr>
      </w:pPr>
      <w:r>
        <w:rPr>
          <w:bCs/>
          <w:sz w:val="24"/>
        </w:rPr>
        <w:t>1</w:t>
      </w:r>
      <w:r>
        <w:rPr>
          <w:bCs/>
          <w:sz w:val="24"/>
        </w:rPr>
        <w:t>、当出现或需要决定下列事由之一的，应当召开基金份额持有人大会：</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）终止基金合同；</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）更换基金管理人；</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）更换基金托管人；</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）转换基金运作方式；</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）提高基金管理人、基金托管人的报酬标准</w:t>
      </w:r>
      <w:r>
        <w:rPr>
          <w:rFonts w:hint="eastAsia"/>
          <w:bCs/>
          <w:sz w:val="24"/>
        </w:rPr>
        <w:t>或提高销售服务费率</w:t>
      </w:r>
      <w:r>
        <w:rPr>
          <w:rFonts w:ascii="宋体" w:hAnsi="宋体" w:hint="eastAsia"/>
          <w:bCs/>
          <w:sz w:val="24"/>
        </w:rPr>
        <w:t>，但法律法规要求提高该等报酬标准的除外</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）变更基金类别；</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）本基金与其他基金的合并；</w:t>
      </w:r>
    </w:p>
    <w:p w:rsidR="00BF60A0" w:rsidRDefault="006E4EA0">
      <w:pPr>
        <w:adjustRightInd w:val="0"/>
        <w:snapToGrid w:val="0"/>
        <w:spacing w:line="360" w:lineRule="auto"/>
        <w:ind w:firstLineChars="200" w:firstLine="480"/>
        <w:rPr>
          <w:bCs/>
          <w:sz w:val="24"/>
        </w:rPr>
      </w:pPr>
      <w:r>
        <w:rPr>
          <w:bCs/>
          <w:sz w:val="24"/>
        </w:rPr>
        <w:t>（</w:t>
      </w:r>
      <w:r>
        <w:rPr>
          <w:bCs/>
          <w:sz w:val="24"/>
        </w:rPr>
        <w:t>8</w:t>
      </w:r>
      <w:r>
        <w:rPr>
          <w:bCs/>
          <w:sz w:val="24"/>
        </w:rPr>
        <w:t>）变更基金投资目标、范围或策略</w:t>
      </w:r>
      <w:r>
        <w:rPr>
          <w:rFonts w:hint="eastAsia"/>
          <w:bCs/>
          <w:sz w:val="24"/>
        </w:rPr>
        <w:t>，</w:t>
      </w:r>
      <w:r>
        <w:rPr>
          <w:rFonts w:ascii="宋体" w:hAnsi="宋体" w:hint="eastAsia"/>
          <w:sz w:val="24"/>
        </w:rPr>
        <w:t>法律法规和中国证监会另有规定的除外</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9</w:t>
      </w:r>
      <w:r>
        <w:rPr>
          <w:bCs/>
          <w:sz w:val="24"/>
        </w:rPr>
        <w:t>）变更基金份额持有人大会程序；</w:t>
      </w:r>
    </w:p>
    <w:p w:rsidR="00BF60A0" w:rsidRDefault="006E4EA0">
      <w:pPr>
        <w:adjustRightInd w:val="0"/>
        <w:snapToGrid w:val="0"/>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rsidR="00BF60A0" w:rsidRDefault="006E4EA0">
      <w:pPr>
        <w:adjustRightInd w:val="0"/>
        <w:snapToGrid w:val="0"/>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BF60A0" w:rsidRDefault="006E4EA0">
      <w:pPr>
        <w:adjustRightInd w:val="0"/>
        <w:snapToGrid w:val="0"/>
        <w:spacing w:line="360" w:lineRule="auto"/>
        <w:ind w:firstLineChars="200" w:firstLine="480"/>
        <w:rPr>
          <w:bCs/>
          <w:sz w:val="24"/>
        </w:rPr>
      </w:pPr>
      <w:r>
        <w:rPr>
          <w:rFonts w:hAnsi="宋体"/>
          <w:sz w:val="24"/>
        </w:rPr>
        <w:t>（</w:t>
      </w:r>
      <w:r>
        <w:rPr>
          <w:sz w:val="24"/>
        </w:rPr>
        <w:t>12</w:t>
      </w:r>
      <w:r>
        <w:rPr>
          <w:rFonts w:hAnsi="宋体"/>
          <w:sz w:val="24"/>
        </w:rPr>
        <w:t>）</w:t>
      </w:r>
      <w:r>
        <w:rPr>
          <w:bCs/>
          <w:sz w:val="24"/>
        </w:rPr>
        <w:t>对基金当事人权利和义务产生重大影响的其他事项；</w:t>
      </w:r>
    </w:p>
    <w:p w:rsidR="00BF60A0" w:rsidRDefault="006E4EA0">
      <w:pPr>
        <w:adjustRightInd w:val="0"/>
        <w:snapToGrid w:val="0"/>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BF60A0" w:rsidRDefault="006E4EA0">
      <w:pPr>
        <w:adjustRightInd w:val="0"/>
        <w:snapToGrid w:val="0"/>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）调低基金管理费、基金托管费</w:t>
      </w:r>
      <w:r>
        <w:rPr>
          <w:rFonts w:hint="eastAsia"/>
          <w:bCs/>
          <w:sz w:val="24"/>
        </w:rPr>
        <w:t>和其他应由本基金或基金份额持有人承担的费用</w:t>
      </w:r>
      <w:r>
        <w:rPr>
          <w:bCs/>
          <w:sz w:val="24"/>
        </w:rPr>
        <w:t>；</w:t>
      </w:r>
    </w:p>
    <w:p w:rsidR="00BF60A0" w:rsidRDefault="006E4EA0">
      <w:pPr>
        <w:adjustRightInd w:val="0"/>
        <w:snapToGrid w:val="0"/>
        <w:spacing w:line="360" w:lineRule="auto"/>
        <w:ind w:firstLineChars="200" w:firstLine="480"/>
        <w:rPr>
          <w:bCs/>
          <w:sz w:val="24"/>
        </w:rPr>
      </w:pPr>
      <w:r>
        <w:rPr>
          <w:rFonts w:hAnsi="宋体"/>
          <w:sz w:val="24"/>
        </w:rPr>
        <w:t>（</w:t>
      </w:r>
      <w:r>
        <w:rPr>
          <w:sz w:val="24"/>
        </w:rPr>
        <w:t>2</w:t>
      </w:r>
      <w:r>
        <w:rPr>
          <w:rFonts w:hAnsi="宋体"/>
          <w:sz w:val="24"/>
        </w:rPr>
        <w:t>）</w:t>
      </w:r>
      <w:r>
        <w:rPr>
          <w:bCs/>
          <w:sz w:val="24"/>
        </w:rPr>
        <w:t>法律法规要求增加的基金费用的收取；</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w:t>
      </w:r>
      <w:r>
        <w:rPr>
          <w:bCs/>
          <w:sz w:val="24"/>
        </w:rPr>
        <w:lastRenderedPageBreak/>
        <w:t>费率</w:t>
      </w:r>
      <w:r>
        <w:rPr>
          <w:rFonts w:hint="eastAsia"/>
          <w:bCs/>
          <w:sz w:val="24"/>
        </w:rPr>
        <w:t>及销售服务费率、变更或增加收费方式</w:t>
      </w:r>
      <w:r>
        <w:rPr>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w:t>
      </w:r>
      <w:r>
        <w:rPr>
          <w:rFonts w:hint="eastAsia"/>
          <w:bCs/>
          <w:sz w:val="24"/>
        </w:rPr>
        <w:t>在符合法律法规及本基金合同规定、并且对基金份额持有人利益无实质不利影响的前提下，调整基金份额类别设置、对基金份额分类办法及规则进行调整；</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因相应的法律法规发生变动而应当对基金合同进行修改；</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）按照法律法规和基金合同规定不需召开基金份额持有人大会的以外的其他情形。</w:t>
      </w:r>
    </w:p>
    <w:p w:rsidR="00BF60A0" w:rsidRDefault="006E4EA0">
      <w:pPr>
        <w:adjustRightInd w:val="0"/>
        <w:snapToGrid w:val="0"/>
        <w:spacing w:line="360" w:lineRule="auto"/>
        <w:ind w:firstLineChars="200" w:firstLine="480"/>
        <w:rPr>
          <w:bCs/>
          <w:sz w:val="24"/>
        </w:rPr>
      </w:pPr>
      <w:r>
        <w:rPr>
          <w:rFonts w:hint="eastAsia"/>
          <w:bCs/>
          <w:sz w:val="24"/>
        </w:rPr>
        <w:t>（二）</w:t>
      </w:r>
      <w:r>
        <w:rPr>
          <w:bCs/>
          <w:sz w:val="24"/>
        </w:rPr>
        <w:t>会议召集人及召集方式</w:t>
      </w:r>
    </w:p>
    <w:p w:rsidR="00BF60A0" w:rsidRDefault="006E4EA0">
      <w:pPr>
        <w:adjustRightInd w:val="0"/>
        <w:snapToGrid w:val="0"/>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rsidR="00BF60A0" w:rsidRDefault="006E4EA0">
      <w:pPr>
        <w:adjustRightInd w:val="0"/>
        <w:snapToGrid w:val="0"/>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rsidR="00BF60A0" w:rsidRDefault="006E4EA0">
      <w:pPr>
        <w:adjustRightInd w:val="0"/>
        <w:snapToGrid w:val="0"/>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w:t>
      </w:r>
      <w:r>
        <w:rPr>
          <w:bCs/>
          <w:sz w:val="24"/>
        </w:rPr>
        <w:lastRenderedPageBreak/>
        <w:t>中国证监会备案。基金份额持有人依法自行召集基金份额持有人大会的，基金管理人、基金托管人应当配合，不得阻碍、干扰。</w:t>
      </w:r>
    </w:p>
    <w:p w:rsidR="00BF60A0" w:rsidRDefault="006E4EA0">
      <w:pPr>
        <w:adjustRightInd w:val="0"/>
        <w:snapToGrid w:val="0"/>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BF60A0" w:rsidRDefault="006E4EA0">
      <w:pPr>
        <w:adjustRightInd w:val="0"/>
        <w:snapToGrid w:val="0"/>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rsidR="00BF60A0" w:rsidRDefault="006E4EA0">
      <w:pPr>
        <w:adjustRightInd w:val="0"/>
        <w:snapToGrid w:val="0"/>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）会议召开的时间、地点和会议形式；</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）会议拟审议的事项、议事程序和表决方式；</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）会务常设联系人姓名及联系电话；</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）召集人需要通知的其他事项。</w:t>
      </w:r>
    </w:p>
    <w:p w:rsidR="00BF60A0" w:rsidRDefault="006E4EA0">
      <w:pPr>
        <w:adjustRightInd w:val="0"/>
        <w:snapToGrid w:val="0"/>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F60A0" w:rsidRDefault="006E4EA0">
      <w:pPr>
        <w:adjustRightInd w:val="0"/>
        <w:snapToGrid w:val="0"/>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BF60A0" w:rsidRDefault="006E4EA0">
      <w:pPr>
        <w:adjustRightInd w:val="0"/>
        <w:snapToGrid w:val="0"/>
        <w:spacing w:line="360" w:lineRule="auto"/>
        <w:ind w:firstLineChars="200" w:firstLine="480"/>
        <w:rPr>
          <w:bCs/>
          <w:sz w:val="24"/>
        </w:rPr>
      </w:pPr>
      <w:r>
        <w:rPr>
          <w:rFonts w:hint="eastAsia"/>
          <w:bCs/>
          <w:sz w:val="24"/>
        </w:rPr>
        <w:t>（四）</w:t>
      </w:r>
      <w:r>
        <w:rPr>
          <w:bCs/>
          <w:sz w:val="24"/>
        </w:rPr>
        <w:t>基金份额持有人出席会议的方式</w:t>
      </w:r>
    </w:p>
    <w:p w:rsidR="00BF60A0" w:rsidRDefault="006E4EA0">
      <w:pPr>
        <w:adjustRightInd w:val="0"/>
        <w:snapToGrid w:val="0"/>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或法律法规和监管机关允许的其他方式</w:t>
      </w:r>
      <w:r>
        <w:rPr>
          <w:bCs/>
          <w:sz w:val="24"/>
        </w:rPr>
        <w:t>召开，会议的召开方式由会议召集人确定。</w:t>
      </w:r>
    </w:p>
    <w:p w:rsidR="00BF60A0" w:rsidRDefault="006E4EA0">
      <w:pPr>
        <w:adjustRightInd w:val="0"/>
        <w:snapToGrid w:val="0"/>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w:t>
      </w:r>
      <w:r>
        <w:rPr>
          <w:bCs/>
          <w:sz w:val="24"/>
        </w:rPr>
        <w:lastRenderedPageBreak/>
        <w:t>时符合以下条件时，可以进行基金份额持有人大会议程：</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BF60A0" w:rsidRDefault="006E4EA0">
      <w:pPr>
        <w:adjustRightInd w:val="0"/>
        <w:snapToGrid w:val="0"/>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BF60A0" w:rsidRDefault="006E4EA0">
      <w:pPr>
        <w:adjustRightInd w:val="0"/>
        <w:snapToGrid w:val="0"/>
        <w:spacing w:line="360" w:lineRule="auto"/>
        <w:ind w:firstLineChars="200" w:firstLine="480"/>
        <w:rPr>
          <w:bCs/>
          <w:sz w:val="24"/>
        </w:rPr>
      </w:pPr>
      <w:r>
        <w:rPr>
          <w:bCs/>
          <w:sz w:val="24"/>
        </w:rPr>
        <w:t>在同时符合以下条件时，通讯开会的方式视为有效：</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w:t>
      </w:r>
      <w:r>
        <w:rPr>
          <w:bCs/>
          <w:sz w:val="24"/>
        </w:rPr>
        <w:lastRenderedPageBreak/>
        <w:t>人出具的委托人持有基金份额的凭证及委托人的代理投票授权委托证明符合法律法规、基金合同和会议通知的规定，并与基金登记机构记录相符；</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）会议通知公布前报中国证监会备案。</w:t>
      </w:r>
    </w:p>
    <w:p w:rsidR="00BF60A0" w:rsidRDefault="006E4EA0">
      <w:pPr>
        <w:adjustRightInd w:val="0"/>
        <w:snapToGrid w:val="0"/>
        <w:spacing w:line="360" w:lineRule="auto"/>
        <w:ind w:firstLineChars="200" w:firstLine="480"/>
        <w:rPr>
          <w:rFonts w:ascii="宋体" w:hAnsi="宋体"/>
          <w:sz w:val="24"/>
        </w:rPr>
      </w:pPr>
      <w:r>
        <w:rPr>
          <w:bCs/>
          <w:sz w:val="24"/>
        </w:rPr>
        <w:t>3</w:t>
      </w:r>
      <w:r>
        <w:rPr>
          <w:rFonts w:hint="eastAsia"/>
          <w:bCs/>
          <w:sz w:val="24"/>
        </w:rPr>
        <w:t>、</w:t>
      </w:r>
      <w:r>
        <w:rPr>
          <w:rFonts w:ascii="宋体" w:hAnsi="宋体" w:hint="eastAsia"/>
          <w:sz w:val="24"/>
        </w:rPr>
        <w:t>在法律法规或监管机构允许的情况下，本基金亦可采用网络、电话等其他非书面方式由基金份额持有人向其授权代表进行授权。</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BF60A0" w:rsidRDefault="006E4EA0">
      <w:pPr>
        <w:adjustRightInd w:val="0"/>
        <w:snapToGrid w:val="0"/>
        <w:spacing w:line="360" w:lineRule="auto"/>
        <w:ind w:firstLineChars="200" w:firstLine="480"/>
        <w:rPr>
          <w:bCs/>
          <w:sz w:val="24"/>
        </w:rPr>
      </w:pPr>
      <w:r>
        <w:rPr>
          <w:rFonts w:hint="eastAsia"/>
          <w:bCs/>
          <w:sz w:val="24"/>
        </w:rPr>
        <w:t>（五）</w:t>
      </w:r>
      <w:r>
        <w:rPr>
          <w:bCs/>
          <w:sz w:val="24"/>
        </w:rPr>
        <w:t>议事内容与程序</w:t>
      </w:r>
    </w:p>
    <w:p w:rsidR="00BF60A0" w:rsidRDefault="006E4EA0">
      <w:pPr>
        <w:adjustRightInd w:val="0"/>
        <w:snapToGrid w:val="0"/>
        <w:spacing w:line="360" w:lineRule="auto"/>
        <w:ind w:firstLineChars="200" w:firstLine="480"/>
        <w:rPr>
          <w:bCs/>
          <w:sz w:val="24"/>
        </w:rPr>
      </w:pPr>
      <w:r>
        <w:rPr>
          <w:bCs/>
          <w:sz w:val="24"/>
        </w:rPr>
        <w:t>1</w:t>
      </w:r>
      <w:r>
        <w:rPr>
          <w:bCs/>
          <w:sz w:val="24"/>
        </w:rPr>
        <w:t>、议事内容及提案权</w:t>
      </w:r>
    </w:p>
    <w:p w:rsidR="00BF60A0" w:rsidRDefault="006E4EA0">
      <w:pPr>
        <w:adjustRightInd w:val="0"/>
        <w:snapToGrid w:val="0"/>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F60A0" w:rsidRDefault="006E4EA0">
      <w:pPr>
        <w:adjustRightInd w:val="0"/>
        <w:snapToGrid w:val="0"/>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BF60A0" w:rsidRDefault="006E4EA0">
      <w:pPr>
        <w:adjustRightInd w:val="0"/>
        <w:snapToGrid w:val="0"/>
        <w:spacing w:line="360" w:lineRule="auto"/>
        <w:ind w:firstLineChars="200" w:firstLine="480"/>
        <w:rPr>
          <w:bCs/>
          <w:sz w:val="24"/>
        </w:rPr>
      </w:pPr>
      <w:r>
        <w:rPr>
          <w:bCs/>
          <w:sz w:val="24"/>
        </w:rPr>
        <w:t>基金份额持有人大会不得对未事先公告的议事内容进行表决。</w:t>
      </w:r>
    </w:p>
    <w:p w:rsidR="00BF60A0" w:rsidRDefault="006E4EA0">
      <w:pPr>
        <w:adjustRightInd w:val="0"/>
        <w:snapToGrid w:val="0"/>
        <w:spacing w:line="360" w:lineRule="auto"/>
        <w:ind w:firstLineChars="200" w:firstLine="480"/>
        <w:rPr>
          <w:bCs/>
          <w:sz w:val="24"/>
        </w:rPr>
      </w:pPr>
      <w:r>
        <w:rPr>
          <w:bCs/>
          <w:sz w:val="24"/>
        </w:rPr>
        <w:t>2</w:t>
      </w:r>
      <w:r>
        <w:rPr>
          <w:bCs/>
          <w:sz w:val="24"/>
        </w:rPr>
        <w:t>、议事程序</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）现场开会</w:t>
      </w:r>
    </w:p>
    <w:p w:rsidR="00BF60A0" w:rsidRDefault="006E4EA0">
      <w:pPr>
        <w:adjustRightInd w:val="0"/>
        <w:snapToGrid w:val="0"/>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F60A0" w:rsidRDefault="006E4EA0">
      <w:pPr>
        <w:adjustRightInd w:val="0"/>
        <w:snapToGrid w:val="0"/>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F60A0" w:rsidRDefault="006E4EA0">
      <w:pPr>
        <w:adjustRightInd w:val="0"/>
        <w:snapToGrid w:val="0"/>
        <w:spacing w:line="360" w:lineRule="auto"/>
        <w:ind w:firstLineChars="200" w:firstLine="480"/>
        <w:rPr>
          <w:bCs/>
          <w:sz w:val="24"/>
        </w:rPr>
      </w:pPr>
      <w:r>
        <w:rPr>
          <w:bCs/>
          <w:sz w:val="24"/>
        </w:rPr>
        <w:lastRenderedPageBreak/>
        <w:t>（</w:t>
      </w:r>
      <w:r>
        <w:rPr>
          <w:bCs/>
          <w:sz w:val="24"/>
        </w:rPr>
        <w:t>2</w:t>
      </w:r>
      <w:r>
        <w:rPr>
          <w:bCs/>
          <w:sz w:val="24"/>
        </w:rPr>
        <w:t>）通讯开会</w:t>
      </w:r>
    </w:p>
    <w:p w:rsidR="00BF60A0" w:rsidRDefault="006E4EA0">
      <w:pPr>
        <w:adjustRightInd w:val="0"/>
        <w:snapToGrid w:val="0"/>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BF60A0" w:rsidRDefault="006E4EA0">
      <w:pPr>
        <w:adjustRightInd w:val="0"/>
        <w:snapToGrid w:val="0"/>
        <w:spacing w:line="360" w:lineRule="auto"/>
        <w:ind w:firstLineChars="200" w:firstLine="480"/>
        <w:rPr>
          <w:bCs/>
          <w:sz w:val="24"/>
        </w:rPr>
      </w:pPr>
      <w:r>
        <w:rPr>
          <w:rFonts w:hint="eastAsia"/>
          <w:bCs/>
          <w:sz w:val="24"/>
        </w:rPr>
        <w:t>（六）</w:t>
      </w:r>
      <w:r>
        <w:rPr>
          <w:bCs/>
          <w:sz w:val="24"/>
        </w:rPr>
        <w:t>表决</w:t>
      </w:r>
    </w:p>
    <w:p w:rsidR="00BF60A0" w:rsidRDefault="006E4EA0">
      <w:pPr>
        <w:adjustRightInd w:val="0"/>
        <w:snapToGrid w:val="0"/>
        <w:spacing w:line="360" w:lineRule="auto"/>
        <w:ind w:firstLineChars="200" w:firstLine="480"/>
        <w:rPr>
          <w:bCs/>
          <w:sz w:val="24"/>
        </w:rPr>
      </w:pPr>
      <w:r>
        <w:rPr>
          <w:bCs/>
          <w:sz w:val="24"/>
        </w:rPr>
        <w:t>基金份额持有人所持每份基金份额有一票表决权。</w:t>
      </w:r>
    </w:p>
    <w:p w:rsidR="00BF60A0" w:rsidRDefault="006E4EA0">
      <w:pPr>
        <w:adjustRightInd w:val="0"/>
        <w:snapToGrid w:val="0"/>
        <w:spacing w:line="360" w:lineRule="auto"/>
        <w:ind w:firstLineChars="200" w:firstLine="480"/>
        <w:rPr>
          <w:bCs/>
          <w:sz w:val="24"/>
        </w:rPr>
      </w:pPr>
      <w:r>
        <w:rPr>
          <w:bCs/>
          <w:sz w:val="24"/>
        </w:rPr>
        <w:t>基金份额持有人大会决议分为一般决议和特别决议：</w:t>
      </w:r>
    </w:p>
    <w:p w:rsidR="00BF60A0" w:rsidRDefault="006E4EA0">
      <w:pPr>
        <w:adjustRightInd w:val="0"/>
        <w:snapToGrid w:val="0"/>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BF60A0" w:rsidRDefault="006E4EA0">
      <w:pPr>
        <w:adjustRightInd w:val="0"/>
        <w:snapToGrid w:val="0"/>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2/3</w:t>
      </w:r>
      <w:r>
        <w:rPr>
          <w:bCs/>
          <w:sz w:val="24"/>
        </w:rPr>
        <w:t>以上（含</w:t>
      </w:r>
      <w:r>
        <w:rPr>
          <w:rFonts w:hint="eastAsia"/>
          <w:bCs/>
          <w:sz w:val="24"/>
        </w:rPr>
        <w:t>2/3</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、与其他基金合并</w:t>
      </w:r>
      <w:r>
        <w:rPr>
          <w:bCs/>
          <w:sz w:val="24"/>
        </w:rPr>
        <w:t>以特别决议通过方为有效。</w:t>
      </w:r>
    </w:p>
    <w:p w:rsidR="00BF60A0" w:rsidRDefault="006E4EA0">
      <w:pPr>
        <w:adjustRightInd w:val="0"/>
        <w:snapToGrid w:val="0"/>
        <w:spacing w:line="360" w:lineRule="auto"/>
        <w:ind w:firstLineChars="200" w:firstLine="480"/>
        <w:rPr>
          <w:bCs/>
          <w:sz w:val="24"/>
        </w:rPr>
      </w:pPr>
      <w:r>
        <w:rPr>
          <w:bCs/>
          <w:sz w:val="24"/>
        </w:rPr>
        <w:t>基金份额持有人大会采取记名方式进行投票表决。</w:t>
      </w:r>
    </w:p>
    <w:p w:rsidR="00BF60A0" w:rsidRDefault="006E4EA0">
      <w:pPr>
        <w:adjustRightInd w:val="0"/>
        <w:snapToGrid w:val="0"/>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F60A0" w:rsidRDefault="006E4EA0">
      <w:pPr>
        <w:adjustRightInd w:val="0"/>
        <w:snapToGrid w:val="0"/>
        <w:spacing w:line="360" w:lineRule="auto"/>
        <w:ind w:firstLineChars="200" w:firstLine="480"/>
        <w:rPr>
          <w:bCs/>
          <w:sz w:val="24"/>
        </w:rPr>
      </w:pPr>
      <w:r>
        <w:rPr>
          <w:bCs/>
          <w:sz w:val="24"/>
        </w:rPr>
        <w:t>基金份额持有人大会的各项提案或同一项提案内并列的各项议题应当分开审议、逐项表决。</w:t>
      </w:r>
    </w:p>
    <w:p w:rsidR="00BF60A0" w:rsidRDefault="006E4EA0">
      <w:pPr>
        <w:adjustRightInd w:val="0"/>
        <w:snapToGrid w:val="0"/>
        <w:spacing w:line="360" w:lineRule="auto"/>
        <w:ind w:firstLineChars="200" w:firstLine="480"/>
        <w:rPr>
          <w:bCs/>
          <w:sz w:val="24"/>
        </w:rPr>
      </w:pPr>
      <w:r>
        <w:rPr>
          <w:rFonts w:hint="eastAsia"/>
          <w:bCs/>
          <w:sz w:val="24"/>
        </w:rPr>
        <w:t>（七）</w:t>
      </w:r>
      <w:r>
        <w:rPr>
          <w:bCs/>
          <w:sz w:val="24"/>
        </w:rPr>
        <w:t>计票</w:t>
      </w:r>
    </w:p>
    <w:p w:rsidR="00BF60A0" w:rsidRDefault="006E4EA0">
      <w:pPr>
        <w:adjustRightInd w:val="0"/>
        <w:snapToGrid w:val="0"/>
        <w:spacing w:line="360" w:lineRule="auto"/>
        <w:ind w:firstLineChars="200" w:firstLine="480"/>
        <w:rPr>
          <w:bCs/>
          <w:sz w:val="24"/>
        </w:rPr>
      </w:pPr>
      <w:r>
        <w:rPr>
          <w:bCs/>
          <w:sz w:val="24"/>
        </w:rPr>
        <w:t>1</w:t>
      </w:r>
      <w:r>
        <w:rPr>
          <w:bCs/>
          <w:sz w:val="24"/>
        </w:rPr>
        <w:t>、现场开会</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w:t>
      </w:r>
      <w:r>
        <w:rPr>
          <w:bCs/>
          <w:sz w:val="24"/>
        </w:rPr>
        <w:lastRenderedPageBreak/>
        <w:t>票人。基金管理人或基金托管人不出席大会的，不影响计票的效力。</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BF60A0" w:rsidRDefault="006E4EA0">
      <w:pPr>
        <w:adjustRightInd w:val="0"/>
        <w:snapToGrid w:val="0"/>
        <w:spacing w:line="360" w:lineRule="auto"/>
        <w:ind w:firstLineChars="200" w:firstLine="480"/>
        <w:rPr>
          <w:bCs/>
          <w:sz w:val="24"/>
        </w:rPr>
      </w:pPr>
      <w:r>
        <w:rPr>
          <w:bCs/>
          <w:sz w:val="24"/>
        </w:rPr>
        <w:t>2</w:t>
      </w:r>
      <w:r>
        <w:rPr>
          <w:bCs/>
          <w:sz w:val="24"/>
        </w:rPr>
        <w:t>、通讯开会</w:t>
      </w:r>
    </w:p>
    <w:p w:rsidR="00BF60A0" w:rsidRDefault="006E4EA0">
      <w:pPr>
        <w:adjustRightInd w:val="0"/>
        <w:snapToGrid w:val="0"/>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BF60A0" w:rsidRDefault="006E4EA0">
      <w:pPr>
        <w:adjustRightInd w:val="0"/>
        <w:snapToGrid w:val="0"/>
        <w:spacing w:line="360" w:lineRule="auto"/>
        <w:ind w:firstLineChars="200" w:firstLine="480"/>
        <w:rPr>
          <w:bCs/>
          <w:sz w:val="24"/>
        </w:rPr>
      </w:pPr>
      <w:r>
        <w:rPr>
          <w:rFonts w:hint="eastAsia"/>
          <w:bCs/>
          <w:sz w:val="24"/>
        </w:rPr>
        <w:t>（八）</w:t>
      </w:r>
      <w:r>
        <w:rPr>
          <w:bCs/>
          <w:sz w:val="24"/>
        </w:rPr>
        <w:t>生效与公告</w:t>
      </w:r>
    </w:p>
    <w:p w:rsidR="00BF60A0" w:rsidRDefault="006E4EA0">
      <w:pPr>
        <w:adjustRightInd w:val="0"/>
        <w:snapToGrid w:val="0"/>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rsidR="00BF60A0" w:rsidRDefault="006E4EA0">
      <w:pPr>
        <w:adjustRightInd w:val="0"/>
        <w:snapToGrid w:val="0"/>
        <w:spacing w:line="360" w:lineRule="auto"/>
        <w:ind w:firstLineChars="200" w:firstLine="480"/>
        <w:rPr>
          <w:bCs/>
          <w:sz w:val="24"/>
        </w:rPr>
      </w:pPr>
      <w:r>
        <w:rPr>
          <w:rFonts w:hint="eastAsia"/>
          <w:bCs/>
          <w:sz w:val="24"/>
        </w:rPr>
        <w:t>基金份额持有人大会的决议自表决通过之日起生效。法律法规另有规定的，从其规定。</w:t>
      </w:r>
    </w:p>
    <w:p w:rsidR="00BF60A0" w:rsidRDefault="006E4EA0">
      <w:pPr>
        <w:adjustRightInd w:val="0"/>
        <w:snapToGrid w:val="0"/>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日内在规定媒介上公告。如果采用通讯方式进行表决，在公告基金份额持有人大会决议时，必须将公证书全文、公证机构、公证员姓名等一同公告。</w:t>
      </w:r>
    </w:p>
    <w:p w:rsidR="00BF60A0" w:rsidRDefault="006E4EA0">
      <w:pPr>
        <w:adjustRightInd w:val="0"/>
        <w:snapToGrid w:val="0"/>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BF60A0" w:rsidRDefault="006E4EA0">
      <w:pPr>
        <w:adjustRightInd w:val="0"/>
        <w:snapToGrid w:val="0"/>
        <w:spacing w:line="360" w:lineRule="auto"/>
        <w:ind w:firstLineChars="200" w:firstLine="480"/>
        <w:rPr>
          <w:bCs/>
          <w:sz w:val="24"/>
        </w:rPr>
      </w:pPr>
      <w:r>
        <w:rPr>
          <w:rFonts w:hint="eastAsia"/>
          <w:bCs/>
          <w:sz w:val="24"/>
        </w:rPr>
        <w:t>（九）实施侧袋机制期间基金份额持有人大会的特殊约定</w:t>
      </w:r>
    </w:p>
    <w:p w:rsidR="00BF60A0" w:rsidRDefault="006E4EA0">
      <w:pPr>
        <w:adjustRightInd w:val="0"/>
        <w:snapToGrid w:val="0"/>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BF60A0" w:rsidRDefault="006E4EA0">
      <w:pPr>
        <w:adjustRightInd w:val="0"/>
        <w:snapToGrid w:val="0"/>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w:t>
      </w:r>
      <w:r>
        <w:rPr>
          <w:rFonts w:hint="eastAsia"/>
          <w:bCs/>
          <w:sz w:val="24"/>
        </w:rPr>
        <w:lastRenderedPageBreak/>
        <w:t>金份额</w:t>
      </w:r>
      <w:r>
        <w:rPr>
          <w:rFonts w:hint="eastAsia"/>
          <w:bCs/>
          <w:sz w:val="24"/>
        </w:rPr>
        <w:t>10%</w:t>
      </w:r>
      <w:r>
        <w:rPr>
          <w:rFonts w:hint="eastAsia"/>
          <w:bCs/>
          <w:sz w:val="24"/>
        </w:rPr>
        <w:t>以上（含</w:t>
      </w:r>
      <w:r>
        <w:rPr>
          <w:rFonts w:hint="eastAsia"/>
          <w:bCs/>
          <w:sz w:val="24"/>
        </w:rPr>
        <w:t>10%</w:t>
      </w:r>
      <w:r>
        <w:rPr>
          <w:rFonts w:hint="eastAsia"/>
          <w:bCs/>
          <w:sz w:val="24"/>
        </w:rPr>
        <w:t>）；</w:t>
      </w:r>
    </w:p>
    <w:p w:rsidR="00BF60A0" w:rsidRDefault="006E4EA0">
      <w:pPr>
        <w:adjustRightInd w:val="0"/>
        <w:snapToGrid w:val="0"/>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rsidR="00BF60A0" w:rsidRDefault="006E4EA0">
      <w:pPr>
        <w:adjustRightInd w:val="0"/>
        <w:snapToGrid w:val="0"/>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BF60A0" w:rsidRDefault="006E4EA0">
      <w:pPr>
        <w:adjustRightInd w:val="0"/>
        <w:snapToGrid w:val="0"/>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rsidR="00BF60A0" w:rsidRDefault="006E4EA0">
      <w:pPr>
        <w:adjustRightInd w:val="0"/>
        <w:snapToGrid w:val="0"/>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BF60A0" w:rsidRDefault="006E4EA0">
      <w:pPr>
        <w:adjustRightInd w:val="0"/>
        <w:snapToGrid w:val="0"/>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BF60A0" w:rsidRDefault="006E4EA0">
      <w:pPr>
        <w:adjustRightInd w:val="0"/>
        <w:snapToGrid w:val="0"/>
        <w:spacing w:line="360" w:lineRule="auto"/>
        <w:ind w:firstLineChars="200" w:firstLine="480"/>
        <w:rPr>
          <w:bCs/>
          <w:sz w:val="24"/>
        </w:rPr>
      </w:pPr>
      <w:r>
        <w:rPr>
          <w:rFonts w:hint="eastAsia"/>
          <w:bCs/>
          <w:sz w:val="24"/>
        </w:rPr>
        <w:t>同一主侧袋账户内的每份基金份额具有平等的表决权。</w:t>
      </w:r>
    </w:p>
    <w:p w:rsidR="00BF60A0" w:rsidRDefault="006E4EA0">
      <w:pPr>
        <w:adjustRightInd w:val="0"/>
        <w:snapToGrid w:val="0"/>
        <w:spacing w:line="360" w:lineRule="auto"/>
        <w:ind w:firstLineChars="200" w:firstLine="480"/>
        <w:rPr>
          <w:bCs/>
          <w:sz w:val="24"/>
        </w:rPr>
      </w:pPr>
      <w:r>
        <w:rPr>
          <w:rFonts w:hint="eastAsia"/>
          <w:bCs/>
          <w:sz w:val="24"/>
        </w:rPr>
        <w:t>（十）法律法规或监管部门对基金份额持有人大会另有规定的，从其规定。</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三、</w:t>
      </w:r>
      <w:r>
        <w:rPr>
          <w:rFonts w:cs="Arial Unicode MS"/>
          <w:bCs/>
          <w:sz w:val="24"/>
          <w:szCs w:val="20"/>
        </w:rPr>
        <w:t>基金收益分配原则、执行方式</w:t>
      </w:r>
    </w:p>
    <w:p w:rsidR="00BF60A0" w:rsidRDefault="006E4EA0">
      <w:pPr>
        <w:adjustRightInd w:val="0"/>
        <w:snapToGrid w:val="0"/>
        <w:spacing w:line="360" w:lineRule="auto"/>
        <w:ind w:firstLineChars="225" w:firstLine="540"/>
        <w:rPr>
          <w:bCs/>
          <w:sz w:val="24"/>
        </w:rPr>
      </w:pPr>
      <w:r>
        <w:rPr>
          <w:rFonts w:hint="eastAsia"/>
          <w:bCs/>
          <w:sz w:val="24"/>
        </w:rPr>
        <w:t>（一）</w:t>
      </w:r>
      <w:r>
        <w:rPr>
          <w:bCs/>
          <w:sz w:val="24"/>
        </w:rPr>
        <w:t>基金收益分配原则</w:t>
      </w:r>
    </w:p>
    <w:p w:rsidR="00BF60A0" w:rsidRDefault="006E4EA0">
      <w:pPr>
        <w:adjustRightInd w:val="0"/>
        <w:snapToGrid w:val="0"/>
        <w:spacing w:line="360" w:lineRule="auto"/>
        <w:ind w:firstLineChars="200" w:firstLine="480"/>
        <w:rPr>
          <w:sz w:val="24"/>
        </w:rPr>
      </w:pPr>
      <w:r>
        <w:rPr>
          <w:sz w:val="24"/>
        </w:rPr>
        <w:t>1</w:t>
      </w:r>
      <w:r>
        <w:rPr>
          <w:rFonts w:hAnsi="宋体" w:hint="eastAsia"/>
          <w:sz w:val="24"/>
        </w:rPr>
        <w:t>、</w:t>
      </w:r>
      <w:r>
        <w:rPr>
          <w:bCs/>
          <w:sz w:val="24"/>
        </w:rPr>
        <w:t>在符合有关基金分红条件的前提下，</w:t>
      </w:r>
      <w:r>
        <w:rPr>
          <w:rFonts w:hint="eastAsia"/>
          <w:bCs/>
          <w:sz w:val="24"/>
        </w:rPr>
        <w:t>本基金管理人可以根据实际情况进行收益分配，具体分配方案以公告为准</w:t>
      </w:r>
      <w:r>
        <w:rPr>
          <w:rFonts w:hAnsi="宋体"/>
          <w:sz w:val="24"/>
        </w:rPr>
        <w:t>；</w:t>
      </w:r>
    </w:p>
    <w:p w:rsidR="00BF60A0" w:rsidRDefault="006E4EA0">
      <w:pPr>
        <w:adjustRightInd w:val="0"/>
        <w:snapToGrid w:val="0"/>
        <w:spacing w:line="360" w:lineRule="auto"/>
        <w:ind w:firstLineChars="200" w:firstLine="480"/>
        <w:rPr>
          <w:bCs/>
          <w:sz w:val="24"/>
        </w:rPr>
      </w:pPr>
      <w:r>
        <w:rPr>
          <w:sz w:val="24"/>
        </w:rPr>
        <w:t>2</w:t>
      </w:r>
      <w:r>
        <w:rPr>
          <w:rFonts w:hAnsi="宋体" w:hint="eastAsia"/>
          <w:sz w:val="24"/>
        </w:rPr>
        <w:t>、</w:t>
      </w:r>
      <w:r>
        <w:rPr>
          <w:rFonts w:hAnsi="宋体"/>
          <w:sz w:val="24"/>
        </w:rPr>
        <w:t>基金收益分配方式分为现金分红与红利再投资，投资人可选择现金红利或将现金红利按除权日的单位净值自动转为</w:t>
      </w:r>
      <w:r>
        <w:rPr>
          <w:rFonts w:ascii="宋体" w:hAnsi="宋体" w:hint="eastAsia"/>
          <w:sz w:val="24"/>
        </w:rPr>
        <w:t>相应类别的</w:t>
      </w:r>
      <w:r>
        <w:rPr>
          <w:rFonts w:hAnsi="宋体"/>
          <w:sz w:val="24"/>
        </w:rPr>
        <w:t>基金份额进行再投资；若投资人不选择，本基金默认的收益分配方式是现金分红</w:t>
      </w:r>
      <w:r>
        <w:rPr>
          <w:rFonts w:hAnsi="宋体" w:hint="eastAsia"/>
          <w:sz w:val="24"/>
          <w:szCs w:val="21"/>
        </w:rPr>
        <w:t>；基金份额持有人可对其持有的各类基金份额分别选择不同的收益分配方式；</w:t>
      </w:r>
    </w:p>
    <w:p w:rsidR="00BF60A0" w:rsidRDefault="006E4EA0">
      <w:pPr>
        <w:adjustRightInd w:val="0"/>
        <w:snapToGrid w:val="0"/>
        <w:spacing w:line="360" w:lineRule="auto"/>
        <w:ind w:firstLineChars="200" w:firstLine="480"/>
        <w:rPr>
          <w:bCs/>
          <w:sz w:val="24"/>
        </w:rPr>
      </w:pPr>
      <w:r>
        <w:rPr>
          <w:bCs/>
          <w:sz w:val="24"/>
        </w:rPr>
        <w:t>3</w:t>
      </w:r>
      <w:r>
        <w:rPr>
          <w:bCs/>
          <w:sz w:val="24"/>
        </w:rPr>
        <w:t>、基金收益分配后</w:t>
      </w:r>
      <w:r>
        <w:rPr>
          <w:rFonts w:hint="eastAsia"/>
          <w:bCs/>
          <w:sz w:val="24"/>
        </w:rPr>
        <w:t>任一类</w:t>
      </w:r>
      <w:r>
        <w:rPr>
          <w:bCs/>
          <w:sz w:val="24"/>
        </w:rPr>
        <w:t>基金份额净值不能低于面值；即基金收益分配基准</w:t>
      </w:r>
      <w:r>
        <w:rPr>
          <w:bCs/>
          <w:sz w:val="24"/>
        </w:rPr>
        <w:lastRenderedPageBreak/>
        <w:t>日的</w:t>
      </w:r>
      <w:r>
        <w:rPr>
          <w:rFonts w:hint="eastAsia"/>
          <w:bCs/>
          <w:sz w:val="24"/>
        </w:rPr>
        <w:t>任一类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类基金份额和</w:t>
      </w:r>
      <w:r>
        <w:rPr>
          <w:rFonts w:hint="eastAsia"/>
          <w:bCs/>
          <w:sz w:val="24"/>
        </w:rPr>
        <w:t>D</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类基金份额收取销售服务费，各基金份额类别对应的可供分配利润将有所不同；本基金同一基金份额类别的</w:t>
      </w:r>
      <w:r>
        <w:rPr>
          <w:bCs/>
          <w:sz w:val="24"/>
        </w:rPr>
        <w:t>每一基金份额享有同等</w:t>
      </w:r>
      <w:r>
        <w:rPr>
          <w:rFonts w:hint="eastAsia"/>
          <w:bCs/>
          <w:sz w:val="24"/>
        </w:rPr>
        <w:t>的收益</w:t>
      </w:r>
      <w:r>
        <w:rPr>
          <w:bCs/>
          <w:sz w:val="24"/>
        </w:rPr>
        <w:t>分配权</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5</w:t>
      </w:r>
      <w:r>
        <w:rPr>
          <w:bCs/>
          <w:sz w:val="24"/>
        </w:rPr>
        <w:t>、法律法规或监管机关另有规定的，从其规定。</w:t>
      </w:r>
    </w:p>
    <w:p w:rsidR="00BF60A0" w:rsidRDefault="006E4EA0">
      <w:pPr>
        <w:adjustRightInd w:val="0"/>
        <w:snapToGrid w:val="0"/>
        <w:spacing w:line="360" w:lineRule="auto"/>
        <w:ind w:firstLineChars="225" w:firstLine="540"/>
        <w:rPr>
          <w:bCs/>
          <w:sz w:val="24"/>
        </w:rPr>
      </w:pPr>
      <w:r>
        <w:rPr>
          <w:rFonts w:hint="eastAsia"/>
          <w:bCs/>
          <w:sz w:val="24"/>
        </w:rPr>
        <w:t>（二）</w:t>
      </w:r>
      <w:r>
        <w:rPr>
          <w:bCs/>
          <w:sz w:val="24"/>
        </w:rPr>
        <w:t>收益分配方案</w:t>
      </w:r>
    </w:p>
    <w:p w:rsidR="00BF60A0" w:rsidRDefault="006E4EA0">
      <w:pPr>
        <w:adjustRightInd w:val="0"/>
        <w:snapToGrid w:val="0"/>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BF60A0" w:rsidRDefault="006E4EA0">
      <w:pPr>
        <w:adjustRightInd w:val="0"/>
        <w:snapToGrid w:val="0"/>
        <w:spacing w:line="360" w:lineRule="auto"/>
        <w:ind w:firstLineChars="225" w:firstLine="540"/>
        <w:rPr>
          <w:bCs/>
          <w:sz w:val="24"/>
        </w:rPr>
      </w:pPr>
      <w:r>
        <w:rPr>
          <w:rFonts w:hint="eastAsia"/>
          <w:bCs/>
          <w:sz w:val="24"/>
        </w:rPr>
        <w:t>（三）</w:t>
      </w:r>
      <w:r>
        <w:rPr>
          <w:bCs/>
          <w:sz w:val="24"/>
        </w:rPr>
        <w:t>收益分配方案的确定、公告与实施</w:t>
      </w:r>
    </w:p>
    <w:p w:rsidR="00BF60A0" w:rsidRDefault="006E4EA0">
      <w:pPr>
        <w:adjustRightInd w:val="0"/>
        <w:snapToGrid w:val="0"/>
        <w:spacing w:line="360" w:lineRule="auto"/>
        <w:ind w:firstLineChars="200" w:firstLine="480"/>
        <w:rPr>
          <w:bCs/>
          <w:sz w:val="24"/>
        </w:rPr>
      </w:pPr>
      <w:r>
        <w:rPr>
          <w:bCs/>
          <w:sz w:val="24"/>
        </w:rPr>
        <w:t>本基金收益分配方案由基金管理人拟定，并由基金托管人复核，</w:t>
      </w:r>
      <w:r>
        <w:rPr>
          <w:rFonts w:hint="eastAsia"/>
          <w:bCs/>
          <w:sz w:val="24"/>
        </w:rPr>
        <w:t>依照《信息披露办法》的有关规定在规定媒介公告</w:t>
      </w:r>
      <w:r>
        <w:rPr>
          <w:bCs/>
          <w:sz w:val="24"/>
        </w:rPr>
        <w:t>。</w:t>
      </w:r>
    </w:p>
    <w:p w:rsidR="00BF60A0" w:rsidRDefault="006E4EA0">
      <w:pPr>
        <w:adjustRightInd w:val="0"/>
        <w:snapToGrid w:val="0"/>
        <w:spacing w:line="360" w:lineRule="auto"/>
        <w:ind w:firstLineChars="225" w:firstLine="540"/>
        <w:rPr>
          <w:bCs/>
          <w:sz w:val="24"/>
        </w:rPr>
      </w:pPr>
      <w:r>
        <w:rPr>
          <w:rFonts w:hint="eastAsia"/>
          <w:bCs/>
          <w:sz w:val="24"/>
        </w:rPr>
        <w:t>法律法规或监管机关另有规定的，从其规定。</w:t>
      </w:r>
    </w:p>
    <w:p w:rsidR="00BF60A0" w:rsidRDefault="006E4EA0">
      <w:pPr>
        <w:adjustRightInd w:val="0"/>
        <w:snapToGrid w:val="0"/>
        <w:spacing w:line="360" w:lineRule="auto"/>
        <w:ind w:firstLineChars="225" w:firstLine="540"/>
        <w:rPr>
          <w:bCs/>
          <w:sz w:val="24"/>
        </w:rPr>
      </w:pPr>
      <w:r>
        <w:rPr>
          <w:rFonts w:hint="eastAsia"/>
          <w:bCs/>
          <w:sz w:val="24"/>
        </w:rPr>
        <w:t>（四）</w:t>
      </w:r>
      <w:r>
        <w:rPr>
          <w:bCs/>
          <w:sz w:val="24"/>
        </w:rPr>
        <w:t>基金收益分配中发生的费用</w:t>
      </w:r>
    </w:p>
    <w:p w:rsidR="00BF60A0" w:rsidRDefault="006E4EA0">
      <w:pPr>
        <w:adjustRightInd w:val="0"/>
        <w:snapToGrid w:val="0"/>
        <w:spacing w:line="360" w:lineRule="auto"/>
        <w:ind w:firstLineChars="200" w:firstLine="480"/>
        <w:rPr>
          <w:bCs/>
          <w:sz w:val="24"/>
        </w:rPr>
      </w:pPr>
      <w:r>
        <w:rPr>
          <w:bCs/>
          <w:sz w:val="24"/>
        </w:rPr>
        <w:t>基金收益分配时所发生的银行转账或其他手续费用由投资者自行承担。</w:t>
      </w:r>
      <w:r>
        <w:rPr>
          <w:rFonts w:hAnsi="宋体"/>
          <w:sz w:val="24"/>
          <w:szCs w:val="21"/>
        </w:rPr>
        <w:t>当投资人的现金红利小于一定金额，不足以支付银行转账或其他手续费用时，登记机构可将投资人的现金红利按除权后的基金份额净值自动转为</w:t>
      </w:r>
      <w:r>
        <w:rPr>
          <w:rFonts w:ascii="宋体" w:hAnsi="宋体" w:hint="eastAsia"/>
          <w:sz w:val="24"/>
        </w:rPr>
        <w:t>相应类别的</w:t>
      </w:r>
      <w:r>
        <w:rPr>
          <w:rFonts w:hAnsi="宋体"/>
          <w:sz w:val="24"/>
          <w:szCs w:val="21"/>
        </w:rPr>
        <w:t>基金份额</w:t>
      </w:r>
      <w:r>
        <w:rPr>
          <w:rFonts w:hAnsi="宋体"/>
          <w:sz w:val="24"/>
        </w:rPr>
        <w:t>，红利再投资的计算方法，依照登记机构的业务规则执行</w:t>
      </w:r>
      <w:r>
        <w:rPr>
          <w:rFonts w:hAnsi="宋体" w:hint="eastAsia"/>
          <w:sz w:val="24"/>
        </w:rPr>
        <w:t>。</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四、</w:t>
      </w:r>
      <w:r>
        <w:rPr>
          <w:bCs/>
          <w:sz w:val="24"/>
        </w:rPr>
        <w:t>与基金财产管理、运用有关费用的提取、支付方式与比例</w:t>
      </w:r>
    </w:p>
    <w:p w:rsidR="00BF60A0" w:rsidRDefault="006E4EA0">
      <w:pPr>
        <w:adjustRightInd w:val="0"/>
        <w:snapToGrid w:val="0"/>
        <w:spacing w:line="360" w:lineRule="auto"/>
        <w:ind w:firstLineChars="200" w:firstLine="480"/>
        <w:rPr>
          <w:bCs/>
          <w:sz w:val="24"/>
        </w:rPr>
      </w:pPr>
      <w:r>
        <w:rPr>
          <w:rFonts w:hint="eastAsia"/>
          <w:bCs/>
          <w:sz w:val="24"/>
        </w:rPr>
        <w:t>（一）</w:t>
      </w:r>
      <w:r>
        <w:rPr>
          <w:bCs/>
          <w:sz w:val="24"/>
        </w:rPr>
        <w:t>基金费用的种类</w:t>
      </w:r>
    </w:p>
    <w:p w:rsidR="00BF60A0" w:rsidRDefault="006E4EA0">
      <w:pPr>
        <w:adjustRightInd w:val="0"/>
        <w:snapToGrid w:val="0"/>
        <w:spacing w:line="360" w:lineRule="auto"/>
        <w:ind w:firstLineChars="200" w:firstLine="480"/>
        <w:rPr>
          <w:bCs/>
          <w:sz w:val="24"/>
        </w:rPr>
      </w:pPr>
      <w:r>
        <w:rPr>
          <w:bCs/>
          <w:sz w:val="24"/>
        </w:rPr>
        <w:t>1</w:t>
      </w:r>
      <w:r>
        <w:rPr>
          <w:bCs/>
          <w:sz w:val="24"/>
        </w:rPr>
        <w:t>、基金管理人的管理费；</w:t>
      </w:r>
    </w:p>
    <w:p w:rsidR="00BF60A0" w:rsidRDefault="006E4EA0">
      <w:pPr>
        <w:adjustRightInd w:val="0"/>
        <w:snapToGrid w:val="0"/>
        <w:spacing w:line="360" w:lineRule="auto"/>
        <w:ind w:firstLineChars="200" w:firstLine="480"/>
        <w:rPr>
          <w:bCs/>
          <w:sz w:val="24"/>
        </w:rPr>
      </w:pPr>
      <w:r>
        <w:rPr>
          <w:bCs/>
          <w:sz w:val="24"/>
        </w:rPr>
        <w:t>2</w:t>
      </w:r>
      <w:r>
        <w:rPr>
          <w:bCs/>
          <w:sz w:val="24"/>
        </w:rPr>
        <w:t>、基金托管人的托管费；</w:t>
      </w:r>
    </w:p>
    <w:p w:rsidR="00BF60A0" w:rsidRDefault="006E4EA0">
      <w:pPr>
        <w:adjustRightInd w:val="0"/>
        <w:snapToGrid w:val="0"/>
        <w:spacing w:line="360" w:lineRule="auto"/>
        <w:ind w:firstLineChars="200" w:firstLine="480"/>
        <w:rPr>
          <w:bCs/>
          <w:sz w:val="24"/>
        </w:rPr>
      </w:pPr>
      <w:r>
        <w:rPr>
          <w:bCs/>
          <w:sz w:val="24"/>
        </w:rPr>
        <w:t>3</w:t>
      </w:r>
      <w:r>
        <w:rPr>
          <w:bCs/>
          <w:sz w:val="24"/>
        </w:rPr>
        <w:t>、基金合同生效后与基金相关的信息披露费用；</w:t>
      </w:r>
    </w:p>
    <w:p w:rsidR="00BF60A0" w:rsidRDefault="006E4EA0">
      <w:pPr>
        <w:adjustRightInd w:val="0"/>
        <w:snapToGrid w:val="0"/>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rsidR="00BF60A0" w:rsidRDefault="006E4EA0">
      <w:pPr>
        <w:adjustRightInd w:val="0"/>
        <w:snapToGrid w:val="0"/>
        <w:spacing w:line="360" w:lineRule="auto"/>
        <w:ind w:firstLineChars="200" w:firstLine="480"/>
        <w:rPr>
          <w:bCs/>
          <w:sz w:val="24"/>
        </w:rPr>
      </w:pPr>
      <w:r>
        <w:rPr>
          <w:bCs/>
          <w:sz w:val="24"/>
        </w:rPr>
        <w:t>5</w:t>
      </w:r>
      <w:r>
        <w:rPr>
          <w:bCs/>
          <w:sz w:val="24"/>
        </w:rPr>
        <w:t>、基金份额持有人大会费用；</w:t>
      </w:r>
    </w:p>
    <w:p w:rsidR="00BF60A0" w:rsidRDefault="006E4EA0">
      <w:pPr>
        <w:adjustRightInd w:val="0"/>
        <w:snapToGrid w:val="0"/>
        <w:spacing w:line="360" w:lineRule="auto"/>
        <w:ind w:firstLineChars="200" w:firstLine="480"/>
        <w:rPr>
          <w:bCs/>
          <w:sz w:val="24"/>
        </w:rPr>
      </w:pPr>
      <w:r>
        <w:rPr>
          <w:bCs/>
          <w:sz w:val="24"/>
        </w:rPr>
        <w:t>6</w:t>
      </w:r>
      <w:r>
        <w:rPr>
          <w:bCs/>
          <w:sz w:val="24"/>
        </w:rPr>
        <w:t>、基金的证券交易费用；</w:t>
      </w:r>
    </w:p>
    <w:p w:rsidR="00BF60A0" w:rsidRDefault="006E4EA0">
      <w:pPr>
        <w:adjustRightInd w:val="0"/>
        <w:snapToGrid w:val="0"/>
        <w:spacing w:line="360" w:lineRule="auto"/>
        <w:ind w:firstLineChars="200" w:firstLine="480"/>
        <w:rPr>
          <w:bCs/>
          <w:sz w:val="24"/>
        </w:rPr>
      </w:pPr>
      <w:r>
        <w:rPr>
          <w:bCs/>
          <w:sz w:val="24"/>
        </w:rPr>
        <w:t>7</w:t>
      </w:r>
      <w:r>
        <w:rPr>
          <w:bCs/>
          <w:sz w:val="24"/>
        </w:rPr>
        <w:t>、基金的银行汇划费用；</w:t>
      </w:r>
    </w:p>
    <w:p w:rsidR="00BF60A0" w:rsidRDefault="006E4EA0">
      <w:pPr>
        <w:adjustRightInd w:val="0"/>
        <w:snapToGrid w:val="0"/>
        <w:spacing w:line="360" w:lineRule="auto"/>
        <w:ind w:firstLineChars="200" w:firstLine="480"/>
        <w:rPr>
          <w:bCs/>
          <w:sz w:val="24"/>
        </w:rPr>
      </w:pPr>
      <w:r>
        <w:rPr>
          <w:bCs/>
          <w:sz w:val="24"/>
        </w:rPr>
        <w:t>8</w:t>
      </w:r>
      <w:r>
        <w:rPr>
          <w:bCs/>
          <w:sz w:val="24"/>
        </w:rPr>
        <w:t>、</w:t>
      </w:r>
      <w:r>
        <w:rPr>
          <w:rFonts w:ascii="宋体" w:hAnsi="宋体" w:hint="eastAsia"/>
          <w:sz w:val="24"/>
        </w:rPr>
        <w:t>基金的开户费用、账户维护费用；</w:t>
      </w:r>
    </w:p>
    <w:p w:rsidR="00BF60A0" w:rsidRDefault="006E4EA0">
      <w:pPr>
        <w:adjustRightInd w:val="0"/>
        <w:snapToGrid w:val="0"/>
        <w:spacing w:line="360" w:lineRule="auto"/>
        <w:ind w:firstLineChars="200" w:firstLine="480"/>
        <w:rPr>
          <w:bCs/>
          <w:sz w:val="24"/>
        </w:rPr>
      </w:pPr>
      <w:r>
        <w:rPr>
          <w:bCs/>
          <w:sz w:val="24"/>
        </w:rPr>
        <w:t>9</w:t>
      </w:r>
      <w:r>
        <w:rPr>
          <w:bCs/>
          <w:sz w:val="24"/>
        </w:rPr>
        <w:t>、</w:t>
      </w:r>
      <w:r>
        <w:rPr>
          <w:rFonts w:hint="eastAsia"/>
          <w:bCs/>
          <w:sz w:val="24"/>
        </w:rPr>
        <w:t>因投资港股通标的股票而产生的各项合理费用；</w:t>
      </w:r>
    </w:p>
    <w:p w:rsidR="00BF60A0" w:rsidRDefault="006E4EA0">
      <w:pPr>
        <w:adjustRightInd w:val="0"/>
        <w:snapToGrid w:val="0"/>
        <w:spacing w:line="360" w:lineRule="auto"/>
        <w:ind w:firstLineChars="200" w:firstLine="480"/>
        <w:rPr>
          <w:bCs/>
          <w:sz w:val="24"/>
        </w:rPr>
      </w:pPr>
      <w:r>
        <w:rPr>
          <w:rFonts w:hint="eastAsia"/>
          <w:bCs/>
          <w:sz w:val="24"/>
        </w:rPr>
        <w:t>10</w:t>
      </w:r>
      <w:r>
        <w:rPr>
          <w:rFonts w:hint="eastAsia"/>
          <w:bCs/>
          <w:sz w:val="24"/>
        </w:rPr>
        <w:t>、本基金从</w:t>
      </w:r>
      <w:r>
        <w:rPr>
          <w:rFonts w:hint="eastAsia"/>
          <w:bCs/>
          <w:sz w:val="24"/>
        </w:rPr>
        <w:t>C</w:t>
      </w:r>
      <w:r>
        <w:rPr>
          <w:rFonts w:hint="eastAsia"/>
          <w:bCs/>
          <w:sz w:val="24"/>
        </w:rPr>
        <w:t>类基金份额的基金财产中计提的销售服务费；</w:t>
      </w:r>
    </w:p>
    <w:p w:rsidR="00BF60A0" w:rsidRDefault="006E4EA0">
      <w:pPr>
        <w:adjustRightInd w:val="0"/>
        <w:snapToGrid w:val="0"/>
        <w:spacing w:line="360" w:lineRule="auto"/>
        <w:ind w:firstLineChars="200" w:firstLine="480"/>
        <w:rPr>
          <w:bCs/>
          <w:sz w:val="24"/>
        </w:rPr>
      </w:pPr>
      <w:r>
        <w:rPr>
          <w:rFonts w:hint="eastAsia"/>
          <w:bCs/>
          <w:sz w:val="24"/>
        </w:rPr>
        <w:lastRenderedPageBreak/>
        <w:t>1</w:t>
      </w:r>
      <w:r>
        <w:rPr>
          <w:bCs/>
          <w:sz w:val="24"/>
        </w:rPr>
        <w:t>1</w:t>
      </w:r>
      <w:r>
        <w:rPr>
          <w:rFonts w:hint="eastAsia"/>
          <w:bCs/>
          <w:sz w:val="24"/>
        </w:rPr>
        <w:t>、</w:t>
      </w:r>
      <w:r>
        <w:rPr>
          <w:bCs/>
          <w:sz w:val="24"/>
        </w:rPr>
        <w:t>按照国家有关规定和基金合同约定，可以在基金财产中列支的其他费用。</w:t>
      </w:r>
    </w:p>
    <w:p w:rsidR="00BF60A0" w:rsidRDefault="006E4EA0">
      <w:pPr>
        <w:adjustRightInd w:val="0"/>
        <w:snapToGrid w:val="0"/>
        <w:spacing w:line="360" w:lineRule="auto"/>
        <w:ind w:firstLineChars="200" w:firstLine="480"/>
        <w:rPr>
          <w:bCs/>
          <w:sz w:val="24"/>
        </w:rPr>
      </w:pPr>
      <w:r>
        <w:rPr>
          <w:rFonts w:hint="eastAsia"/>
          <w:bCs/>
          <w:sz w:val="24"/>
        </w:rPr>
        <w:t>（二）</w:t>
      </w:r>
      <w:r>
        <w:rPr>
          <w:bCs/>
          <w:sz w:val="24"/>
        </w:rPr>
        <w:t>基金费用计提方法、计提标准和支付方式</w:t>
      </w:r>
    </w:p>
    <w:p w:rsidR="00BF60A0" w:rsidRDefault="006E4EA0">
      <w:pPr>
        <w:adjustRightInd w:val="0"/>
        <w:snapToGrid w:val="0"/>
        <w:spacing w:line="360" w:lineRule="auto"/>
        <w:ind w:firstLineChars="200" w:firstLine="480"/>
        <w:rPr>
          <w:bCs/>
          <w:sz w:val="24"/>
        </w:rPr>
      </w:pPr>
      <w:r>
        <w:rPr>
          <w:bCs/>
          <w:sz w:val="24"/>
        </w:rPr>
        <w:t>1</w:t>
      </w:r>
      <w:r>
        <w:rPr>
          <w:bCs/>
          <w:sz w:val="24"/>
        </w:rPr>
        <w:t>、基金管理人的管理费</w:t>
      </w:r>
    </w:p>
    <w:p w:rsidR="00BF60A0" w:rsidRDefault="006E4EA0">
      <w:pPr>
        <w:adjustRightInd w:val="0"/>
        <w:snapToGrid w:val="0"/>
        <w:spacing w:line="360" w:lineRule="auto"/>
        <w:ind w:firstLineChars="200" w:firstLine="480"/>
        <w:rPr>
          <w:bCs/>
          <w:sz w:val="24"/>
        </w:rPr>
      </w:pPr>
      <w:r>
        <w:rPr>
          <w:bCs/>
          <w:sz w:val="24"/>
        </w:rPr>
        <w:t>本基金的管理费按前一日基金资产净值的</w:t>
      </w:r>
      <w:r>
        <w:rPr>
          <w:bCs/>
          <w:sz w:val="24"/>
        </w:rPr>
        <w:t>0.7%</w:t>
      </w:r>
      <w:r>
        <w:rPr>
          <w:bCs/>
          <w:sz w:val="24"/>
        </w:rPr>
        <w:t>年费率计提。管理费的计算方法如下：</w:t>
      </w:r>
    </w:p>
    <w:p w:rsidR="00BF60A0" w:rsidRDefault="006E4EA0">
      <w:pPr>
        <w:adjustRightInd w:val="0"/>
        <w:snapToGrid w:val="0"/>
        <w:spacing w:line="360" w:lineRule="auto"/>
        <w:ind w:firstLineChars="200" w:firstLine="480"/>
        <w:rPr>
          <w:bCs/>
          <w:sz w:val="24"/>
        </w:rPr>
      </w:pPr>
      <w:r>
        <w:rPr>
          <w:bCs/>
          <w:sz w:val="24"/>
        </w:rPr>
        <w:t>H</w:t>
      </w:r>
      <w:r>
        <w:rPr>
          <w:bCs/>
          <w:sz w:val="24"/>
        </w:rPr>
        <w:t>＝</w:t>
      </w:r>
      <w:r>
        <w:rPr>
          <w:bCs/>
          <w:sz w:val="24"/>
        </w:rPr>
        <w:t>E×0.7%÷</w:t>
      </w:r>
      <w:r>
        <w:rPr>
          <w:bCs/>
          <w:sz w:val="24"/>
        </w:rPr>
        <w:t>当年天数</w:t>
      </w:r>
    </w:p>
    <w:p w:rsidR="00BF60A0" w:rsidRDefault="006E4EA0">
      <w:pPr>
        <w:adjustRightInd w:val="0"/>
        <w:snapToGrid w:val="0"/>
        <w:spacing w:line="360" w:lineRule="auto"/>
        <w:ind w:firstLineChars="200" w:firstLine="480"/>
        <w:rPr>
          <w:bCs/>
          <w:sz w:val="24"/>
        </w:rPr>
      </w:pPr>
      <w:r>
        <w:rPr>
          <w:bCs/>
          <w:sz w:val="24"/>
        </w:rPr>
        <w:t>H</w:t>
      </w:r>
      <w:r>
        <w:rPr>
          <w:bCs/>
          <w:sz w:val="24"/>
        </w:rPr>
        <w:t>为每日应计提的基金管理费</w:t>
      </w:r>
    </w:p>
    <w:p w:rsidR="00BF60A0" w:rsidRDefault="006E4EA0">
      <w:pPr>
        <w:adjustRightInd w:val="0"/>
        <w:snapToGrid w:val="0"/>
        <w:spacing w:line="360" w:lineRule="auto"/>
        <w:ind w:firstLineChars="200" w:firstLine="480"/>
        <w:rPr>
          <w:bCs/>
          <w:sz w:val="24"/>
        </w:rPr>
      </w:pPr>
      <w:r>
        <w:rPr>
          <w:bCs/>
          <w:sz w:val="24"/>
        </w:rPr>
        <w:t>E</w:t>
      </w:r>
      <w:r>
        <w:rPr>
          <w:bCs/>
          <w:sz w:val="24"/>
        </w:rPr>
        <w:t>为前一日的基金资产净值</w:t>
      </w:r>
    </w:p>
    <w:p w:rsidR="00BF60A0" w:rsidRDefault="006E4EA0">
      <w:pPr>
        <w:adjustRightInd w:val="0"/>
        <w:snapToGrid w:val="0"/>
        <w:spacing w:line="360" w:lineRule="auto"/>
        <w:ind w:firstLineChars="200" w:firstLine="480"/>
        <w:rPr>
          <w:bCs/>
          <w:sz w:val="24"/>
        </w:rPr>
      </w:pPr>
      <w:r>
        <w:rPr>
          <w:bCs/>
          <w:sz w:val="24"/>
        </w:rPr>
        <w:t>基金管理费每日计</w:t>
      </w:r>
      <w:r>
        <w:rPr>
          <w:rFonts w:hint="eastAsia"/>
          <w:bCs/>
          <w:sz w:val="24"/>
        </w:rPr>
        <w:t>提</w:t>
      </w:r>
      <w:r>
        <w:rPr>
          <w:bCs/>
          <w:sz w:val="24"/>
        </w:rPr>
        <w:t>，逐日累计至每月月末，按月支付，由基金管理人向基金托管人发送基金管理费划款指令，基金托管人复核后于次月前</w:t>
      </w:r>
      <w:r>
        <w:rPr>
          <w:rFonts w:hint="eastAsia"/>
          <w:bCs/>
          <w:sz w:val="24"/>
        </w:rPr>
        <w:t>3</w:t>
      </w:r>
      <w:r>
        <w:rPr>
          <w:bCs/>
          <w:sz w:val="24"/>
        </w:rPr>
        <w:t>个工作日内从基金财产中一次性支付给基金管理人。若遇</w:t>
      </w:r>
      <w:r>
        <w:rPr>
          <w:rFonts w:hint="eastAsia"/>
          <w:bCs/>
          <w:sz w:val="24"/>
        </w:rPr>
        <w:t>不可抗力致使无法按时支付的，支付日期顺延至最近可支付日</w:t>
      </w:r>
      <w:r>
        <w:rPr>
          <w:bCs/>
          <w:sz w:val="24"/>
        </w:rPr>
        <w:t>。</w:t>
      </w:r>
    </w:p>
    <w:p w:rsidR="00BF60A0" w:rsidRDefault="006E4EA0">
      <w:pPr>
        <w:adjustRightInd w:val="0"/>
        <w:snapToGrid w:val="0"/>
        <w:spacing w:line="360" w:lineRule="auto"/>
        <w:ind w:firstLineChars="200" w:firstLine="480"/>
        <w:rPr>
          <w:bCs/>
          <w:sz w:val="24"/>
        </w:rPr>
      </w:pPr>
      <w:r>
        <w:rPr>
          <w:bCs/>
          <w:sz w:val="24"/>
        </w:rPr>
        <w:t>2</w:t>
      </w:r>
      <w:r>
        <w:rPr>
          <w:bCs/>
          <w:sz w:val="24"/>
        </w:rPr>
        <w:t>、基金托管人的托管费</w:t>
      </w:r>
    </w:p>
    <w:p w:rsidR="00BF60A0" w:rsidRDefault="006E4EA0">
      <w:pPr>
        <w:adjustRightInd w:val="0"/>
        <w:snapToGrid w:val="0"/>
        <w:spacing w:line="360" w:lineRule="auto"/>
        <w:ind w:firstLineChars="200" w:firstLine="480"/>
        <w:rPr>
          <w:bCs/>
          <w:sz w:val="24"/>
        </w:rPr>
      </w:pPr>
      <w:r>
        <w:rPr>
          <w:bCs/>
          <w:sz w:val="24"/>
        </w:rPr>
        <w:t>本基金的托管费按前一日基金资产净值的</w:t>
      </w:r>
      <w:r>
        <w:rPr>
          <w:bCs/>
          <w:sz w:val="24"/>
        </w:rPr>
        <w:t>0.2%</w:t>
      </w:r>
      <w:r>
        <w:rPr>
          <w:bCs/>
          <w:sz w:val="24"/>
        </w:rPr>
        <w:t>的年费率计提。托管费的计算方法如下：</w:t>
      </w:r>
    </w:p>
    <w:p w:rsidR="00BF60A0" w:rsidRDefault="006E4EA0">
      <w:pPr>
        <w:adjustRightInd w:val="0"/>
        <w:snapToGrid w:val="0"/>
        <w:spacing w:line="360" w:lineRule="auto"/>
        <w:ind w:firstLineChars="200" w:firstLine="480"/>
        <w:rPr>
          <w:bCs/>
          <w:sz w:val="24"/>
        </w:rPr>
      </w:pPr>
      <w:r>
        <w:rPr>
          <w:bCs/>
          <w:sz w:val="24"/>
        </w:rPr>
        <w:t>H</w:t>
      </w:r>
      <w:r>
        <w:rPr>
          <w:bCs/>
          <w:sz w:val="24"/>
        </w:rPr>
        <w:t>＝</w:t>
      </w:r>
      <w:r>
        <w:rPr>
          <w:bCs/>
          <w:sz w:val="24"/>
        </w:rPr>
        <w:t>E×0.2%÷</w:t>
      </w:r>
      <w:r>
        <w:rPr>
          <w:bCs/>
          <w:sz w:val="24"/>
        </w:rPr>
        <w:t>当年天数</w:t>
      </w:r>
    </w:p>
    <w:p w:rsidR="00BF60A0" w:rsidRDefault="006E4EA0">
      <w:pPr>
        <w:adjustRightInd w:val="0"/>
        <w:snapToGrid w:val="0"/>
        <w:spacing w:line="360" w:lineRule="auto"/>
        <w:ind w:firstLineChars="200" w:firstLine="480"/>
        <w:rPr>
          <w:bCs/>
          <w:sz w:val="24"/>
        </w:rPr>
      </w:pPr>
      <w:r>
        <w:rPr>
          <w:bCs/>
          <w:sz w:val="24"/>
        </w:rPr>
        <w:t>H</w:t>
      </w:r>
      <w:r>
        <w:rPr>
          <w:bCs/>
          <w:sz w:val="24"/>
        </w:rPr>
        <w:t>为每日应计提的基金托管费</w:t>
      </w:r>
    </w:p>
    <w:p w:rsidR="00BF60A0" w:rsidRDefault="006E4EA0">
      <w:pPr>
        <w:adjustRightInd w:val="0"/>
        <w:snapToGrid w:val="0"/>
        <w:spacing w:line="360" w:lineRule="auto"/>
        <w:ind w:firstLineChars="200" w:firstLine="480"/>
        <w:rPr>
          <w:bCs/>
          <w:sz w:val="24"/>
        </w:rPr>
      </w:pPr>
      <w:r>
        <w:rPr>
          <w:bCs/>
          <w:sz w:val="24"/>
        </w:rPr>
        <w:t>E</w:t>
      </w:r>
      <w:r>
        <w:rPr>
          <w:bCs/>
          <w:sz w:val="24"/>
        </w:rPr>
        <w:t>为前一日的基金资产净值</w:t>
      </w:r>
    </w:p>
    <w:p w:rsidR="00BF60A0" w:rsidRDefault="006E4EA0">
      <w:pPr>
        <w:adjustRightInd w:val="0"/>
        <w:snapToGrid w:val="0"/>
        <w:spacing w:line="360" w:lineRule="auto"/>
        <w:ind w:firstLineChars="200" w:firstLine="480"/>
        <w:rPr>
          <w:bCs/>
          <w:sz w:val="24"/>
        </w:rPr>
      </w:pPr>
      <w:r>
        <w:rPr>
          <w:bCs/>
          <w:sz w:val="24"/>
        </w:rPr>
        <w:t>基金托管费每日计</w:t>
      </w:r>
      <w:r>
        <w:rPr>
          <w:rFonts w:hint="eastAsia"/>
          <w:bCs/>
          <w:sz w:val="24"/>
        </w:rPr>
        <w:t>提</w:t>
      </w:r>
      <w:r>
        <w:rPr>
          <w:bCs/>
          <w:sz w:val="24"/>
        </w:rPr>
        <w:t>，逐日累计至每月月末，按月支付，由基金管理人向基金托管人发送基金托管费划款指令，基金托管人复核后于次月前</w:t>
      </w:r>
      <w:r>
        <w:rPr>
          <w:rFonts w:hint="eastAsia"/>
          <w:bCs/>
          <w:sz w:val="24"/>
        </w:rPr>
        <w:t>3</w:t>
      </w:r>
      <w:r>
        <w:rPr>
          <w:bCs/>
          <w:sz w:val="24"/>
        </w:rPr>
        <w:t>个工作日内从基金财产中一次性支取。若遇</w:t>
      </w:r>
      <w:r>
        <w:rPr>
          <w:rFonts w:hint="eastAsia"/>
          <w:bCs/>
          <w:sz w:val="24"/>
        </w:rPr>
        <w:t>不可抗力致使无法按时支付的，支付日期顺延至最近可支付日</w:t>
      </w:r>
      <w:r>
        <w:rPr>
          <w:bCs/>
          <w:sz w:val="24"/>
        </w:rPr>
        <w:t>。</w:t>
      </w:r>
    </w:p>
    <w:p w:rsidR="00BF60A0" w:rsidRDefault="006E4EA0">
      <w:pPr>
        <w:adjustRightInd w:val="0"/>
        <w:snapToGrid w:val="0"/>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BF60A0" w:rsidRDefault="006E4EA0">
      <w:pPr>
        <w:adjustRightInd w:val="0"/>
        <w:snapToGrid w:val="0"/>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D</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4</w:t>
      </w:r>
      <w:r>
        <w:rPr>
          <w:rFonts w:hint="eastAsia"/>
          <w:bCs/>
          <w:sz w:val="24"/>
        </w:rPr>
        <w:t>%</w:t>
      </w:r>
      <w:r>
        <w:rPr>
          <w:rFonts w:hint="eastAsia"/>
          <w:bCs/>
          <w:sz w:val="24"/>
        </w:rPr>
        <w:t>年费率计提。计算方法如下：</w:t>
      </w:r>
    </w:p>
    <w:p w:rsidR="00BF60A0" w:rsidRDefault="006E4EA0">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4</w:t>
      </w:r>
      <w:r>
        <w:rPr>
          <w:rFonts w:hint="eastAsia"/>
          <w:bCs/>
          <w:sz w:val="24"/>
        </w:rPr>
        <w:t>%</w:t>
      </w:r>
      <w:r>
        <w:rPr>
          <w:rFonts w:hint="eastAsia"/>
          <w:bCs/>
          <w:sz w:val="24"/>
        </w:rPr>
        <w:t>÷当年天数</w:t>
      </w:r>
    </w:p>
    <w:p w:rsidR="00BF60A0" w:rsidRDefault="006E4EA0">
      <w:pPr>
        <w:adjustRightInd w:val="0"/>
        <w:snapToGrid w:val="0"/>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BF60A0" w:rsidRDefault="006E4EA0">
      <w:pPr>
        <w:adjustRightInd w:val="0"/>
        <w:snapToGrid w:val="0"/>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BF60A0" w:rsidRDefault="006E4EA0">
      <w:pPr>
        <w:adjustRightInd w:val="0"/>
        <w:snapToGrid w:val="0"/>
        <w:spacing w:line="360" w:lineRule="auto"/>
        <w:ind w:firstLineChars="200" w:firstLine="480"/>
        <w:rPr>
          <w:bCs/>
          <w:sz w:val="24"/>
        </w:rPr>
      </w:pPr>
      <w:r>
        <w:rPr>
          <w:rFonts w:hint="eastAsia"/>
          <w:bCs/>
          <w:sz w:val="24"/>
        </w:rPr>
        <w:t>C</w:t>
      </w:r>
      <w:r>
        <w:rPr>
          <w:rFonts w:hint="eastAsia"/>
          <w:bCs/>
          <w:sz w:val="24"/>
        </w:rPr>
        <w:t>类基金份额销售服务费每日计提，</w:t>
      </w:r>
      <w:r>
        <w:rPr>
          <w:bCs/>
          <w:sz w:val="24"/>
        </w:rPr>
        <w:t>逐日累计至每月月末，按月支付</w:t>
      </w:r>
      <w:r>
        <w:rPr>
          <w:rFonts w:hint="eastAsia"/>
          <w:bCs/>
          <w:sz w:val="24"/>
        </w:rPr>
        <w:t>。由基金管理人向基金托管人发送销售服务费划付指令，基金托管人复核后于次月</w:t>
      </w:r>
      <w:r>
        <w:rPr>
          <w:bCs/>
          <w:sz w:val="24"/>
        </w:rPr>
        <w:t>前</w:t>
      </w:r>
      <w:r>
        <w:rPr>
          <w:rFonts w:hint="eastAsia"/>
          <w:bCs/>
          <w:sz w:val="24"/>
        </w:rPr>
        <w:t>5</w:t>
      </w:r>
      <w:r>
        <w:rPr>
          <w:rFonts w:hint="eastAsia"/>
          <w:bCs/>
          <w:sz w:val="24"/>
        </w:rPr>
        <w:t>个</w:t>
      </w:r>
      <w:r>
        <w:rPr>
          <w:rFonts w:hint="eastAsia"/>
          <w:bCs/>
          <w:sz w:val="24"/>
        </w:rPr>
        <w:lastRenderedPageBreak/>
        <w:t>工作日内从基金资产中一次性支付给基金管理人，由基金管理人代付给销售机构。若遇不可抗力致使无法按时支付的，顺延至最近可支付日支付。</w:t>
      </w:r>
    </w:p>
    <w:p w:rsidR="00BF60A0" w:rsidRDefault="006E4EA0">
      <w:pPr>
        <w:adjustRightInd w:val="0"/>
        <w:snapToGrid w:val="0"/>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w:t>
      </w:r>
      <w:r>
        <w:rPr>
          <w:bCs/>
          <w:sz w:val="24"/>
        </w:rPr>
        <w:t>上述</w:t>
      </w:r>
      <w:r>
        <w:rPr>
          <w:rFonts w:hint="eastAsia"/>
          <w:bCs/>
          <w:sz w:val="24"/>
        </w:rPr>
        <w:t>“（</w:t>
      </w:r>
      <w:r>
        <w:rPr>
          <w:bCs/>
          <w:sz w:val="24"/>
        </w:rPr>
        <w:t>一</w:t>
      </w:r>
      <w:r>
        <w:rPr>
          <w:rFonts w:hint="eastAsia"/>
          <w:bCs/>
          <w:sz w:val="24"/>
        </w:rPr>
        <w:t>）</w:t>
      </w:r>
      <w:r>
        <w:rPr>
          <w:bCs/>
          <w:sz w:val="24"/>
        </w:rPr>
        <w:t>基金费用的种类中第</w:t>
      </w:r>
      <w:r>
        <w:rPr>
          <w:bCs/>
          <w:sz w:val="24"/>
        </w:rPr>
        <w:t>3</w:t>
      </w:r>
      <w:r>
        <w:rPr>
          <w:bCs/>
          <w:sz w:val="24"/>
        </w:rPr>
        <w:t>－</w:t>
      </w:r>
      <w:r>
        <w:rPr>
          <w:bCs/>
          <w:sz w:val="24"/>
        </w:rPr>
        <w:t>9</w:t>
      </w:r>
      <w:r>
        <w:rPr>
          <w:bCs/>
          <w:sz w:val="24"/>
        </w:rPr>
        <w:t>项</w:t>
      </w:r>
      <w:r>
        <w:rPr>
          <w:rFonts w:hint="eastAsia"/>
          <w:bCs/>
          <w:sz w:val="24"/>
        </w:rPr>
        <w:t>、第</w:t>
      </w:r>
      <w:r>
        <w:rPr>
          <w:rFonts w:hint="eastAsia"/>
          <w:bCs/>
          <w:sz w:val="24"/>
        </w:rPr>
        <w:t>1</w:t>
      </w:r>
      <w:r>
        <w:rPr>
          <w:bCs/>
          <w:sz w:val="24"/>
        </w:rPr>
        <w:t>1</w:t>
      </w:r>
      <w:r>
        <w:rPr>
          <w:rFonts w:hint="eastAsia"/>
          <w:bCs/>
          <w:sz w:val="24"/>
        </w:rPr>
        <w:t>项</w:t>
      </w:r>
      <w:r>
        <w:rPr>
          <w:bCs/>
          <w:sz w:val="24"/>
        </w:rPr>
        <w:t>费用</w:t>
      </w:r>
      <w:r>
        <w:rPr>
          <w:rFonts w:hint="eastAsia"/>
          <w:bCs/>
          <w:sz w:val="24"/>
        </w:rPr>
        <w:t>”</w:t>
      </w:r>
      <w:r>
        <w:rPr>
          <w:bCs/>
          <w:sz w:val="24"/>
        </w:rPr>
        <w:t>，根据有关</w:t>
      </w:r>
      <w:r>
        <w:rPr>
          <w:rFonts w:hint="eastAsia"/>
          <w:bCs/>
          <w:sz w:val="24"/>
        </w:rPr>
        <w:t>法律</w:t>
      </w:r>
      <w:r>
        <w:rPr>
          <w:bCs/>
          <w:sz w:val="24"/>
        </w:rPr>
        <w:t>法规及相应协议规定，按费用实际支出金额列入当期费用，由基金托管人从基金财产中支付。</w:t>
      </w:r>
    </w:p>
    <w:p w:rsidR="00BF60A0" w:rsidRDefault="006E4EA0">
      <w:pPr>
        <w:adjustRightInd w:val="0"/>
        <w:snapToGrid w:val="0"/>
        <w:spacing w:line="360" w:lineRule="auto"/>
        <w:ind w:firstLineChars="200" w:firstLine="480"/>
        <w:rPr>
          <w:bCs/>
          <w:sz w:val="24"/>
        </w:rPr>
      </w:pPr>
      <w:r>
        <w:rPr>
          <w:rFonts w:hint="eastAsia"/>
          <w:bCs/>
          <w:sz w:val="24"/>
        </w:rPr>
        <w:t>（三）</w:t>
      </w:r>
      <w:r>
        <w:rPr>
          <w:bCs/>
          <w:sz w:val="24"/>
        </w:rPr>
        <w:t>不列入基金费用的项目</w:t>
      </w:r>
    </w:p>
    <w:p w:rsidR="00BF60A0" w:rsidRDefault="006E4EA0">
      <w:pPr>
        <w:adjustRightInd w:val="0"/>
        <w:snapToGrid w:val="0"/>
        <w:spacing w:line="360" w:lineRule="auto"/>
        <w:ind w:firstLineChars="200" w:firstLine="480"/>
        <w:rPr>
          <w:bCs/>
          <w:sz w:val="24"/>
        </w:rPr>
      </w:pPr>
      <w:r>
        <w:rPr>
          <w:bCs/>
          <w:sz w:val="24"/>
        </w:rPr>
        <w:t>下列费用不列入基金费用：</w:t>
      </w:r>
    </w:p>
    <w:p w:rsidR="00BF60A0" w:rsidRDefault="006E4EA0">
      <w:pPr>
        <w:adjustRightInd w:val="0"/>
        <w:snapToGrid w:val="0"/>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BF60A0" w:rsidRDefault="006E4EA0">
      <w:pPr>
        <w:adjustRightInd w:val="0"/>
        <w:snapToGrid w:val="0"/>
        <w:spacing w:line="360" w:lineRule="auto"/>
        <w:ind w:firstLineChars="200" w:firstLine="480"/>
        <w:rPr>
          <w:bCs/>
          <w:sz w:val="24"/>
        </w:rPr>
      </w:pPr>
      <w:r>
        <w:rPr>
          <w:bCs/>
          <w:sz w:val="24"/>
        </w:rPr>
        <w:t>2</w:t>
      </w:r>
      <w:r>
        <w:rPr>
          <w:bCs/>
          <w:sz w:val="24"/>
        </w:rPr>
        <w:t>、基金管理人和基金托管人处理与基金运作无关的事项发生的费用；</w:t>
      </w:r>
    </w:p>
    <w:p w:rsidR="00BF60A0" w:rsidRDefault="006E4EA0">
      <w:pPr>
        <w:adjustRightInd w:val="0"/>
        <w:snapToGrid w:val="0"/>
        <w:spacing w:line="360" w:lineRule="auto"/>
        <w:ind w:firstLineChars="200" w:firstLine="480"/>
        <w:rPr>
          <w:bCs/>
          <w:sz w:val="24"/>
        </w:rPr>
      </w:pPr>
      <w:r>
        <w:rPr>
          <w:bCs/>
          <w:sz w:val="24"/>
        </w:rPr>
        <w:t>3</w:t>
      </w:r>
      <w:r>
        <w:rPr>
          <w:bCs/>
          <w:sz w:val="24"/>
        </w:rPr>
        <w:t>、</w:t>
      </w:r>
      <w:r>
        <w:rPr>
          <w:rFonts w:hint="eastAsia"/>
          <w:bCs/>
          <w:sz w:val="24"/>
        </w:rPr>
        <w:t>《交银施罗德荣祥保本混合型证券投资基金基金合同》</w:t>
      </w:r>
      <w:r>
        <w:rPr>
          <w:bCs/>
          <w:sz w:val="24"/>
        </w:rPr>
        <w:t>生效前的相关费用；</w:t>
      </w:r>
    </w:p>
    <w:p w:rsidR="00BF60A0" w:rsidRDefault="006E4EA0">
      <w:pPr>
        <w:adjustRightInd w:val="0"/>
        <w:snapToGrid w:val="0"/>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BF60A0" w:rsidRDefault="006E4EA0">
      <w:pPr>
        <w:spacing w:line="360" w:lineRule="auto"/>
        <w:ind w:firstLineChars="200" w:firstLine="480"/>
        <w:rPr>
          <w:bCs/>
          <w:sz w:val="24"/>
        </w:rPr>
      </w:pPr>
      <w:r>
        <w:rPr>
          <w:rFonts w:hint="eastAsia"/>
          <w:bCs/>
          <w:sz w:val="24"/>
        </w:rPr>
        <w:t>（四）《交银施罗德稳固收益债券</w:t>
      </w:r>
      <w:r>
        <w:rPr>
          <w:bCs/>
          <w:sz w:val="24"/>
        </w:rPr>
        <w:t>型</w:t>
      </w:r>
      <w:r>
        <w:rPr>
          <w:rFonts w:hint="eastAsia"/>
          <w:bCs/>
          <w:sz w:val="24"/>
        </w:rPr>
        <w:t>证券投资基金基金合同》生效前的相关费用按当时有效的《交银施罗德荣祥保本混合型</w:t>
      </w:r>
      <w:r>
        <w:rPr>
          <w:bCs/>
          <w:sz w:val="24"/>
        </w:rPr>
        <w:t>证券投资基金</w:t>
      </w:r>
      <w:r>
        <w:rPr>
          <w:rFonts w:hint="eastAsia"/>
          <w:bCs/>
          <w:sz w:val="24"/>
        </w:rPr>
        <w:t>基金合同》的约定支付。</w:t>
      </w:r>
    </w:p>
    <w:p w:rsidR="00BF60A0" w:rsidRDefault="006E4EA0">
      <w:pPr>
        <w:adjustRightInd w:val="0"/>
        <w:snapToGrid w:val="0"/>
        <w:spacing w:line="360" w:lineRule="auto"/>
        <w:ind w:firstLineChars="200" w:firstLine="480"/>
        <w:rPr>
          <w:bCs/>
          <w:sz w:val="24"/>
        </w:rPr>
      </w:pPr>
      <w:r>
        <w:rPr>
          <w:rFonts w:hint="eastAsia"/>
          <w:bCs/>
          <w:sz w:val="24"/>
        </w:rPr>
        <w:t>（五）实施侧袋机制期间的基金费用</w:t>
      </w:r>
    </w:p>
    <w:p w:rsidR="00BF60A0" w:rsidRDefault="006E4EA0">
      <w:pPr>
        <w:adjustRightInd w:val="0"/>
        <w:snapToGrid w:val="0"/>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BF60A0" w:rsidRDefault="006E4EA0">
      <w:pPr>
        <w:adjustRightInd w:val="0"/>
        <w:snapToGrid w:val="0"/>
        <w:spacing w:line="360" w:lineRule="auto"/>
        <w:ind w:firstLineChars="200" w:firstLine="480"/>
        <w:rPr>
          <w:bCs/>
          <w:sz w:val="24"/>
        </w:rPr>
      </w:pPr>
      <w:r>
        <w:rPr>
          <w:rFonts w:hint="eastAsia"/>
          <w:bCs/>
          <w:sz w:val="24"/>
        </w:rPr>
        <w:t>（六）</w:t>
      </w:r>
      <w:r>
        <w:rPr>
          <w:bCs/>
          <w:sz w:val="24"/>
        </w:rPr>
        <w:t>基金税收</w:t>
      </w:r>
    </w:p>
    <w:p w:rsidR="00BF60A0" w:rsidRDefault="006E4EA0">
      <w:pPr>
        <w:adjustRightInd w:val="0"/>
        <w:snapToGrid w:val="0"/>
        <w:spacing w:line="360" w:lineRule="auto"/>
        <w:ind w:firstLineChars="200" w:firstLine="480"/>
        <w:rPr>
          <w:bCs/>
          <w:sz w:val="24"/>
        </w:rPr>
      </w:pPr>
      <w:r>
        <w:rPr>
          <w:bCs/>
          <w:sz w:val="24"/>
        </w:rPr>
        <w:t>本基金运作过程中涉及的各纳税主体，其纳税义务按国家税收法律、法规执行。</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五、</w:t>
      </w:r>
      <w:r>
        <w:rPr>
          <w:rFonts w:cs="Arial Unicode MS"/>
          <w:bCs/>
          <w:sz w:val="24"/>
          <w:szCs w:val="20"/>
        </w:rPr>
        <w:t>基金财产的投资方向和投资限制</w:t>
      </w:r>
    </w:p>
    <w:p w:rsidR="00BF60A0" w:rsidRDefault="006E4EA0">
      <w:pPr>
        <w:adjustRightInd w:val="0"/>
        <w:snapToGrid w:val="0"/>
        <w:spacing w:line="360" w:lineRule="auto"/>
        <w:ind w:firstLineChars="200" w:firstLine="480"/>
        <w:rPr>
          <w:rFonts w:ascii="宋体" w:hAnsi="宋体"/>
          <w:bCs/>
          <w:sz w:val="24"/>
        </w:rPr>
      </w:pPr>
      <w:r>
        <w:rPr>
          <w:rFonts w:ascii="宋体" w:hAnsi="宋体" w:hint="eastAsia"/>
          <w:sz w:val="24"/>
        </w:rPr>
        <w:t>（一）</w:t>
      </w:r>
      <w:r>
        <w:rPr>
          <w:rFonts w:ascii="宋体" w:hAnsi="宋体" w:hint="eastAsia"/>
          <w:bCs/>
          <w:sz w:val="24"/>
        </w:rPr>
        <w:t>投资目标</w:t>
      </w:r>
    </w:p>
    <w:p w:rsidR="00BF60A0" w:rsidRDefault="006E4EA0">
      <w:pPr>
        <w:adjustRightInd w:val="0"/>
        <w:snapToGrid w:val="0"/>
        <w:spacing w:line="360" w:lineRule="auto"/>
        <w:ind w:firstLineChars="200" w:firstLine="480"/>
        <w:rPr>
          <w:rFonts w:ascii="宋体" w:hAnsi="宋体"/>
          <w:bCs/>
          <w:sz w:val="24"/>
        </w:rPr>
      </w:pPr>
      <w:r>
        <w:rPr>
          <w:rFonts w:ascii="宋体" w:hAnsi="宋体" w:hint="eastAsia"/>
          <w:bCs/>
          <w:sz w:val="24"/>
        </w:rPr>
        <w:t>在合理控制风险并保持基金资产良好流动性的前提下，追求超越业绩比较基准的投资回报，控制波动率，力争实现基金资产的长期稳健增值。</w:t>
      </w:r>
    </w:p>
    <w:p w:rsidR="00BF60A0" w:rsidRDefault="006E4EA0">
      <w:pPr>
        <w:adjustRightInd w:val="0"/>
        <w:snapToGrid w:val="0"/>
        <w:spacing w:line="360" w:lineRule="auto"/>
        <w:ind w:firstLineChars="200" w:firstLine="480"/>
        <w:rPr>
          <w:rFonts w:ascii="宋体" w:hAnsi="宋体"/>
          <w:bCs/>
          <w:sz w:val="24"/>
        </w:rPr>
      </w:pPr>
      <w:r>
        <w:rPr>
          <w:rFonts w:ascii="宋体" w:hAnsi="宋体" w:hint="eastAsia"/>
          <w:sz w:val="24"/>
        </w:rPr>
        <w:t>（二）</w:t>
      </w:r>
      <w:r>
        <w:rPr>
          <w:rFonts w:ascii="宋体" w:hAnsi="宋体" w:hint="eastAsia"/>
          <w:bCs/>
          <w:sz w:val="24"/>
        </w:rPr>
        <w:t>投资范围</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本基金的投资范围为具有良好流动性的金融工具，包括国内依法发行上市的股票（含创业板及其他经中国证监会核准或注册上市的股票、存托凭证）、港股通</w:t>
      </w:r>
      <w:r>
        <w:rPr>
          <w:rFonts w:ascii="宋体" w:hAnsi="宋体" w:hint="eastAsia"/>
          <w:sz w:val="24"/>
        </w:rPr>
        <w:lastRenderedPageBreak/>
        <w:t>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以及法律法规或中国证监会允许基金投资的其他金融工具（但须符合中国证监会相关规定）。</w:t>
      </w:r>
    </w:p>
    <w:p w:rsidR="00BF60A0" w:rsidRDefault="006E4EA0">
      <w:pPr>
        <w:adjustRightInd w:val="0"/>
        <w:snapToGrid w:val="0"/>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rsidR="00BF60A0" w:rsidRDefault="006E4EA0">
      <w:pPr>
        <w:adjustRightInd w:val="0"/>
        <w:snapToGrid w:val="0"/>
        <w:spacing w:line="360" w:lineRule="auto"/>
        <w:ind w:firstLineChars="200" w:firstLine="480"/>
        <w:rPr>
          <w:bCs/>
          <w:sz w:val="24"/>
        </w:rPr>
      </w:pPr>
      <w:r>
        <w:rPr>
          <w:rFonts w:ascii="宋体" w:hAnsi="宋体" w:hint="eastAsia"/>
          <w:bCs/>
          <w:sz w:val="24"/>
        </w:rPr>
        <w:t>本基金的投资组合比例为：本基金投资于债券资产的比例不低于基金资产的80%；投资于股票资产（含存托凭证）、可转换债券、可交换公司债券的比例合计不高于基金资产净值的20%（其中投资于港股通标的股票的比例占股票资产的0%-50%）；本基金持有的</w:t>
      </w:r>
      <w:r>
        <w:rPr>
          <w:rFonts w:hint="eastAsia"/>
          <w:bCs/>
          <w:sz w:val="24"/>
        </w:rPr>
        <w:t>现金或者到期日在一年以内的政府债券的比例合计不低于基金资产净值的</w:t>
      </w:r>
      <w:r>
        <w:rPr>
          <w:rFonts w:hint="eastAsia"/>
          <w:bCs/>
          <w:sz w:val="24"/>
        </w:rPr>
        <w:t>5%</w:t>
      </w:r>
      <w:r>
        <w:rPr>
          <w:rFonts w:hint="eastAsia"/>
          <w:bCs/>
          <w:sz w:val="24"/>
        </w:rPr>
        <w:t>，其中</w:t>
      </w:r>
      <w:r>
        <w:rPr>
          <w:bCs/>
          <w:sz w:val="24"/>
        </w:rPr>
        <w:t>现金不包括</w:t>
      </w:r>
      <w:r>
        <w:rPr>
          <w:rFonts w:hint="eastAsia"/>
          <w:bCs/>
          <w:sz w:val="24"/>
        </w:rPr>
        <w:t>结算备付金、存出保证金、应收申购款等；如果法律法规或中国证监会变更投资品种的投资比例限制，基金管理人在履行适当程序后，可以调整上述投资品种的投资比例。</w:t>
      </w:r>
    </w:p>
    <w:p w:rsidR="00BF60A0" w:rsidRDefault="006E4EA0">
      <w:pPr>
        <w:adjustRightInd w:val="0"/>
        <w:snapToGrid w:val="0"/>
        <w:spacing w:line="360" w:lineRule="auto"/>
        <w:ind w:firstLineChars="200" w:firstLine="480"/>
        <w:rPr>
          <w:rFonts w:ascii="宋体" w:hAnsi="宋体"/>
          <w:bCs/>
          <w:sz w:val="24"/>
        </w:rPr>
      </w:pPr>
      <w:r>
        <w:rPr>
          <w:rFonts w:ascii="宋体" w:hAnsi="宋体" w:hint="eastAsia"/>
          <w:sz w:val="24"/>
        </w:rPr>
        <w:t>（三）</w:t>
      </w:r>
      <w:r>
        <w:rPr>
          <w:rFonts w:ascii="宋体" w:hAnsi="宋体" w:hint="eastAsia"/>
          <w:bCs/>
          <w:sz w:val="24"/>
        </w:rPr>
        <w:t>投资策略</w:t>
      </w:r>
    </w:p>
    <w:p w:rsidR="00BF60A0" w:rsidRDefault="006E4EA0">
      <w:pPr>
        <w:adjustRightInd w:val="0"/>
        <w:snapToGrid w:val="0"/>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rsidR="00BF60A0" w:rsidRDefault="006E4EA0">
      <w:pPr>
        <w:adjustRightInd w:val="0"/>
        <w:snapToGrid w:val="0"/>
        <w:spacing w:line="360" w:lineRule="auto"/>
        <w:ind w:firstLineChars="200" w:firstLine="480"/>
        <w:rPr>
          <w:bCs/>
          <w:sz w:val="24"/>
        </w:rPr>
      </w:pPr>
      <w:r>
        <w:rPr>
          <w:rFonts w:hint="eastAsia"/>
          <w:bCs/>
          <w:sz w:val="24"/>
        </w:rPr>
        <w:t>1</w:t>
      </w:r>
      <w:r>
        <w:rPr>
          <w:rFonts w:hint="eastAsia"/>
          <w:bCs/>
          <w:sz w:val="24"/>
        </w:rPr>
        <w:t>、资产配置策略</w:t>
      </w:r>
    </w:p>
    <w:p w:rsidR="00BF60A0" w:rsidRDefault="006E4EA0">
      <w:pPr>
        <w:adjustRightInd w:val="0"/>
        <w:snapToGrid w:val="0"/>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本基金利用经交银施罗德研究团队修正后的投资时钟分析框架，通过“自上而下”的定性分析和定量分析相结合形成对不同资产市场表现的预测和判断，确定基金资产在沪深</w:t>
      </w:r>
      <w:r>
        <w:rPr>
          <w:rFonts w:hint="eastAsia"/>
          <w:bCs/>
          <w:sz w:val="24"/>
        </w:rPr>
        <w:t>A</w:t>
      </w:r>
      <w:r>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rsidR="00BF60A0" w:rsidRDefault="006E4EA0">
      <w:pPr>
        <w:adjustRightInd w:val="0"/>
        <w:snapToGrid w:val="0"/>
        <w:spacing w:line="360" w:lineRule="auto"/>
        <w:ind w:firstLineChars="200" w:firstLine="480"/>
        <w:rPr>
          <w:bCs/>
          <w:sz w:val="24"/>
        </w:rPr>
      </w:pPr>
      <w:r>
        <w:rPr>
          <w:rFonts w:hint="eastAsia"/>
          <w:bCs/>
          <w:sz w:val="24"/>
        </w:rPr>
        <w:t>2</w:t>
      </w:r>
      <w:r>
        <w:rPr>
          <w:rFonts w:hint="eastAsia"/>
          <w:bCs/>
          <w:sz w:val="24"/>
        </w:rPr>
        <w:t>、债券投资策略</w:t>
      </w:r>
    </w:p>
    <w:p w:rsidR="00BF60A0" w:rsidRDefault="006E4EA0">
      <w:pPr>
        <w:adjustRightInd w:val="0"/>
        <w:snapToGrid w:val="0"/>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BF60A0" w:rsidRDefault="006E4EA0">
      <w:pPr>
        <w:adjustRightInd w:val="0"/>
        <w:snapToGrid w:val="0"/>
        <w:spacing w:line="360" w:lineRule="auto"/>
        <w:ind w:firstLineChars="200" w:firstLine="480"/>
        <w:rPr>
          <w:bCs/>
          <w:sz w:val="24"/>
        </w:rPr>
      </w:pPr>
      <w:r>
        <w:rPr>
          <w:rFonts w:hint="eastAsia"/>
          <w:bCs/>
          <w:sz w:val="24"/>
        </w:rPr>
        <w:lastRenderedPageBreak/>
        <w:t>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）久期管理策略</w:t>
      </w:r>
    </w:p>
    <w:p w:rsidR="00BF60A0" w:rsidRDefault="006E4EA0">
      <w:pPr>
        <w:adjustRightInd w:val="0"/>
        <w:snapToGrid w:val="0"/>
        <w:spacing w:line="360" w:lineRule="auto"/>
        <w:ind w:firstLineChars="200" w:firstLine="480"/>
        <w:rPr>
          <w:bCs/>
          <w:sz w:val="24"/>
        </w:rPr>
      </w:pPr>
      <w:r>
        <w:rPr>
          <w:rFonts w:hint="eastAsia"/>
          <w:bCs/>
          <w:sz w:val="24"/>
        </w:rPr>
        <w:t>本基金通过灵活的久期管理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rsidR="00BF60A0" w:rsidRDefault="006E4EA0">
      <w:pPr>
        <w:adjustRightInd w:val="0"/>
        <w:snapToGrid w:val="0"/>
        <w:spacing w:line="360" w:lineRule="auto"/>
        <w:ind w:firstLineChars="200" w:firstLine="480"/>
        <w:rPr>
          <w:bCs/>
          <w:sz w:val="24"/>
        </w:rPr>
      </w:pPr>
      <w:r>
        <w:rPr>
          <w:rFonts w:hint="eastAsia"/>
          <w:bCs/>
          <w:sz w:val="24"/>
        </w:rPr>
        <w:t>基金管理人通过以下方面的分析来确定债券组合的目标久期：</w:t>
      </w:r>
    </w:p>
    <w:p w:rsidR="00BF60A0" w:rsidRDefault="006E4EA0">
      <w:pPr>
        <w:adjustRightInd w:val="0"/>
        <w:snapToGrid w:val="0"/>
        <w:spacing w:line="360" w:lineRule="auto"/>
        <w:ind w:firstLineChars="200" w:firstLine="480"/>
        <w:rPr>
          <w:bCs/>
          <w:sz w:val="24"/>
        </w:rPr>
      </w:pPr>
      <w:r>
        <w:rPr>
          <w:rFonts w:hint="eastAsia"/>
          <w:bCs/>
          <w:sz w:val="24"/>
        </w:rPr>
        <w:t>1</w:t>
      </w:r>
      <w:r>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BF60A0" w:rsidRDefault="006E4EA0">
      <w:pPr>
        <w:adjustRightInd w:val="0"/>
        <w:snapToGrid w:val="0"/>
        <w:spacing w:line="360" w:lineRule="auto"/>
        <w:ind w:firstLineChars="200" w:firstLine="480"/>
        <w:rPr>
          <w:bCs/>
          <w:sz w:val="24"/>
        </w:rPr>
      </w:pPr>
      <w:r>
        <w:rPr>
          <w:rFonts w:hint="eastAsia"/>
          <w:bCs/>
          <w:sz w:val="24"/>
        </w:rPr>
        <w:t>2</w:t>
      </w:r>
      <w:r>
        <w:rPr>
          <w:rFonts w:hint="eastAsia"/>
          <w:bCs/>
          <w:sz w:val="24"/>
        </w:rPr>
        <w:t>）利率变动趋势分析。在宏观经济环境分析的基础上，密切关注月度</w:t>
      </w:r>
      <w:r>
        <w:rPr>
          <w:rFonts w:hint="eastAsia"/>
          <w:bCs/>
          <w:sz w:val="24"/>
        </w:rPr>
        <w:t>CPI</w:t>
      </w:r>
      <w:r>
        <w:rPr>
          <w:rFonts w:hint="eastAsia"/>
          <w:bCs/>
          <w:sz w:val="24"/>
        </w:rPr>
        <w:t>、</w:t>
      </w:r>
      <w:r>
        <w:rPr>
          <w:rFonts w:hint="eastAsia"/>
          <w:bCs/>
          <w:sz w:val="24"/>
        </w:rPr>
        <w:t>PPI</w:t>
      </w:r>
      <w:r>
        <w:rPr>
          <w:rFonts w:hint="eastAsia"/>
          <w:bCs/>
          <w:sz w:val="24"/>
        </w:rPr>
        <w:t>等物价指数，货币信贷、汇率等金融运行数据，预测未来利率的变动趋势。</w:t>
      </w:r>
    </w:p>
    <w:p w:rsidR="00BF60A0" w:rsidRDefault="006E4EA0">
      <w:pPr>
        <w:adjustRightInd w:val="0"/>
        <w:snapToGrid w:val="0"/>
        <w:spacing w:line="360" w:lineRule="auto"/>
        <w:ind w:firstLineChars="200" w:firstLine="480"/>
        <w:rPr>
          <w:bCs/>
          <w:sz w:val="24"/>
        </w:rPr>
      </w:pPr>
      <w:r>
        <w:rPr>
          <w:rFonts w:hint="eastAsia"/>
          <w:bCs/>
          <w:sz w:val="24"/>
        </w:rPr>
        <w:t>3</w:t>
      </w:r>
      <w:r>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以期获得稳定的当前回报。</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）期限结构配置策略</w:t>
      </w:r>
    </w:p>
    <w:p w:rsidR="00BF60A0" w:rsidRDefault="006E4EA0">
      <w:pPr>
        <w:adjustRightInd w:val="0"/>
        <w:snapToGrid w:val="0"/>
        <w:spacing w:line="360" w:lineRule="auto"/>
        <w:ind w:firstLineChars="200" w:firstLine="480"/>
        <w:rPr>
          <w:bCs/>
          <w:sz w:val="24"/>
        </w:rPr>
      </w:pPr>
      <w:r>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）类属配置策略</w:t>
      </w:r>
    </w:p>
    <w:p w:rsidR="00BF60A0" w:rsidRDefault="006E4EA0">
      <w:pPr>
        <w:adjustRightInd w:val="0"/>
        <w:snapToGrid w:val="0"/>
        <w:spacing w:line="360" w:lineRule="auto"/>
        <w:ind w:firstLineChars="200" w:firstLine="480"/>
        <w:rPr>
          <w:bCs/>
          <w:sz w:val="24"/>
        </w:rPr>
      </w:pPr>
      <w:r>
        <w:rPr>
          <w:rFonts w:hint="eastAsia"/>
          <w:bCs/>
          <w:sz w:val="24"/>
        </w:rPr>
        <w:lastRenderedPageBreak/>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）骑乘策略</w:t>
      </w:r>
    </w:p>
    <w:p w:rsidR="00BF60A0" w:rsidRDefault="006E4EA0">
      <w:pPr>
        <w:adjustRightInd w:val="0"/>
        <w:snapToGrid w:val="0"/>
        <w:spacing w:line="360" w:lineRule="auto"/>
        <w:ind w:firstLineChars="200" w:firstLine="480"/>
        <w:rPr>
          <w:bCs/>
          <w:sz w:val="24"/>
        </w:rPr>
      </w:pPr>
      <w:r>
        <w:rPr>
          <w:rFonts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）杠杆放大策略</w:t>
      </w:r>
    </w:p>
    <w:p w:rsidR="00BF60A0" w:rsidRDefault="006E4EA0">
      <w:pPr>
        <w:adjustRightInd w:val="0"/>
        <w:snapToGrid w:val="0"/>
        <w:spacing w:line="360" w:lineRule="auto"/>
        <w:ind w:firstLineChars="200" w:firstLine="480"/>
        <w:rPr>
          <w:bCs/>
          <w:sz w:val="24"/>
        </w:rPr>
      </w:pPr>
      <w:r>
        <w:rPr>
          <w:rFonts w:hint="eastAsia"/>
          <w:bCs/>
          <w:sz w:val="24"/>
        </w:rPr>
        <w:t>当回购利率低于债券收益率时，本基金将实施正回购融入资金并投资于信用债券等可投资标的，从而获取收益率超出回购资金成本（即回购利率）的套利价值。</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）信用债券（含资产支持证券，下同）投资策略</w:t>
      </w:r>
    </w:p>
    <w:p w:rsidR="00BF60A0" w:rsidRDefault="006E4EA0">
      <w:pPr>
        <w:adjustRightInd w:val="0"/>
        <w:snapToGrid w:val="0"/>
        <w:spacing w:line="360" w:lineRule="auto"/>
        <w:ind w:firstLineChars="200" w:firstLine="480"/>
        <w:rPr>
          <w:bCs/>
          <w:sz w:val="24"/>
        </w:rPr>
      </w:pPr>
      <w:r>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BF60A0" w:rsidRDefault="006E4EA0">
      <w:pPr>
        <w:adjustRightInd w:val="0"/>
        <w:snapToGrid w:val="0"/>
        <w:spacing w:line="360" w:lineRule="auto"/>
        <w:ind w:firstLineChars="200" w:firstLine="480"/>
        <w:rPr>
          <w:bCs/>
          <w:sz w:val="24"/>
        </w:rPr>
      </w:pPr>
      <w:r>
        <w:rPr>
          <w:rFonts w:hint="eastAsia"/>
          <w:bCs/>
          <w:sz w:val="24"/>
        </w:rPr>
        <w:t>本基金主动投资的信用债为信用评级在</w:t>
      </w:r>
      <w:r>
        <w:rPr>
          <w:rFonts w:hint="eastAsia"/>
          <w:bCs/>
          <w:sz w:val="24"/>
        </w:rPr>
        <w:t>AA+</w:t>
      </w:r>
      <w:r>
        <w:rPr>
          <w:rFonts w:hint="eastAsia"/>
          <w:bCs/>
          <w:sz w:val="24"/>
        </w:rPr>
        <w:t>级（含）以上的信用债，对信用评级的认定参照基金管理人选定的评级机构出具的信用评级，其中，信用债的信用评级依照评级机构出具的债项信用评级，若无债项信用评级的或债项信用评级为</w:t>
      </w:r>
      <w:r>
        <w:rPr>
          <w:rFonts w:hint="eastAsia"/>
          <w:bCs/>
          <w:sz w:val="24"/>
        </w:rPr>
        <w:t>A-1</w:t>
      </w:r>
      <w:r>
        <w:rPr>
          <w:rFonts w:hint="eastAsia"/>
          <w:bCs/>
          <w:sz w:val="24"/>
        </w:rPr>
        <w:t>的，依照其主体信用评级。本基金投资于评级</w:t>
      </w:r>
      <w:r>
        <w:rPr>
          <w:rFonts w:hint="eastAsia"/>
          <w:bCs/>
          <w:sz w:val="24"/>
        </w:rPr>
        <w:t>AA+</w:t>
      </w:r>
      <w:r>
        <w:rPr>
          <w:rFonts w:hint="eastAsia"/>
          <w:bCs/>
          <w:sz w:val="24"/>
        </w:rPr>
        <w:t>的信用债比例不高于信用债资产的</w:t>
      </w:r>
      <w:r>
        <w:rPr>
          <w:rFonts w:hint="eastAsia"/>
          <w:bCs/>
          <w:sz w:val="24"/>
        </w:rPr>
        <w:t>50%</w:t>
      </w:r>
      <w:r>
        <w:rPr>
          <w:rFonts w:hint="eastAsia"/>
          <w:bCs/>
          <w:sz w:val="24"/>
        </w:rPr>
        <w:t>，投资于评级</w:t>
      </w:r>
      <w:r>
        <w:rPr>
          <w:rFonts w:hint="eastAsia"/>
          <w:bCs/>
          <w:sz w:val="24"/>
        </w:rPr>
        <w:t>AAA</w:t>
      </w:r>
      <w:r>
        <w:rPr>
          <w:rFonts w:hint="eastAsia"/>
          <w:bCs/>
          <w:sz w:val="24"/>
        </w:rPr>
        <w:t>的信用债比例不低于信用债资产的</w:t>
      </w:r>
      <w:r>
        <w:rPr>
          <w:rFonts w:hint="eastAsia"/>
          <w:bCs/>
          <w:sz w:val="24"/>
        </w:rPr>
        <w:t>50%</w:t>
      </w:r>
      <w:r>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Pr>
          <w:rFonts w:hint="eastAsia"/>
          <w:bCs/>
          <w:sz w:val="24"/>
        </w:rPr>
        <w:t>3</w:t>
      </w:r>
      <w:r>
        <w:rPr>
          <w:rFonts w:hint="eastAsia"/>
          <w:bCs/>
          <w:sz w:val="24"/>
        </w:rPr>
        <w:t>个月内调整至符合比例。</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）可转换债券与可交换公司债券投资策略</w:t>
      </w:r>
    </w:p>
    <w:p w:rsidR="00BF60A0" w:rsidRDefault="006E4EA0">
      <w:pPr>
        <w:adjustRightInd w:val="0"/>
        <w:snapToGrid w:val="0"/>
        <w:spacing w:line="360" w:lineRule="auto"/>
        <w:ind w:firstLineChars="200" w:firstLine="480"/>
        <w:rPr>
          <w:bCs/>
          <w:sz w:val="24"/>
        </w:rPr>
      </w:pPr>
      <w:r>
        <w:rPr>
          <w:rFonts w:hint="eastAsia"/>
          <w:bCs/>
          <w:sz w:val="24"/>
        </w:rPr>
        <w:t>本基金投资股票资产（含存托凭证）、可转换债券、可交换公司债券的比例合计不超过基金资产净值的</w:t>
      </w:r>
      <w:r>
        <w:rPr>
          <w:rFonts w:hint="eastAsia"/>
          <w:bCs/>
          <w:sz w:val="24"/>
        </w:rPr>
        <w:t>20%</w:t>
      </w:r>
      <w:r>
        <w:rPr>
          <w:rFonts w:hint="eastAsia"/>
          <w:bCs/>
          <w:sz w:val="24"/>
        </w:rPr>
        <w:t>，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rsidR="00BF60A0" w:rsidRDefault="006E4EA0">
      <w:pPr>
        <w:adjustRightInd w:val="0"/>
        <w:snapToGrid w:val="0"/>
        <w:spacing w:line="360" w:lineRule="auto"/>
        <w:ind w:firstLineChars="200" w:firstLine="480"/>
        <w:rPr>
          <w:bCs/>
          <w:sz w:val="24"/>
        </w:rPr>
      </w:pPr>
      <w:r>
        <w:rPr>
          <w:rFonts w:hint="eastAsia"/>
          <w:bCs/>
          <w:sz w:val="24"/>
        </w:rPr>
        <w:lastRenderedPageBreak/>
        <w:t>1</w:t>
      </w:r>
      <w:r>
        <w:rPr>
          <w:rFonts w:hint="eastAsia"/>
          <w:bCs/>
          <w:sz w:val="24"/>
        </w:rPr>
        <w:t>）行业配置策略</w:t>
      </w:r>
    </w:p>
    <w:p w:rsidR="00BF60A0" w:rsidRDefault="006E4EA0">
      <w:pPr>
        <w:adjustRightInd w:val="0"/>
        <w:snapToGrid w:val="0"/>
        <w:spacing w:line="360" w:lineRule="auto"/>
        <w:ind w:firstLineChars="200" w:firstLine="480"/>
        <w:rPr>
          <w:bCs/>
          <w:sz w:val="24"/>
        </w:rPr>
      </w:pPr>
      <w:r>
        <w:rPr>
          <w:rFonts w:hint="eastAsia"/>
          <w:bCs/>
          <w:sz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与可交换公司债券进行投资。</w:t>
      </w:r>
    </w:p>
    <w:p w:rsidR="00BF60A0" w:rsidRDefault="006E4EA0">
      <w:pPr>
        <w:adjustRightInd w:val="0"/>
        <w:snapToGrid w:val="0"/>
        <w:spacing w:line="360" w:lineRule="auto"/>
        <w:ind w:firstLineChars="200" w:firstLine="480"/>
        <w:rPr>
          <w:bCs/>
          <w:sz w:val="24"/>
        </w:rPr>
      </w:pPr>
      <w:r>
        <w:rPr>
          <w:rFonts w:hint="eastAsia"/>
          <w:bCs/>
          <w:sz w:val="24"/>
        </w:rPr>
        <w:t>2</w:t>
      </w:r>
      <w:r>
        <w:rPr>
          <w:rFonts w:hint="eastAsia"/>
          <w:bCs/>
          <w:sz w:val="24"/>
        </w:rPr>
        <w:t>）个券精选策略</w:t>
      </w:r>
    </w:p>
    <w:p w:rsidR="00BF60A0" w:rsidRDefault="006E4EA0">
      <w:pPr>
        <w:adjustRightInd w:val="0"/>
        <w:snapToGrid w:val="0"/>
        <w:spacing w:line="360" w:lineRule="auto"/>
        <w:ind w:firstLineChars="200" w:firstLine="480"/>
        <w:rPr>
          <w:bCs/>
          <w:sz w:val="24"/>
        </w:rPr>
      </w:pPr>
      <w:r>
        <w:rPr>
          <w:rFonts w:hint="eastAsia"/>
          <w:bCs/>
          <w:sz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券的筛选。</w:t>
      </w:r>
    </w:p>
    <w:p w:rsidR="00BF60A0" w:rsidRDefault="006E4EA0">
      <w:pPr>
        <w:adjustRightInd w:val="0"/>
        <w:snapToGrid w:val="0"/>
        <w:spacing w:line="360" w:lineRule="auto"/>
        <w:ind w:firstLineChars="200" w:firstLine="480"/>
        <w:rPr>
          <w:bCs/>
          <w:sz w:val="24"/>
        </w:rPr>
      </w:pPr>
      <w:r>
        <w:rPr>
          <w:rFonts w:hint="eastAsia"/>
          <w:bCs/>
          <w:sz w:val="24"/>
        </w:rPr>
        <w:t>3</w:t>
      </w:r>
      <w:r>
        <w:rPr>
          <w:rFonts w:hint="eastAsia"/>
          <w:bCs/>
          <w:sz w:val="24"/>
        </w:rPr>
        <w:t>、股票投资策略</w:t>
      </w:r>
    </w:p>
    <w:p w:rsidR="00BF60A0" w:rsidRDefault="006E4EA0">
      <w:pPr>
        <w:adjustRightInd w:val="0"/>
        <w:snapToGrid w:val="0"/>
        <w:spacing w:line="360" w:lineRule="auto"/>
        <w:ind w:firstLineChars="200" w:firstLine="480"/>
        <w:rPr>
          <w:bCs/>
          <w:sz w:val="24"/>
        </w:rPr>
      </w:pPr>
      <w:r>
        <w:rPr>
          <w:rFonts w:hint="eastAsia"/>
          <w:bCs/>
          <w:sz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rsidR="00BF60A0" w:rsidRDefault="006E4EA0">
      <w:pPr>
        <w:adjustRightInd w:val="0"/>
        <w:snapToGrid w:val="0"/>
        <w:spacing w:line="360" w:lineRule="auto"/>
        <w:ind w:firstLineChars="200"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BF60A0" w:rsidRDefault="006E4EA0">
      <w:pPr>
        <w:adjustRightInd w:val="0"/>
        <w:snapToGrid w:val="0"/>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rsidR="00BF60A0" w:rsidRDefault="006E4EA0">
      <w:pPr>
        <w:adjustRightInd w:val="0"/>
        <w:snapToGrid w:val="0"/>
        <w:spacing w:line="360" w:lineRule="auto"/>
        <w:ind w:firstLineChars="200" w:firstLine="480"/>
        <w:rPr>
          <w:bCs/>
          <w:sz w:val="24"/>
        </w:rPr>
      </w:pPr>
      <w:r>
        <w:rPr>
          <w:rFonts w:hint="eastAsia"/>
          <w:bCs/>
          <w:sz w:val="24"/>
        </w:rPr>
        <w:t>本基金投资存托凭证的策略依照境内上市交易的股票投资策略执行。</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（四）投资限制</w:t>
      </w:r>
    </w:p>
    <w:p w:rsidR="00BF60A0" w:rsidRDefault="006E4EA0">
      <w:pPr>
        <w:adjustRightInd w:val="0"/>
        <w:snapToGrid w:val="0"/>
        <w:spacing w:line="360" w:lineRule="auto"/>
        <w:ind w:firstLineChars="200" w:firstLine="480"/>
        <w:rPr>
          <w:rFonts w:ascii="宋体" w:hAnsi="宋体"/>
          <w:sz w:val="24"/>
        </w:rPr>
      </w:pPr>
      <w:r>
        <w:rPr>
          <w:rFonts w:ascii="宋体" w:hAnsi="宋体"/>
          <w:sz w:val="24"/>
        </w:rPr>
        <w:t>1、组合限制</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基金的投资组合应遵循以下限制：</w:t>
      </w:r>
    </w:p>
    <w:p w:rsidR="00BF60A0" w:rsidRDefault="006E4EA0">
      <w:pPr>
        <w:adjustRightInd w:val="0"/>
        <w:snapToGrid w:val="0"/>
        <w:spacing w:line="360" w:lineRule="auto"/>
        <w:ind w:firstLineChars="200" w:firstLine="480"/>
        <w:rPr>
          <w:rFonts w:hAnsi="宋体"/>
          <w:bCs/>
          <w:sz w:val="24"/>
        </w:rPr>
      </w:pPr>
      <w:r>
        <w:rPr>
          <w:rFonts w:ascii="宋体" w:hAnsi="宋体" w:hint="eastAsia"/>
          <w:sz w:val="24"/>
        </w:rPr>
        <w:t>（</w:t>
      </w:r>
      <w:r>
        <w:rPr>
          <w:rFonts w:ascii="宋体" w:hAnsi="宋体"/>
          <w:sz w:val="24"/>
        </w:rPr>
        <w:t>1）</w:t>
      </w:r>
      <w:r>
        <w:rPr>
          <w:rFonts w:hAnsi="宋体" w:hint="eastAsia"/>
          <w:bCs/>
          <w:sz w:val="24"/>
        </w:rPr>
        <w:t>本基金投资于债券资产的比例不低于基金资产的</w:t>
      </w:r>
      <w:r>
        <w:rPr>
          <w:rFonts w:hAnsi="宋体" w:hint="eastAsia"/>
          <w:bCs/>
          <w:sz w:val="24"/>
        </w:rPr>
        <w:t>80%</w:t>
      </w:r>
      <w:r>
        <w:rPr>
          <w:rFonts w:hAnsi="宋体" w:hint="eastAsia"/>
          <w:bCs/>
          <w:sz w:val="24"/>
        </w:rPr>
        <w:t>，投资于股票资产（含存托凭证）、可转换债券、可交换公司债券的比例合计不高于基金资产净值的</w:t>
      </w:r>
      <w:r>
        <w:rPr>
          <w:rFonts w:hAnsi="宋体" w:hint="eastAsia"/>
          <w:bCs/>
          <w:sz w:val="24"/>
        </w:rPr>
        <w:t>20%</w:t>
      </w:r>
      <w:r>
        <w:rPr>
          <w:rFonts w:hAnsi="宋体" w:hint="eastAsia"/>
          <w:bCs/>
          <w:sz w:val="24"/>
        </w:rPr>
        <w:t>（其中投资于港股通标的股票的比例占股票资产的</w:t>
      </w:r>
      <w:r>
        <w:rPr>
          <w:rFonts w:hAnsi="宋体" w:hint="eastAsia"/>
          <w:bCs/>
          <w:sz w:val="24"/>
        </w:rPr>
        <w:t>0%-50%</w:t>
      </w:r>
      <w:r>
        <w:rPr>
          <w:rFonts w:hAnsi="宋体" w:hint="eastAsia"/>
          <w:bCs/>
          <w:sz w:val="24"/>
        </w:rPr>
        <w:t>）；</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（2）本基金持有的现金或者到期日在一年以内的政府债券的比例合计不低于</w:t>
      </w:r>
      <w:r>
        <w:rPr>
          <w:rFonts w:ascii="宋体" w:hAnsi="宋体" w:hint="eastAsia"/>
          <w:sz w:val="24"/>
        </w:rPr>
        <w:lastRenderedPageBreak/>
        <w:t>基金资产净值的5%，其中现金不包括结算备付金、存出保证金、应收申购款等；</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（3）本基金持有一家公司发行的</w:t>
      </w:r>
      <w:r>
        <w:rPr>
          <w:rFonts w:ascii="宋体" w:hAnsi="宋体"/>
          <w:sz w:val="24"/>
        </w:rPr>
        <w:t>证券</w:t>
      </w:r>
      <w:r>
        <w:rPr>
          <w:rFonts w:ascii="宋体" w:hAnsi="宋体" w:hint="eastAsia"/>
          <w:sz w:val="24"/>
        </w:rPr>
        <w:t>（同一家公司在内地和香港同时上市的A+H股合计计算），其市值不超过基金资产净值的10%；</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（5）本基金投资于同一原始权益人的各类资产支持证券的比例，不得超过基金资产净值的10%；</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）本基金持有的全部资产支持证券，其市值不得超过基金资产净值的20%；</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）本基金持有的同一（指同一信用级别）资产支持证券的比例，不得超过该资产支持证券规模的10%；</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）本基金管理人管理的全部基金投资于同一原始权益人的各类资产支持证券，不得超过其各类资产支持证券合计规模的10%；</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）本基金应投资于信用级别评级为</w:t>
      </w:r>
      <w:r>
        <w:rPr>
          <w:rFonts w:ascii="宋体" w:hAnsi="宋体"/>
          <w:sz w:val="24"/>
        </w:rPr>
        <w:t>AA+</w:t>
      </w:r>
      <w:r>
        <w:rPr>
          <w:rFonts w:ascii="宋体" w:hAnsi="宋体" w:hint="eastAsia"/>
          <w:sz w:val="24"/>
        </w:rPr>
        <w:t>以上(含</w:t>
      </w:r>
      <w:r>
        <w:rPr>
          <w:rFonts w:ascii="宋体" w:hAnsi="宋体"/>
          <w:sz w:val="24"/>
        </w:rPr>
        <w:t>AA+</w:t>
      </w:r>
      <w:r>
        <w:rPr>
          <w:rFonts w:ascii="宋体" w:hAnsi="宋体" w:hint="eastAsia"/>
          <w:sz w:val="24"/>
        </w:rPr>
        <w:t>)的资产支持证券。基金持有资产支持证券期间，如果其信用等级下降、不再符合投资标准，应在评级报告发布之日起3个月内予以全部卖出；</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）基金财产参与股票发行申购，本基金所申报的金额不超过本基金的总资产，本基金所申报的股票数量不超过拟发行股票公司本次发行股票的总量；</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）本基金进入全国银行间同业市场进行债券回购的资金余额不得超过基金资产净值的40%，进入全国银行间同业市场进行债券回购的最长期限为1年，债券回购到期后不得展期；</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lastRenderedPageBreak/>
        <w:t>（1</w:t>
      </w:r>
      <w:r>
        <w:rPr>
          <w:rFonts w:ascii="宋体" w:hAnsi="宋体"/>
          <w:sz w:val="24"/>
        </w:rPr>
        <w:t>4</w:t>
      </w:r>
      <w:r>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）本基金资产总值不超过基金资产净值的140%；</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（16）本基金投资存托凭证的比例限制依照境内上市交易的股票执行；</w:t>
      </w:r>
    </w:p>
    <w:p w:rsidR="00BF60A0" w:rsidRDefault="006E4EA0">
      <w:pPr>
        <w:adjustRightInd w:val="0"/>
        <w:snapToGrid w:val="0"/>
        <w:spacing w:line="360" w:lineRule="auto"/>
        <w:ind w:firstLineChars="200" w:firstLine="480"/>
        <w:rPr>
          <w:rFonts w:ascii="宋体" w:hAnsi="宋体"/>
          <w:sz w:val="24"/>
        </w:rPr>
      </w:pPr>
      <w:r>
        <w:rPr>
          <w:rFonts w:ascii="宋体" w:hAnsi="宋体" w:hint="eastAsia"/>
          <w:sz w:val="24"/>
        </w:rPr>
        <w:t>（17）法律法规及中国证监会规定的和《基金合同》约定的其他投资限制。</w:t>
      </w:r>
    </w:p>
    <w:p w:rsidR="00BF60A0" w:rsidRDefault="006E4EA0">
      <w:pPr>
        <w:adjustRightInd w:val="0"/>
        <w:snapToGrid w:val="0"/>
        <w:spacing w:line="360" w:lineRule="auto"/>
        <w:ind w:firstLineChars="200" w:firstLine="480"/>
        <w:rPr>
          <w:sz w:val="24"/>
        </w:rPr>
      </w:pPr>
      <w:r>
        <w:rPr>
          <w:rFonts w:hint="eastAsia"/>
          <w:bCs/>
          <w:sz w:val="24"/>
        </w:rPr>
        <w:t>除前述投资组合限制第（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w:t>
      </w:r>
      <w:r>
        <w:rPr>
          <w:bCs/>
          <w:sz w:val="24"/>
        </w:rPr>
        <w:t>3</w:t>
      </w:r>
      <w:r>
        <w:rPr>
          <w:rFonts w:hint="eastAsia"/>
          <w:bCs/>
          <w:sz w:val="24"/>
        </w:rPr>
        <w:t>）、（</w:t>
      </w:r>
      <w:r>
        <w:rPr>
          <w:rFonts w:hint="eastAsia"/>
          <w:bCs/>
          <w:sz w:val="24"/>
        </w:rPr>
        <w:t>1</w:t>
      </w:r>
      <w:r>
        <w:rPr>
          <w:bCs/>
          <w:sz w:val="24"/>
        </w:rPr>
        <w:t>4</w:t>
      </w:r>
      <w:r>
        <w:rPr>
          <w:rFonts w:hint="eastAsia"/>
          <w:bCs/>
          <w:sz w:val="24"/>
        </w:rPr>
        <w:t>）条外，</w:t>
      </w:r>
      <w:r>
        <w:rPr>
          <w:rFonts w:hint="eastAsia"/>
          <w:sz w:val="24"/>
        </w:rPr>
        <w:t>因证券市场波动、证券发行人合并、基金规模变动等基金管理人之外的因素致使基金投资比例不符合上述规定投资比例的，基金管理人应当在</w:t>
      </w:r>
      <w:r>
        <w:rPr>
          <w:rFonts w:hint="eastAsia"/>
          <w:sz w:val="24"/>
        </w:rPr>
        <w:t>10</w:t>
      </w:r>
      <w:r>
        <w:rPr>
          <w:rFonts w:hint="eastAsia"/>
          <w:sz w:val="24"/>
        </w:rPr>
        <w:t>个交易日内进行调整，</w:t>
      </w:r>
      <w:r>
        <w:rPr>
          <w:bCs/>
          <w:sz w:val="24"/>
        </w:rPr>
        <w:t>但中国证监会规定的特殊情形除外。</w:t>
      </w:r>
      <w:r>
        <w:rPr>
          <w:rFonts w:hint="eastAsia"/>
          <w:sz w:val="24"/>
        </w:rPr>
        <w:t>法律法规另有规定的，从其规定。</w:t>
      </w:r>
    </w:p>
    <w:p w:rsidR="00BF60A0" w:rsidRDefault="006E4EA0">
      <w:pPr>
        <w:adjustRightInd w:val="0"/>
        <w:snapToGrid w:val="0"/>
        <w:spacing w:line="360" w:lineRule="auto"/>
        <w:ind w:firstLineChars="200" w:firstLine="480"/>
        <w:rPr>
          <w:sz w:val="24"/>
        </w:rPr>
      </w:pPr>
      <w:r>
        <w:rPr>
          <w:rFonts w:hint="eastAsia"/>
          <w:sz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rsidR="00BF60A0" w:rsidRDefault="006E4EA0">
      <w:pPr>
        <w:adjustRightInd w:val="0"/>
        <w:snapToGrid w:val="0"/>
        <w:spacing w:line="360" w:lineRule="auto"/>
        <w:ind w:firstLineChars="200" w:firstLine="480"/>
        <w:rPr>
          <w:sz w:val="24"/>
        </w:rPr>
      </w:pPr>
      <w:r>
        <w:rPr>
          <w:sz w:val="24"/>
        </w:rPr>
        <w:t>2</w:t>
      </w:r>
      <w:r>
        <w:rPr>
          <w:rFonts w:hint="eastAsia"/>
          <w:sz w:val="24"/>
        </w:rPr>
        <w:t>、禁止行为</w:t>
      </w:r>
    </w:p>
    <w:p w:rsidR="00BF60A0" w:rsidRDefault="006E4EA0">
      <w:pPr>
        <w:adjustRightInd w:val="0"/>
        <w:snapToGrid w:val="0"/>
        <w:spacing w:line="360" w:lineRule="auto"/>
        <w:ind w:firstLineChars="200" w:firstLine="480"/>
        <w:rPr>
          <w:sz w:val="24"/>
        </w:rPr>
      </w:pPr>
      <w:r>
        <w:rPr>
          <w:rFonts w:hint="eastAsia"/>
          <w:sz w:val="24"/>
        </w:rPr>
        <w:t>为维护基金份额持有人的合法权益，基金财产不得用于下列投资或者活动：</w:t>
      </w:r>
    </w:p>
    <w:p w:rsidR="00BF60A0" w:rsidRDefault="006E4EA0">
      <w:pPr>
        <w:adjustRightInd w:val="0"/>
        <w:snapToGrid w:val="0"/>
        <w:spacing w:line="360" w:lineRule="auto"/>
        <w:ind w:firstLineChars="200" w:firstLine="480"/>
        <w:rPr>
          <w:sz w:val="24"/>
        </w:rPr>
      </w:pPr>
      <w:r>
        <w:rPr>
          <w:rFonts w:hint="eastAsia"/>
          <w:sz w:val="24"/>
        </w:rPr>
        <w:t>（</w:t>
      </w:r>
      <w:r>
        <w:rPr>
          <w:sz w:val="24"/>
        </w:rPr>
        <w:t>1</w:t>
      </w:r>
      <w:r>
        <w:rPr>
          <w:rFonts w:hint="eastAsia"/>
          <w:sz w:val="24"/>
        </w:rPr>
        <w:t>）承销证券；</w:t>
      </w:r>
    </w:p>
    <w:p w:rsidR="00BF60A0" w:rsidRDefault="006E4EA0">
      <w:pPr>
        <w:adjustRightInd w:val="0"/>
        <w:snapToGrid w:val="0"/>
        <w:spacing w:line="360" w:lineRule="auto"/>
        <w:ind w:firstLineChars="200" w:firstLine="480"/>
        <w:rPr>
          <w:sz w:val="24"/>
        </w:rPr>
      </w:pPr>
      <w:r>
        <w:rPr>
          <w:rFonts w:hint="eastAsia"/>
          <w:sz w:val="24"/>
        </w:rPr>
        <w:t>（</w:t>
      </w:r>
      <w:r>
        <w:rPr>
          <w:sz w:val="24"/>
        </w:rPr>
        <w:t>2</w:t>
      </w:r>
      <w:r>
        <w:rPr>
          <w:rFonts w:hint="eastAsia"/>
          <w:sz w:val="24"/>
        </w:rPr>
        <w:t>）违反规定向他人贷款或者提供担保；</w:t>
      </w:r>
    </w:p>
    <w:p w:rsidR="00BF60A0" w:rsidRDefault="006E4EA0">
      <w:pPr>
        <w:adjustRightInd w:val="0"/>
        <w:snapToGrid w:val="0"/>
        <w:spacing w:line="360" w:lineRule="auto"/>
        <w:ind w:firstLineChars="200" w:firstLine="480"/>
        <w:rPr>
          <w:sz w:val="24"/>
        </w:rPr>
      </w:pPr>
      <w:r>
        <w:rPr>
          <w:rFonts w:hint="eastAsia"/>
          <w:sz w:val="24"/>
        </w:rPr>
        <w:t>（</w:t>
      </w:r>
      <w:r>
        <w:rPr>
          <w:sz w:val="24"/>
        </w:rPr>
        <w:t>3</w:t>
      </w:r>
      <w:r>
        <w:rPr>
          <w:rFonts w:hint="eastAsia"/>
          <w:sz w:val="24"/>
        </w:rPr>
        <w:t>）从事承担无限责任的投资；</w:t>
      </w:r>
    </w:p>
    <w:p w:rsidR="00BF60A0" w:rsidRDefault="006E4EA0">
      <w:pPr>
        <w:adjustRightInd w:val="0"/>
        <w:snapToGrid w:val="0"/>
        <w:spacing w:line="360" w:lineRule="auto"/>
        <w:ind w:firstLineChars="200" w:firstLine="480"/>
        <w:rPr>
          <w:sz w:val="24"/>
        </w:rPr>
      </w:pPr>
      <w:r>
        <w:rPr>
          <w:rFonts w:hint="eastAsia"/>
          <w:sz w:val="24"/>
        </w:rPr>
        <w:t>（</w:t>
      </w:r>
      <w:r>
        <w:rPr>
          <w:sz w:val="24"/>
        </w:rPr>
        <w:t>4</w:t>
      </w:r>
      <w:r>
        <w:rPr>
          <w:rFonts w:hint="eastAsia"/>
          <w:sz w:val="24"/>
        </w:rPr>
        <w:t>）买卖其他基金份额，但是</w:t>
      </w:r>
      <w:r>
        <w:rPr>
          <w:rFonts w:hAnsi="宋体" w:hint="eastAsia"/>
          <w:bCs/>
          <w:sz w:val="24"/>
        </w:rPr>
        <w:t>法律法规或</w:t>
      </w:r>
      <w:r>
        <w:rPr>
          <w:rFonts w:hint="eastAsia"/>
          <w:sz w:val="24"/>
        </w:rPr>
        <w:t>国务院另有规定的除外；</w:t>
      </w:r>
    </w:p>
    <w:p w:rsidR="00BF60A0" w:rsidRDefault="006E4EA0">
      <w:pPr>
        <w:adjustRightInd w:val="0"/>
        <w:snapToGrid w:val="0"/>
        <w:spacing w:line="360" w:lineRule="auto"/>
        <w:ind w:firstLineChars="200" w:firstLine="480"/>
        <w:rPr>
          <w:sz w:val="24"/>
        </w:rPr>
      </w:pPr>
      <w:r>
        <w:rPr>
          <w:rFonts w:hint="eastAsia"/>
          <w:sz w:val="24"/>
        </w:rPr>
        <w:t>（</w:t>
      </w:r>
      <w:r>
        <w:rPr>
          <w:sz w:val="24"/>
        </w:rPr>
        <w:t>5</w:t>
      </w:r>
      <w:r>
        <w:rPr>
          <w:rFonts w:hint="eastAsia"/>
          <w:sz w:val="24"/>
        </w:rPr>
        <w:t>）向其基金管理人、基金托管人出资；</w:t>
      </w:r>
    </w:p>
    <w:p w:rsidR="00BF60A0" w:rsidRDefault="006E4EA0">
      <w:pPr>
        <w:adjustRightInd w:val="0"/>
        <w:snapToGrid w:val="0"/>
        <w:spacing w:line="360" w:lineRule="auto"/>
        <w:ind w:firstLineChars="200" w:firstLine="480"/>
        <w:rPr>
          <w:sz w:val="24"/>
        </w:rPr>
      </w:pPr>
      <w:r>
        <w:rPr>
          <w:rFonts w:hint="eastAsia"/>
          <w:sz w:val="24"/>
        </w:rPr>
        <w:t>（</w:t>
      </w:r>
      <w:r>
        <w:rPr>
          <w:sz w:val="24"/>
        </w:rPr>
        <w:t>6</w:t>
      </w:r>
      <w:r>
        <w:rPr>
          <w:rFonts w:hint="eastAsia"/>
          <w:sz w:val="24"/>
        </w:rPr>
        <w:t>）从事内幕交易、操纵证券交易价格及其他不正当的证券交易活动；</w:t>
      </w:r>
    </w:p>
    <w:p w:rsidR="00BF60A0" w:rsidRDefault="006E4EA0">
      <w:pPr>
        <w:adjustRightInd w:val="0"/>
        <w:snapToGrid w:val="0"/>
        <w:spacing w:line="360" w:lineRule="auto"/>
        <w:ind w:firstLineChars="200" w:firstLine="480"/>
        <w:rPr>
          <w:sz w:val="24"/>
        </w:rPr>
      </w:pPr>
      <w:r>
        <w:rPr>
          <w:rFonts w:hint="eastAsia"/>
          <w:sz w:val="24"/>
        </w:rPr>
        <w:t>（</w:t>
      </w:r>
      <w:r>
        <w:rPr>
          <w:sz w:val="24"/>
        </w:rPr>
        <w:t>7</w:t>
      </w:r>
      <w:r>
        <w:rPr>
          <w:rFonts w:hint="eastAsia"/>
          <w:sz w:val="24"/>
        </w:rPr>
        <w:t>）依照法律、行政法规有关规定，由中国证监会规定禁止的其他活动。</w:t>
      </w:r>
    </w:p>
    <w:p w:rsidR="00BF60A0" w:rsidRDefault="006E4EA0">
      <w:pPr>
        <w:adjustRightInd w:val="0"/>
        <w:snapToGrid w:val="0"/>
        <w:spacing w:line="360" w:lineRule="auto"/>
        <w:ind w:firstLineChars="200" w:firstLine="480"/>
        <w:rPr>
          <w:sz w:val="24"/>
        </w:rPr>
      </w:pPr>
      <w:r>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F60A0" w:rsidRDefault="006E4EA0">
      <w:pPr>
        <w:adjustRightInd w:val="0"/>
        <w:snapToGrid w:val="0"/>
        <w:spacing w:line="360" w:lineRule="auto"/>
        <w:ind w:firstLineChars="200" w:firstLine="480"/>
        <w:rPr>
          <w:sz w:val="24"/>
        </w:rPr>
      </w:pPr>
      <w:r>
        <w:rPr>
          <w:rFonts w:hint="eastAsia"/>
          <w:sz w:val="24"/>
        </w:rPr>
        <w:t>法律法规或监管部门取消上述限制，如适用于本基金，则履行适当程序后本基</w:t>
      </w:r>
      <w:r>
        <w:rPr>
          <w:rFonts w:hint="eastAsia"/>
          <w:sz w:val="24"/>
        </w:rPr>
        <w:lastRenderedPageBreak/>
        <w:t>金投资不再受相关限制。</w:t>
      </w:r>
    </w:p>
    <w:p w:rsidR="00BF60A0" w:rsidRDefault="006E4EA0">
      <w:pPr>
        <w:spacing w:line="360" w:lineRule="auto"/>
        <w:ind w:firstLineChars="200" w:firstLine="480"/>
        <w:rPr>
          <w:bCs/>
          <w:sz w:val="24"/>
        </w:rPr>
      </w:pPr>
      <w:r>
        <w:rPr>
          <w:rFonts w:hint="eastAsia"/>
          <w:bCs/>
          <w:sz w:val="24"/>
        </w:rPr>
        <w:t>（五）业绩比较基准</w:t>
      </w:r>
    </w:p>
    <w:p w:rsidR="00BF60A0" w:rsidRDefault="006E4EA0">
      <w:pPr>
        <w:adjustRightInd w:val="0"/>
        <w:snapToGrid w:val="0"/>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10%+</w:t>
      </w:r>
      <w:r>
        <w:rPr>
          <w:rFonts w:hint="eastAsia"/>
          <w:bCs/>
          <w:sz w:val="24"/>
        </w:rPr>
        <w:t>恒生指数收益率×</w:t>
      </w:r>
      <w:r>
        <w:rPr>
          <w:rFonts w:hint="eastAsia"/>
          <w:bCs/>
          <w:sz w:val="24"/>
        </w:rPr>
        <w:t>5%+</w:t>
      </w:r>
      <w:r>
        <w:rPr>
          <w:rFonts w:hint="eastAsia"/>
          <w:bCs/>
          <w:sz w:val="24"/>
        </w:rPr>
        <w:t>中证综合债券指数收益率×</w:t>
      </w:r>
      <w:r>
        <w:rPr>
          <w:rFonts w:hint="eastAsia"/>
          <w:bCs/>
          <w:sz w:val="24"/>
        </w:rPr>
        <w:t>85%</w:t>
      </w:r>
    </w:p>
    <w:p w:rsidR="00BF60A0" w:rsidRDefault="006E4EA0">
      <w:pPr>
        <w:adjustRightInd w:val="0"/>
        <w:snapToGrid w:val="0"/>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rsidR="00BF60A0" w:rsidRDefault="006E4EA0">
      <w:pPr>
        <w:adjustRightInd w:val="0"/>
        <w:snapToGrid w:val="0"/>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家上市股票为成份股样本，以其发行量为权数的加权平均股价指数，是反映香港股市价幅趋势最有影响的一种股价指数。</w:t>
      </w:r>
    </w:p>
    <w:p w:rsidR="00BF60A0" w:rsidRDefault="006E4EA0">
      <w:pPr>
        <w:adjustRightInd w:val="0"/>
        <w:snapToGrid w:val="0"/>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BF60A0" w:rsidRDefault="006E4EA0">
      <w:pPr>
        <w:adjustRightInd w:val="0"/>
        <w:snapToGrid w:val="0"/>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BF60A0" w:rsidRDefault="006E4EA0">
      <w:pPr>
        <w:adjustRightInd w:val="0"/>
        <w:snapToGrid w:val="0"/>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六、</w:t>
      </w:r>
      <w:r>
        <w:rPr>
          <w:rFonts w:cs="Arial Unicode MS" w:hint="eastAsia"/>
          <w:bCs/>
          <w:sz w:val="24"/>
          <w:szCs w:val="20"/>
        </w:rPr>
        <w:t>基金资产净值的计算方法和公告方式</w:t>
      </w:r>
    </w:p>
    <w:p w:rsidR="00BF60A0" w:rsidRDefault="006E4EA0">
      <w:pPr>
        <w:adjustRightInd w:val="0"/>
        <w:snapToGrid w:val="0"/>
        <w:spacing w:line="360" w:lineRule="auto"/>
        <w:ind w:firstLineChars="200" w:firstLine="480"/>
        <w:rPr>
          <w:bCs/>
          <w:sz w:val="24"/>
        </w:rPr>
      </w:pPr>
      <w:r>
        <w:rPr>
          <w:rFonts w:hint="eastAsia"/>
          <w:bCs/>
          <w:sz w:val="24"/>
        </w:rPr>
        <w:t>（一）估值方法</w:t>
      </w:r>
    </w:p>
    <w:p w:rsidR="00BF60A0" w:rsidRDefault="006E4EA0">
      <w:pPr>
        <w:adjustRightInd w:val="0"/>
        <w:snapToGrid w:val="0"/>
        <w:spacing w:line="360" w:lineRule="auto"/>
        <w:ind w:firstLineChars="200" w:firstLine="480"/>
        <w:rPr>
          <w:bCs/>
          <w:sz w:val="24"/>
        </w:rPr>
      </w:pPr>
      <w:r>
        <w:rPr>
          <w:bCs/>
          <w:sz w:val="24"/>
        </w:rPr>
        <w:t>1</w:t>
      </w:r>
      <w:r>
        <w:rPr>
          <w:bCs/>
          <w:sz w:val="24"/>
        </w:rPr>
        <w:t>、证券交易所上市的有价证券的估值</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）交易所上市的有价证券，以其估值日在证券交易所挂牌的市价（收盘价）估值；估值日无交易的，且最近交易日后经济环境未发生重大变化</w:t>
      </w:r>
      <w:r>
        <w:rPr>
          <w:rFonts w:hint="eastAsia"/>
          <w:bCs/>
          <w:sz w:val="24"/>
        </w:rPr>
        <w:t>或证券发行机构</w:t>
      </w:r>
      <w:r>
        <w:rPr>
          <w:rFonts w:hint="eastAsia"/>
          <w:bCs/>
          <w:sz w:val="24"/>
        </w:rPr>
        <w:lastRenderedPageBreak/>
        <w:t>未发生影响证券价格的重大事件的</w:t>
      </w:r>
      <w:r>
        <w:rPr>
          <w:bCs/>
          <w:sz w:val="24"/>
        </w:rPr>
        <w:t>，以最近交易日的市价（收盘价）估值；如最近交易日后经济环境发生了重大变化</w:t>
      </w:r>
      <w:r>
        <w:rPr>
          <w:rFonts w:hint="eastAsia"/>
          <w:bCs/>
          <w:sz w:val="24"/>
        </w:rPr>
        <w:t>或证券发行机构发生影响证券价格的重大事件</w:t>
      </w:r>
      <w:r>
        <w:rPr>
          <w:bCs/>
          <w:sz w:val="24"/>
        </w:rPr>
        <w:t>的，可参考类似投资品种的现行市价及重大变化因素，调整最近交易市价，确定公允价格</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w:t>
      </w:r>
      <w:r>
        <w:rPr>
          <w:rFonts w:hint="eastAsia"/>
          <w:bCs/>
          <w:sz w:val="24"/>
        </w:rPr>
        <w:t>交易所上市交易或挂牌转让的固定收益品种（另有规定的除外），选取估值日第三方估值机构提供的相应品种当日的估值净价进行估值；</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BF60A0" w:rsidRDefault="006E4EA0">
      <w:pPr>
        <w:adjustRightInd w:val="0"/>
        <w:snapToGrid w:val="0"/>
        <w:spacing w:line="360" w:lineRule="auto"/>
        <w:ind w:firstLineChars="200" w:firstLine="480"/>
        <w:rPr>
          <w:bCs/>
          <w:sz w:val="24"/>
        </w:rPr>
      </w:pPr>
      <w:r>
        <w:rPr>
          <w:bCs/>
          <w:sz w:val="24"/>
        </w:rPr>
        <w:t>2</w:t>
      </w:r>
      <w:r>
        <w:rPr>
          <w:bCs/>
          <w:sz w:val="24"/>
        </w:rPr>
        <w:t>、处于未上市期间的有价证券应区分如下情况处理：</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w:t>
      </w:r>
      <w:r>
        <w:rPr>
          <w:rFonts w:hint="eastAsia"/>
          <w:bCs/>
          <w:sz w:val="24"/>
        </w:rPr>
        <w:t>；该日无交易的，以最近一日的市价（收盘价）估值；</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rsidR="00BF60A0" w:rsidRDefault="006E4EA0">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BF60A0" w:rsidRDefault="006E4EA0">
      <w:pPr>
        <w:adjustRightInd w:val="0"/>
        <w:snapToGrid w:val="0"/>
        <w:spacing w:line="360" w:lineRule="auto"/>
        <w:ind w:firstLineChars="200" w:firstLine="480"/>
        <w:rPr>
          <w:bCs/>
          <w:sz w:val="24"/>
        </w:rPr>
      </w:pPr>
      <w:r>
        <w:rPr>
          <w:rFonts w:hint="eastAsia"/>
          <w:bCs/>
          <w:sz w:val="24"/>
        </w:rPr>
        <w:lastRenderedPageBreak/>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rsidR="00BF60A0" w:rsidRDefault="006E4EA0">
      <w:pPr>
        <w:adjustRightInd w:val="0"/>
        <w:snapToGrid w:val="0"/>
        <w:spacing w:line="360" w:lineRule="auto"/>
        <w:ind w:firstLineChars="200" w:firstLine="480"/>
        <w:rPr>
          <w:bCs/>
          <w:sz w:val="24"/>
        </w:rPr>
      </w:pPr>
      <w:r>
        <w:rPr>
          <w:bCs/>
          <w:sz w:val="24"/>
        </w:rPr>
        <w:t>5</w:t>
      </w:r>
      <w:r>
        <w:rPr>
          <w:rFonts w:hint="eastAsia"/>
          <w:bCs/>
          <w:sz w:val="24"/>
        </w:rPr>
        <w:t>、估值计算中涉及港币对人民币汇率的，将依据下列信息提供机构所提供的汇率为基准：当日中国人民银行或其授权机构当日公布的人民币与港币的中间价。</w:t>
      </w:r>
    </w:p>
    <w:p w:rsidR="00BF60A0" w:rsidRDefault="006E4EA0">
      <w:pPr>
        <w:adjustRightInd w:val="0"/>
        <w:snapToGrid w:val="0"/>
        <w:spacing w:line="360" w:lineRule="auto"/>
        <w:ind w:firstLineChars="200" w:firstLine="480"/>
        <w:rPr>
          <w:bCs/>
          <w:sz w:val="24"/>
        </w:rPr>
      </w:pPr>
      <w:r>
        <w:rPr>
          <w:bCs/>
          <w:sz w:val="24"/>
        </w:rPr>
        <w:t>6</w:t>
      </w:r>
      <w:r>
        <w:rPr>
          <w:rFonts w:hint="eastAsia"/>
          <w:bCs/>
          <w:sz w:val="24"/>
        </w:rPr>
        <w:t>、对于因税收规定调整或其他原因导致产品实际交纳税金与估算的应交税金有差异的，产品将在相关税金调整日或实际支付日进行相应的会计处理。</w:t>
      </w:r>
    </w:p>
    <w:p w:rsidR="00BF60A0" w:rsidRDefault="006E4EA0">
      <w:pPr>
        <w:adjustRightInd w:val="0"/>
        <w:snapToGrid w:val="0"/>
        <w:spacing w:line="360" w:lineRule="auto"/>
        <w:ind w:firstLineChars="200" w:firstLine="480"/>
        <w:rPr>
          <w:bCs/>
          <w:sz w:val="24"/>
        </w:rPr>
      </w:pPr>
      <w:r>
        <w:rPr>
          <w:bCs/>
          <w:sz w:val="24"/>
        </w:rPr>
        <w:t>7</w:t>
      </w:r>
      <w:r>
        <w:rPr>
          <w:rFonts w:hint="eastAsia"/>
          <w:bCs/>
          <w:sz w:val="24"/>
        </w:rPr>
        <w:t>、本基金投资存托凭证的估值核算依照境内上市交易的股票执行。</w:t>
      </w:r>
    </w:p>
    <w:p w:rsidR="00BF60A0" w:rsidRDefault="006E4EA0">
      <w:pPr>
        <w:adjustRightInd w:val="0"/>
        <w:snapToGrid w:val="0"/>
        <w:spacing w:line="360" w:lineRule="auto"/>
        <w:ind w:firstLineChars="200" w:firstLine="480"/>
        <w:rPr>
          <w:rFonts w:ascii="宋体" w:hAnsi="宋体"/>
          <w:bCs/>
          <w:sz w:val="24"/>
        </w:rPr>
      </w:pPr>
      <w:r>
        <w:rPr>
          <w:bCs/>
          <w:sz w:val="24"/>
        </w:rPr>
        <w:t>8</w:t>
      </w:r>
      <w:r>
        <w:rPr>
          <w:rFonts w:hint="eastAsia"/>
          <w:bCs/>
          <w:sz w:val="24"/>
        </w:rPr>
        <w:t>、</w:t>
      </w:r>
      <w:r>
        <w:rPr>
          <w:bCs/>
          <w:sz w:val="24"/>
        </w:rPr>
        <w:t>如有确凿证据表明按上述方法进行估值不能客观反映其公允价值的，基金管</w:t>
      </w:r>
      <w:r>
        <w:rPr>
          <w:rFonts w:ascii="宋体" w:hAnsi="宋体"/>
          <w:bCs/>
          <w:sz w:val="24"/>
        </w:rPr>
        <w:t>理人可根据具体情况与基金托管人商定后，按最能反映公允价值的价格估值。</w:t>
      </w:r>
    </w:p>
    <w:p w:rsidR="00BF60A0" w:rsidRDefault="006E4EA0">
      <w:pPr>
        <w:adjustRightInd w:val="0"/>
        <w:snapToGrid w:val="0"/>
        <w:spacing w:line="360" w:lineRule="auto"/>
        <w:ind w:firstLineChars="200" w:firstLine="480"/>
        <w:rPr>
          <w:bCs/>
          <w:sz w:val="24"/>
        </w:rPr>
      </w:pPr>
      <w:r>
        <w:rPr>
          <w:bCs/>
          <w:sz w:val="24"/>
        </w:rPr>
        <w:t>9</w:t>
      </w:r>
      <w:r>
        <w:rPr>
          <w:rFonts w:hint="eastAsia"/>
          <w:bCs/>
          <w:sz w:val="24"/>
        </w:rPr>
        <w:t>、当发生大额申购或赎回情形时，基金管理人可以采用摆动定价机制，以确保基金估值的公平性。</w:t>
      </w:r>
    </w:p>
    <w:p w:rsidR="00BF60A0" w:rsidRDefault="006E4EA0">
      <w:pPr>
        <w:adjustRightInd w:val="0"/>
        <w:snapToGrid w:val="0"/>
        <w:spacing w:line="360" w:lineRule="auto"/>
        <w:ind w:firstLineChars="200" w:firstLine="480"/>
        <w:rPr>
          <w:rFonts w:ascii="宋体" w:hAnsi="宋体"/>
          <w:bCs/>
          <w:sz w:val="24"/>
        </w:rPr>
      </w:pPr>
      <w:r>
        <w:rPr>
          <w:bCs/>
          <w:sz w:val="24"/>
        </w:rPr>
        <w:t>10</w:t>
      </w:r>
      <w:r>
        <w:rPr>
          <w:rFonts w:hint="eastAsia"/>
          <w:bCs/>
          <w:sz w:val="24"/>
        </w:rPr>
        <w:t>、</w:t>
      </w:r>
      <w:r>
        <w:rPr>
          <w:rFonts w:ascii="宋体" w:hAnsi="宋体"/>
          <w:bCs/>
          <w:sz w:val="24"/>
        </w:rPr>
        <w:t>相关法律法规以及监管部门有强制规定的，从其规定。如有新增事项，按国家最新规定估值。</w:t>
      </w:r>
    </w:p>
    <w:p w:rsidR="00BF60A0" w:rsidRDefault="006E4EA0">
      <w:pPr>
        <w:adjustRightInd w:val="0"/>
        <w:snapToGrid w:val="0"/>
        <w:spacing w:line="360" w:lineRule="auto"/>
        <w:ind w:firstLineChars="200" w:firstLine="480"/>
        <w:rPr>
          <w:rStyle w:val="read"/>
          <w:rFonts w:ascii="宋体" w:hAnsi="宋体"/>
          <w:bCs/>
          <w:sz w:val="24"/>
        </w:rPr>
      </w:pPr>
      <w:r>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F60A0" w:rsidRDefault="006E4EA0">
      <w:pPr>
        <w:adjustRightInd w:val="0"/>
        <w:snapToGrid w:val="0"/>
        <w:spacing w:line="360" w:lineRule="auto"/>
        <w:ind w:firstLineChars="200" w:firstLine="480"/>
        <w:rPr>
          <w:bCs/>
          <w:sz w:val="24"/>
        </w:rPr>
      </w:pPr>
      <w:r>
        <w:rPr>
          <w:rFonts w:ascii="宋体" w:hAnsi="宋体"/>
          <w:bCs/>
          <w:sz w:val="24"/>
        </w:rPr>
        <w:t>根据有关法律法</w:t>
      </w:r>
      <w:r>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rsidR="00BF60A0" w:rsidRDefault="006E4EA0">
      <w:pPr>
        <w:adjustRightInd w:val="0"/>
        <w:snapToGrid w:val="0"/>
        <w:spacing w:line="360" w:lineRule="auto"/>
        <w:ind w:firstLineChars="200" w:firstLine="480"/>
        <w:rPr>
          <w:bCs/>
          <w:sz w:val="24"/>
        </w:rPr>
      </w:pPr>
      <w:r>
        <w:rPr>
          <w:rFonts w:hint="eastAsia"/>
          <w:bCs/>
          <w:sz w:val="24"/>
        </w:rPr>
        <w:t>（二）</w:t>
      </w:r>
      <w:r>
        <w:rPr>
          <w:bCs/>
          <w:sz w:val="24"/>
        </w:rPr>
        <w:t>估值程序</w:t>
      </w:r>
    </w:p>
    <w:p w:rsidR="00BF60A0" w:rsidRDefault="006E4EA0">
      <w:pPr>
        <w:adjustRightInd w:val="0"/>
        <w:snapToGrid w:val="0"/>
        <w:spacing w:line="360" w:lineRule="auto"/>
        <w:ind w:firstLineChars="200" w:firstLine="480"/>
        <w:rPr>
          <w:bCs/>
          <w:sz w:val="24"/>
        </w:rPr>
      </w:pPr>
      <w:r>
        <w:rPr>
          <w:bCs/>
          <w:sz w:val="24"/>
        </w:rPr>
        <w:t>1</w:t>
      </w:r>
      <w:r>
        <w:rPr>
          <w:bCs/>
          <w:sz w:val="24"/>
        </w:rPr>
        <w:t>、</w:t>
      </w:r>
      <w:r>
        <w:rPr>
          <w:rFonts w:ascii="宋体" w:hAnsi="宋体" w:hint="eastAsia"/>
          <w:bCs/>
          <w:sz w:val="24"/>
        </w:rPr>
        <w:t>各类基金份额的</w:t>
      </w:r>
      <w:r>
        <w:rPr>
          <w:bCs/>
          <w:sz w:val="24"/>
        </w:rPr>
        <w:t>基金份额净值是按照每个工作日闭市后，</w:t>
      </w:r>
      <w:r>
        <w:rPr>
          <w:rFonts w:ascii="宋体" w:hAnsi="宋体" w:hint="eastAsia"/>
          <w:bCs/>
          <w:sz w:val="24"/>
        </w:rPr>
        <w:t>该类基金份额的</w:t>
      </w:r>
      <w:r>
        <w:rPr>
          <w:bCs/>
          <w:sz w:val="24"/>
        </w:rPr>
        <w:t>基金资产净值除以当日</w:t>
      </w:r>
      <w:r>
        <w:rPr>
          <w:rFonts w:ascii="宋体" w:hAnsi="宋体" w:hint="eastAsia"/>
          <w:bCs/>
          <w:sz w:val="24"/>
        </w:rPr>
        <w:t>该类</w:t>
      </w:r>
      <w:r>
        <w:rPr>
          <w:bCs/>
          <w:sz w:val="24"/>
        </w:rPr>
        <w:t>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w:t>
      </w:r>
      <w:r>
        <w:rPr>
          <w:rFonts w:hint="eastAsia"/>
          <w:bCs/>
          <w:sz w:val="24"/>
        </w:rPr>
        <w:t>基金管理人可以设立大额赎回情形下的净值精度应急调整机</w:t>
      </w:r>
      <w:r>
        <w:rPr>
          <w:rFonts w:hint="eastAsia"/>
          <w:bCs/>
          <w:sz w:val="24"/>
        </w:rPr>
        <w:lastRenderedPageBreak/>
        <w:t>制，具体可参见相关公告。</w:t>
      </w:r>
      <w:r>
        <w:rPr>
          <w:bCs/>
          <w:sz w:val="24"/>
        </w:rPr>
        <w:t>国家另有规定的，从其规定。</w:t>
      </w:r>
    </w:p>
    <w:p w:rsidR="00BF60A0" w:rsidRDefault="006E4EA0">
      <w:pPr>
        <w:adjustRightInd w:val="0"/>
        <w:snapToGrid w:val="0"/>
        <w:spacing w:line="360" w:lineRule="auto"/>
        <w:ind w:firstLineChars="200" w:firstLine="480"/>
        <w:rPr>
          <w:bCs/>
          <w:sz w:val="24"/>
        </w:rPr>
      </w:pPr>
      <w:r>
        <w:rPr>
          <w:rFonts w:hint="eastAsia"/>
          <w:bCs/>
          <w:sz w:val="24"/>
        </w:rPr>
        <w:t>基金管理人于</w:t>
      </w:r>
      <w:r>
        <w:rPr>
          <w:bCs/>
          <w:sz w:val="24"/>
        </w:rPr>
        <w:t>每个</w:t>
      </w:r>
      <w:r>
        <w:rPr>
          <w:rFonts w:hint="eastAsia"/>
          <w:bCs/>
          <w:sz w:val="24"/>
        </w:rPr>
        <w:t>工作日</w:t>
      </w:r>
      <w:r>
        <w:rPr>
          <w:bCs/>
          <w:sz w:val="24"/>
        </w:rPr>
        <w:t>计算</w:t>
      </w:r>
      <w:r>
        <w:rPr>
          <w:rFonts w:ascii="宋体" w:hAnsi="宋体" w:hint="eastAsia"/>
          <w:bCs/>
          <w:sz w:val="24"/>
        </w:rPr>
        <w:t>各类基金份额的</w:t>
      </w:r>
      <w:r>
        <w:rPr>
          <w:bCs/>
          <w:sz w:val="24"/>
        </w:rPr>
        <w:t>基金资产净值及基金份额净值，并按规定公告。</w:t>
      </w:r>
      <w:r>
        <w:rPr>
          <w:rFonts w:hint="eastAsia"/>
          <w:bCs/>
          <w:sz w:val="24"/>
        </w:rPr>
        <w:t>如遇特殊情况，经履行适当程序，可以适当延迟计算或公告。</w:t>
      </w:r>
    </w:p>
    <w:p w:rsidR="00BF60A0" w:rsidRDefault="006E4EA0">
      <w:pPr>
        <w:adjustRightInd w:val="0"/>
        <w:snapToGrid w:val="0"/>
        <w:spacing w:line="360" w:lineRule="auto"/>
        <w:ind w:firstLineChars="200" w:firstLine="480"/>
        <w:rPr>
          <w:bCs/>
          <w:sz w:val="24"/>
        </w:rPr>
      </w:pPr>
      <w:r>
        <w:rPr>
          <w:bCs/>
          <w:sz w:val="24"/>
        </w:rPr>
        <w:t>2</w:t>
      </w:r>
      <w:r>
        <w:rPr>
          <w:bCs/>
          <w:sz w:val="24"/>
        </w:rPr>
        <w:t>、基金管理人应每个</w:t>
      </w:r>
      <w:r>
        <w:rPr>
          <w:rFonts w:hint="eastAsia"/>
          <w:bCs/>
          <w:sz w:val="24"/>
        </w:rPr>
        <w:t>工作日</w:t>
      </w:r>
      <w:r>
        <w:rPr>
          <w:bCs/>
          <w:sz w:val="24"/>
        </w:rPr>
        <w:t>对基金资产估值</w:t>
      </w:r>
      <w:r>
        <w:rPr>
          <w:rFonts w:hint="eastAsia"/>
          <w:bCs/>
          <w:sz w:val="24"/>
        </w:rPr>
        <w:t>，</w:t>
      </w:r>
      <w:r>
        <w:rPr>
          <w:bCs/>
          <w:sz w:val="24"/>
        </w:rPr>
        <w:t>但基金管理人根据法律法规或本基金合同的规定暂停估值时除外。基金管理人每个</w:t>
      </w:r>
      <w:r>
        <w:rPr>
          <w:rFonts w:hint="eastAsia"/>
          <w:bCs/>
          <w:sz w:val="24"/>
        </w:rPr>
        <w:t>工作日</w:t>
      </w:r>
      <w:r>
        <w:rPr>
          <w:bCs/>
          <w:sz w:val="24"/>
        </w:rPr>
        <w:t>对基金资产估值后，将</w:t>
      </w:r>
      <w:r>
        <w:rPr>
          <w:rFonts w:ascii="宋体" w:hAnsi="宋体"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rsidR="00BF60A0" w:rsidRDefault="006E4EA0">
      <w:pPr>
        <w:adjustRightInd w:val="0"/>
        <w:snapToGrid w:val="0"/>
        <w:spacing w:line="360" w:lineRule="auto"/>
        <w:ind w:firstLineChars="200" w:firstLine="480"/>
        <w:rPr>
          <w:bCs/>
          <w:sz w:val="24"/>
        </w:rPr>
      </w:pPr>
      <w:r>
        <w:rPr>
          <w:rFonts w:hint="eastAsia"/>
          <w:bCs/>
          <w:sz w:val="24"/>
        </w:rPr>
        <w:t>（三）</w:t>
      </w:r>
      <w:r>
        <w:rPr>
          <w:bCs/>
          <w:sz w:val="24"/>
        </w:rPr>
        <w:t>暂停估值的情形</w:t>
      </w:r>
    </w:p>
    <w:p w:rsidR="00BF60A0" w:rsidRDefault="006E4EA0">
      <w:pPr>
        <w:adjustRightInd w:val="0"/>
        <w:snapToGrid w:val="0"/>
        <w:spacing w:line="360" w:lineRule="auto"/>
        <w:ind w:firstLineChars="200" w:firstLine="480"/>
        <w:rPr>
          <w:bCs/>
          <w:sz w:val="24"/>
        </w:rPr>
      </w:pPr>
      <w:r>
        <w:rPr>
          <w:bCs/>
          <w:sz w:val="24"/>
        </w:rPr>
        <w:t>1</w:t>
      </w:r>
      <w:r>
        <w:rPr>
          <w:bCs/>
          <w:sz w:val="24"/>
        </w:rPr>
        <w:t>、基金投资所涉及的证券交易市场遇法定节假日或因其他原因暂停</w:t>
      </w:r>
      <w:r>
        <w:rPr>
          <w:rFonts w:hint="eastAsia"/>
          <w:bCs/>
          <w:sz w:val="24"/>
        </w:rPr>
        <w:t>交易</w:t>
      </w:r>
      <w:r>
        <w:rPr>
          <w:bCs/>
          <w:sz w:val="24"/>
        </w:rPr>
        <w:t>时；</w:t>
      </w:r>
    </w:p>
    <w:p w:rsidR="00BF60A0" w:rsidRDefault="006E4EA0">
      <w:pPr>
        <w:adjustRightInd w:val="0"/>
        <w:snapToGrid w:val="0"/>
        <w:spacing w:line="360" w:lineRule="auto"/>
        <w:ind w:firstLineChars="200" w:firstLine="480"/>
        <w:rPr>
          <w:bCs/>
          <w:sz w:val="24"/>
        </w:rPr>
      </w:pPr>
      <w:r>
        <w:rPr>
          <w:bCs/>
          <w:sz w:val="24"/>
        </w:rPr>
        <w:t>2</w:t>
      </w:r>
      <w:r>
        <w:rPr>
          <w:bCs/>
          <w:sz w:val="24"/>
        </w:rPr>
        <w:t>、因不可抗力</w:t>
      </w:r>
      <w:r>
        <w:rPr>
          <w:rFonts w:hint="eastAsia"/>
          <w:bCs/>
          <w:sz w:val="24"/>
        </w:rPr>
        <w:t>或其他情形</w:t>
      </w:r>
      <w:r>
        <w:rPr>
          <w:bCs/>
          <w:sz w:val="24"/>
        </w:rPr>
        <w:t>致使基金管理人、基金托管人无法准确评估基金资产价值时；</w:t>
      </w:r>
    </w:p>
    <w:p w:rsidR="00BF60A0" w:rsidRDefault="006E4EA0">
      <w:pPr>
        <w:adjustRightInd w:val="0"/>
        <w:snapToGrid w:val="0"/>
        <w:spacing w:line="360" w:lineRule="auto"/>
        <w:ind w:firstLineChars="200" w:firstLine="480"/>
        <w:rPr>
          <w:bCs/>
          <w:sz w:val="24"/>
        </w:rPr>
      </w:pPr>
      <w:r>
        <w:rPr>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BF60A0" w:rsidRDefault="006E4EA0">
      <w:pPr>
        <w:adjustRightInd w:val="0"/>
        <w:snapToGrid w:val="0"/>
        <w:spacing w:line="360" w:lineRule="auto"/>
        <w:ind w:firstLineChars="200" w:firstLine="480"/>
        <w:rPr>
          <w:bCs/>
          <w:sz w:val="24"/>
        </w:rPr>
      </w:pPr>
      <w:r>
        <w:rPr>
          <w:bCs/>
          <w:sz w:val="24"/>
        </w:rPr>
        <w:t>4</w:t>
      </w:r>
      <w:r>
        <w:rPr>
          <w:rFonts w:hint="eastAsia"/>
          <w:bCs/>
          <w:sz w:val="24"/>
        </w:rPr>
        <w:t>、法律法规、</w:t>
      </w:r>
      <w:r>
        <w:rPr>
          <w:bCs/>
          <w:sz w:val="24"/>
        </w:rPr>
        <w:t>中国证监会和基金合同认定的其它情形。</w:t>
      </w:r>
    </w:p>
    <w:p w:rsidR="00BF60A0" w:rsidRDefault="006E4EA0">
      <w:pPr>
        <w:adjustRightInd w:val="0"/>
        <w:snapToGrid w:val="0"/>
        <w:spacing w:line="360" w:lineRule="auto"/>
        <w:ind w:firstLineChars="200" w:firstLine="480"/>
        <w:rPr>
          <w:bCs/>
          <w:sz w:val="24"/>
        </w:rPr>
      </w:pPr>
      <w:r>
        <w:rPr>
          <w:rFonts w:hint="eastAsia"/>
          <w:bCs/>
          <w:sz w:val="24"/>
        </w:rPr>
        <w:t>（四）基金净值信息的公告方式</w:t>
      </w:r>
    </w:p>
    <w:p w:rsidR="00BF60A0" w:rsidRDefault="006E4EA0">
      <w:pPr>
        <w:adjustRightInd w:val="0"/>
        <w:snapToGrid w:val="0"/>
        <w:spacing w:line="360" w:lineRule="auto"/>
        <w:ind w:firstLineChars="200" w:firstLine="480"/>
        <w:rPr>
          <w:bCs/>
          <w:sz w:val="24"/>
        </w:rPr>
      </w:pPr>
      <w:r>
        <w:rPr>
          <w:rFonts w:hint="eastAsia"/>
          <w:bCs/>
          <w:sz w:val="24"/>
        </w:rPr>
        <w:t>《基金合同》生效后，在开始办理基金份额申购或者赎回前，基金管理人应当至少每周在规定网站</w:t>
      </w:r>
      <w:r>
        <w:rPr>
          <w:rFonts w:ascii="宋体" w:hAnsi="宋体" w:hint="eastAsia"/>
          <w:bCs/>
          <w:sz w:val="24"/>
        </w:rPr>
        <w:t>分别</w:t>
      </w:r>
      <w:r>
        <w:rPr>
          <w:rFonts w:hint="eastAsia"/>
          <w:bCs/>
          <w:sz w:val="24"/>
        </w:rPr>
        <w:t>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BF60A0" w:rsidRDefault="006E4EA0">
      <w:pPr>
        <w:adjustRightInd w:val="0"/>
        <w:snapToGrid w:val="0"/>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w:t>
      </w:r>
      <w:r>
        <w:rPr>
          <w:rFonts w:ascii="宋体" w:hAnsi="宋体" w:hint="eastAsia"/>
          <w:bCs/>
          <w:sz w:val="24"/>
        </w:rPr>
        <w:t>分别</w:t>
      </w:r>
      <w:r>
        <w:rPr>
          <w:rFonts w:hint="eastAsia"/>
          <w:bCs/>
          <w:sz w:val="24"/>
        </w:rPr>
        <w:t>披露开放日各类基金份额所对应的基金份额净值和基金份额累计净值。</w:t>
      </w:r>
    </w:p>
    <w:p w:rsidR="00BF60A0" w:rsidRDefault="006E4EA0">
      <w:pPr>
        <w:adjustRightInd w:val="0"/>
        <w:snapToGrid w:val="0"/>
        <w:spacing w:line="360" w:lineRule="auto"/>
        <w:ind w:firstLineChars="200" w:firstLine="480"/>
        <w:rPr>
          <w:bCs/>
          <w:sz w:val="24"/>
        </w:rPr>
      </w:pPr>
      <w:r>
        <w:rPr>
          <w:rFonts w:hint="eastAsia"/>
          <w:bCs/>
          <w:sz w:val="24"/>
        </w:rPr>
        <w:t>基金管理人应当在不晚于半年度和年度最后一日的次日，在规定网站披露半年度和年度最后一日各类基金份额所对应的基金份额净值和基金份额累计净值。</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七、</w:t>
      </w:r>
      <w:r>
        <w:rPr>
          <w:rFonts w:cs="Arial Unicode MS"/>
          <w:bCs/>
          <w:sz w:val="24"/>
          <w:szCs w:val="20"/>
        </w:rPr>
        <w:t>基金合同解除和终止的事由、程序以及基金财产清算方式</w:t>
      </w:r>
    </w:p>
    <w:p w:rsidR="00BF60A0" w:rsidRDefault="006E4EA0">
      <w:pPr>
        <w:adjustRightInd w:val="0"/>
        <w:snapToGrid w:val="0"/>
        <w:spacing w:line="360" w:lineRule="auto"/>
        <w:ind w:firstLineChars="200" w:firstLine="480"/>
        <w:rPr>
          <w:bCs/>
          <w:sz w:val="24"/>
        </w:rPr>
      </w:pPr>
      <w:r>
        <w:rPr>
          <w:rFonts w:hint="eastAsia"/>
          <w:bCs/>
          <w:sz w:val="24"/>
        </w:rPr>
        <w:t>（一）</w:t>
      </w:r>
      <w:r>
        <w:rPr>
          <w:bCs/>
          <w:sz w:val="24"/>
        </w:rPr>
        <w:t>基金合同的终止事由</w:t>
      </w:r>
    </w:p>
    <w:p w:rsidR="00BF60A0" w:rsidRDefault="006E4EA0">
      <w:pPr>
        <w:adjustRightInd w:val="0"/>
        <w:snapToGrid w:val="0"/>
        <w:spacing w:line="360" w:lineRule="auto"/>
        <w:ind w:firstLineChars="200" w:firstLine="480"/>
        <w:rPr>
          <w:bCs/>
          <w:sz w:val="24"/>
        </w:rPr>
      </w:pPr>
      <w:r>
        <w:rPr>
          <w:bCs/>
          <w:sz w:val="24"/>
        </w:rPr>
        <w:t>有下列情形之一的，基金合同应当终止：</w:t>
      </w:r>
    </w:p>
    <w:p w:rsidR="00BF60A0" w:rsidRDefault="006E4EA0">
      <w:pPr>
        <w:adjustRightInd w:val="0"/>
        <w:snapToGrid w:val="0"/>
        <w:spacing w:line="360" w:lineRule="auto"/>
        <w:ind w:firstLineChars="200" w:firstLine="480"/>
        <w:rPr>
          <w:bCs/>
          <w:sz w:val="24"/>
        </w:rPr>
      </w:pPr>
      <w:r>
        <w:rPr>
          <w:bCs/>
          <w:sz w:val="24"/>
        </w:rPr>
        <w:t>1</w:t>
      </w:r>
      <w:r>
        <w:rPr>
          <w:bCs/>
          <w:sz w:val="24"/>
        </w:rPr>
        <w:t>、基金份额持有人大会决定终止的；</w:t>
      </w:r>
    </w:p>
    <w:p w:rsidR="00BF60A0" w:rsidRDefault="006E4EA0">
      <w:pPr>
        <w:adjustRightInd w:val="0"/>
        <w:snapToGrid w:val="0"/>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BF60A0" w:rsidRDefault="006E4EA0">
      <w:pPr>
        <w:adjustRightInd w:val="0"/>
        <w:snapToGrid w:val="0"/>
        <w:spacing w:line="360" w:lineRule="auto"/>
        <w:ind w:firstLineChars="200" w:firstLine="480"/>
        <w:rPr>
          <w:bCs/>
          <w:sz w:val="24"/>
        </w:rPr>
      </w:pPr>
      <w:r>
        <w:rPr>
          <w:bCs/>
          <w:sz w:val="24"/>
        </w:rPr>
        <w:lastRenderedPageBreak/>
        <w:t>3</w:t>
      </w:r>
      <w:r>
        <w:rPr>
          <w:bCs/>
          <w:sz w:val="24"/>
        </w:rPr>
        <w:t>、</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rsidR="00BF60A0" w:rsidRDefault="006E4EA0">
      <w:pPr>
        <w:adjustRightInd w:val="0"/>
        <w:snapToGrid w:val="0"/>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rsidR="00BF60A0" w:rsidRDefault="006E4EA0">
      <w:pPr>
        <w:adjustRightInd w:val="0"/>
        <w:snapToGrid w:val="0"/>
        <w:spacing w:line="360" w:lineRule="auto"/>
        <w:ind w:firstLineChars="200" w:firstLine="480"/>
        <w:rPr>
          <w:bCs/>
          <w:sz w:val="24"/>
        </w:rPr>
      </w:pPr>
      <w:r>
        <w:rPr>
          <w:bCs/>
          <w:sz w:val="24"/>
        </w:rPr>
        <w:t>5</w:t>
      </w:r>
      <w:r>
        <w:rPr>
          <w:bCs/>
          <w:sz w:val="24"/>
        </w:rPr>
        <w:t>、相关法律法规和中国证监会规定的其他情况。</w:t>
      </w:r>
    </w:p>
    <w:p w:rsidR="00BF60A0" w:rsidRDefault="006E4EA0">
      <w:pPr>
        <w:adjustRightInd w:val="0"/>
        <w:snapToGrid w:val="0"/>
        <w:spacing w:line="360" w:lineRule="auto"/>
        <w:ind w:firstLineChars="200" w:firstLine="480"/>
        <w:rPr>
          <w:bCs/>
          <w:sz w:val="24"/>
        </w:rPr>
      </w:pPr>
      <w:r>
        <w:rPr>
          <w:rFonts w:hint="eastAsia"/>
          <w:bCs/>
          <w:sz w:val="24"/>
        </w:rPr>
        <w:t>（二）</w:t>
      </w:r>
      <w:r>
        <w:rPr>
          <w:bCs/>
          <w:sz w:val="24"/>
        </w:rPr>
        <w:t>基金财产的清算</w:t>
      </w:r>
    </w:p>
    <w:p w:rsidR="00BF60A0" w:rsidRDefault="006E4EA0">
      <w:pPr>
        <w:adjustRightInd w:val="0"/>
        <w:snapToGrid w:val="0"/>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BF60A0" w:rsidRDefault="006E4EA0">
      <w:pPr>
        <w:adjustRightInd w:val="0"/>
        <w:snapToGrid w:val="0"/>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rsidR="00BF60A0" w:rsidRDefault="006E4EA0">
      <w:pPr>
        <w:adjustRightInd w:val="0"/>
        <w:snapToGrid w:val="0"/>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BF60A0" w:rsidRDefault="006E4EA0">
      <w:pPr>
        <w:adjustRightInd w:val="0"/>
        <w:snapToGrid w:val="0"/>
        <w:spacing w:line="360" w:lineRule="auto"/>
        <w:ind w:firstLineChars="200" w:firstLine="480"/>
        <w:rPr>
          <w:bCs/>
          <w:sz w:val="24"/>
        </w:rPr>
      </w:pPr>
      <w:r>
        <w:rPr>
          <w:bCs/>
          <w:sz w:val="24"/>
        </w:rPr>
        <w:t>4</w:t>
      </w:r>
      <w:r>
        <w:rPr>
          <w:bCs/>
          <w:sz w:val="24"/>
        </w:rPr>
        <w:t>、基金财产清算程序：</w:t>
      </w:r>
    </w:p>
    <w:p w:rsidR="00BF60A0" w:rsidRDefault="006E4EA0">
      <w:pPr>
        <w:adjustRightInd w:val="0"/>
        <w:snapToGrid w:val="0"/>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BF60A0" w:rsidRDefault="006E4EA0">
      <w:pPr>
        <w:adjustRightInd w:val="0"/>
        <w:snapToGrid w:val="0"/>
        <w:spacing w:line="360" w:lineRule="auto"/>
        <w:ind w:firstLineChars="200" w:firstLine="480"/>
        <w:rPr>
          <w:bCs/>
          <w:sz w:val="24"/>
        </w:rPr>
      </w:pPr>
      <w:r>
        <w:rPr>
          <w:bCs/>
          <w:sz w:val="24"/>
        </w:rPr>
        <w:t>（</w:t>
      </w:r>
      <w:r>
        <w:rPr>
          <w:bCs/>
          <w:sz w:val="24"/>
        </w:rPr>
        <w:t>2</w:t>
      </w:r>
      <w:r>
        <w:rPr>
          <w:bCs/>
          <w:sz w:val="24"/>
        </w:rPr>
        <w:t>）对基金财产和债权债务进行清理和确认；</w:t>
      </w:r>
    </w:p>
    <w:p w:rsidR="00BF60A0" w:rsidRDefault="006E4EA0">
      <w:pPr>
        <w:adjustRightInd w:val="0"/>
        <w:snapToGrid w:val="0"/>
        <w:spacing w:line="360" w:lineRule="auto"/>
        <w:ind w:firstLineChars="200" w:firstLine="480"/>
        <w:rPr>
          <w:bCs/>
          <w:sz w:val="24"/>
        </w:rPr>
      </w:pPr>
      <w:r>
        <w:rPr>
          <w:bCs/>
          <w:sz w:val="24"/>
        </w:rPr>
        <w:t>（</w:t>
      </w:r>
      <w:r>
        <w:rPr>
          <w:bCs/>
          <w:sz w:val="24"/>
        </w:rPr>
        <w:t>3</w:t>
      </w:r>
      <w:r>
        <w:rPr>
          <w:bCs/>
          <w:sz w:val="24"/>
        </w:rPr>
        <w:t>）对基金财产进行估值和变现；</w:t>
      </w:r>
    </w:p>
    <w:p w:rsidR="00BF60A0" w:rsidRDefault="006E4EA0">
      <w:pPr>
        <w:adjustRightInd w:val="0"/>
        <w:snapToGrid w:val="0"/>
        <w:spacing w:line="360" w:lineRule="auto"/>
        <w:ind w:firstLineChars="200" w:firstLine="480"/>
        <w:rPr>
          <w:bCs/>
          <w:sz w:val="24"/>
        </w:rPr>
      </w:pPr>
      <w:r>
        <w:rPr>
          <w:bCs/>
          <w:sz w:val="24"/>
        </w:rPr>
        <w:t>（</w:t>
      </w:r>
      <w:r>
        <w:rPr>
          <w:bCs/>
          <w:sz w:val="24"/>
        </w:rPr>
        <w:t>4</w:t>
      </w:r>
      <w:r>
        <w:rPr>
          <w:bCs/>
          <w:sz w:val="24"/>
        </w:rPr>
        <w:t>）制作清算报告；</w:t>
      </w:r>
    </w:p>
    <w:p w:rsidR="00BF60A0" w:rsidRDefault="006E4EA0">
      <w:pPr>
        <w:adjustRightInd w:val="0"/>
        <w:snapToGrid w:val="0"/>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BF60A0" w:rsidRDefault="006E4EA0">
      <w:pPr>
        <w:adjustRightInd w:val="0"/>
        <w:snapToGrid w:val="0"/>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BF60A0" w:rsidRDefault="006E4EA0">
      <w:pPr>
        <w:adjustRightInd w:val="0"/>
        <w:snapToGrid w:val="0"/>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，若遇基金持有的股票或其他有价证券出现长期休市、停牌或其他流通受限的情形除外</w:t>
      </w:r>
      <w:r>
        <w:rPr>
          <w:bCs/>
          <w:sz w:val="24"/>
        </w:rPr>
        <w:t>。</w:t>
      </w:r>
    </w:p>
    <w:p w:rsidR="00BF60A0" w:rsidRDefault="006E4EA0">
      <w:pPr>
        <w:adjustRightInd w:val="0"/>
        <w:snapToGrid w:val="0"/>
        <w:spacing w:line="360" w:lineRule="auto"/>
        <w:ind w:firstLineChars="200" w:firstLine="480"/>
        <w:rPr>
          <w:bCs/>
          <w:sz w:val="24"/>
        </w:rPr>
      </w:pPr>
      <w:r>
        <w:rPr>
          <w:rFonts w:hint="eastAsia"/>
          <w:bCs/>
          <w:sz w:val="24"/>
        </w:rPr>
        <w:t>（三）</w:t>
      </w:r>
      <w:r>
        <w:rPr>
          <w:bCs/>
          <w:sz w:val="24"/>
        </w:rPr>
        <w:t>清算费用</w:t>
      </w:r>
    </w:p>
    <w:p w:rsidR="00BF60A0" w:rsidRDefault="006E4EA0">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BF60A0" w:rsidRDefault="006E4EA0">
      <w:pPr>
        <w:adjustRightInd w:val="0"/>
        <w:snapToGrid w:val="0"/>
        <w:spacing w:line="360" w:lineRule="auto"/>
        <w:ind w:firstLineChars="200" w:firstLine="480"/>
        <w:rPr>
          <w:bCs/>
          <w:sz w:val="24"/>
        </w:rPr>
      </w:pPr>
      <w:r>
        <w:rPr>
          <w:rFonts w:hint="eastAsia"/>
          <w:bCs/>
          <w:sz w:val="24"/>
        </w:rPr>
        <w:t>（四）</w:t>
      </w:r>
      <w:r>
        <w:rPr>
          <w:bCs/>
          <w:sz w:val="24"/>
        </w:rPr>
        <w:t>基金财产清算剩余资产的分配</w:t>
      </w:r>
    </w:p>
    <w:p w:rsidR="00BF60A0" w:rsidRDefault="006E4EA0">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w:t>
      </w:r>
      <w:r>
        <w:rPr>
          <w:bCs/>
          <w:sz w:val="24"/>
        </w:rPr>
        <w:lastRenderedPageBreak/>
        <w:t>额比例进行分配。</w:t>
      </w:r>
    </w:p>
    <w:p w:rsidR="00BF60A0" w:rsidRDefault="006E4EA0">
      <w:pPr>
        <w:adjustRightInd w:val="0"/>
        <w:snapToGrid w:val="0"/>
        <w:spacing w:line="360" w:lineRule="auto"/>
        <w:ind w:firstLineChars="200" w:firstLine="480"/>
        <w:rPr>
          <w:bCs/>
          <w:sz w:val="24"/>
        </w:rPr>
      </w:pPr>
      <w:r>
        <w:rPr>
          <w:rFonts w:hint="eastAsia"/>
          <w:bCs/>
          <w:sz w:val="24"/>
        </w:rPr>
        <w:t>（五）</w:t>
      </w:r>
      <w:r>
        <w:rPr>
          <w:bCs/>
          <w:sz w:val="24"/>
        </w:rPr>
        <w:t>基金财产清算的公告</w:t>
      </w:r>
    </w:p>
    <w:p w:rsidR="00BF60A0" w:rsidRDefault="006E4EA0">
      <w:pPr>
        <w:adjustRightInd w:val="0"/>
        <w:snapToGrid w:val="0"/>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BF60A0" w:rsidRDefault="006E4EA0">
      <w:pPr>
        <w:adjustRightInd w:val="0"/>
        <w:snapToGrid w:val="0"/>
        <w:spacing w:line="360" w:lineRule="auto"/>
        <w:ind w:firstLineChars="200" w:firstLine="480"/>
        <w:rPr>
          <w:bCs/>
          <w:sz w:val="24"/>
        </w:rPr>
      </w:pPr>
      <w:r>
        <w:rPr>
          <w:rFonts w:hint="eastAsia"/>
          <w:bCs/>
          <w:sz w:val="24"/>
        </w:rPr>
        <w:t>（六）</w:t>
      </w:r>
      <w:r>
        <w:rPr>
          <w:bCs/>
          <w:sz w:val="24"/>
        </w:rPr>
        <w:t>基金财产清算账册及文件的保存</w:t>
      </w:r>
    </w:p>
    <w:p w:rsidR="00BF60A0" w:rsidRDefault="006E4EA0">
      <w:pPr>
        <w:adjustRightInd w:val="0"/>
        <w:snapToGrid w:val="0"/>
        <w:spacing w:line="360" w:lineRule="auto"/>
        <w:ind w:firstLineChars="200" w:firstLine="480"/>
        <w:rPr>
          <w:bCs/>
          <w:sz w:val="24"/>
        </w:rPr>
      </w:pPr>
      <w:r>
        <w:rPr>
          <w:bCs/>
          <w:sz w:val="24"/>
        </w:rPr>
        <w:t>基金财产清算账册及有关文件由基金托管人保存</w:t>
      </w:r>
      <w:r>
        <w:rPr>
          <w:rFonts w:hint="eastAsia"/>
          <w:bCs/>
          <w:sz w:val="24"/>
        </w:rPr>
        <w:t>不低于法律法规规定的最低期限</w:t>
      </w:r>
      <w:r>
        <w:rPr>
          <w:bCs/>
          <w:sz w:val="24"/>
        </w:rPr>
        <w:t>。</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八、</w:t>
      </w:r>
      <w:r>
        <w:rPr>
          <w:bCs/>
          <w:sz w:val="24"/>
        </w:rPr>
        <w:t>争议解决方式</w:t>
      </w:r>
    </w:p>
    <w:p w:rsidR="00BF60A0" w:rsidRDefault="006E4EA0">
      <w:pPr>
        <w:adjustRightInd w:val="0"/>
        <w:snapToGrid w:val="0"/>
        <w:spacing w:line="360" w:lineRule="auto"/>
        <w:ind w:firstLineChars="200" w:firstLine="480"/>
        <w:rPr>
          <w:bCs/>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BF60A0" w:rsidRDefault="006E4EA0">
      <w:pPr>
        <w:adjustRightInd w:val="0"/>
        <w:snapToGrid w:val="0"/>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p>
    <w:p w:rsidR="00BF60A0" w:rsidRDefault="00BF60A0">
      <w:pPr>
        <w:adjustRightInd w:val="0"/>
        <w:snapToGrid w:val="0"/>
        <w:spacing w:line="360" w:lineRule="auto"/>
        <w:ind w:firstLineChars="200" w:firstLine="480"/>
        <w:rPr>
          <w:bCs/>
          <w:sz w:val="24"/>
        </w:rPr>
      </w:pPr>
    </w:p>
    <w:p w:rsidR="00BF60A0" w:rsidRDefault="006E4EA0">
      <w:pPr>
        <w:adjustRightInd w:val="0"/>
        <w:snapToGrid w:val="0"/>
        <w:spacing w:line="360" w:lineRule="auto"/>
        <w:ind w:firstLineChars="200" w:firstLine="480"/>
        <w:rPr>
          <w:bCs/>
          <w:sz w:val="24"/>
        </w:rPr>
      </w:pPr>
      <w:r>
        <w:rPr>
          <w:rFonts w:hint="eastAsia"/>
          <w:bCs/>
          <w:sz w:val="24"/>
        </w:rPr>
        <w:t>九、</w:t>
      </w:r>
      <w:r>
        <w:rPr>
          <w:bCs/>
          <w:sz w:val="24"/>
        </w:rPr>
        <w:t>基金合同存放地和投资者取得基金合同的方式</w:t>
      </w:r>
    </w:p>
    <w:p w:rsidR="00BF60A0" w:rsidRDefault="006E4EA0">
      <w:pPr>
        <w:adjustRightInd w:val="0"/>
        <w:snapToGrid w:val="0"/>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BF60A0" w:rsidRDefault="006E4EA0">
      <w:pPr>
        <w:adjustRightInd w:val="0"/>
        <w:snapToGrid w:val="0"/>
        <w:spacing w:line="360" w:lineRule="auto"/>
        <w:ind w:firstLineChars="200" w:firstLine="480"/>
        <w:rPr>
          <w:bCs/>
          <w:sz w:val="24"/>
        </w:rPr>
      </w:pPr>
      <w:r>
        <w:rPr>
          <w:bCs/>
          <w:sz w:val="24"/>
        </w:rPr>
        <w:t>基金合同可印制成册，供投资者在基金管理人、基金托管人、销售机构的办公场所和营业场所查阅</w:t>
      </w:r>
      <w:r>
        <w:rPr>
          <w:rFonts w:hint="eastAsia"/>
          <w:bCs/>
          <w:sz w:val="24"/>
        </w:rPr>
        <w:t>，但应以基金合同正本为准。</w:t>
      </w:r>
    </w:p>
    <w:p w:rsidR="00BF60A0" w:rsidRDefault="00BF60A0">
      <w:pPr>
        <w:pStyle w:val="1"/>
        <w:jc w:val="both"/>
        <w:rPr>
          <w:rFonts w:ascii="宋体" w:hAnsi="宋体"/>
          <w:sz w:val="24"/>
        </w:rPr>
        <w:sectPr w:rsidR="00BF60A0">
          <w:headerReference w:type="default" r:id="rId11"/>
          <w:pgSz w:w="11906" w:h="16838"/>
          <w:pgMar w:top="1418" w:right="1701" w:bottom="1418" w:left="1701" w:header="851" w:footer="992" w:gutter="0"/>
          <w:cols w:space="720"/>
          <w:docGrid w:type="lines" w:linePitch="312"/>
        </w:sectPr>
      </w:pPr>
      <w:bookmarkStart w:id="404" w:name="_Hlt54601699"/>
      <w:bookmarkEnd w:id="404"/>
    </w:p>
    <w:p w:rsidR="00BF60A0" w:rsidRDefault="006E4EA0">
      <w:pPr>
        <w:spacing w:line="360" w:lineRule="auto"/>
        <w:ind w:right="26"/>
        <w:rPr>
          <w:rFonts w:ascii="宋体" w:hAnsi="宋体"/>
          <w:sz w:val="24"/>
        </w:rPr>
      </w:pPr>
      <w:r>
        <w:rPr>
          <w:rFonts w:ascii="宋体" w:hAnsi="宋体" w:hint="eastAsia"/>
          <w:sz w:val="24"/>
        </w:rPr>
        <w:lastRenderedPageBreak/>
        <w:t>本页无正文，为《交银施罗德稳固收益债券型证券投资基金基金合同》的签字盖章页。</w:t>
      </w:r>
    </w:p>
    <w:p w:rsidR="00BF60A0" w:rsidRDefault="00BF60A0">
      <w:pPr>
        <w:autoSpaceDE w:val="0"/>
        <w:autoSpaceDN w:val="0"/>
        <w:spacing w:line="360" w:lineRule="auto"/>
        <w:textAlignment w:val="bottom"/>
        <w:rPr>
          <w:rFonts w:ascii="宋体" w:hAnsi="宋体"/>
          <w:sz w:val="24"/>
        </w:rPr>
      </w:pPr>
    </w:p>
    <w:p w:rsidR="00BF60A0" w:rsidRDefault="00BF60A0">
      <w:pPr>
        <w:autoSpaceDE w:val="0"/>
        <w:autoSpaceDN w:val="0"/>
        <w:spacing w:line="360" w:lineRule="auto"/>
        <w:textAlignment w:val="bottom"/>
        <w:rPr>
          <w:rFonts w:ascii="宋体" w:hAnsi="宋体"/>
          <w:sz w:val="24"/>
        </w:rPr>
      </w:pPr>
    </w:p>
    <w:p w:rsidR="00BF60A0" w:rsidRDefault="00BF60A0">
      <w:pPr>
        <w:autoSpaceDE w:val="0"/>
        <w:autoSpaceDN w:val="0"/>
        <w:spacing w:line="360" w:lineRule="auto"/>
        <w:textAlignment w:val="bottom"/>
        <w:rPr>
          <w:rFonts w:ascii="宋体" w:hAnsi="宋体"/>
          <w:b/>
          <w:sz w:val="24"/>
        </w:rPr>
      </w:pPr>
    </w:p>
    <w:p w:rsidR="00BF60A0" w:rsidRDefault="006E4EA0">
      <w:pPr>
        <w:spacing w:line="360" w:lineRule="auto"/>
        <w:ind w:right="26"/>
        <w:rPr>
          <w:rFonts w:ascii="宋体" w:hAnsi="宋体"/>
          <w:b/>
          <w:sz w:val="24"/>
        </w:rPr>
      </w:pPr>
      <w:r>
        <w:rPr>
          <w:rFonts w:ascii="宋体" w:hAnsi="宋体" w:hint="eastAsia"/>
          <w:b/>
          <w:sz w:val="24"/>
        </w:rPr>
        <w:t>基金管理人：交银施罗德基金管理有限公司（公章）</w:t>
      </w:r>
    </w:p>
    <w:p w:rsidR="00BF60A0" w:rsidRDefault="00BF60A0">
      <w:pPr>
        <w:spacing w:line="360" w:lineRule="auto"/>
        <w:ind w:right="26"/>
        <w:rPr>
          <w:rFonts w:ascii="宋体" w:hAnsi="宋体"/>
          <w:sz w:val="24"/>
        </w:rPr>
      </w:pPr>
    </w:p>
    <w:p w:rsidR="00BF60A0" w:rsidRDefault="00BF60A0">
      <w:pPr>
        <w:spacing w:line="360" w:lineRule="auto"/>
        <w:ind w:right="26"/>
        <w:rPr>
          <w:rFonts w:ascii="宋体" w:hAnsi="宋体"/>
          <w:sz w:val="24"/>
        </w:rPr>
      </w:pPr>
    </w:p>
    <w:p w:rsidR="00BF60A0" w:rsidRDefault="00BF60A0">
      <w:pPr>
        <w:spacing w:line="360" w:lineRule="auto"/>
        <w:ind w:right="26"/>
        <w:rPr>
          <w:rFonts w:ascii="宋体" w:hAnsi="宋体"/>
          <w:sz w:val="24"/>
        </w:rPr>
      </w:pPr>
    </w:p>
    <w:p w:rsidR="00BF60A0" w:rsidRDefault="00BF60A0">
      <w:pPr>
        <w:spacing w:line="360" w:lineRule="auto"/>
        <w:ind w:right="26"/>
        <w:rPr>
          <w:rFonts w:ascii="宋体" w:hAnsi="宋体"/>
          <w:sz w:val="24"/>
        </w:rPr>
      </w:pPr>
    </w:p>
    <w:p w:rsidR="00BF60A0" w:rsidRDefault="006E4EA0">
      <w:pPr>
        <w:spacing w:line="360" w:lineRule="auto"/>
        <w:ind w:right="26"/>
        <w:rPr>
          <w:rFonts w:ascii="宋体" w:hAnsi="宋体"/>
          <w:b/>
          <w:sz w:val="24"/>
        </w:rPr>
      </w:pPr>
      <w:r>
        <w:rPr>
          <w:rFonts w:ascii="宋体" w:hAnsi="宋体" w:hint="eastAsia"/>
          <w:b/>
          <w:sz w:val="24"/>
        </w:rPr>
        <w:t>法定代表人或授权代表：</w:t>
      </w:r>
    </w:p>
    <w:p w:rsidR="00BF60A0" w:rsidRDefault="00BF60A0">
      <w:pPr>
        <w:spacing w:line="360" w:lineRule="auto"/>
        <w:ind w:right="26"/>
        <w:rPr>
          <w:rFonts w:ascii="宋体" w:hAnsi="宋体"/>
          <w:sz w:val="24"/>
        </w:rPr>
      </w:pPr>
    </w:p>
    <w:p w:rsidR="00BF60A0" w:rsidRDefault="00BF60A0">
      <w:pPr>
        <w:spacing w:line="360" w:lineRule="auto"/>
        <w:ind w:right="26"/>
        <w:rPr>
          <w:rFonts w:ascii="宋体" w:hAnsi="宋体"/>
          <w:sz w:val="24"/>
        </w:rPr>
      </w:pPr>
    </w:p>
    <w:p w:rsidR="00BF60A0" w:rsidRDefault="00BF60A0">
      <w:pPr>
        <w:spacing w:line="360" w:lineRule="auto"/>
        <w:ind w:right="26"/>
        <w:rPr>
          <w:rFonts w:ascii="宋体" w:hAnsi="宋体"/>
          <w:sz w:val="24"/>
        </w:rPr>
      </w:pPr>
    </w:p>
    <w:p w:rsidR="00BF60A0" w:rsidRDefault="00BF60A0">
      <w:pPr>
        <w:spacing w:line="360" w:lineRule="auto"/>
        <w:ind w:right="26"/>
        <w:rPr>
          <w:rFonts w:ascii="宋体" w:hAnsi="宋体"/>
          <w:sz w:val="24"/>
        </w:rPr>
      </w:pPr>
    </w:p>
    <w:p w:rsidR="00BF60A0" w:rsidRDefault="00BF60A0">
      <w:pPr>
        <w:spacing w:line="360" w:lineRule="auto"/>
        <w:ind w:right="26"/>
        <w:rPr>
          <w:rFonts w:ascii="宋体" w:hAnsi="宋体"/>
          <w:sz w:val="24"/>
        </w:rPr>
      </w:pPr>
    </w:p>
    <w:p w:rsidR="00BF60A0" w:rsidRDefault="006E4EA0">
      <w:pPr>
        <w:spacing w:line="360" w:lineRule="auto"/>
        <w:ind w:right="26"/>
        <w:rPr>
          <w:rFonts w:ascii="宋体" w:hAnsi="宋体"/>
          <w:b/>
          <w:sz w:val="24"/>
        </w:rPr>
      </w:pPr>
      <w:r>
        <w:rPr>
          <w:rFonts w:ascii="宋体" w:hAnsi="宋体" w:hint="eastAsia"/>
          <w:b/>
          <w:sz w:val="24"/>
        </w:rPr>
        <w:t>基金托管人：中国农业银行股份有限公司（公章）</w:t>
      </w:r>
    </w:p>
    <w:p w:rsidR="00BF60A0" w:rsidRDefault="00BF60A0">
      <w:pPr>
        <w:spacing w:line="360" w:lineRule="auto"/>
        <w:ind w:right="26"/>
        <w:rPr>
          <w:rFonts w:ascii="宋体" w:hAnsi="宋体"/>
          <w:sz w:val="24"/>
        </w:rPr>
      </w:pPr>
    </w:p>
    <w:p w:rsidR="00BF60A0" w:rsidRDefault="00BF60A0">
      <w:pPr>
        <w:spacing w:line="360" w:lineRule="auto"/>
        <w:ind w:right="26"/>
        <w:rPr>
          <w:rFonts w:ascii="宋体" w:hAnsi="宋体"/>
          <w:sz w:val="24"/>
        </w:rPr>
      </w:pPr>
    </w:p>
    <w:p w:rsidR="00BF60A0" w:rsidRDefault="00BF60A0">
      <w:pPr>
        <w:spacing w:line="360" w:lineRule="auto"/>
        <w:ind w:right="26"/>
        <w:rPr>
          <w:rFonts w:ascii="宋体" w:hAnsi="宋体"/>
          <w:sz w:val="24"/>
        </w:rPr>
      </w:pPr>
    </w:p>
    <w:p w:rsidR="00BF60A0" w:rsidRDefault="00BF60A0">
      <w:pPr>
        <w:spacing w:line="360" w:lineRule="auto"/>
        <w:ind w:right="26"/>
        <w:rPr>
          <w:rFonts w:ascii="宋体" w:hAnsi="宋体"/>
          <w:sz w:val="24"/>
        </w:rPr>
      </w:pPr>
    </w:p>
    <w:p w:rsidR="00BF60A0" w:rsidRDefault="006E4EA0">
      <w:pPr>
        <w:spacing w:line="360" w:lineRule="auto"/>
        <w:ind w:right="26"/>
        <w:rPr>
          <w:rFonts w:ascii="宋体" w:hAnsi="宋体"/>
          <w:b/>
          <w:sz w:val="24"/>
        </w:rPr>
      </w:pPr>
      <w:r>
        <w:rPr>
          <w:rFonts w:ascii="宋体" w:hAnsi="宋体" w:hint="eastAsia"/>
          <w:b/>
          <w:sz w:val="24"/>
        </w:rPr>
        <w:t>法定代表人或授权代表：</w:t>
      </w:r>
    </w:p>
    <w:p w:rsidR="00BF60A0" w:rsidRDefault="00BF60A0">
      <w:pPr>
        <w:spacing w:line="360" w:lineRule="auto"/>
        <w:ind w:right="26"/>
        <w:rPr>
          <w:rFonts w:ascii="宋体" w:hAnsi="宋体"/>
          <w:b/>
          <w:sz w:val="24"/>
          <w:szCs w:val="28"/>
        </w:rPr>
      </w:pPr>
    </w:p>
    <w:p w:rsidR="00BF60A0" w:rsidRDefault="00BF60A0">
      <w:pPr>
        <w:spacing w:line="360" w:lineRule="auto"/>
        <w:ind w:right="26"/>
        <w:rPr>
          <w:rFonts w:ascii="宋体" w:hAnsi="宋体"/>
          <w:b/>
          <w:sz w:val="24"/>
          <w:szCs w:val="28"/>
        </w:rPr>
      </w:pPr>
    </w:p>
    <w:p w:rsidR="00BF60A0" w:rsidRDefault="00BF60A0">
      <w:pPr>
        <w:spacing w:line="360" w:lineRule="auto"/>
        <w:ind w:right="26"/>
        <w:rPr>
          <w:rFonts w:ascii="宋体" w:hAnsi="宋体"/>
          <w:b/>
          <w:sz w:val="24"/>
          <w:szCs w:val="28"/>
        </w:rPr>
      </w:pPr>
    </w:p>
    <w:p w:rsidR="00BF60A0" w:rsidRDefault="006E4EA0">
      <w:pPr>
        <w:spacing w:line="360" w:lineRule="auto"/>
        <w:ind w:right="26"/>
        <w:rPr>
          <w:rFonts w:ascii="宋体" w:hAnsi="宋体"/>
          <w:b/>
          <w:sz w:val="24"/>
          <w:szCs w:val="28"/>
        </w:rPr>
      </w:pPr>
      <w:r>
        <w:rPr>
          <w:rFonts w:ascii="宋体" w:hAnsi="宋体" w:hint="eastAsia"/>
          <w:b/>
          <w:sz w:val="24"/>
          <w:szCs w:val="28"/>
        </w:rPr>
        <w:t>签订地点：北京</w:t>
      </w:r>
    </w:p>
    <w:p w:rsidR="00BF60A0" w:rsidRDefault="006E4EA0">
      <w:pPr>
        <w:spacing w:line="360" w:lineRule="auto"/>
        <w:ind w:right="26"/>
        <w:rPr>
          <w:rFonts w:ascii="宋体" w:hAnsi="宋体"/>
          <w:b/>
          <w:sz w:val="24"/>
          <w:szCs w:val="28"/>
        </w:rPr>
      </w:pPr>
      <w:r>
        <w:rPr>
          <w:rFonts w:ascii="宋体" w:hAnsi="宋体" w:hint="eastAsia"/>
          <w:b/>
          <w:sz w:val="24"/>
          <w:szCs w:val="28"/>
        </w:rPr>
        <w:t>签 订 日：二〇  年   月   日</w:t>
      </w:r>
    </w:p>
    <w:p w:rsidR="00BF60A0" w:rsidRDefault="00BF60A0">
      <w:pPr>
        <w:rPr>
          <w:rFonts w:ascii="宋体" w:hAnsi="宋体"/>
          <w:sz w:val="24"/>
        </w:rPr>
      </w:pPr>
    </w:p>
    <w:p w:rsidR="00BF60A0" w:rsidRDefault="00BF60A0">
      <w:pPr>
        <w:rPr>
          <w:rFonts w:ascii="宋体" w:hAnsi="宋体"/>
          <w:sz w:val="24"/>
        </w:rPr>
      </w:pPr>
    </w:p>
    <w:p w:rsidR="00BF60A0" w:rsidRDefault="00BF60A0">
      <w:pPr>
        <w:rPr>
          <w:rFonts w:ascii="宋体" w:hAnsi="宋体"/>
          <w:sz w:val="24"/>
        </w:rPr>
      </w:pPr>
    </w:p>
    <w:p w:rsidR="00BF60A0" w:rsidRDefault="00BF60A0">
      <w:pPr>
        <w:rPr>
          <w:rFonts w:ascii="宋体" w:hAnsi="宋体"/>
        </w:rPr>
      </w:pPr>
    </w:p>
    <w:sectPr w:rsidR="00BF60A0">
      <w:headerReference w:type="default" r:id="rId12"/>
      <w:footerReference w:type="default" r:id="rId13"/>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E07" w:rsidRDefault="00F23E07">
      <w:r>
        <w:separator/>
      </w:r>
    </w:p>
  </w:endnote>
  <w:endnote w:type="continuationSeparator" w:id="0">
    <w:p w:rsidR="00F23E07" w:rsidRDefault="00F2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A0" w:rsidRDefault="006E4EA0">
    <w:pPr>
      <w:pStyle w:val="af1"/>
      <w:framePr w:wrap="around" w:vAnchor="text" w:hAnchor="margin" w:xAlign="center" w:y="1"/>
      <w:rPr>
        <w:rStyle w:val="aff"/>
      </w:rPr>
    </w:pPr>
    <w:r>
      <w:fldChar w:fldCharType="begin"/>
    </w:r>
    <w:r>
      <w:rPr>
        <w:rStyle w:val="aff"/>
      </w:rPr>
      <w:instrText xml:space="preserve">PAGE  </w:instrText>
    </w:r>
    <w:r>
      <w:fldChar w:fldCharType="end"/>
    </w:r>
  </w:p>
  <w:p w:rsidR="00BF60A0" w:rsidRDefault="00BF60A0">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A0" w:rsidRDefault="006E4EA0">
    <w:pPr>
      <w:pStyle w:val="af1"/>
      <w:framePr w:wrap="around" w:vAnchor="text" w:hAnchor="margin" w:xAlign="center" w:y="1"/>
      <w:rPr>
        <w:rStyle w:val="aff"/>
      </w:rPr>
    </w:pPr>
    <w:r>
      <w:fldChar w:fldCharType="begin"/>
    </w:r>
    <w:r>
      <w:rPr>
        <w:rStyle w:val="aff"/>
      </w:rPr>
      <w:instrText xml:space="preserve">PAGE  </w:instrText>
    </w:r>
    <w:r>
      <w:fldChar w:fldCharType="separate"/>
    </w:r>
    <w:r w:rsidR="00C05FB2">
      <w:rPr>
        <w:rStyle w:val="aff"/>
        <w:noProof/>
      </w:rPr>
      <w:t>2</w:t>
    </w:r>
    <w:r>
      <w:fldChar w:fldCharType="end"/>
    </w:r>
  </w:p>
  <w:p w:rsidR="00BF60A0" w:rsidRDefault="00BF60A0">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A0" w:rsidRDefault="00BF60A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E07" w:rsidRDefault="00F23E07">
      <w:r>
        <w:separator/>
      </w:r>
    </w:p>
  </w:footnote>
  <w:footnote w:type="continuationSeparator" w:id="0">
    <w:p w:rsidR="00F23E07" w:rsidRDefault="00F23E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A0" w:rsidRDefault="00BF60A0">
    <w:pPr>
      <w:pStyle w:val="af3"/>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A0" w:rsidRDefault="006E4EA0">
    <w:pPr>
      <w:pStyle w:val="af3"/>
      <w:jc w:val="right"/>
    </w:pPr>
    <w:r>
      <w:rPr>
        <w:bCs/>
        <w:noProof/>
      </w:rPr>
      <w:drawing>
        <wp:anchor distT="0" distB="0" distL="114300" distR="114300" simplePos="0" relativeHeight="251659264" behindDoc="0" locked="0" layoutInCell="1" allowOverlap="1">
          <wp:simplePos x="0" y="0"/>
          <wp:positionH relativeFrom="column">
            <wp:posOffset>24765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r>
      <w:rPr>
        <w:rFonts w:hint="eastAsia"/>
        <w:bCs/>
      </w:rPr>
      <w:t>交银施罗德稳固收益债券型证券投资基金基金合同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A0" w:rsidRDefault="00BF60A0">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F6"/>
    <w:rsid w:val="00010481"/>
    <w:rsid w:val="0001333C"/>
    <w:rsid w:val="000148C7"/>
    <w:rsid w:val="00016A9F"/>
    <w:rsid w:val="00016F66"/>
    <w:rsid w:val="000219CC"/>
    <w:rsid w:val="00030E22"/>
    <w:rsid w:val="000338C6"/>
    <w:rsid w:val="00035A9E"/>
    <w:rsid w:val="000367CB"/>
    <w:rsid w:val="00037249"/>
    <w:rsid w:val="0004437B"/>
    <w:rsid w:val="0004745E"/>
    <w:rsid w:val="00055682"/>
    <w:rsid w:val="0006014C"/>
    <w:rsid w:val="000871EA"/>
    <w:rsid w:val="00092B77"/>
    <w:rsid w:val="000937AE"/>
    <w:rsid w:val="000A1601"/>
    <w:rsid w:val="000A1C0B"/>
    <w:rsid w:val="000B58F6"/>
    <w:rsid w:val="000B6FEF"/>
    <w:rsid w:val="000C13D8"/>
    <w:rsid w:val="000C58A6"/>
    <w:rsid w:val="000C744D"/>
    <w:rsid w:val="000D1439"/>
    <w:rsid w:val="000D19F0"/>
    <w:rsid w:val="000D5C1E"/>
    <w:rsid w:val="000E0FDA"/>
    <w:rsid w:val="000E1BD1"/>
    <w:rsid w:val="000E1E2C"/>
    <w:rsid w:val="000E2040"/>
    <w:rsid w:val="000E362B"/>
    <w:rsid w:val="000E44E1"/>
    <w:rsid w:val="000E703C"/>
    <w:rsid w:val="000F0211"/>
    <w:rsid w:val="00100D6D"/>
    <w:rsid w:val="00103AA0"/>
    <w:rsid w:val="0010454C"/>
    <w:rsid w:val="0010522E"/>
    <w:rsid w:val="00106DCA"/>
    <w:rsid w:val="001109E6"/>
    <w:rsid w:val="001113D5"/>
    <w:rsid w:val="001119BF"/>
    <w:rsid w:val="00113EFF"/>
    <w:rsid w:val="00117ABC"/>
    <w:rsid w:val="00117FCA"/>
    <w:rsid w:val="00125772"/>
    <w:rsid w:val="00130285"/>
    <w:rsid w:val="00142B27"/>
    <w:rsid w:val="00145367"/>
    <w:rsid w:val="00147785"/>
    <w:rsid w:val="00147BD3"/>
    <w:rsid w:val="00151862"/>
    <w:rsid w:val="00153CBF"/>
    <w:rsid w:val="0015507D"/>
    <w:rsid w:val="00155240"/>
    <w:rsid w:val="001621EB"/>
    <w:rsid w:val="00163EF7"/>
    <w:rsid w:val="00164234"/>
    <w:rsid w:val="00164BBC"/>
    <w:rsid w:val="00166DC8"/>
    <w:rsid w:val="00170596"/>
    <w:rsid w:val="00171E15"/>
    <w:rsid w:val="00172A27"/>
    <w:rsid w:val="001751BF"/>
    <w:rsid w:val="00177034"/>
    <w:rsid w:val="0018027F"/>
    <w:rsid w:val="001807C6"/>
    <w:rsid w:val="001826AF"/>
    <w:rsid w:val="00184B9B"/>
    <w:rsid w:val="00184DAE"/>
    <w:rsid w:val="00186819"/>
    <w:rsid w:val="00191AAD"/>
    <w:rsid w:val="001932B4"/>
    <w:rsid w:val="00196921"/>
    <w:rsid w:val="00197132"/>
    <w:rsid w:val="00197BEE"/>
    <w:rsid w:val="001A5273"/>
    <w:rsid w:val="001B0824"/>
    <w:rsid w:val="001B25D5"/>
    <w:rsid w:val="001B430F"/>
    <w:rsid w:val="001C0DE9"/>
    <w:rsid w:val="001C37ED"/>
    <w:rsid w:val="001C5513"/>
    <w:rsid w:val="001C7D7D"/>
    <w:rsid w:val="001D03AC"/>
    <w:rsid w:val="001D201E"/>
    <w:rsid w:val="001D761D"/>
    <w:rsid w:val="001D7750"/>
    <w:rsid w:val="001F082C"/>
    <w:rsid w:val="001F18AD"/>
    <w:rsid w:val="001F2CF2"/>
    <w:rsid w:val="001F30BB"/>
    <w:rsid w:val="0020110A"/>
    <w:rsid w:val="00201BA0"/>
    <w:rsid w:val="00202A00"/>
    <w:rsid w:val="00205789"/>
    <w:rsid w:val="00206B16"/>
    <w:rsid w:val="002144D4"/>
    <w:rsid w:val="00214921"/>
    <w:rsid w:val="00217DB8"/>
    <w:rsid w:val="0022241D"/>
    <w:rsid w:val="002254DA"/>
    <w:rsid w:val="00227366"/>
    <w:rsid w:val="00230914"/>
    <w:rsid w:val="0023388F"/>
    <w:rsid w:val="00235E63"/>
    <w:rsid w:val="00237DA2"/>
    <w:rsid w:val="00240B29"/>
    <w:rsid w:val="0024219E"/>
    <w:rsid w:val="00243670"/>
    <w:rsid w:val="00245183"/>
    <w:rsid w:val="00247FED"/>
    <w:rsid w:val="00252E63"/>
    <w:rsid w:val="00254579"/>
    <w:rsid w:val="00254E17"/>
    <w:rsid w:val="002602C0"/>
    <w:rsid w:val="00260EB4"/>
    <w:rsid w:val="00260EC8"/>
    <w:rsid w:val="00261AC3"/>
    <w:rsid w:val="00263EBB"/>
    <w:rsid w:val="00264F52"/>
    <w:rsid w:val="00266614"/>
    <w:rsid w:val="0026754E"/>
    <w:rsid w:val="0027605B"/>
    <w:rsid w:val="00284893"/>
    <w:rsid w:val="00285D48"/>
    <w:rsid w:val="00286518"/>
    <w:rsid w:val="00286D97"/>
    <w:rsid w:val="00291015"/>
    <w:rsid w:val="002944B0"/>
    <w:rsid w:val="00295FBC"/>
    <w:rsid w:val="002966C2"/>
    <w:rsid w:val="002973CA"/>
    <w:rsid w:val="002A344A"/>
    <w:rsid w:val="002A40A0"/>
    <w:rsid w:val="002A6202"/>
    <w:rsid w:val="002B0838"/>
    <w:rsid w:val="002B2E96"/>
    <w:rsid w:val="002B399D"/>
    <w:rsid w:val="002B5201"/>
    <w:rsid w:val="002C3063"/>
    <w:rsid w:val="002C3958"/>
    <w:rsid w:val="002C4A69"/>
    <w:rsid w:val="002C51B7"/>
    <w:rsid w:val="002D0C05"/>
    <w:rsid w:val="002D77A6"/>
    <w:rsid w:val="002E0421"/>
    <w:rsid w:val="002E338B"/>
    <w:rsid w:val="002E6D48"/>
    <w:rsid w:val="002F0E4E"/>
    <w:rsid w:val="002F3BC8"/>
    <w:rsid w:val="002F4B8A"/>
    <w:rsid w:val="002F5123"/>
    <w:rsid w:val="00303A46"/>
    <w:rsid w:val="00304144"/>
    <w:rsid w:val="00315AC0"/>
    <w:rsid w:val="00315D88"/>
    <w:rsid w:val="003205D3"/>
    <w:rsid w:val="003205E0"/>
    <w:rsid w:val="003235C8"/>
    <w:rsid w:val="0032614F"/>
    <w:rsid w:val="0032711C"/>
    <w:rsid w:val="003275F8"/>
    <w:rsid w:val="003308C8"/>
    <w:rsid w:val="00331E12"/>
    <w:rsid w:val="003321C9"/>
    <w:rsid w:val="00342EBC"/>
    <w:rsid w:val="00344C4C"/>
    <w:rsid w:val="00347389"/>
    <w:rsid w:val="00351EE1"/>
    <w:rsid w:val="00353FAC"/>
    <w:rsid w:val="0035746D"/>
    <w:rsid w:val="003578F1"/>
    <w:rsid w:val="0036772D"/>
    <w:rsid w:val="00371181"/>
    <w:rsid w:val="00372F80"/>
    <w:rsid w:val="00373A31"/>
    <w:rsid w:val="00373CAB"/>
    <w:rsid w:val="00377E03"/>
    <w:rsid w:val="0039044A"/>
    <w:rsid w:val="00392BDC"/>
    <w:rsid w:val="00395CAB"/>
    <w:rsid w:val="003A06A8"/>
    <w:rsid w:val="003A3D46"/>
    <w:rsid w:val="003A4418"/>
    <w:rsid w:val="003A4517"/>
    <w:rsid w:val="003A5D3F"/>
    <w:rsid w:val="003A7F41"/>
    <w:rsid w:val="003B081F"/>
    <w:rsid w:val="003B27E6"/>
    <w:rsid w:val="003B3E80"/>
    <w:rsid w:val="003B47D7"/>
    <w:rsid w:val="003B5A09"/>
    <w:rsid w:val="003B5C6B"/>
    <w:rsid w:val="003B7BAA"/>
    <w:rsid w:val="003C4DBE"/>
    <w:rsid w:val="003C6E6A"/>
    <w:rsid w:val="003C7505"/>
    <w:rsid w:val="003D6C84"/>
    <w:rsid w:val="003E5001"/>
    <w:rsid w:val="003E5803"/>
    <w:rsid w:val="003E6890"/>
    <w:rsid w:val="003F43A1"/>
    <w:rsid w:val="003F7D4A"/>
    <w:rsid w:val="004020ED"/>
    <w:rsid w:val="00402993"/>
    <w:rsid w:val="00405BF6"/>
    <w:rsid w:val="004113F3"/>
    <w:rsid w:val="00414936"/>
    <w:rsid w:val="00431B88"/>
    <w:rsid w:val="0043469C"/>
    <w:rsid w:val="0043640D"/>
    <w:rsid w:val="00436532"/>
    <w:rsid w:val="004454F4"/>
    <w:rsid w:val="00447716"/>
    <w:rsid w:val="00447762"/>
    <w:rsid w:val="00452ABE"/>
    <w:rsid w:val="00452EFA"/>
    <w:rsid w:val="00453332"/>
    <w:rsid w:val="004562EF"/>
    <w:rsid w:val="004576B6"/>
    <w:rsid w:val="00461F45"/>
    <w:rsid w:val="004637F6"/>
    <w:rsid w:val="00463872"/>
    <w:rsid w:val="004716BA"/>
    <w:rsid w:val="00472845"/>
    <w:rsid w:val="004747E6"/>
    <w:rsid w:val="00475C04"/>
    <w:rsid w:val="0047697B"/>
    <w:rsid w:val="0048101E"/>
    <w:rsid w:val="00481B8D"/>
    <w:rsid w:val="00484A7D"/>
    <w:rsid w:val="00486030"/>
    <w:rsid w:val="00487F67"/>
    <w:rsid w:val="00494E8D"/>
    <w:rsid w:val="00494F2D"/>
    <w:rsid w:val="00495822"/>
    <w:rsid w:val="004A569D"/>
    <w:rsid w:val="004B0A1A"/>
    <w:rsid w:val="004B118B"/>
    <w:rsid w:val="004B38FF"/>
    <w:rsid w:val="004B6B8B"/>
    <w:rsid w:val="004B7B44"/>
    <w:rsid w:val="004C3292"/>
    <w:rsid w:val="004C332F"/>
    <w:rsid w:val="004C4931"/>
    <w:rsid w:val="004C6D12"/>
    <w:rsid w:val="004C7C7E"/>
    <w:rsid w:val="004D02E2"/>
    <w:rsid w:val="004D31C8"/>
    <w:rsid w:val="004D4E56"/>
    <w:rsid w:val="004D5FC0"/>
    <w:rsid w:val="004E1574"/>
    <w:rsid w:val="004E23A3"/>
    <w:rsid w:val="004F1360"/>
    <w:rsid w:val="004F26A0"/>
    <w:rsid w:val="004F6CB0"/>
    <w:rsid w:val="004F7746"/>
    <w:rsid w:val="00502E74"/>
    <w:rsid w:val="00504272"/>
    <w:rsid w:val="00511E74"/>
    <w:rsid w:val="00520AFB"/>
    <w:rsid w:val="00524E8E"/>
    <w:rsid w:val="0052619E"/>
    <w:rsid w:val="00526F1D"/>
    <w:rsid w:val="0053388F"/>
    <w:rsid w:val="00542374"/>
    <w:rsid w:val="0054367E"/>
    <w:rsid w:val="00543B2B"/>
    <w:rsid w:val="00543FDE"/>
    <w:rsid w:val="00546B25"/>
    <w:rsid w:val="00546C0D"/>
    <w:rsid w:val="00546C59"/>
    <w:rsid w:val="005474D7"/>
    <w:rsid w:val="005603BA"/>
    <w:rsid w:val="00563106"/>
    <w:rsid w:val="00563DDE"/>
    <w:rsid w:val="00563E00"/>
    <w:rsid w:val="005657FB"/>
    <w:rsid w:val="005675DC"/>
    <w:rsid w:val="00572182"/>
    <w:rsid w:val="00573C36"/>
    <w:rsid w:val="00577C29"/>
    <w:rsid w:val="00587ED3"/>
    <w:rsid w:val="005922F5"/>
    <w:rsid w:val="00593164"/>
    <w:rsid w:val="005B0E1C"/>
    <w:rsid w:val="005B1F51"/>
    <w:rsid w:val="005B58FA"/>
    <w:rsid w:val="005B669A"/>
    <w:rsid w:val="005B7D9B"/>
    <w:rsid w:val="005C55BA"/>
    <w:rsid w:val="005C5C1B"/>
    <w:rsid w:val="005C5F12"/>
    <w:rsid w:val="005C7465"/>
    <w:rsid w:val="005D0813"/>
    <w:rsid w:val="005D0870"/>
    <w:rsid w:val="005D5351"/>
    <w:rsid w:val="005D5576"/>
    <w:rsid w:val="005D5EA5"/>
    <w:rsid w:val="005D797F"/>
    <w:rsid w:val="005D7CB4"/>
    <w:rsid w:val="005E08CA"/>
    <w:rsid w:val="005F0FEE"/>
    <w:rsid w:val="005F35DC"/>
    <w:rsid w:val="00604073"/>
    <w:rsid w:val="00605C9A"/>
    <w:rsid w:val="006069E4"/>
    <w:rsid w:val="00607806"/>
    <w:rsid w:val="0061249D"/>
    <w:rsid w:val="00612C09"/>
    <w:rsid w:val="00613BD5"/>
    <w:rsid w:val="006165CC"/>
    <w:rsid w:val="00617693"/>
    <w:rsid w:val="0062760F"/>
    <w:rsid w:val="00631727"/>
    <w:rsid w:val="00632BAD"/>
    <w:rsid w:val="006334E2"/>
    <w:rsid w:val="00636C46"/>
    <w:rsid w:val="006376E3"/>
    <w:rsid w:val="00641174"/>
    <w:rsid w:val="00641291"/>
    <w:rsid w:val="00642013"/>
    <w:rsid w:val="00642D67"/>
    <w:rsid w:val="006456E3"/>
    <w:rsid w:val="00646860"/>
    <w:rsid w:val="006471E7"/>
    <w:rsid w:val="006500EE"/>
    <w:rsid w:val="006511CB"/>
    <w:rsid w:val="00655F93"/>
    <w:rsid w:val="00656954"/>
    <w:rsid w:val="00664F6E"/>
    <w:rsid w:val="0066560F"/>
    <w:rsid w:val="00667FA7"/>
    <w:rsid w:val="00682E0B"/>
    <w:rsid w:val="0068511F"/>
    <w:rsid w:val="00685649"/>
    <w:rsid w:val="00691A31"/>
    <w:rsid w:val="00691BB9"/>
    <w:rsid w:val="00694500"/>
    <w:rsid w:val="006A0A10"/>
    <w:rsid w:val="006A0A99"/>
    <w:rsid w:val="006A397F"/>
    <w:rsid w:val="006A778F"/>
    <w:rsid w:val="006B1E15"/>
    <w:rsid w:val="006B571F"/>
    <w:rsid w:val="006C660F"/>
    <w:rsid w:val="006D0CC6"/>
    <w:rsid w:val="006D0E54"/>
    <w:rsid w:val="006D5AFF"/>
    <w:rsid w:val="006D5E20"/>
    <w:rsid w:val="006D60B6"/>
    <w:rsid w:val="006E4308"/>
    <w:rsid w:val="006E4EA0"/>
    <w:rsid w:val="006F0265"/>
    <w:rsid w:val="006F0271"/>
    <w:rsid w:val="006F2909"/>
    <w:rsid w:val="006F38F5"/>
    <w:rsid w:val="006F410C"/>
    <w:rsid w:val="006F4904"/>
    <w:rsid w:val="006F69D6"/>
    <w:rsid w:val="006F6F00"/>
    <w:rsid w:val="00700305"/>
    <w:rsid w:val="007010F7"/>
    <w:rsid w:val="007054F4"/>
    <w:rsid w:val="007111BF"/>
    <w:rsid w:val="00711EDE"/>
    <w:rsid w:val="007149D9"/>
    <w:rsid w:val="00716899"/>
    <w:rsid w:val="00721A60"/>
    <w:rsid w:val="00721D18"/>
    <w:rsid w:val="007241BA"/>
    <w:rsid w:val="00727B37"/>
    <w:rsid w:val="00732EE1"/>
    <w:rsid w:val="007357E1"/>
    <w:rsid w:val="0074265B"/>
    <w:rsid w:val="007442AE"/>
    <w:rsid w:val="00744A99"/>
    <w:rsid w:val="0074539A"/>
    <w:rsid w:val="0074587F"/>
    <w:rsid w:val="007468CC"/>
    <w:rsid w:val="0074793D"/>
    <w:rsid w:val="00750C5A"/>
    <w:rsid w:val="00753BEC"/>
    <w:rsid w:val="00761B61"/>
    <w:rsid w:val="00762C34"/>
    <w:rsid w:val="007651D1"/>
    <w:rsid w:val="00770199"/>
    <w:rsid w:val="00773B1F"/>
    <w:rsid w:val="0077552B"/>
    <w:rsid w:val="00776A3C"/>
    <w:rsid w:val="00783757"/>
    <w:rsid w:val="00791F87"/>
    <w:rsid w:val="00794F92"/>
    <w:rsid w:val="0079529F"/>
    <w:rsid w:val="00797875"/>
    <w:rsid w:val="007B0543"/>
    <w:rsid w:val="007B3773"/>
    <w:rsid w:val="007B42A7"/>
    <w:rsid w:val="007B4CF7"/>
    <w:rsid w:val="007B6FD9"/>
    <w:rsid w:val="007C2C1A"/>
    <w:rsid w:val="007C467C"/>
    <w:rsid w:val="007C772D"/>
    <w:rsid w:val="007D20DA"/>
    <w:rsid w:val="007D35B1"/>
    <w:rsid w:val="007D3F55"/>
    <w:rsid w:val="007D4873"/>
    <w:rsid w:val="007D7712"/>
    <w:rsid w:val="007E15AA"/>
    <w:rsid w:val="007E3D12"/>
    <w:rsid w:val="007E43B0"/>
    <w:rsid w:val="007E6EE7"/>
    <w:rsid w:val="007E7430"/>
    <w:rsid w:val="007F0133"/>
    <w:rsid w:val="007F3807"/>
    <w:rsid w:val="007F4B78"/>
    <w:rsid w:val="007F6BBF"/>
    <w:rsid w:val="008002A1"/>
    <w:rsid w:val="008004AA"/>
    <w:rsid w:val="008017BA"/>
    <w:rsid w:val="0080625F"/>
    <w:rsid w:val="00806A29"/>
    <w:rsid w:val="008101CB"/>
    <w:rsid w:val="008125A6"/>
    <w:rsid w:val="00813053"/>
    <w:rsid w:val="00813BA1"/>
    <w:rsid w:val="00815749"/>
    <w:rsid w:val="008171C2"/>
    <w:rsid w:val="008175AE"/>
    <w:rsid w:val="00817951"/>
    <w:rsid w:val="0082022F"/>
    <w:rsid w:val="00825364"/>
    <w:rsid w:val="00831DE3"/>
    <w:rsid w:val="00835306"/>
    <w:rsid w:val="00835D37"/>
    <w:rsid w:val="00836CF1"/>
    <w:rsid w:val="00841E03"/>
    <w:rsid w:val="00843DC8"/>
    <w:rsid w:val="00844ACD"/>
    <w:rsid w:val="0085042B"/>
    <w:rsid w:val="008519DA"/>
    <w:rsid w:val="00855634"/>
    <w:rsid w:val="00855D7D"/>
    <w:rsid w:val="00860790"/>
    <w:rsid w:val="008671B6"/>
    <w:rsid w:val="00870770"/>
    <w:rsid w:val="00874DA7"/>
    <w:rsid w:val="00875BD4"/>
    <w:rsid w:val="00876AB8"/>
    <w:rsid w:val="00877BBE"/>
    <w:rsid w:val="00881057"/>
    <w:rsid w:val="00881CD5"/>
    <w:rsid w:val="0088356C"/>
    <w:rsid w:val="00886798"/>
    <w:rsid w:val="00887198"/>
    <w:rsid w:val="00891179"/>
    <w:rsid w:val="00893CA3"/>
    <w:rsid w:val="00894591"/>
    <w:rsid w:val="008A27B0"/>
    <w:rsid w:val="008A3516"/>
    <w:rsid w:val="008A3D5D"/>
    <w:rsid w:val="008B12C4"/>
    <w:rsid w:val="008B1B8C"/>
    <w:rsid w:val="008B1F8B"/>
    <w:rsid w:val="008B36D6"/>
    <w:rsid w:val="008B3976"/>
    <w:rsid w:val="008B5661"/>
    <w:rsid w:val="008B6BC3"/>
    <w:rsid w:val="008C2F10"/>
    <w:rsid w:val="008C615C"/>
    <w:rsid w:val="008C6471"/>
    <w:rsid w:val="008D0D1B"/>
    <w:rsid w:val="008D65D2"/>
    <w:rsid w:val="008D7843"/>
    <w:rsid w:val="008E1BF6"/>
    <w:rsid w:val="008E1E4E"/>
    <w:rsid w:val="008E3D0E"/>
    <w:rsid w:val="008F3EBA"/>
    <w:rsid w:val="008F5CCA"/>
    <w:rsid w:val="00904613"/>
    <w:rsid w:val="009056CE"/>
    <w:rsid w:val="00905AF0"/>
    <w:rsid w:val="00905F56"/>
    <w:rsid w:val="009110EF"/>
    <w:rsid w:val="00912744"/>
    <w:rsid w:val="009141F1"/>
    <w:rsid w:val="009167A7"/>
    <w:rsid w:val="00917FD1"/>
    <w:rsid w:val="009205F6"/>
    <w:rsid w:val="0092127F"/>
    <w:rsid w:val="00924A70"/>
    <w:rsid w:val="00925944"/>
    <w:rsid w:val="00930212"/>
    <w:rsid w:val="00930557"/>
    <w:rsid w:val="0093395F"/>
    <w:rsid w:val="00940469"/>
    <w:rsid w:val="00941ABD"/>
    <w:rsid w:val="009426A0"/>
    <w:rsid w:val="009437E7"/>
    <w:rsid w:val="00944711"/>
    <w:rsid w:val="00944B5D"/>
    <w:rsid w:val="0095047B"/>
    <w:rsid w:val="0095548C"/>
    <w:rsid w:val="00960272"/>
    <w:rsid w:val="0096201F"/>
    <w:rsid w:val="009630BB"/>
    <w:rsid w:val="009644A2"/>
    <w:rsid w:val="009645DF"/>
    <w:rsid w:val="00965870"/>
    <w:rsid w:val="00970AF0"/>
    <w:rsid w:val="0097511C"/>
    <w:rsid w:val="0097630C"/>
    <w:rsid w:val="00976491"/>
    <w:rsid w:val="00985AB1"/>
    <w:rsid w:val="00987D7E"/>
    <w:rsid w:val="00994083"/>
    <w:rsid w:val="009950E0"/>
    <w:rsid w:val="0099768A"/>
    <w:rsid w:val="009A57E7"/>
    <w:rsid w:val="009A64DE"/>
    <w:rsid w:val="009A7C2F"/>
    <w:rsid w:val="009B1D40"/>
    <w:rsid w:val="009B20E9"/>
    <w:rsid w:val="009B3212"/>
    <w:rsid w:val="009C0176"/>
    <w:rsid w:val="009C447C"/>
    <w:rsid w:val="009C4FBC"/>
    <w:rsid w:val="009D42D6"/>
    <w:rsid w:val="009D52CB"/>
    <w:rsid w:val="009D59E6"/>
    <w:rsid w:val="009D69A7"/>
    <w:rsid w:val="009D6D93"/>
    <w:rsid w:val="009D7415"/>
    <w:rsid w:val="009D75CC"/>
    <w:rsid w:val="009F1A6C"/>
    <w:rsid w:val="009F219B"/>
    <w:rsid w:val="009F2FE9"/>
    <w:rsid w:val="009F3FB3"/>
    <w:rsid w:val="009F583F"/>
    <w:rsid w:val="009F6D5A"/>
    <w:rsid w:val="00A02D3A"/>
    <w:rsid w:val="00A07407"/>
    <w:rsid w:val="00A105A5"/>
    <w:rsid w:val="00A111A2"/>
    <w:rsid w:val="00A20173"/>
    <w:rsid w:val="00A21443"/>
    <w:rsid w:val="00A23424"/>
    <w:rsid w:val="00A23A04"/>
    <w:rsid w:val="00A24D00"/>
    <w:rsid w:val="00A31078"/>
    <w:rsid w:val="00A406A1"/>
    <w:rsid w:val="00A40D3B"/>
    <w:rsid w:val="00A414B5"/>
    <w:rsid w:val="00A4201D"/>
    <w:rsid w:val="00A42466"/>
    <w:rsid w:val="00A5007E"/>
    <w:rsid w:val="00A55121"/>
    <w:rsid w:val="00A5600C"/>
    <w:rsid w:val="00A616A6"/>
    <w:rsid w:val="00A61A84"/>
    <w:rsid w:val="00A64349"/>
    <w:rsid w:val="00A6477A"/>
    <w:rsid w:val="00A65142"/>
    <w:rsid w:val="00A66BD7"/>
    <w:rsid w:val="00A67709"/>
    <w:rsid w:val="00A70FC1"/>
    <w:rsid w:val="00A712D1"/>
    <w:rsid w:val="00A7480B"/>
    <w:rsid w:val="00A751D2"/>
    <w:rsid w:val="00A768B5"/>
    <w:rsid w:val="00A80936"/>
    <w:rsid w:val="00A8100E"/>
    <w:rsid w:val="00A83EF6"/>
    <w:rsid w:val="00A8414E"/>
    <w:rsid w:val="00A914BE"/>
    <w:rsid w:val="00A92E9F"/>
    <w:rsid w:val="00A94D89"/>
    <w:rsid w:val="00A95EF2"/>
    <w:rsid w:val="00A97822"/>
    <w:rsid w:val="00AA0F29"/>
    <w:rsid w:val="00AA1509"/>
    <w:rsid w:val="00AA24D9"/>
    <w:rsid w:val="00AA2A0F"/>
    <w:rsid w:val="00AA767A"/>
    <w:rsid w:val="00AB20A7"/>
    <w:rsid w:val="00AB4452"/>
    <w:rsid w:val="00AB5BF2"/>
    <w:rsid w:val="00AC02E2"/>
    <w:rsid w:val="00AC05D0"/>
    <w:rsid w:val="00AC2272"/>
    <w:rsid w:val="00AC23E5"/>
    <w:rsid w:val="00AC36C9"/>
    <w:rsid w:val="00AC7A4C"/>
    <w:rsid w:val="00AD0B85"/>
    <w:rsid w:val="00AD7074"/>
    <w:rsid w:val="00AE07BC"/>
    <w:rsid w:val="00AE1633"/>
    <w:rsid w:val="00AE7CE4"/>
    <w:rsid w:val="00B00032"/>
    <w:rsid w:val="00B01FCF"/>
    <w:rsid w:val="00B0216C"/>
    <w:rsid w:val="00B03E3C"/>
    <w:rsid w:val="00B1043A"/>
    <w:rsid w:val="00B13082"/>
    <w:rsid w:val="00B1365E"/>
    <w:rsid w:val="00B16C5E"/>
    <w:rsid w:val="00B17BBC"/>
    <w:rsid w:val="00B24021"/>
    <w:rsid w:val="00B24EA6"/>
    <w:rsid w:val="00B31650"/>
    <w:rsid w:val="00B33C26"/>
    <w:rsid w:val="00B36D54"/>
    <w:rsid w:val="00B40FC9"/>
    <w:rsid w:val="00B43453"/>
    <w:rsid w:val="00B435B8"/>
    <w:rsid w:val="00B436A6"/>
    <w:rsid w:val="00B50C29"/>
    <w:rsid w:val="00B51278"/>
    <w:rsid w:val="00B528C5"/>
    <w:rsid w:val="00B55881"/>
    <w:rsid w:val="00B56121"/>
    <w:rsid w:val="00B62218"/>
    <w:rsid w:val="00B62B88"/>
    <w:rsid w:val="00B640AB"/>
    <w:rsid w:val="00B65A6E"/>
    <w:rsid w:val="00B6688A"/>
    <w:rsid w:val="00B70F65"/>
    <w:rsid w:val="00B73D9B"/>
    <w:rsid w:val="00B75CCA"/>
    <w:rsid w:val="00B831CF"/>
    <w:rsid w:val="00B919B0"/>
    <w:rsid w:val="00B91CB9"/>
    <w:rsid w:val="00B93268"/>
    <w:rsid w:val="00B96E41"/>
    <w:rsid w:val="00B97399"/>
    <w:rsid w:val="00BA05AB"/>
    <w:rsid w:val="00BA1274"/>
    <w:rsid w:val="00BA3B4F"/>
    <w:rsid w:val="00BA61AF"/>
    <w:rsid w:val="00BA63A3"/>
    <w:rsid w:val="00BA7C36"/>
    <w:rsid w:val="00BB425A"/>
    <w:rsid w:val="00BB4853"/>
    <w:rsid w:val="00BB4E8F"/>
    <w:rsid w:val="00BB66A4"/>
    <w:rsid w:val="00BC391A"/>
    <w:rsid w:val="00BC4D32"/>
    <w:rsid w:val="00BC73D6"/>
    <w:rsid w:val="00BC7702"/>
    <w:rsid w:val="00BD3D6E"/>
    <w:rsid w:val="00BD5190"/>
    <w:rsid w:val="00BD572E"/>
    <w:rsid w:val="00BD623F"/>
    <w:rsid w:val="00BD63AD"/>
    <w:rsid w:val="00BE3EA5"/>
    <w:rsid w:val="00BE574F"/>
    <w:rsid w:val="00BE6794"/>
    <w:rsid w:val="00BE7DED"/>
    <w:rsid w:val="00BF2C59"/>
    <w:rsid w:val="00BF60A0"/>
    <w:rsid w:val="00BF61BA"/>
    <w:rsid w:val="00BF72C8"/>
    <w:rsid w:val="00C00D64"/>
    <w:rsid w:val="00C05FB2"/>
    <w:rsid w:val="00C07083"/>
    <w:rsid w:val="00C15986"/>
    <w:rsid w:val="00C16AA4"/>
    <w:rsid w:val="00C1700F"/>
    <w:rsid w:val="00C22EDA"/>
    <w:rsid w:val="00C23C43"/>
    <w:rsid w:val="00C2623B"/>
    <w:rsid w:val="00C26BBC"/>
    <w:rsid w:val="00C30108"/>
    <w:rsid w:val="00C324C5"/>
    <w:rsid w:val="00C36CE3"/>
    <w:rsid w:val="00C370C6"/>
    <w:rsid w:val="00C45F0D"/>
    <w:rsid w:val="00C4610F"/>
    <w:rsid w:val="00C512CB"/>
    <w:rsid w:val="00C51E64"/>
    <w:rsid w:val="00C52C9F"/>
    <w:rsid w:val="00C540C8"/>
    <w:rsid w:val="00C556D9"/>
    <w:rsid w:val="00C76788"/>
    <w:rsid w:val="00C84F4D"/>
    <w:rsid w:val="00C8577B"/>
    <w:rsid w:val="00C8623F"/>
    <w:rsid w:val="00C86293"/>
    <w:rsid w:val="00C872AF"/>
    <w:rsid w:val="00C874ED"/>
    <w:rsid w:val="00C8762F"/>
    <w:rsid w:val="00C91039"/>
    <w:rsid w:val="00C917E0"/>
    <w:rsid w:val="00C95CF5"/>
    <w:rsid w:val="00CA0190"/>
    <w:rsid w:val="00CA4EB9"/>
    <w:rsid w:val="00CA6896"/>
    <w:rsid w:val="00CA71E6"/>
    <w:rsid w:val="00CA7212"/>
    <w:rsid w:val="00CB286D"/>
    <w:rsid w:val="00CB62FA"/>
    <w:rsid w:val="00CB707C"/>
    <w:rsid w:val="00CC013D"/>
    <w:rsid w:val="00CC246C"/>
    <w:rsid w:val="00CC353A"/>
    <w:rsid w:val="00CC41AF"/>
    <w:rsid w:val="00CC4B6B"/>
    <w:rsid w:val="00CC531B"/>
    <w:rsid w:val="00CC7E98"/>
    <w:rsid w:val="00CD27D4"/>
    <w:rsid w:val="00CD2FBB"/>
    <w:rsid w:val="00CE0F35"/>
    <w:rsid w:val="00CE4DED"/>
    <w:rsid w:val="00CE6FB6"/>
    <w:rsid w:val="00CF3B05"/>
    <w:rsid w:val="00CF4569"/>
    <w:rsid w:val="00CF6B48"/>
    <w:rsid w:val="00CF7484"/>
    <w:rsid w:val="00D00235"/>
    <w:rsid w:val="00D00FDE"/>
    <w:rsid w:val="00D02222"/>
    <w:rsid w:val="00D05B4B"/>
    <w:rsid w:val="00D117E0"/>
    <w:rsid w:val="00D12B0D"/>
    <w:rsid w:val="00D14312"/>
    <w:rsid w:val="00D146C5"/>
    <w:rsid w:val="00D1524D"/>
    <w:rsid w:val="00D20B77"/>
    <w:rsid w:val="00D21BE9"/>
    <w:rsid w:val="00D22DA4"/>
    <w:rsid w:val="00D22F1A"/>
    <w:rsid w:val="00D253C6"/>
    <w:rsid w:val="00D26C40"/>
    <w:rsid w:val="00D33610"/>
    <w:rsid w:val="00D42178"/>
    <w:rsid w:val="00D449A4"/>
    <w:rsid w:val="00D520EA"/>
    <w:rsid w:val="00D55861"/>
    <w:rsid w:val="00D56F88"/>
    <w:rsid w:val="00D61B75"/>
    <w:rsid w:val="00D6252C"/>
    <w:rsid w:val="00D62D02"/>
    <w:rsid w:val="00D65160"/>
    <w:rsid w:val="00D67985"/>
    <w:rsid w:val="00D7036D"/>
    <w:rsid w:val="00D71921"/>
    <w:rsid w:val="00D7295A"/>
    <w:rsid w:val="00D7299B"/>
    <w:rsid w:val="00D72AC8"/>
    <w:rsid w:val="00D73B61"/>
    <w:rsid w:val="00D8180E"/>
    <w:rsid w:val="00D81968"/>
    <w:rsid w:val="00D8614B"/>
    <w:rsid w:val="00D86D56"/>
    <w:rsid w:val="00D92605"/>
    <w:rsid w:val="00D936C0"/>
    <w:rsid w:val="00D94551"/>
    <w:rsid w:val="00DA1CC3"/>
    <w:rsid w:val="00DB17F3"/>
    <w:rsid w:val="00DB1B09"/>
    <w:rsid w:val="00DB3645"/>
    <w:rsid w:val="00DC3448"/>
    <w:rsid w:val="00DC47B9"/>
    <w:rsid w:val="00DD0F28"/>
    <w:rsid w:val="00DD54D4"/>
    <w:rsid w:val="00DD77A1"/>
    <w:rsid w:val="00DE18CF"/>
    <w:rsid w:val="00DE310A"/>
    <w:rsid w:val="00DE3312"/>
    <w:rsid w:val="00DE4811"/>
    <w:rsid w:val="00DF08C7"/>
    <w:rsid w:val="00DF0C9F"/>
    <w:rsid w:val="00DF14CD"/>
    <w:rsid w:val="00DF657C"/>
    <w:rsid w:val="00E00892"/>
    <w:rsid w:val="00E01F31"/>
    <w:rsid w:val="00E04027"/>
    <w:rsid w:val="00E05A46"/>
    <w:rsid w:val="00E06883"/>
    <w:rsid w:val="00E0701F"/>
    <w:rsid w:val="00E12A14"/>
    <w:rsid w:val="00E22867"/>
    <w:rsid w:val="00E24525"/>
    <w:rsid w:val="00E260EB"/>
    <w:rsid w:val="00E32257"/>
    <w:rsid w:val="00E4045E"/>
    <w:rsid w:val="00E42DA0"/>
    <w:rsid w:val="00E44BA1"/>
    <w:rsid w:val="00E50DFB"/>
    <w:rsid w:val="00E52213"/>
    <w:rsid w:val="00E52551"/>
    <w:rsid w:val="00E5267F"/>
    <w:rsid w:val="00E602CC"/>
    <w:rsid w:val="00E64038"/>
    <w:rsid w:val="00E70277"/>
    <w:rsid w:val="00E73CDF"/>
    <w:rsid w:val="00E74A2B"/>
    <w:rsid w:val="00E75FE2"/>
    <w:rsid w:val="00E770B5"/>
    <w:rsid w:val="00E77236"/>
    <w:rsid w:val="00E83899"/>
    <w:rsid w:val="00E87A3F"/>
    <w:rsid w:val="00E94BDD"/>
    <w:rsid w:val="00EA2C06"/>
    <w:rsid w:val="00EB5A85"/>
    <w:rsid w:val="00EB6AAB"/>
    <w:rsid w:val="00EC6F93"/>
    <w:rsid w:val="00ED176A"/>
    <w:rsid w:val="00ED2154"/>
    <w:rsid w:val="00ED2463"/>
    <w:rsid w:val="00ED7C2E"/>
    <w:rsid w:val="00EE0C70"/>
    <w:rsid w:val="00EE0E6D"/>
    <w:rsid w:val="00EE175F"/>
    <w:rsid w:val="00EE2056"/>
    <w:rsid w:val="00EE21EB"/>
    <w:rsid w:val="00EE2EB5"/>
    <w:rsid w:val="00EE689B"/>
    <w:rsid w:val="00EF07B0"/>
    <w:rsid w:val="00EF61AE"/>
    <w:rsid w:val="00F037C2"/>
    <w:rsid w:val="00F06466"/>
    <w:rsid w:val="00F07224"/>
    <w:rsid w:val="00F14005"/>
    <w:rsid w:val="00F1509B"/>
    <w:rsid w:val="00F151CC"/>
    <w:rsid w:val="00F16AB3"/>
    <w:rsid w:val="00F208F1"/>
    <w:rsid w:val="00F20E22"/>
    <w:rsid w:val="00F23E07"/>
    <w:rsid w:val="00F3060F"/>
    <w:rsid w:val="00F3272B"/>
    <w:rsid w:val="00F32FAE"/>
    <w:rsid w:val="00F33AC7"/>
    <w:rsid w:val="00F3738A"/>
    <w:rsid w:val="00F4137C"/>
    <w:rsid w:val="00F424F7"/>
    <w:rsid w:val="00F45404"/>
    <w:rsid w:val="00F51432"/>
    <w:rsid w:val="00F51B0E"/>
    <w:rsid w:val="00F52E85"/>
    <w:rsid w:val="00F54107"/>
    <w:rsid w:val="00F6029D"/>
    <w:rsid w:val="00F70185"/>
    <w:rsid w:val="00F70670"/>
    <w:rsid w:val="00F72FEF"/>
    <w:rsid w:val="00F744D1"/>
    <w:rsid w:val="00F826F3"/>
    <w:rsid w:val="00F86B1D"/>
    <w:rsid w:val="00F92A94"/>
    <w:rsid w:val="00F9531C"/>
    <w:rsid w:val="00FA4E25"/>
    <w:rsid w:val="00FA5A7E"/>
    <w:rsid w:val="00FA72CC"/>
    <w:rsid w:val="00FB1932"/>
    <w:rsid w:val="00FB4D78"/>
    <w:rsid w:val="00FB5311"/>
    <w:rsid w:val="00FC1B0F"/>
    <w:rsid w:val="00FC342B"/>
    <w:rsid w:val="00FC77AF"/>
    <w:rsid w:val="00FD18DC"/>
    <w:rsid w:val="00FD570B"/>
    <w:rsid w:val="00FD6568"/>
    <w:rsid w:val="00FD730D"/>
    <w:rsid w:val="00FE2FA7"/>
    <w:rsid w:val="00FE3189"/>
    <w:rsid w:val="00FF0CA4"/>
    <w:rsid w:val="00FF1105"/>
    <w:rsid w:val="00FF2B54"/>
    <w:rsid w:val="00FF6A13"/>
    <w:rsid w:val="40E52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9BEF14-C63C-4E5B-91A0-1A6D98AF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7" w:semiHidden="1" w:unhideWhenUsed="1"/>
    <w:lsdException w:name="index 8" w:semiHidden="1" w:unhideWhenUsed="1"/>
    <w:lsdException w:name="index 9" w:semiHidden="1" w:unhideWhenUsed="1"/>
    <w:lsdException w:name="toc 1" w:uiPriority="39"/>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Subtitle" w:qFormat="1"/>
    <w:lsdException w:name="Salutation"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Hyperlink" w:uiPriority="99"/>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6" w:lineRule="auto"/>
      <w:jc w:val="center"/>
      <w:outlineLvl w:val="0"/>
    </w:pPr>
    <w:rPr>
      <w:b/>
      <w:kern w:val="44"/>
      <w:sz w:val="28"/>
    </w:rPr>
  </w:style>
  <w:style w:type="paragraph" w:styleId="2">
    <w:name w:val="heading 2"/>
    <w:basedOn w:val="a"/>
    <w:next w:val="a"/>
    <w:link w:val="20"/>
    <w:qFormat/>
    <w:pPr>
      <w:keepNext/>
      <w:keepLines/>
      <w:spacing w:before="200" w:after="200" w:line="360" w:lineRule="auto"/>
      <w:outlineLvl w:val="1"/>
    </w:pPr>
    <w:rPr>
      <w:rFonts w:ascii="Arial" w:hAnsi="Arial"/>
      <w:b/>
      <w:sz w:val="24"/>
      <w:szCs w:val="20"/>
    </w:rPr>
  </w:style>
  <w:style w:type="paragraph" w:styleId="3">
    <w:name w:val="heading 3"/>
    <w:basedOn w:val="a"/>
    <w:next w:val="a"/>
    <w:link w:val="30"/>
    <w:qFormat/>
    <w:pPr>
      <w:spacing w:before="120" w:after="120" w:line="360" w:lineRule="auto"/>
      <w:outlineLvl w:val="2"/>
    </w:pPr>
    <w:rPr>
      <w:rFonts w:ascii="宋体"/>
      <w:b/>
      <w:szCs w:val="20"/>
    </w:rPr>
  </w:style>
  <w:style w:type="paragraph" w:styleId="4">
    <w:name w:val="heading 4"/>
    <w:basedOn w:val="a"/>
    <w:next w:val="a"/>
    <w:link w:val="40"/>
    <w:qFormat/>
    <w:pPr>
      <w:keepNext/>
      <w:keepLines/>
      <w:spacing w:line="360" w:lineRule="auto"/>
      <w:outlineLvl w:val="3"/>
    </w:pPr>
    <w:rPr>
      <w:rFonts w:ascii="Arial" w:hAnsi="Arial"/>
      <w:szCs w:val="20"/>
    </w:rPr>
  </w:style>
  <w:style w:type="paragraph" w:styleId="5">
    <w:name w:val="heading 5"/>
    <w:basedOn w:val="a"/>
    <w:next w:val="a"/>
    <w:link w:val="50"/>
    <w:qFormat/>
    <w:pPr>
      <w:keepNext/>
      <w:keepLines/>
      <w:adjustRightInd w:val="0"/>
      <w:snapToGrid w:val="0"/>
      <w:spacing w:line="360" w:lineRule="auto"/>
      <w:outlineLvl w:val="4"/>
    </w:pPr>
    <w:rPr>
      <w:szCs w:val="20"/>
    </w:rPr>
  </w:style>
  <w:style w:type="paragraph" w:styleId="6">
    <w:name w:val="heading 6"/>
    <w:basedOn w:val="a"/>
    <w:next w:val="a"/>
    <w:link w:val="60"/>
    <w:qFormat/>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0"/>
    <w:qFormat/>
    <w:pPr>
      <w:keepNext/>
      <w:keepLines/>
      <w:spacing w:before="240" w:after="64" w:line="317" w:lineRule="auto"/>
      <w:outlineLvl w:val="6"/>
    </w:pPr>
    <w:rPr>
      <w:b/>
      <w:sz w:val="24"/>
      <w:szCs w:val="20"/>
    </w:rPr>
  </w:style>
  <w:style w:type="paragraph" w:styleId="8">
    <w:name w:val="heading 8"/>
    <w:basedOn w:val="a"/>
    <w:next w:val="a"/>
    <w:link w:val="80"/>
    <w:qFormat/>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pPr>
      <w:ind w:leftChars="1200" w:left="2520"/>
    </w:pPr>
  </w:style>
  <w:style w:type="paragraph" w:styleId="a3">
    <w:name w:val="Normal Indent"/>
    <w:basedOn w:val="a"/>
    <w:pPr>
      <w:ind w:firstLineChars="200" w:firstLine="420"/>
    </w:pPr>
  </w:style>
  <w:style w:type="paragraph" w:styleId="a4">
    <w:name w:val="Document Map"/>
    <w:basedOn w:val="a"/>
    <w:pPr>
      <w:shd w:val="clear" w:color="auto" w:fill="000080"/>
    </w:pPr>
  </w:style>
  <w:style w:type="paragraph" w:styleId="a5">
    <w:name w:val="annotation text"/>
    <w:basedOn w:val="a"/>
    <w:link w:val="a6"/>
    <w:qFormat/>
    <w:pPr>
      <w:jc w:val="left"/>
    </w:pPr>
    <w:rPr>
      <w:kern w:val="0"/>
      <w:sz w:val="20"/>
    </w:rPr>
  </w:style>
  <w:style w:type="paragraph" w:styleId="61">
    <w:name w:val="index 6"/>
    <w:basedOn w:val="a"/>
    <w:next w:val="a"/>
    <w:pPr>
      <w:ind w:leftChars="1000" w:left="1000"/>
    </w:pPr>
    <w:rPr>
      <w:rFonts w:ascii="Arial" w:hAnsi="Arial"/>
      <w:sz w:val="18"/>
    </w:rPr>
  </w:style>
  <w:style w:type="paragraph" w:styleId="a7">
    <w:name w:val="Body Text"/>
    <w:basedOn w:val="a"/>
    <w:link w:val="a8"/>
    <w:pPr>
      <w:spacing w:line="360" w:lineRule="auto"/>
    </w:pPr>
    <w:rPr>
      <w:rFonts w:ascii="仿宋_GB2312" w:eastAsia="仿宋_GB2312"/>
      <w:kern w:val="0"/>
      <w:sz w:val="24"/>
    </w:rPr>
  </w:style>
  <w:style w:type="paragraph" w:styleId="a9">
    <w:name w:val="Body Text Indent"/>
    <w:basedOn w:val="a"/>
    <w:link w:val="aa"/>
    <w:pPr>
      <w:autoSpaceDE w:val="0"/>
      <w:autoSpaceDN w:val="0"/>
      <w:spacing w:line="360" w:lineRule="auto"/>
      <w:ind w:firstLine="425"/>
      <w:textAlignment w:val="bottom"/>
    </w:pPr>
    <w:rPr>
      <w:rFonts w:ascii="宋体"/>
      <w:color w:val="FF0000"/>
      <w:kern w:val="0"/>
      <w:sz w:val="20"/>
      <w:szCs w:val="20"/>
    </w:rPr>
  </w:style>
  <w:style w:type="paragraph" w:styleId="51">
    <w:name w:val="toc 5"/>
    <w:basedOn w:val="a"/>
    <w:next w:val="a"/>
    <w:pPr>
      <w:ind w:leftChars="800" w:left="1680"/>
    </w:pPr>
  </w:style>
  <w:style w:type="paragraph" w:styleId="31">
    <w:name w:val="toc 3"/>
    <w:basedOn w:val="a"/>
    <w:next w:val="a"/>
    <w:pPr>
      <w:ind w:leftChars="400" w:left="840"/>
    </w:pPr>
  </w:style>
  <w:style w:type="paragraph" w:styleId="ab">
    <w:name w:val="Plain Text"/>
    <w:basedOn w:val="a"/>
    <w:link w:val="ac"/>
    <w:pPr>
      <w:adjustRightInd w:val="0"/>
      <w:spacing w:line="312" w:lineRule="atLeast"/>
      <w:textAlignment w:val="baseline"/>
    </w:pPr>
    <w:rPr>
      <w:rFonts w:ascii="宋体" w:hAnsi="Courier New"/>
    </w:rPr>
  </w:style>
  <w:style w:type="paragraph" w:styleId="81">
    <w:name w:val="toc 8"/>
    <w:basedOn w:val="a"/>
    <w:next w:val="a"/>
    <w:pPr>
      <w:ind w:leftChars="1400" w:left="2940"/>
    </w:pPr>
  </w:style>
  <w:style w:type="paragraph" w:styleId="ad">
    <w:name w:val="Date"/>
    <w:basedOn w:val="a"/>
    <w:next w:val="a"/>
    <w:link w:val="ae"/>
    <w:pPr>
      <w:ind w:leftChars="2500" w:left="100"/>
    </w:pPr>
    <w:rPr>
      <w:kern w:val="0"/>
      <w:sz w:val="20"/>
    </w:rPr>
  </w:style>
  <w:style w:type="paragraph" w:styleId="21">
    <w:name w:val="Body Text Indent 2"/>
    <w:basedOn w:val="a"/>
    <w:link w:val="22"/>
    <w:pPr>
      <w:spacing w:line="360" w:lineRule="auto"/>
      <w:ind w:firstLineChars="200" w:firstLine="480"/>
    </w:pPr>
    <w:rPr>
      <w:rFonts w:ascii="仿宋_GB2312" w:eastAsia="仿宋_GB2312"/>
      <w:kern w:val="0"/>
      <w:sz w:val="24"/>
    </w:rPr>
  </w:style>
  <w:style w:type="paragraph" w:styleId="af">
    <w:name w:val="Balloon Text"/>
    <w:basedOn w:val="a"/>
    <w:link w:val="af0"/>
    <w:rPr>
      <w:kern w:val="0"/>
      <w:sz w:val="18"/>
      <w:szCs w:val="18"/>
    </w:rPr>
  </w:style>
  <w:style w:type="paragraph" w:styleId="af1">
    <w:name w:val="footer"/>
    <w:basedOn w:val="a"/>
    <w:link w:val="af2"/>
    <w:pPr>
      <w:tabs>
        <w:tab w:val="center" w:pos="4153"/>
        <w:tab w:val="right" w:pos="8306"/>
      </w:tabs>
      <w:snapToGrid w:val="0"/>
      <w:jc w:val="left"/>
    </w:pPr>
    <w:rPr>
      <w:kern w:val="0"/>
      <w:sz w:val="18"/>
      <w:szCs w:val="18"/>
    </w:rPr>
  </w:style>
  <w:style w:type="paragraph" w:styleId="af3">
    <w:name w:val="header"/>
    <w:basedOn w:val="a"/>
    <w:link w:val="af4"/>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style>
  <w:style w:type="paragraph" w:styleId="41">
    <w:name w:val="toc 4"/>
    <w:basedOn w:val="a"/>
    <w:next w:val="a"/>
    <w:pPr>
      <w:ind w:leftChars="600" w:left="1260"/>
    </w:pPr>
  </w:style>
  <w:style w:type="paragraph" w:styleId="af5">
    <w:name w:val="footnote text"/>
    <w:basedOn w:val="a"/>
    <w:link w:val="af6"/>
    <w:pPr>
      <w:snapToGrid w:val="0"/>
      <w:jc w:val="left"/>
    </w:pPr>
    <w:rPr>
      <w:sz w:val="18"/>
    </w:rPr>
  </w:style>
  <w:style w:type="paragraph" w:styleId="62">
    <w:name w:val="toc 6"/>
    <w:basedOn w:val="a"/>
    <w:next w:val="a"/>
    <w:pPr>
      <w:ind w:leftChars="1000" w:left="2100"/>
    </w:pPr>
  </w:style>
  <w:style w:type="paragraph" w:styleId="32">
    <w:name w:val="Body Text Indent 3"/>
    <w:basedOn w:val="a"/>
    <w:link w:val="33"/>
    <w:pPr>
      <w:spacing w:line="360" w:lineRule="auto"/>
      <w:ind w:firstLineChars="200" w:firstLine="480"/>
    </w:pPr>
    <w:rPr>
      <w:rFonts w:ascii="仿宋_GB2312" w:eastAsia="仿宋_GB2312"/>
      <w:color w:val="FF0000"/>
      <w:kern w:val="0"/>
      <w:sz w:val="24"/>
      <w:szCs w:val="18"/>
    </w:rPr>
  </w:style>
  <w:style w:type="paragraph" w:styleId="23">
    <w:name w:val="toc 2"/>
    <w:basedOn w:val="a"/>
    <w:next w:val="a"/>
    <w:pPr>
      <w:ind w:leftChars="200" w:left="420"/>
    </w:pPr>
  </w:style>
  <w:style w:type="paragraph" w:styleId="91">
    <w:name w:val="toc 9"/>
    <w:basedOn w:val="a"/>
    <w:next w:val="a"/>
    <w:pPr>
      <w:ind w:leftChars="1600" w:left="3360"/>
    </w:pPr>
  </w:style>
  <w:style w:type="paragraph" w:styleId="24">
    <w:name w:val="Body Text 2"/>
    <w:basedOn w:val="a"/>
    <w:link w:val="25"/>
    <w:pPr>
      <w:spacing w:line="360" w:lineRule="auto"/>
    </w:pPr>
    <w:rPr>
      <w:rFonts w:ascii="仿宋_GB2312" w:eastAsia="仿宋_GB2312"/>
      <w:color w:val="000000"/>
      <w:kern w:val="0"/>
      <w:sz w:val="20"/>
    </w:rPr>
  </w:style>
  <w:style w:type="paragraph" w:styleId="af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8">
    <w:name w:val="Title"/>
    <w:basedOn w:val="a"/>
    <w:link w:val="af9"/>
    <w:qFormat/>
    <w:pPr>
      <w:spacing w:before="240" w:after="60"/>
      <w:jc w:val="center"/>
      <w:outlineLvl w:val="0"/>
    </w:pPr>
    <w:rPr>
      <w:rFonts w:ascii="Arial" w:hAnsi="Arial"/>
      <w:b/>
      <w:bCs/>
      <w:kern w:val="0"/>
      <w:sz w:val="32"/>
      <w:szCs w:val="32"/>
    </w:rPr>
  </w:style>
  <w:style w:type="paragraph" w:styleId="afa">
    <w:name w:val="annotation subject"/>
    <w:basedOn w:val="a5"/>
    <w:next w:val="a5"/>
    <w:link w:val="afb"/>
    <w:rPr>
      <w:b/>
      <w:bCs/>
    </w:rPr>
  </w:style>
  <w:style w:type="paragraph" w:styleId="afc">
    <w:name w:val="Body Text First Indent"/>
    <w:basedOn w:val="a7"/>
    <w:link w:val="afd"/>
    <w:pPr>
      <w:spacing w:after="120" w:line="240" w:lineRule="auto"/>
      <w:ind w:firstLineChars="100" w:firstLine="420"/>
    </w:pPr>
    <w:rPr>
      <w:rFonts w:ascii="Times New Roman" w:eastAsia="宋体"/>
    </w:rPr>
  </w:style>
  <w:style w:type="character" w:styleId="afe">
    <w:name w:val="Strong"/>
    <w:qFormat/>
    <w:rPr>
      <w:b/>
      <w:bCs/>
    </w:rPr>
  </w:style>
  <w:style w:type="character" w:styleId="aff">
    <w:name w:val="page number"/>
    <w:basedOn w:val="a0"/>
  </w:style>
  <w:style w:type="character" w:styleId="aff0">
    <w:name w:val="FollowedHyperlink"/>
    <w:rPr>
      <w:color w:val="800080"/>
      <w:u w:val="single"/>
    </w:rPr>
  </w:style>
  <w:style w:type="character" w:styleId="aff1">
    <w:name w:val="Hyperlink"/>
    <w:uiPriority w:val="99"/>
    <w:rPr>
      <w:color w:val="0000FF"/>
      <w:u w:val="single"/>
    </w:rPr>
  </w:style>
  <w:style w:type="character" w:styleId="aff2">
    <w:name w:val="annotation reference"/>
    <w:qFormat/>
    <w:rPr>
      <w:sz w:val="21"/>
      <w:szCs w:val="21"/>
    </w:rPr>
  </w:style>
  <w:style w:type="character" w:styleId="aff3">
    <w:name w:val="footnote reference"/>
    <w:basedOn w:val="a0"/>
    <w:rPr>
      <w:vertAlign w:val="superscript"/>
    </w:rPr>
  </w:style>
  <w:style w:type="character" w:customStyle="1" w:styleId="afb">
    <w:name w:val="批注主题 字符"/>
    <w:link w:val="afa"/>
    <w:rPr>
      <w:rFonts w:ascii="Times New Roman" w:eastAsia="宋体" w:hAnsi="Times New Roman" w:cs="Times New Roman"/>
      <w:b/>
      <w:bCs/>
      <w:szCs w:val="24"/>
    </w:rPr>
  </w:style>
  <w:style w:type="character" w:customStyle="1" w:styleId="60">
    <w:name w:val="标题 6 字符"/>
    <w:link w:val="6"/>
    <w:rPr>
      <w:rFonts w:ascii="Arial" w:eastAsia="黑体" w:hAnsi="Arial"/>
      <w:b/>
      <w:kern w:val="2"/>
      <w:sz w:val="24"/>
    </w:rPr>
  </w:style>
  <w:style w:type="character" w:customStyle="1" w:styleId="af9">
    <w:name w:val="标题 字符"/>
    <w:link w:val="af8"/>
    <w:rPr>
      <w:rFonts w:ascii="Arial" w:eastAsia="宋体" w:hAnsi="Arial" w:cs="Arial"/>
      <w:b/>
      <w:bCs/>
      <w:sz w:val="32"/>
      <w:szCs w:val="32"/>
    </w:rPr>
  </w:style>
  <w:style w:type="character" w:customStyle="1" w:styleId="aa">
    <w:name w:val="正文文本缩进 字符"/>
    <w:link w:val="a9"/>
    <w:rPr>
      <w:rFonts w:ascii="宋体" w:eastAsia="宋体" w:hAnsi="Times New Roman" w:cs="Times New Roman"/>
      <w:color w:val="FF0000"/>
      <w:szCs w:val="20"/>
    </w:rPr>
  </w:style>
  <w:style w:type="character" w:customStyle="1" w:styleId="90">
    <w:name w:val="标题 9 字符"/>
    <w:link w:val="9"/>
    <w:rPr>
      <w:rFonts w:ascii="Arial" w:eastAsia="黑体" w:hAnsi="Arial"/>
      <w:kern w:val="2"/>
      <w:sz w:val="21"/>
    </w:rPr>
  </w:style>
  <w:style w:type="character" w:customStyle="1" w:styleId="ae">
    <w:name w:val="日期 字符"/>
    <w:link w:val="ad"/>
    <w:rPr>
      <w:rFonts w:ascii="Times New Roman" w:eastAsia="宋体" w:hAnsi="Times New Roman" w:cs="Times New Roman"/>
      <w:szCs w:val="24"/>
    </w:rPr>
  </w:style>
  <w:style w:type="character" w:customStyle="1" w:styleId="30">
    <w:name w:val="标题 3 字符"/>
    <w:link w:val="3"/>
    <w:rPr>
      <w:rFonts w:ascii="宋体" w:hAnsi="Times New Roman"/>
      <w:b/>
      <w:kern w:val="2"/>
      <w:sz w:val="21"/>
    </w:rPr>
  </w:style>
  <w:style w:type="character" w:customStyle="1" w:styleId="33">
    <w:name w:val="正文文本缩进 3 字符"/>
    <w:link w:val="32"/>
    <w:rPr>
      <w:rFonts w:ascii="仿宋_GB2312" w:eastAsia="仿宋_GB2312" w:hAnsi="Times New Roman" w:cs="Times New Roman"/>
      <w:color w:val="FF0000"/>
      <w:sz w:val="24"/>
      <w:szCs w:val="18"/>
    </w:rPr>
  </w:style>
  <w:style w:type="character" w:customStyle="1" w:styleId="a6">
    <w:name w:val="批注文字 字符"/>
    <w:link w:val="a5"/>
    <w:rPr>
      <w:rFonts w:ascii="Times New Roman" w:eastAsia="宋体" w:hAnsi="Times New Roman" w:cs="Times New Roman"/>
      <w:szCs w:val="24"/>
    </w:rPr>
  </w:style>
  <w:style w:type="character" w:customStyle="1" w:styleId="af6">
    <w:name w:val="脚注文本 字符"/>
    <w:basedOn w:val="a0"/>
    <w:link w:val="af5"/>
    <w:rPr>
      <w:rFonts w:ascii="Times New Roman" w:hAnsi="Times New Roman"/>
      <w:kern w:val="2"/>
      <w:sz w:val="18"/>
    </w:rPr>
  </w:style>
  <w:style w:type="character" w:customStyle="1" w:styleId="afd">
    <w:name w:val="正文首行缩进 字符"/>
    <w:link w:val="afc"/>
    <w:rPr>
      <w:rFonts w:ascii="Times New Roman" w:eastAsia="宋体" w:hAnsi="Times New Roman" w:cs="Times New Roman"/>
      <w:sz w:val="24"/>
      <w:szCs w:val="24"/>
    </w:rPr>
  </w:style>
  <w:style w:type="character" w:customStyle="1" w:styleId="af2">
    <w:name w:val="页脚 字符"/>
    <w:link w:val="af1"/>
    <w:rPr>
      <w:rFonts w:ascii="Times New Roman" w:eastAsia="宋体" w:hAnsi="Times New Roman" w:cs="Times New Roman"/>
      <w:sz w:val="18"/>
      <w:szCs w:val="18"/>
    </w:rPr>
  </w:style>
  <w:style w:type="character" w:customStyle="1" w:styleId="ac">
    <w:name w:val="纯文本 字符"/>
    <w:basedOn w:val="a0"/>
    <w:link w:val="ab"/>
    <w:rPr>
      <w:rFonts w:ascii="宋体" w:hAnsi="Courier New"/>
      <w:sz w:val="21"/>
    </w:rPr>
  </w:style>
  <w:style w:type="character" w:customStyle="1" w:styleId="af4">
    <w:name w:val="页眉 字符"/>
    <w:link w:val="af3"/>
    <w:rPr>
      <w:rFonts w:ascii="Times New Roman" w:eastAsia="宋体" w:hAnsi="Times New Roman" w:cs="Times New Roman"/>
      <w:sz w:val="18"/>
      <w:szCs w:val="18"/>
    </w:rPr>
  </w:style>
  <w:style w:type="character" w:customStyle="1" w:styleId="QParagraphheadingburgundyChar">
    <w:name w:val="Q? Paragraph heading burgundy Char"/>
    <w:rPr>
      <w:rFonts w:ascii="Arial" w:eastAsia="宋体" w:hAnsi="Arial"/>
      <w:b/>
      <w:color w:val="800000"/>
      <w:spacing w:val="-8"/>
      <w:sz w:val="22"/>
      <w:lang w:val="en-GB" w:eastAsia="en-GB" w:bidi="ar-SA"/>
    </w:rPr>
  </w:style>
  <w:style w:type="character" w:customStyle="1" w:styleId="read">
    <w:name w:val="read"/>
    <w:basedOn w:val="a0"/>
  </w:style>
  <w:style w:type="character" w:customStyle="1" w:styleId="80">
    <w:name w:val="标题 8 字符"/>
    <w:link w:val="8"/>
    <w:rPr>
      <w:rFonts w:ascii="Arial" w:eastAsia="黑体" w:hAnsi="Arial"/>
      <w:kern w:val="2"/>
      <w:sz w:val="24"/>
    </w:rPr>
  </w:style>
  <w:style w:type="character" w:customStyle="1" w:styleId="a8">
    <w:name w:val="正文文本 字符"/>
    <w:link w:val="a7"/>
    <w:rPr>
      <w:rFonts w:ascii="仿宋_GB2312" w:eastAsia="仿宋_GB2312" w:hAnsi="Times New Roman" w:cs="Times New Roman"/>
      <w:sz w:val="24"/>
      <w:szCs w:val="24"/>
    </w:rPr>
  </w:style>
  <w:style w:type="character" w:customStyle="1" w:styleId="40">
    <w:name w:val="标题 4 字符"/>
    <w:link w:val="4"/>
    <w:rPr>
      <w:rFonts w:ascii="Arial" w:hAnsi="Arial"/>
      <w:kern w:val="2"/>
      <w:sz w:val="21"/>
    </w:rPr>
  </w:style>
  <w:style w:type="character" w:customStyle="1" w:styleId="22">
    <w:name w:val="正文文本缩进 2 字符"/>
    <w:link w:val="21"/>
    <w:rPr>
      <w:rFonts w:ascii="仿宋_GB2312" w:eastAsia="仿宋_GB2312" w:hAnsi="Times New Roman" w:cs="Times New Roman"/>
      <w:sz w:val="24"/>
      <w:szCs w:val="24"/>
    </w:rPr>
  </w:style>
  <w:style w:type="character" w:customStyle="1" w:styleId="25">
    <w:name w:val="正文文本 2 字符"/>
    <w:link w:val="24"/>
    <w:rPr>
      <w:rFonts w:ascii="仿宋_GB2312" w:eastAsia="仿宋_GB2312" w:hAnsi="Times New Roman" w:cs="Times New Roman"/>
      <w:color w:val="000000"/>
      <w:szCs w:val="24"/>
    </w:rPr>
  </w:style>
  <w:style w:type="character" w:customStyle="1" w:styleId="unnamed11">
    <w:name w:val="unnamed11"/>
    <w:rPr>
      <w:rFonts w:ascii="宋体" w:eastAsia="宋体" w:hAnsi="宋体" w:hint="eastAsia"/>
      <w:sz w:val="18"/>
      <w:szCs w:val="18"/>
    </w:rPr>
  </w:style>
  <w:style w:type="character" w:customStyle="1" w:styleId="50">
    <w:name w:val="标题 5 字符"/>
    <w:link w:val="5"/>
    <w:rPr>
      <w:rFonts w:ascii="Times New Roman" w:hAnsi="Times New Roman"/>
      <w:kern w:val="2"/>
      <w:sz w:val="21"/>
    </w:rPr>
  </w:style>
  <w:style w:type="character" w:customStyle="1" w:styleId="20">
    <w:name w:val="标题 2 字符"/>
    <w:link w:val="2"/>
    <w:rPr>
      <w:rFonts w:ascii="Arial" w:hAnsi="Arial"/>
      <w:b/>
      <w:kern w:val="2"/>
      <w:sz w:val="24"/>
    </w:rPr>
  </w:style>
  <w:style w:type="character" w:customStyle="1" w:styleId="70">
    <w:name w:val="标题 7 字符"/>
    <w:link w:val="7"/>
    <w:rPr>
      <w:rFonts w:ascii="Times New Roman" w:hAnsi="Times New Roman"/>
      <w:b/>
      <w:kern w:val="2"/>
      <w:sz w:val="24"/>
    </w:rPr>
  </w:style>
  <w:style w:type="character" w:customStyle="1" w:styleId="10">
    <w:name w:val="标题 1 字符"/>
    <w:link w:val="1"/>
    <w:rPr>
      <w:rFonts w:ascii="Times New Roman" w:hAnsi="Times New Roman"/>
      <w:b/>
      <w:kern w:val="44"/>
      <w:sz w:val="28"/>
      <w:szCs w:val="24"/>
    </w:rPr>
  </w:style>
  <w:style w:type="character" w:customStyle="1" w:styleId="af0">
    <w:name w:val="批注框文本 字符"/>
    <w:link w:val="af"/>
    <w:rPr>
      <w:rFonts w:ascii="Times New Roman" w:eastAsia="宋体" w:hAnsi="Times New Roman" w:cs="Times New Roman"/>
      <w:sz w:val="18"/>
      <w:szCs w:val="18"/>
    </w:rPr>
  </w:style>
  <w:style w:type="paragraph" w:customStyle="1" w:styleId="12">
    <w:name w:val="列表1"/>
    <w:basedOn w:val="a"/>
    <w:next w:val="a"/>
    <w:pPr>
      <w:tabs>
        <w:tab w:val="left" w:pos="644"/>
      </w:tabs>
      <w:spacing w:line="360" w:lineRule="auto"/>
      <w:ind w:left="567" w:hanging="283"/>
    </w:pPr>
    <w:rPr>
      <w:szCs w:val="20"/>
    </w:rPr>
  </w:style>
  <w:style w:type="paragraph" w:customStyle="1" w:styleId="InfoBlue">
    <w:name w:val="InfoBlue"/>
    <w:basedOn w:val="a"/>
    <w:next w:val="a7"/>
    <w:pPr>
      <w:tabs>
        <w:tab w:val="left" w:pos="420"/>
      </w:tabs>
      <w:spacing w:after="120" w:line="240" w:lineRule="atLeast"/>
      <w:ind w:left="420" w:hanging="420"/>
      <w:jc w:val="left"/>
    </w:pPr>
    <w:rPr>
      <w:rFonts w:ascii="宋体" w:hAnsi="宋体"/>
      <w:szCs w:val="20"/>
    </w:rPr>
  </w:style>
  <w:style w:type="paragraph" w:customStyle="1" w:styleId="CharCharCharChar1">
    <w:name w:val="Char Char Char Char1"/>
    <w:basedOn w:val="a"/>
    <w:rPr>
      <w:szCs w:val="20"/>
    </w:rPr>
  </w:style>
  <w:style w:type="paragraph" w:customStyle="1" w:styleId="aff4">
    <w:name w:val="正文所"/>
    <w:basedOn w:val="a"/>
    <w:pPr>
      <w:spacing w:line="360" w:lineRule="auto"/>
      <w:ind w:firstLineChars="200" w:firstLine="420"/>
    </w:pPr>
    <w:rPr>
      <w:rFonts w:ascii="宋体"/>
      <w:szCs w:val="20"/>
    </w:rPr>
  </w:style>
  <w:style w:type="paragraph" w:customStyle="1" w:styleId="Char">
    <w:name w:val="Char"/>
    <w:basedOn w:val="a"/>
    <w:qFormat/>
    <w:rPr>
      <w:szCs w:val="20"/>
    </w:rPr>
  </w:style>
  <w:style w:type="paragraph" w:styleId="aff5">
    <w:name w:val="List Paragraph"/>
    <w:basedOn w:val="a"/>
    <w:qFormat/>
    <w:pPr>
      <w:ind w:firstLineChars="200" w:firstLine="420"/>
    </w:pPr>
  </w:style>
  <w:style w:type="paragraph" w:customStyle="1" w:styleId="CharCharChar">
    <w:name w:val="Char Char Char"/>
    <w:basedOn w:val="a"/>
    <w:rPr>
      <w:szCs w:val="20"/>
    </w:rPr>
  </w:style>
  <w:style w:type="paragraph" w:customStyle="1" w:styleId="ParaChar">
    <w:name w:val="默认段落字体 Para Char"/>
    <w:basedOn w:val="a"/>
    <w:pPr>
      <w:tabs>
        <w:tab w:val="left" w:pos="360"/>
      </w:tabs>
    </w:pPr>
    <w:rPr>
      <w:sz w:val="24"/>
    </w:rPr>
  </w:style>
  <w:style w:type="paragraph" w:customStyle="1" w:styleId="Default">
    <w:name w:val="Default"/>
    <w:pPr>
      <w:widowControl w:val="0"/>
      <w:autoSpaceDE w:val="0"/>
      <w:autoSpaceDN w:val="0"/>
      <w:adjustRightInd w:val="0"/>
    </w:pPr>
    <w:rPr>
      <w:rFonts w:ascii="宋体" w:hAnsi="Times New Roman"/>
      <w:color w:val="000000"/>
      <w:sz w:val="24"/>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pPr>
      <w:tabs>
        <w:tab w:val="left" w:pos="840"/>
      </w:tabs>
      <w:ind w:left="840" w:hanging="360"/>
    </w:pPr>
    <w:rPr>
      <w:szCs w:val="20"/>
    </w:rPr>
  </w:style>
  <w:style w:type="paragraph" w:customStyle="1" w:styleId="Listbullet">
    <w:name w:val="List_bullet"/>
    <w:basedOn w:val="a"/>
    <w:pPr>
      <w:widowControl/>
      <w:tabs>
        <w:tab w:val="left" w:pos="360"/>
      </w:tabs>
      <w:jc w:val="left"/>
    </w:pPr>
    <w:rPr>
      <w:kern w:val="0"/>
      <w:sz w:val="24"/>
      <w:szCs w:val="20"/>
    </w:rPr>
  </w:style>
  <w:style w:type="paragraph" w:customStyle="1" w:styleId="26">
    <w:name w:val="列表2"/>
    <w:basedOn w:val="a"/>
    <w:next w:val="af8"/>
    <w:pPr>
      <w:tabs>
        <w:tab w:val="left" w:pos="360"/>
      </w:tabs>
      <w:spacing w:line="360" w:lineRule="auto"/>
    </w:pPr>
    <w:rPr>
      <w:rFonts w:ascii="宋体"/>
      <w:szCs w:val="20"/>
    </w:rPr>
  </w:style>
  <w:style w:type="paragraph" w:customStyle="1" w:styleId="27">
    <w:name w:val="编号正文2"/>
    <w:basedOn w:val="a"/>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msonormal1">
    <w:name w:val="msonormal1"/>
    <w:pPr>
      <w:widowControl w:val="0"/>
      <w:jc w:val="both"/>
    </w:pPr>
    <w:rPr>
      <w:rFonts w:ascii="Times New Roman" w:hAnsi="Times New Roman"/>
      <w:kern w:val="2"/>
      <w:sz w:val="21"/>
    </w:rPr>
  </w:style>
  <w:style w:type="paragraph" w:customStyle="1" w:styleId="CharCharCharCharCharCharChar">
    <w:name w:val="Char Char Char Char Char Char Char"/>
    <w:basedOn w:val="a"/>
    <w:pPr>
      <w:tabs>
        <w:tab w:val="left" w:pos="360"/>
      </w:tabs>
    </w:pPr>
    <w:rPr>
      <w:szCs w:val="20"/>
    </w:rPr>
  </w:style>
  <w:style w:type="paragraph" w:customStyle="1" w:styleId="CharChar1">
    <w:name w:val="Char Char1"/>
    <w:basedOn w:val="a"/>
    <w:rPr>
      <w:szCs w:val="20"/>
    </w:rPr>
  </w:style>
  <w:style w:type="paragraph" w:customStyle="1" w:styleId="aff6">
    <w:name w:val="正文正文"/>
    <w:basedOn w:val="a"/>
    <w:qFormat/>
    <w:pPr>
      <w:spacing w:afterLines="25" w:line="360" w:lineRule="auto"/>
      <w:ind w:firstLineChars="200" w:firstLine="200"/>
    </w:pPr>
    <w:rPr>
      <w:sz w:val="24"/>
      <w:szCs w:val="20"/>
    </w:rPr>
  </w:style>
  <w:style w:type="paragraph" w:customStyle="1" w:styleId="13">
    <w:name w:val="修订1"/>
    <w:rPr>
      <w:rFonts w:ascii="Times New Roman" w:hAnsi="Times New Roman"/>
      <w:kern w:val="2"/>
      <w:sz w:val="21"/>
      <w:szCs w:val="24"/>
    </w:rPr>
  </w:style>
  <w:style w:type="paragraph" w:customStyle="1" w:styleId="unnamed1">
    <w:name w:val="unnamed1"/>
    <w:basedOn w:val="a"/>
    <w:pPr>
      <w:widowControl/>
      <w:spacing w:before="60" w:after="60"/>
      <w:ind w:left="15" w:right="15"/>
      <w:jc w:val="left"/>
    </w:pPr>
    <w:rPr>
      <w:rFonts w:ascii="宋体" w:hAnsi="宋体" w:hint="eastAsia"/>
      <w:color w:val="000000"/>
      <w:kern w:val="0"/>
      <w:sz w:val="18"/>
      <w:szCs w:val="18"/>
    </w:rPr>
  </w:style>
  <w:style w:type="paragraph" w:customStyle="1" w:styleId="CharCharCharChar">
    <w:name w:val="Char Char Char Char"/>
    <w:basedOn w:val="a"/>
    <w:pPr>
      <w:tabs>
        <w:tab w:val="left" w:pos="360"/>
      </w:tabs>
    </w:pPr>
    <w:rPr>
      <w:szCs w:val="20"/>
    </w:rPr>
  </w:style>
  <w:style w:type="paragraph" w:customStyle="1" w:styleId="CharChar">
    <w:name w:val="Char Char"/>
    <w:basedOn w:val="a"/>
    <w:rPr>
      <w:szCs w:val="20"/>
    </w:rPr>
  </w:style>
  <w:style w:type="paragraph" w:customStyle="1" w:styleId="CharChar2">
    <w:name w:val="Char Char2"/>
    <w:basedOn w:val="a"/>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jun\Desktop\&#33635;&#31077;&#20445;&#26412;&#22522;&#37329;\&#25253;&#20250;&#26448;&#26009;\&#30003;&#25253;&#26448;&#26009;\03%20%20&#20132;&#38134;&#26045;&#32599;&#24503;&#33635;&#31077;&#20445;&#26412;&#28151;&#21512;&#22411;&#35777;&#21048;&#25237;&#36164;&#22522;&#37329;&#22522;&#37329;&#21512;&#21516;&#65288;&#33609;&#26696;&#65289;121225_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4BEE3-0B77-428E-8AF4-F890D9ED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交银施罗德荣祥保本混合型证券投资基金基金合同（草案）121225_1</Template>
  <TotalTime>545</TotalTime>
  <Pages>1</Pages>
  <Words>11191</Words>
  <Characters>63794</Characters>
  <Application>Microsoft Office Word</Application>
  <DocSecurity>0</DocSecurity>
  <Lines>531</Lines>
  <Paragraphs>149</Paragraphs>
  <ScaleCrop>false</ScaleCrop>
  <Company/>
  <LinksUpToDate>false</LinksUpToDate>
  <CharactersWithSpaces>74836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倪俊-2</dc:creator>
  <cp:lastModifiedBy>刘晨晨</cp:lastModifiedBy>
  <cp:revision>692</cp:revision>
  <cp:lastPrinted>2018-03-20T06:53:00Z</cp:lastPrinted>
  <dcterms:created xsi:type="dcterms:W3CDTF">2019-09-18T04:10:00Z</dcterms:created>
  <dcterms:modified xsi:type="dcterms:W3CDTF">2025-07-28T03:33:00Z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F19D4305B6A04E50BBD26DB2BCAB5122</vt:lpwstr>
  </property>
</Properties>
</file>