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eastAsiaTheme="minorEastAsia"/>
          <w:b/>
          <w:kern w:val="0"/>
          <w:sz w:val="30"/>
          <w:szCs w:val="30"/>
        </w:rPr>
      </w:pPr>
      <w:bookmarkStart w:id="3" w:name="_GoBack"/>
      <w:bookmarkEnd w:id="3"/>
      <w:r>
        <w:rPr>
          <w:rFonts w:hint="eastAsia" w:cs="宋体" w:eastAsiaTheme="minorEastAsia"/>
          <w:b/>
          <w:kern w:val="0"/>
          <w:sz w:val="30"/>
          <w:szCs w:val="30"/>
        </w:rPr>
        <w:t>交银施罗德基金管理有限公司关于交银施罗德180天持有期债券型证券投资基金基金合同生效公告</w:t>
      </w:r>
    </w:p>
    <w:p>
      <w:pPr>
        <w:jc w:val="center"/>
        <w:rPr>
          <w:rFonts w:cs="宋体" w:eastAsiaTheme="minorEastAsia"/>
          <w:kern w:val="0"/>
          <w:sz w:val="24"/>
          <w:szCs w:val="24"/>
        </w:rPr>
      </w:pPr>
      <w:r>
        <w:rPr>
          <w:rFonts w:hint="eastAsia" w:eastAsiaTheme="minorEastAsia"/>
          <w:color w:val="000000"/>
          <w:sz w:val="24"/>
          <w:szCs w:val="24"/>
        </w:rPr>
        <w:t>公告送出日期：</w:t>
      </w:r>
      <w:r>
        <w:rPr>
          <w:rFonts w:hint="eastAsia" w:eastAsiaTheme="minorEastAsia"/>
          <w:bCs/>
          <w:sz w:val="24"/>
          <w:szCs w:val="24"/>
        </w:rPr>
        <w:t>2025年</w:t>
      </w:r>
      <w:r>
        <w:rPr>
          <w:rFonts w:eastAsiaTheme="minorEastAsia"/>
          <w:bCs/>
          <w:sz w:val="24"/>
          <w:szCs w:val="24"/>
        </w:rPr>
        <w:t>7</w:t>
      </w:r>
      <w:r>
        <w:rPr>
          <w:rFonts w:hint="eastAsia" w:eastAsiaTheme="minorEastAsia"/>
          <w:bCs/>
          <w:sz w:val="24"/>
          <w:szCs w:val="24"/>
        </w:rPr>
        <w:t>月</w:t>
      </w:r>
      <w:r>
        <w:rPr>
          <w:rFonts w:eastAsiaTheme="minorEastAsia"/>
          <w:bCs/>
          <w:sz w:val="24"/>
          <w:szCs w:val="24"/>
        </w:rPr>
        <w:t>19</w:t>
      </w:r>
      <w:r>
        <w:rPr>
          <w:rFonts w:hint="eastAsia" w:eastAsiaTheme="minorEastAsia"/>
          <w:bCs/>
          <w:sz w:val="24"/>
          <w:szCs w:val="24"/>
        </w:rPr>
        <w:t>日</w:t>
      </w:r>
    </w:p>
    <w:p>
      <w:pPr>
        <w:spacing w:line="560" w:lineRule="exact"/>
        <w:rPr>
          <w:rFonts w:eastAsiaTheme="minorEastAsia"/>
          <w:color w:val="000000"/>
          <w:sz w:val="24"/>
          <w:szCs w:val="24"/>
        </w:rPr>
      </w:pPr>
    </w:p>
    <w:p>
      <w:pPr>
        <w:pStyle w:val="2"/>
        <w:spacing w:line="560" w:lineRule="exact"/>
        <w:rPr>
          <w:rFonts w:ascii="Times New Roman" w:hAnsi="Times New Roman" w:eastAsiaTheme="minorEastAsia"/>
          <w:bCs w:val="0"/>
          <w:color w:val="000000"/>
          <w:sz w:val="24"/>
          <w:szCs w:val="24"/>
        </w:rPr>
      </w:pPr>
      <w:bookmarkStart w:id="0" w:name="_Toc275961391"/>
      <w:r>
        <w:rPr>
          <w:rFonts w:ascii="Times New Roman" w:hAnsi="Times New Roman" w:eastAsiaTheme="minorEastAsia"/>
          <w:bCs w:val="0"/>
          <w:color w:val="000000"/>
          <w:sz w:val="24"/>
          <w:szCs w:val="24"/>
        </w:rPr>
        <w:t>1 公告基本信息</w:t>
      </w:r>
      <w:bookmarkEnd w:id="0"/>
    </w:p>
    <w:tbl>
      <w:tblPr>
        <w:tblStyle w:val="10"/>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3058"/>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pPr>
              <w:rPr>
                <w:rFonts w:eastAsiaTheme="minorEastAsia"/>
                <w:sz w:val="24"/>
                <w:szCs w:val="24"/>
              </w:rPr>
            </w:pPr>
            <w:r>
              <w:rPr>
                <w:rFonts w:hint="eastAsia" w:eastAsiaTheme="minorEastAsia"/>
                <w:sz w:val="24"/>
                <w:szCs w:val="24"/>
              </w:rPr>
              <w:t>交银施罗德180天持有期债券型证券投资基金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pPr>
              <w:rPr>
                <w:rFonts w:eastAsiaTheme="minorEastAsia"/>
                <w:sz w:val="24"/>
                <w:szCs w:val="24"/>
              </w:rPr>
            </w:pPr>
            <w:r>
              <w:rPr>
                <w:rFonts w:hint="eastAsia" w:eastAsiaTheme="minorEastAsia"/>
                <w:sz w:val="24"/>
                <w:szCs w:val="24"/>
              </w:rPr>
              <w:t>交银180天持有期债券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pPr>
              <w:rPr>
                <w:rFonts w:eastAsiaTheme="minorEastAsia"/>
                <w:sz w:val="24"/>
                <w:szCs w:val="24"/>
              </w:rPr>
            </w:pPr>
            <w:r>
              <w:rPr>
                <w:rFonts w:eastAsiaTheme="minorEastAsia"/>
                <w:sz w:val="24"/>
                <w:szCs w:val="24"/>
              </w:rPr>
              <w:t>023582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pPr>
              <w:rPr>
                <w:rFonts w:eastAsiaTheme="minorEastAsia"/>
                <w:sz w:val="24"/>
                <w:szCs w:val="24"/>
              </w:rPr>
            </w:pPr>
            <w:r>
              <w:rPr>
                <w:rFonts w:eastAsiaTheme="minorEastAsia"/>
                <w:sz w:val="24"/>
                <w:szCs w:val="24"/>
              </w:rPr>
              <w:t>契约型</w:t>
            </w:r>
            <w:r>
              <w:rPr>
                <w:rFonts w:hint="eastAsia" w:eastAsiaTheme="minorEastAsia"/>
                <w:sz w:val="24"/>
                <w:szCs w:val="24"/>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pPr>
              <w:rPr>
                <w:rFonts w:eastAsiaTheme="minorEastAsia"/>
                <w:sz w:val="24"/>
                <w:szCs w:val="24"/>
              </w:rPr>
            </w:pPr>
            <w:r>
              <w:rPr>
                <w:rFonts w:hint="eastAsia" w:eastAsiaTheme="minorEastAsia"/>
                <w:sz w:val="24"/>
                <w:szCs w:val="24"/>
              </w:rPr>
              <w:t>2025年</w:t>
            </w:r>
            <w:r>
              <w:rPr>
                <w:rFonts w:eastAsiaTheme="minorEastAsia"/>
                <w:sz w:val="24"/>
                <w:szCs w:val="24"/>
              </w:rPr>
              <w:t>7</w:t>
            </w:r>
            <w:r>
              <w:rPr>
                <w:rFonts w:hint="eastAsia" w:eastAsiaTheme="minorEastAsia"/>
                <w:sz w:val="24"/>
                <w:szCs w:val="24"/>
              </w:rPr>
              <w:t>月</w:t>
            </w:r>
            <w:r>
              <w:rPr>
                <w:rFonts w:eastAsiaTheme="minorEastAsia"/>
                <w:sz w:val="24"/>
                <w:szCs w:val="24"/>
              </w:rPr>
              <w:t>18</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pPr>
              <w:rPr>
                <w:rFonts w:eastAsiaTheme="minorEastAsia"/>
                <w:sz w:val="24"/>
                <w:szCs w:val="24"/>
              </w:rPr>
            </w:pPr>
            <w:r>
              <w:rPr>
                <w:rFonts w:eastAsiaTheme="minorEastAsia"/>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pPr>
              <w:rPr>
                <w:rFonts w:eastAsiaTheme="minorEastAsia"/>
                <w:sz w:val="24"/>
                <w:szCs w:val="24"/>
              </w:rPr>
            </w:pPr>
            <w:r>
              <w:rPr>
                <w:rFonts w:hint="eastAsia" w:eastAsiaTheme="minorEastAsia"/>
                <w:sz w:val="24"/>
                <w:szCs w:val="24"/>
              </w:rPr>
              <w:t>中国农业银行股份有限公司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pPr>
              <w:rPr>
                <w:rFonts w:eastAsiaTheme="minorEastAsia"/>
                <w:sz w:val="24"/>
                <w:szCs w:val="24"/>
              </w:rPr>
            </w:pPr>
            <w:r>
              <w:rPr>
                <w:rFonts w:eastAsiaTheme="minorEastAsia"/>
                <w:sz w:val="24"/>
                <w:szCs w:val="24"/>
              </w:rPr>
              <w:t>《</w:t>
            </w:r>
            <w:r>
              <w:rPr>
                <w:rFonts w:hint="eastAsia" w:eastAsiaTheme="minorEastAsia"/>
                <w:sz w:val="24"/>
                <w:szCs w:val="24"/>
              </w:rPr>
              <w:t>交银施罗德180天持有期债券型证券投资基金</w:t>
            </w:r>
            <w:r>
              <w:rPr>
                <w:rFonts w:eastAsiaTheme="minorEastAsia"/>
                <w:sz w:val="24"/>
                <w:szCs w:val="24"/>
              </w:rPr>
              <w:t>基金合同》、《</w:t>
            </w:r>
            <w:r>
              <w:rPr>
                <w:rFonts w:hint="eastAsia" w:eastAsiaTheme="minorEastAsia"/>
                <w:sz w:val="24"/>
                <w:szCs w:val="24"/>
              </w:rPr>
              <w:t>交银施罗德180天持有期债券型证券投资基金</w:t>
            </w:r>
            <w:r>
              <w:rPr>
                <w:rFonts w:eastAsiaTheme="minorEastAsia"/>
                <w:sz w:val="24"/>
                <w:szCs w:val="24"/>
              </w:rPr>
              <w:t>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下属分级基金的基金简称</w:t>
            </w:r>
          </w:p>
        </w:tc>
        <w:tc>
          <w:tcPr>
            <w:tcW w:w="1720" w:type="pct"/>
            <w:vAlign w:val="center"/>
          </w:tcPr>
          <w:p>
            <w:pPr>
              <w:rPr>
                <w:rFonts w:eastAsiaTheme="minorEastAsia"/>
                <w:sz w:val="24"/>
                <w:szCs w:val="24"/>
              </w:rPr>
            </w:pPr>
            <w:r>
              <w:rPr>
                <w:rFonts w:hint="eastAsia" w:eastAsiaTheme="minorEastAsia"/>
                <w:sz w:val="24"/>
                <w:szCs w:val="24"/>
              </w:rPr>
              <w:t>交银180天持有期债券</w:t>
            </w:r>
            <w:r>
              <w:rPr>
                <w:rFonts w:eastAsiaTheme="minorEastAsia"/>
                <w:sz w:val="24"/>
                <w:szCs w:val="24"/>
              </w:rPr>
              <w:t>A</w:t>
            </w:r>
          </w:p>
        </w:tc>
        <w:tc>
          <w:tcPr>
            <w:tcW w:w="1564" w:type="pct"/>
            <w:vAlign w:val="center"/>
          </w:tcPr>
          <w:p>
            <w:pPr>
              <w:rPr>
                <w:rFonts w:eastAsiaTheme="minorEastAsia"/>
                <w:sz w:val="24"/>
                <w:szCs w:val="24"/>
              </w:rPr>
            </w:pPr>
            <w:r>
              <w:rPr>
                <w:rFonts w:hint="eastAsia" w:eastAsiaTheme="minorEastAsia"/>
                <w:sz w:val="24"/>
                <w:szCs w:val="24"/>
              </w:rPr>
              <w:t>交银180天持有期债券</w:t>
            </w:r>
            <w:r>
              <w:rPr>
                <w:rFonts w:eastAsiaTheme="minorEastAsia"/>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下属分级基金的交易代码</w:t>
            </w:r>
          </w:p>
        </w:tc>
        <w:tc>
          <w:tcPr>
            <w:tcW w:w="1720" w:type="pct"/>
            <w:vAlign w:val="center"/>
          </w:tcPr>
          <w:p>
            <w:pPr>
              <w:rPr>
                <w:rFonts w:eastAsiaTheme="minorEastAsia"/>
                <w:sz w:val="24"/>
                <w:szCs w:val="24"/>
              </w:rPr>
            </w:pPr>
            <w:r>
              <w:rPr>
                <w:rFonts w:eastAsiaTheme="minorEastAsia"/>
                <w:sz w:val="24"/>
                <w:szCs w:val="24"/>
              </w:rPr>
              <w:t>023582</w:t>
            </w:r>
          </w:p>
        </w:tc>
        <w:tc>
          <w:tcPr>
            <w:tcW w:w="1564" w:type="pct"/>
            <w:vAlign w:val="center"/>
          </w:tcPr>
          <w:p>
            <w:pPr>
              <w:rPr>
                <w:rFonts w:eastAsiaTheme="minorEastAsia"/>
                <w:sz w:val="24"/>
                <w:szCs w:val="24"/>
              </w:rPr>
            </w:pPr>
            <w:r>
              <w:rPr>
                <w:rFonts w:eastAsiaTheme="minorEastAsia"/>
                <w:sz w:val="24"/>
                <w:szCs w:val="24"/>
              </w:rPr>
              <w:t>023583</w:t>
            </w:r>
          </w:p>
        </w:tc>
      </w:tr>
    </w:tbl>
    <w:p>
      <w:pPr>
        <w:pStyle w:val="2"/>
        <w:spacing w:line="530" w:lineRule="exact"/>
        <w:rPr>
          <w:rFonts w:ascii="Times New Roman" w:hAnsi="Times New Roman" w:eastAsiaTheme="minorEastAsia"/>
          <w:bCs w:val="0"/>
          <w:color w:val="000000"/>
          <w:sz w:val="24"/>
          <w:szCs w:val="24"/>
        </w:rPr>
      </w:pPr>
      <w:bookmarkStart w:id="1" w:name="_Toc275961392"/>
      <w:r>
        <w:rPr>
          <w:rFonts w:ascii="Times New Roman" w:hAnsi="Times New Roman" w:eastAsiaTheme="minorEastAsia"/>
          <w:bCs w:val="0"/>
          <w:color w:val="000000"/>
          <w:sz w:val="24"/>
          <w:szCs w:val="24"/>
        </w:rPr>
        <w:t>2 基金募集情况</w:t>
      </w:r>
      <w:bookmarkEnd w:id="1"/>
    </w:p>
    <w:tbl>
      <w:tblPr>
        <w:tblStyle w:val="10"/>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60"/>
        <w:gridCol w:w="1778"/>
        <w:gridCol w:w="181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3315" w:type="dxa"/>
            <w:gridSpan w:val="2"/>
          </w:tcPr>
          <w:p>
            <w:pPr>
              <w:jc w:val="left"/>
              <w:rPr>
                <w:rFonts w:eastAsiaTheme="minorEastAsia"/>
                <w:color w:val="000000"/>
                <w:sz w:val="24"/>
                <w:szCs w:val="24"/>
              </w:rPr>
            </w:pPr>
            <w:r>
              <w:rPr>
                <w:rFonts w:eastAsiaTheme="minorEastAsia"/>
                <w:color w:val="000000"/>
                <w:sz w:val="24"/>
                <w:szCs w:val="24"/>
              </w:rPr>
              <w:t>基金募集申请获中国证监会</w:t>
            </w:r>
            <w:r>
              <w:rPr>
                <w:rFonts w:hint="eastAsia" w:eastAsiaTheme="minorEastAsia"/>
                <w:color w:val="000000"/>
                <w:sz w:val="24"/>
                <w:szCs w:val="24"/>
              </w:rPr>
              <w:t>准予注册</w:t>
            </w:r>
            <w:r>
              <w:rPr>
                <w:rFonts w:eastAsiaTheme="minorEastAsia"/>
                <w:color w:val="000000"/>
                <w:sz w:val="24"/>
                <w:szCs w:val="24"/>
              </w:rPr>
              <w:t>的文号</w:t>
            </w:r>
          </w:p>
        </w:tc>
        <w:tc>
          <w:tcPr>
            <w:tcW w:w="5756" w:type="dxa"/>
            <w:gridSpan w:val="3"/>
            <w:vAlign w:val="center"/>
          </w:tcPr>
          <w:p>
            <w:pPr>
              <w:rPr>
                <w:rFonts w:eastAsiaTheme="minorEastAsia"/>
                <w:sz w:val="24"/>
                <w:szCs w:val="24"/>
              </w:rPr>
            </w:pPr>
            <w:r>
              <w:rPr>
                <w:rFonts w:hint="eastAsia" w:eastAsiaTheme="minorEastAsia"/>
                <w:sz w:val="24"/>
                <w:szCs w:val="24"/>
              </w:rPr>
              <w:t>证监许可【2025】242号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基金募集期间</w:t>
            </w:r>
          </w:p>
        </w:tc>
        <w:tc>
          <w:tcPr>
            <w:tcW w:w="5756" w:type="dxa"/>
            <w:gridSpan w:val="3"/>
            <w:vAlign w:val="center"/>
          </w:tcPr>
          <w:p>
            <w:pPr>
              <w:rPr>
                <w:rFonts w:eastAsiaTheme="minorEastAsia"/>
                <w:sz w:val="24"/>
                <w:szCs w:val="24"/>
              </w:rPr>
            </w:pPr>
            <w:r>
              <w:rPr>
                <w:rFonts w:hint="eastAsia" w:eastAsiaTheme="minorEastAsia"/>
                <w:sz w:val="24"/>
                <w:szCs w:val="24"/>
              </w:rPr>
              <w:t>自2025年</w:t>
            </w:r>
            <w:r>
              <w:rPr>
                <w:rFonts w:eastAsiaTheme="minorEastAsia"/>
                <w:sz w:val="24"/>
                <w:szCs w:val="24"/>
              </w:rPr>
              <w:t>7</w:t>
            </w:r>
            <w:r>
              <w:rPr>
                <w:rFonts w:hint="eastAsia" w:eastAsiaTheme="minorEastAsia"/>
                <w:sz w:val="24"/>
                <w:szCs w:val="24"/>
              </w:rPr>
              <w:t>月</w:t>
            </w:r>
            <w:r>
              <w:rPr>
                <w:rFonts w:eastAsiaTheme="minorEastAsia"/>
                <w:sz w:val="24"/>
                <w:szCs w:val="24"/>
              </w:rPr>
              <w:t>1</w:t>
            </w:r>
            <w:r>
              <w:rPr>
                <w:rFonts w:hint="eastAsia" w:eastAsiaTheme="minorEastAsia"/>
                <w:sz w:val="24"/>
                <w:szCs w:val="24"/>
              </w:rPr>
              <w:t>日</w:t>
            </w:r>
          </w:p>
          <w:p>
            <w:pPr>
              <w:rPr>
                <w:rFonts w:eastAsiaTheme="minorEastAsia"/>
                <w:sz w:val="24"/>
                <w:szCs w:val="24"/>
              </w:rPr>
            </w:pPr>
            <w:r>
              <w:rPr>
                <w:rFonts w:hint="eastAsia" w:eastAsiaTheme="minorEastAsia"/>
                <w:sz w:val="24"/>
                <w:szCs w:val="24"/>
              </w:rPr>
              <w:t>至2025年</w:t>
            </w:r>
            <w:r>
              <w:rPr>
                <w:rFonts w:eastAsiaTheme="minorEastAsia"/>
                <w:sz w:val="24"/>
                <w:szCs w:val="24"/>
              </w:rPr>
              <w:t>7</w:t>
            </w:r>
            <w:r>
              <w:rPr>
                <w:rFonts w:hint="eastAsia" w:eastAsiaTheme="minorEastAsia"/>
                <w:sz w:val="24"/>
                <w:szCs w:val="24"/>
              </w:rPr>
              <w:t>月</w:t>
            </w:r>
            <w:r>
              <w:rPr>
                <w:rFonts w:eastAsiaTheme="minorEastAsia"/>
                <w:sz w:val="24"/>
                <w:szCs w:val="24"/>
              </w:rPr>
              <w:t>16</w:t>
            </w:r>
            <w:r>
              <w:rPr>
                <w:rFonts w:hint="eastAsia" w:eastAsiaTheme="minorEastAsia"/>
                <w:sz w:val="24"/>
                <w:szCs w:val="24"/>
              </w:rPr>
              <w:t>日</w:t>
            </w:r>
            <w:r>
              <w:rPr>
                <w:rFonts w:eastAsiaTheme="minorEastAsia"/>
                <w:sz w:val="24"/>
                <w:szCs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验资机构名称</w:t>
            </w:r>
          </w:p>
        </w:tc>
        <w:tc>
          <w:tcPr>
            <w:tcW w:w="5756" w:type="dxa"/>
            <w:gridSpan w:val="3"/>
            <w:vAlign w:val="center"/>
          </w:tcPr>
          <w:p>
            <w:pPr>
              <w:rPr>
                <w:rFonts w:eastAsiaTheme="minorEastAsia"/>
                <w:sz w:val="24"/>
                <w:szCs w:val="24"/>
              </w:rPr>
            </w:pPr>
            <w:r>
              <w:rPr>
                <w:rFonts w:hint="eastAsia" w:eastAsiaTheme="minorEastAsia"/>
                <w:sz w:val="24"/>
                <w:szCs w:val="24"/>
              </w:rPr>
              <w:t>德勤华永会计师事务所（特殊普通合伙）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315" w:type="dxa"/>
            <w:gridSpan w:val="2"/>
            <w:vAlign w:val="center"/>
          </w:tcPr>
          <w:p>
            <w:pPr>
              <w:rPr>
                <w:rFonts w:eastAsiaTheme="minorEastAsia"/>
                <w:color w:val="000000"/>
                <w:sz w:val="24"/>
                <w:szCs w:val="24"/>
              </w:rPr>
            </w:pPr>
            <w:r>
              <w:rPr>
                <w:rFonts w:hint="eastAsia" w:eastAsiaTheme="minorEastAsia"/>
                <w:color w:val="000000"/>
                <w:sz w:val="24"/>
                <w:szCs w:val="24"/>
              </w:rPr>
              <w:t>募集资金划入基金托管专户的日期</w:t>
            </w:r>
          </w:p>
        </w:tc>
        <w:tc>
          <w:tcPr>
            <w:tcW w:w="5756" w:type="dxa"/>
            <w:gridSpan w:val="3"/>
            <w:vAlign w:val="center"/>
          </w:tcPr>
          <w:p>
            <w:pPr>
              <w:jc w:val="left"/>
              <w:rPr>
                <w:rFonts w:eastAsiaTheme="minorEastAsia"/>
                <w:sz w:val="24"/>
                <w:szCs w:val="24"/>
              </w:rPr>
            </w:pPr>
            <w:r>
              <w:rPr>
                <w:rFonts w:hint="eastAsia" w:eastAsiaTheme="minorEastAsia"/>
                <w:sz w:val="24"/>
                <w:szCs w:val="24"/>
              </w:rPr>
              <w:t>2025年</w:t>
            </w:r>
            <w:r>
              <w:rPr>
                <w:rFonts w:eastAsiaTheme="minorEastAsia"/>
                <w:sz w:val="24"/>
                <w:szCs w:val="24"/>
              </w:rPr>
              <w:t>7</w:t>
            </w:r>
            <w:r>
              <w:rPr>
                <w:rFonts w:hint="eastAsia" w:eastAsiaTheme="minorEastAsia"/>
                <w:sz w:val="24"/>
                <w:szCs w:val="24"/>
              </w:rPr>
              <w:t>月</w:t>
            </w:r>
            <w:r>
              <w:rPr>
                <w:rFonts w:eastAsiaTheme="minorEastAsia"/>
                <w:sz w:val="24"/>
                <w:szCs w:val="24"/>
              </w:rPr>
              <w:t>18</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3315" w:type="dxa"/>
            <w:gridSpan w:val="2"/>
            <w:vAlign w:val="center"/>
          </w:tcPr>
          <w:p>
            <w:pPr>
              <w:rPr>
                <w:rFonts w:eastAsiaTheme="minorEastAsia"/>
                <w:color w:val="000000"/>
                <w:sz w:val="24"/>
                <w:szCs w:val="24"/>
              </w:rPr>
            </w:pPr>
            <w:r>
              <w:rPr>
                <w:rFonts w:hint="eastAsia" w:eastAsiaTheme="minorEastAsia"/>
                <w:color w:val="000000"/>
                <w:sz w:val="24"/>
                <w:szCs w:val="24"/>
              </w:rPr>
              <w:t>募集有效认购总户数（单位：</w:t>
            </w:r>
            <w:r>
              <w:rPr>
                <w:rFonts w:hint="eastAsia" w:eastAsiaTheme="minorEastAsia"/>
                <w:color w:val="000000"/>
                <w:kern w:val="0"/>
                <w:sz w:val="24"/>
                <w:szCs w:val="24"/>
              </w:rPr>
              <w:t>户</w:t>
            </w:r>
            <w:r>
              <w:rPr>
                <w:rFonts w:hint="eastAsia" w:eastAsiaTheme="minorEastAsia"/>
                <w:color w:val="000000"/>
                <w:sz w:val="24"/>
                <w:szCs w:val="24"/>
              </w:rPr>
              <w:t>）</w:t>
            </w:r>
          </w:p>
        </w:tc>
        <w:tc>
          <w:tcPr>
            <w:tcW w:w="5756" w:type="dxa"/>
            <w:gridSpan w:val="3"/>
            <w:shd w:val="clear" w:color="auto" w:fill="auto"/>
            <w:vAlign w:val="center"/>
          </w:tcPr>
          <w:p>
            <w:pPr>
              <w:jc w:val="left"/>
              <w:rPr>
                <w:rFonts w:eastAsiaTheme="minorEastAsia"/>
                <w:sz w:val="24"/>
                <w:szCs w:val="24"/>
              </w:rPr>
            </w:pPr>
            <w:r>
              <w:rPr>
                <w:rFonts w:eastAsiaTheme="minorEastAsia"/>
                <w:sz w:val="24"/>
                <w:szCs w:val="24"/>
              </w:rPr>
              <w:t>4,166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份额级别</w:t>
            </w:r>
          </w:p>
        </w:tc>
        <w:tc>
          <w:tcPr>
            <w:tcW w:w="1778" w:type="dxa"/>
            <w:vAlign w:val="center"/>
          </w:tcPr>
          <w:p>
            <w:pPr>
              <w:rPr>
                <w:rFonts w:eastAsiaTheme="minorEastAsia"/>
                <w:sz w:val="24"/>
                <w:szCs w:val="24"/>
              </w:rPr>
            </w:pPr>
            <w:r>
              <w:rPr>
                <w:rFonts w:hint="eastAsia" w:eastAsiaTheme="minorEastAsia"/>
                <w:sz w:val="24"/>
                <w:szCs w:val="24"/>
              </w:rPr>
              <w:t>交银180天持有期债券A</w:t>
            </w:r>
          </w:p>
        </w:tc>
        <w:tc>
          <w:tcPr>
            <w:tcW w:w="1819" w:type="dxa"/>
            <w:vAlign w:val="center"/>
          </w:tcPr>
          <w:p>
            <w:pPr>
              <w:rPr>
                <w:rFonts w:eastAsiaTheme="minorEastAsia"/>
                <w:sz w:val="24"/>
                <w:szCs w:val="24"/>
              </w:rPr>
            </w:pPr>
            <w:r>
              <w:rPr>
                <w:rFonts w:hint="eastAsia" w:eastAsiaTheme="minorEastAsia"/>
                <w:sz w:val="24"/>
                <w:szCs w:val="24"/>
              </w:rPr>
              <w:t>交银180天持有期债券C</w:t>
            </w:r>
          </w:p>
        </w:tc>
        <w:tc>
          <w:tcPr>
            <w:tcW w:w="2159" w:type="dxa"/>
            <w:vAlign w:val="center"/>
          </w:tcPr>
          <w:p>
            <w:pPr>
              <w:rPr>
                <w:rFonts w:eastAsiaTheme="minorEastAsia"/>
                <w:sz w:val="24"/>
                <w:szCs w:val="24"/>
              </w:rPr>
            </w:pPr>
            <w:r>
              <w:rPr>
                <w:rFonts w:hint="eastAsia" w:eastAsiaTheme="minorEastAsia"/>
                <w:sz w:val="24"/>
                <w:szCs w:val="24"/>
              </w:rPr>
              <w:t>交银180天持有期债券</w:t>
            </w:r>
            <w:r>
              <w:rPr>
                <w:rFonts w:eastAsiaTheme="minorEastAsia"/>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rPr>
            </w:pPr>
            <w:r>
              <w:rPr>
                <w:rFonts w:hint="eastAsia" w:eastAsiaTheme="minorEastAsia"/>
                <w:sz w:val="24"/>
                <w:szCs w:val="24"/>
              </w:rPr>
              <w:t>募集期间净认购金额（单位：元）</w:t>
            </w:r>
          </w:p>
        </w:tc>
        <w:tc>
          <w:tcPr>
            <w:tcW w:w="1778" w:type="dxa"/>
            <w:vAlign w:val="center"/>
          </w:tcPr>
          <w:p>
            <w:pPr>
              <w:widowControl/>
              <w:jc w:val="center"/>
              <w:rPr>
                <w:rFonts w:eastAsiaTheme="minorEastAsia"/>
                <w:color w:val="000000"/>
                <w:sz w:val="24"/>
                <w:szCs w:val="24"/>
              </w:rPr>
            </w:pPr>
            <w:r>
              <w:rPr>
                <w:rFonts w:eastAsiaTheme="minorEastAsia"/>
                <w:color w:val="000000"/>
                <w:sz w:val="24"/>
                <w:szCs w:val="24"/>
              </w:rPr>
              <w:t xml:space="preserve">986,060,725.66 </w:t>
            </w:r>
          </w:p>
        </w:tc>
        <w:tc>
          <w:tcPr>
            <w:tcW w:w="1819" w:type="dxa"/>
            <w:vAlign w:val="center"/>
          </w:tcPr>
          <w:p>
            <w:pPr>
              <w:jc w:val="center"/>
              <w:rPr>
                <w:rFonts w:eastAsiaTheme="minorEastAsia"/>
                <w:color w:val="000000"/>
                <w:sz w:val="24"/>
                <w:szCs w:val="24"/>
              </w:rPr>
            </w:pPr>
            <w:r>
              <w:rPr>
                <w:rFonts w:eastAsiaTheme="minorEastAsia"/>
                <w:color w:val="000000"/>
                <w:sz w:val="24"/>
                <w:szCs w:val="24"/>
              </w:rPr>
              <w:t xml:space="preserve">320,065,662.94 </w:t>
            </w:r>
          </w:p>
        </w:tc>
        <w:tc>
          <w:tcPr>
            <w:tcW w:w="2159" w:type="dxa"/>
            <w:vAlign w:val="center"/>
          </w:tcPr>
          <w:p>
            <w:pPr>
              <w:widowControl/>
              <w:jc w:val="center"/>
              <w:rPr>
                <w:rFonts w:eastAsiaTheme="minorEastAsia"/>
                <w:color w:val="000000"/>
                <w:sz w:val="24"/>
                <w:szCs w:val="24"/>
              </w:rPr>
            </w:pPr>
            <w:r>
              <w:rPr>
                <w:rFonts w:eastAsiaTheme="minorEastAsia"/>
                <w:color w:val="000000"/>
                <w:sz w:val="24"/>
                <w:szCs w:val="24"/>
              </w:rPr>
              <w:t xml:space="preserve">1,306,126,388.60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rPr>
            </w:pPr>
            <w:r>
              <w:rPr>
                <w:rFonts w:hint="eastAsia" w:eastAsiaTheme="minorEastAsia"/>
                <w:sz w:val="24"/>
                <w:szCs w:val="24"/>
              </w:rPr>
              <w:t>认购资金在募集期间产生的利息（单位：元）</w:t>
            </w:r>
          </w:p>
        </w:tc>
        <w:tc>
          <w:tcPr>
            <w:tcW w:w="1778" w:type="dxa"/>
            <w:vAlign w:val="center"/>
          </w:tcPr>
          <w:p>
            <w:pPr>
              <w:widowControl/>
              <w:jc w:val="center"/>
              <w:rPr>
                <w:rFonts w:eastAsiaTheme="minorEastAsia"/>
                <w:color w:val="000000"/>
                <w:sz w:val="24"/>
                <w:szCs w:val="24"/>
              </w:rPr>
            </w:pPr>
            <w:r>
              <w:rPr>
                <w:rFonts w:eastAsiaTheme="minorEastAsia"/>
                <w:color w:val="000000"/>
                <w:sz w:val="24"/>
                <w:szCs w:val="24"/>
              </w:rPr>
              <w:t>304,390.73</w:t>
            </w:r>
          </w:p>
        </w:tc>
        <w:tc>
          <w:tcPr>
            <w:tcW w:w="1819" w:type="dxa"/>
            <w:vAlign w:val="center"/>
          </w:tcPr>
          <w:p>
            <w:pPr>
              <w:jc w:val="center"/>
              <w:rPr>
                <w:rFonts w:eastAsiaTheme="minorEastAsia"/>
                <w:sz w:val="24"/>
                <w:szCs w:val="24"/>
              </w:rPr>
            </w:pPr>
            <w:r>
              <w:rPr>
                <w:rFonts w:eastAsiaTheme="minorEastAsia"/>
                <w:sz w:val="24"/>
                <w:szCs w:val="24"/>
              </w:rPr>
              <w:t>95,799.01</w:t>
            </w:r>
          </w:p>
        </w:tc>
        <w:tc>
          <w:tcPr>
            <w:tcW w:w="2159" w:type="dxa"/>
            <w:vAlign w:val="center"/>
          </w:tcPr>
          <w:p>
            <w:pPr>
              <w:widowControl/>
              <w:jc w:val="center"/>
              <w:rPr>
                <w:rFonts w:eastAsiaTheme="minorEastAsia"/>
                <w:color w:val="000000"/>
                <w:sz w:val="24"/>
                <w:szCs w:val="24"/>
              </w:rPr>
            </w:pPr>
            <w:r>
              <w:rPr>
                <w:rFonts w:eastAsiaTheme="minorEastAsia"/>
                <w:color w:val="000000"/>
                <w:sz w:val="24"/>
                <w:szCs w:val="24"/>
              </w:rPr>
              <w:t xml:space="preserve">400,189.74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color w:val="000000"/>
                <w:sz w:val="24"/>
                <w:szCs w:val="24"/>
              </w:rPr>
            </w:pPr>
            <w:r>
              <w:rPr>
                <w:rFonts w:hint="eastAsia" w:eastAsiaTheme="minorEastAsia"/>
                <w:color w:val="000000"/>
                <w:sz w:val="24"/>
                <w:szCs w:val="24"/>
              </w:rPr>
              <w:t>募集份额（单位：份）</w:t>
            </w:r>
          </w:p>
        </w:tc>
        <w:tc>
          <w:tcPr>
            <w:tcW w:w="1760" w:type="dxa"/>
            <w:vAlign w:val="center"/>
          </w:tcPr>
          <w:p>
            <w:pPr>
              <w:rPr>
                <w:rFonts w:eastAsiaTheme="minorEastAsia"/>
                <w:sz w:val="24"/>
                <w:szCs w:val="24"/>
              </w:rPr>
            </w:pPr>
            <w:r>
              <w:rPr>
                <w:rFonts w:hint="eastAsia" w:eastAsiaTheme="minorEastAsia"/>
                <w:sz w:val="24"/>
                <w:szCs w:val="24"/>
              </w:rPr>
              <w:t>有效认购份额</w:t>
            </w:r>
          </w:p>
        </w:tc>
        <w:tc>
          <w:tcPr>
            <w:tcW w:w="1778" w:type="dxa"/>
            <w:vAlign w:val="center"/>
          </w:tcPr>
          <w:p>
            <w:pPr>
              <w:spacing w:line="530" w:lineRule="exact"/>
              <w:jc w:val="center"/>
              <w:rPr>
                <w:rFonts w:eastAsiaTheme="minorEastAsia"/>
                <w:color w:val="000000"/>
                <w:sz w:val="24"/>
                <w:szCs w:val="24"/>
              </w:rPr>
            </w:pPr>
            <w:r>
              <w:rPr>
                <w:rFonts w:eastAsiaTheme="minorEastAsia"/>
                <w:color w:val="000000"/>
                <w:sz w:val="24"/>
                <w:szCs w:val="24"/>
              </w:rPr>
              <w:t xml:space="preserve">986,060,725.66 </w:t>
            </w:r>
          </w:p>
        </w:tc>
        <w:tc>
          <w:tcPr>
            <w:tcW w:w="1819" w:type="dxa"/>
            <w:vAlign w:val="center"/>
          </w:tcPr>
          <w:p>
            <w:pPr>
              <w:spacing w:line="530" w:lineRule="exact"/>
              <w:jc w:val="center"/>
              <w:rPr>
                <w:rFonts w:eastAsiaTheme="minorEastAsia"/>
                <w:color w:val="000000"/>
                <w:sz w:val="24"/>
                <w:szCs w:val="24"/>
              </w:rPr>
            </w:pPr>
            <w:r>
              <w:rPr>
                <w:rFonts w:eastAsiaTheme="minorEastAsia"/>
                <w:color w:val="000000"/>
                <w:sz w:val="24"/>
                <w:szCs w:val="24"/>
              </w:rPr>
              <w:t xml:space="preserve">320,065,662.94 </w:t>
            </w:r>
          </w:p>
        </w:tc>
        <w:tc>
          <w:tcPr>
            <w:tcW w:w="2159" w:type="dxa"/>
            <w:vAlign w:val="center"/>
          </w:tcPr>
          <w:p>
            <w:pPr>
              <w:spacing w:line="530" w:lineRule="exact"/>
              <w:jc w:val="center"/>
              <w:rPr>
                <w:rFonts w:eastAsiaTheme="minorEastAsia"/>
                <w:color w:val="000000"/>
                <w:sz w:val="24"/>
                <w:szCs w:val="24"/>
              </w:rPr>
            </w:pPr>
            <w:r>
              <w:rPr>
                <w:rFonts w:eastAsiaTheme="minorEastAsia"/>
                <w:color w:val="000000"/>
                <w:sz w:val="24"/>
                <w:szCs w:val="24"/>
              </w:rPr>
              <w:t xml:space="preserve">1,306,126,388.60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利息结转的份额</w:t>
            </w:r>
          </w:p>
        </w:tc>
        <w:tc>
          <w:tcPr>
            <w:tcW w:w="1778" w:type="dxa"/>
            <w:vAlign w:val="center"/>
          </w:tcPr>
          <w:p>
            <w:pPr>
              <w:widowControl/>
              <w:jc w:val="center"/>
              <w:rPr>
                <w:rFonts w:eastAsiaTheme="minorEastAsia"/>
                <w:color w:val="000000"/>
                <w:sz w:val="24"/>
                <w:szCs w:val="24"/>
              </w:rPr>
            </w:pPr>
            <w:r>
              <w:rPr>
                <w:rFonts w:eastAsiaTheme="minorEastAsia"/>
                <w:color w:val="000000"/>
                <w:sz w:val="24"/>
                <w:szCs w:val="24"/>
              </w:rPr>
              <w:t>304,390.73</w:t>
            </w:r>
          </w:p>
        </w:tc>
        <w:tc>
          <w:tcPr>
            <w:tcW w:w="1819" w:type="dxa"/>
            <w:vAlign w:val="center"/>
          </w:tcPr>
          <w:p>
            <w:pPr>
              <w:jc w:val="center"/>
              <w:rPr>
                <w:rFonts w:eastAsiaTheme="minorEastAsia"/>
                <w:sz w:val="24"/>
                <w:szCs w:val="24"/>
              </w:rPr>
            </w:pPr>
            <w:r>
              <w:rPr>
                <w:rFonts w:eastAsiaTheme="minorEastAsia"/>
                <w:sz w:val="24"/>
                <w:szCs w:val="24"/>
              </w:rPr>
              <w:t>95,799.01</w:t>
            </w:r>
          </w:p>
        </w:tc>
        <w:tc>
          <w:tcPr>
            <w:tcW w:w="2159" w:type="dxa"/>
            <w:vAlign w:val="center"/>
          </w:tcPr>
          <w:p>
            <w:pPr>
              <w:widowControl/>
              <w:jc w:val="center"/>
              <w:rPr>
                <w:rFonts w:eastAsiaTheme="minorEastAsia"/>
                <w:color w:val="000000"/>
                <w:sz w:val="24"/>
                <w:szCs w:val="24"/>
              </w:rPr>
            </w:pPr>
            <w:r>
              <w:rPr>
                <w:rFonts w:eastAsiaTheme="minorEastAsia"/>
                <w:color w:val="000000"/>
                <w:sz w:val="24"/>
                <w:szCs w:val="24"/>
              </w:rPr>
              <w:t xml:space="preserve">400,189.74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合计</w:t>
            </w:r>
          </w:p>
        </w:tc>
        <w:tc>
          <w:tcPr>
            <w:tcW w:w="1778" w:type="dxa"/>
            <w:vAlign w:val="center"/>
          </w:tcPr>
          <w:p>
            <w:pPr>
              <w:widowControl/>
              <w:jc w:val="center"/>
              <w:rPr>
                <w:rFonts w:eastAsiaTheme="minorEastAsia"/>
                <w:color w:val="000000"/>
                <w:sz w:val="24"/>
                <w:szCs w:val="24"/>
              </w:rPr>
            </w:pPr>
            <w:bookmarkStart w:id="2" w:name="OLE_LINK1"/>
            <w:r>
              <w:rPr>
                <w:rFonts w:eastAsiaTheme="minorEastAsia"/>
                <w:color w:val="000000"/>
                <w:sz w:val="24"/>
                <w:szCs w:val="24"/>
              </w:rPr>
              <w:t>986,365,116.39</w:t>
            </w:r>
            <w:bookmarkEnd w:id="2"/>
            <w:r>
              <w:rPr>
                <w:rFonts w:eastAsiaTheme="minorEastAsia"/>
                <w:color w:val="000000"/>
                <w:sz w:val="24"/>
                <w:szCs w:val="24"/>
              </w:rPr>
              <w:t xml:space="preserve"> </w:t>
            </w:r>
          </w:p>
        </w:tc>
        <w:tc>
          <w:tcPr>
            <w:tcW w:w="1819" w:type="dxa"/>
            <w:vAlign w:val="center"/>
          </w:tcPr>
          <w:p>
            <w:pPr>
              <w:jc w:val="center"/>
              <w:rPr>
                <w:rFonts w:eastAsiaTheme="minorEastAsia"/>
                <w:sz w:val="24"/>
                <w:szCs w:val="24"/>
              </w:rPr>
            </w:pPr>
            <w:r>
              <w:rPr>
                <w:rFonts w:eastAsiaTheme="minorEastAsia"/>
                <w:sz w:val="24"/>
                <w:szCs w:val="24"/>
              </w:rPr>
              <w:t>320,161,461.95</w:t>
            </w:r>
          </w:p>
        </w:tc>
        <w:tc>
          <w:tcPr>
            <w:tcW w:w="2159" w:type="dxa"/>
            <w:vAlign w:val="center"/>
          </w:tcPr>
          <w:p>
            <w:pPr>
              <w:jc w:val="center"/>
              <w:rPr>
                <w:rFonts w:eastAsiaTheme="minorEastAsia"/>
                <w:sz w:val="24"/>
                <w:szCs w:val="24"/>
              </w:rPr>
            </w:pPr>
            <w:r>
              <w:rPr>
                <w:rFonts w:eastAsiaTheme="minorEastAsia"/>
                <w:sz w:val="24"/>
                <w:szCs w:val="24"/>
              </w:rPr>
              <w:t xml:space="preserve">1,306,526,578.34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sz w:val="24"/>
                <w:szCs w:val="24"/>
              </w:rPr>
            </w:pPr>
            <w:r>
              <w:rPr>
                <w:rFonts w:hint="eastAsia" w:eastAsiaTheme="minorEastAsia"/>
                <w:sz w:val="24"/>
                <w:szCs w:val="24"/>
              </w:rPr>
              <w:t>其中：募集期间基金管理人运用固有资金认购本基金情况</w:t>
            </w:r>
          </w:p>
        </w:tc>
        <w:tc>
          <w:tcPr>
            <w:tcW w:w="1760" w:type="dxa"/>
            <w:vAlign w:val="center"/>
          </w:tcPr>
          <w:p>
            <w:pPr>
              <w:rPr>
                <w:rFonts w:eastAsiaTheme="minorEastAsia"/>
                <w:sz w:val="24"/>
                <w:szCs w:val="24"/>
              </w:rPr>
            </w:pPr>
            <w:r>
              <w:rPr>
                <w:rFonts w:hint="eastAsia" w:eastAsiaTheme="minorEastAsia"/>
                <w:sz w:val="24"/>
                <w:szCs w:val="24"/>
              </w:rPr>
              <w:t>认购的基金份额（单位：份）</w:t>
            </w:r>
          </w:p>
        </w:tc>
        <w:tc>
          <w:tcPr>
            <w:tcW w:w="1778" w:type="dxa"/>
            <w:vAlign w:val="center"/>
          </w:tcPr>
          <w:p>
            <w:pPr>
              <w:widowControl/>
              <w:jc w:val="center"/>
              <w:rPr>
                <w:rFonts w:eastAsiaTheme="minorEastAsia"/>
                <w:color w:val="000000"/>
                <w:sz w:val="24"/>
                <w:szCs w:val="24"/>
              </w:rPr>
            </w:pPr>
            <w:r>
              <w:rPr>
                <w:rFonts w:hint="eastAsia" w:eastAsiaTheme="minorEastAsia"/>
                <w:color w:val="000000"/>
                <w:sz w:val="24"/>
                <w:szCs w:val="24"/>
              </w:rPr>
              <w:t>-</w:t>
            </w:r>
          </w:p>
        </w:tc>
        <w:tc>
          <w:tcPr>
            <w:tcW w:w="1819" w:type="dxa"/>
            <w:vAlign w:val="center"/>
          </w:tcPr>
          <w:p>
            <w:pPr>
              <w:widowControl/>
              <w:jc w:val="center"/>
              <w:rPr>
                <w:rFonts w:eastAsiaTheme="minorEastAsia"/>
                <w:color w:val="000000"/>
                <w:sz w:val="24"/>
                <w:szCs w:val="24"/>
              </w:rPr>
            </w:pPr>
            <w:r>
              <w:rPr>
                <w:rFonts w:hint="eastAsia" w:eastAsiaTheme="minorEastAsia"/>
                <w:color w:val="000000"/>
                <w:sz w:val="24"/>
                <w:szCs w:val="24"/>
              </w:rPr>
              <w:t>-</w:t>
            </w:r>
          </w:p>
        </w:tc>
        <w:tc>
          <w:tcPr>
            <w:tcW w:w="2159" w:type="dxa"/>
            <w:vAlign w:val="center"/>
          </w:tcPr>
          <w:p>
            <w:pPr>
              <w:widowControl/>
              <w:jc w:val="center"/>
              <w:rPr>
                <w:rFonts w:eastAsiaTheme="minorEastAsia"/>
                <w:color w:val="000000"/>
                <w:sz w:val="24"/>
                <w:szCs w:val="24"/>
              </w:rPr>
            </w:pPr>
            <w:r>
              <w:rPr>
                <w:rFonts w:hint="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占基金总份额比例</w:t>
            </w:r>
          </w:p>
        </w:tc>
        <w:tc>
          <w:tcPr>
            <w:tcW w:w="1778" w:type="dxa"/>
            <w:vAlign w:val="center"/>
          </w:tcPr>
          <w:p>
            <w:pPr>
              <w:jc w:val="center"/>
              <w:rPr>
                <w:rFonts w:eastAsiaTheme="minorEastAsia"/>
                <w:color w:val="000000"/>
                <w:sz w:val="24"/>
                <w:szCs w:val="24"/>
              </w:rPr>
            </w:pPr>
            <w:r>
              <w:rPr>
                <w:rFonts w:hint="eastAsia" w:eastAsiaTheme="minorEastAsia"/>
                <w:color w:val="000000"/>
                <w:sz w:val="24"/>
                <w:szCs w:val="24"/>
              </w:rPr>
              <w:t>-</w:t>
            </w:r>
          </w:p>
        </w:tc>
        <w:tc>
          <w:tcPr>
            <w:tcW w:w="1819" w:type="dxa"/>
            <w:vAlign w:val="center"/>
          </w:tcPr>
          <w:p>
            <w:pPr>
              <w:jc w:val="center"/>
              <w:rPr>
                <w:rFonts w:eastAsiaTheme="minorEastAsia"/>
                <w:color w:val="000000"/>
                <w:sz w:val="24"/>
                <w:szCs w:val="24"/>
              </w:rPr>
            </w:pPr>
            <w:r>
              <w:rPr>
                <w:rFonts w:hint="eastAsia" w:eastAsiaTheme="minorEastAsia"/>
                <w:color w:val="000000"/>
                <w:sz w:val="24"/>
                <w:szCs w:val="24"/>
              </w:rPr>
              <w:t>-</w:t>
            </w:r>
          </w:p>
        </w:tc>
        <w:tc>
          <w:tcPr>
            <w:tcW w:w="2159" w:type="dxa"/>
            <w:vAlign w:val="center"/>
          </w:tcPr>
          <w:p>
            <w:pPr>
              <w:jc w:val="center"/>
              <w:rPr>
                <w:rFonts w:eastAsiaTheme="minorEastAsia"/>
                <w:color w:val="000000"/>
                <w:sz w:val="24"/>
                <w:szCs w:val="24"/>
              </w:rPr>
            </w:pPr>
            <w:r>
              <w:rPr>
                <w:rFonts w:hint="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其他需要说明的事项</w:t>
            </w:r>
          </w:p>
        </w:tc>
        <w:tc>
          <w:tcPr>
            <w:tcW w:w="1778" w:type="dxa"/>
            <w:vAlign w:val="center"/>
          </w:tcPr>
          <w:p>
            <w:pPr>
              <w:widowControl/>
              <w:jc w:val="center"/>
              <w:rPr>
                <w:rFonts w:eastAsiaTheme="minorEastAsia"/>
                <w:color w:val="000000"/>
                <w:sz w:val="24"/>
                <w:szCs w:val="24"/>
              </w:rPr>
            </w:pPr>
            <w:r>
              <w:rPr>
                <w:rFonts w:hint="eastAsia" w:eastAsiaTheme="minorEastAsia"/>
                <w:color w:val="000000"/>
                <w:sz w:val="24"/>
                <w:szCs w:val="24"/>
              </w:rPr>
              <w:t>-</w:t>
            </w:r>
          </w:p>
        </w:tc>
        <w:tc>
          <w:tcPr>
            <w:tcW w:w="1819" w:type="dxa"/>
            <w:vAlign w:val="center"/>
          </w:tcPr>
          <w:p>
            <w:pPr>
              <w:widowControl/>
              <w:jc w:val="center"/>
              <w:rPr>
                <w:rFonts w:eastAsiaTheme="minorEastAsia"/>
                <w:color w:val="000000"/>
                <w:sz w:val="24"/>
                <w:szCs w:val="24"/>
              </w:rPr>
            </w:pPr>
            <w:r>
              <w:rPr>
                <w:rFonts w:hint="eastAsia" w:eastAsiaTheme="minorEastAsia"/>
                <w:color w:val="000000"/>
                <w:sz w:val="24"/>
                <w:szCs w:val="24"/>
              </w:rPr>
              <w:t>-</w:t>
            </w:r>
          </w:p>
        </w:tc>
        <w:tc>
          <w:tcPr>
            <w:tcW w:w="2159" w:type="dxa"/>
            <w:vAlign w:val="center"/>
          </w:tcPr>
          <w:p>
            <w:pPr>
              <w:widowControl/>
              <w:jc w:val="center"/>
              <w:rPr>
                <w:rFonts w:eastAsiaTheme="minorEastAsia"/>
                <w:color w:val="000000"/>
                <w:sz w:val="24"/>
                <w:szCs w:val="24"/>
              </w:rPr>
            </w:pPr>
            <w:r>
              <w:rPr>
                <w:rFonts w:hint="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555" w:type="dxa"/>
            <w:vMerge w:val="restart"/>
            <w:vAlign w:val="center"/>
          </w:tcPr>
          <w:p>
            <w:pPr>
              <w:rPr>
                <w:rFonts w:eastAsiaTheme="minorEastAsia"/>
                <w:sz w:val="24"/>
                <w:szCs w:val="24"/>
              </w:rPr>
            </w:pPr>
            <w:r>
              <w:rPr>
                <w:rFonts w:hint="eastAsia" w:eastAsiaTheme="minorEastAsia"/>
                <w:sz w:val="24"/>
                <w:szCs w:val="24"/>
              </w:rPr>
              <w:t>其中：募集期间基金管理人的从业人员认购本基金情况</w:t>
            </w:r>
          </w:p>
        </w:tc>
        <w:tc>
          <w:tcPr>
            <w:tcW w:w="1760" w:type="dxa"/>
            <w:vAlign w:val="center"/>
          </w:tcPr>
          <w:p>
            <w:pPr>
              <w:rPr>
                <w:rFonts w:eastAsiaTheme="minorEastAsia"/>
                <w:sz w:val="24"/>
                <w:szCs w:val="24"/>
              </w:rPr>
            </w:pPr>
            <w:r>
              <w:rPr>
                <w:rFonts w:hint="eastAsia" w:eastAsiaTheme="minorEastAsia"/>
                <w:sz w:val="24"/>
                <w:szCs w:val="24"/>
              </w:rPr>
              <w:t>认购的基金份额（单位：份）</w:t>
            </w:r>
          </w:p>
        </w:tc>
        <w:tc>
          <w:tcPr>
            <w:tcW w:w="1778" w:type="dxa"/>
            <w:vAlign w:val="center"/>
          </w:tcPr>
          <w:p>
            <w:pPr>
              <w:widowControl/>
              <w:jc w:val="center"/>
              <w:rPr>
                <w:rFonts w:eastAsiaTheme="minorEastAsia"/>
                <w:color w:val="000000"/>
                <w:sz w:val="24"/>
                <w:szCs w:val="24"/>
              </w:rPr>
            </w:pPr>
            <w:r>
              <w:rPr>
                <w:rFonts w:hint="eastAsia" w:eastAsiaTheme="minorEastAsia"/>
                <w:color w:val="000000"/>
                <w:sz w:val="24"/>
                <w:szCs w:val="24"/>
              </w:rPr>
              <w:t>4,987.95</w:t>
            </w:r>
          </w:p>
        </w:tc>
        <w:tc>
          <w:tcPr>
            <w:tcW w:w="1819" w:type="dxa"/>
            <w:vAlign w:val="center"/>
          </w:tcPr>
          <w:p>
            <w:pPr>
              <w:widowControl/>
              <w:jc w:val="center"/>
              <w:rPr>
                <w:rFonts w:eastAsiaTheme="minorEastAsia"/>
                <w:color w:val="000000"/>
                <w:sz w:val="24"/>
                <w:szCs w:val="24"/>
              </w:rPr>
            </w:pPr>
            <w:r>
              <w:rPr>
                <w:rFonts w:hint="eastAsia" w:eastAsiaTheme="minorEastAsia"/>
                <w:color w:val="000000"/>
                <w:sz w:val="24"/>
                <w:szCs w:val="24"/>
              </w:rPr>
              <w:t>205,217.05</w:t>
            </w:r>
          </w:p>
        </w:tc>
        <w:tc>
          <w:tcPr>
            <w:tcW w:w="2159" w:type="dxa"/>
            <w:vAlign w:val="center"/>
          </w:tcPr>
          <w:p>
            <w:pPr>
              <w:widowControl/>
              <w:jc w:val="center"/>
              <w:rPr>
                <w:rFonts w:eastAsiaTheme="minorEastAsia"/>
                <w:color w:val="000000"/>
                <w:sz w:val="24"/>
                <w:szCs w:val="24"/>
              </w:rPr>
            </w:pPr>
            <w:r>
              <w:rPr>
                <w:rFonts w:hint="eastAsia" w:eastAsiaTheme="minorEastAsia"/>
                <w:color w:val="000000"/>
                <w:sz w:val="24"/>
                <w:szCs w:val="24"/>
              </w:rPr>
              <w:t>210,205.00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55" w:type="dxa"/>
            <w:vMerge w:val="continue"/>
            <w:vAlign w:val="center"/>
          </w:tcPr>
          <w:p>
            <w:pPr>
              <w:spacing w:line="56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占基金总份额比例</w:t>
            </w:r>
          </w:p>
        </w:tc>
        <w:tc>
          <w:tcPr>
            <w:tcW w:w="1778" w:type="dxa"/>
            <w:vAlign w:val="center"/>
          </w:tcPr>
          <w:p>
            <w:pPr>
              <w:widowControl/>
              <w:jc w:val="center"/>
              <w:rPr>
                <w:rFonts w:eastAsiaTheme="minorEastAsia"/>
                <w:color w:val="000000"/>
                <w:sz w:val="24"/>
                <w:szCs w:val="24"/>
                <w:lang w:bidi="ar-SA"/>
              </w:rPr>
            </w:pPr>
            <w:r>
              <w:rPr>
                <w:rFonts w:hint="eastAsia" w:ascii="Times New Roman" w:hAnsi="Times New Roman" w:eastAsiaTheme="minorEastAsia"/>
                <w:color w:val="000000"/>
                <w:sz w:val="24"/>
                <w:szCs w:val="24"/>
              </w:rPr>
              <w:t>0.0005%</w:t>
            </w:r>
          </w:p>
        </w:tc>
        <w:tc>
          <w:tcPr>
            <w:tcW w:w="1819" w:type="dxa"/>
            <w:vAlign w:val="center"/>
          </w:tcPr>
          <w:p>
            <w:pPr>
              <w:widowControl/>
              <w:jc w:val="center"/>
              <w:rPr>
                <w:rFonts w:eastAsiaTheme="minorEastAsia"/>
                <w:color w:val="000000"/>
                <w:sz w:val="24"/>
                <w:szCs w:val="24"/>
                <w:lang w:bidi="ar-SA"/>
              </w:rPr>
            </w:pPr>
            <w:r>
              <w:rPr>
                <w:rFonts w:hint="eastAsia" w:ascii="Times New Roman" w:hAnsi="Times New Roman" w:eastAsiaTheme="minorEastAsia"/>
                <w:color w:val="000000"/>
                <w:sz w:val="24"/>
                <w:szCs w:val="24"/>
              </w:rPr>
              <w:t>0.0641%</w:t>
            </w:r>
          </w:p>
        </w:tc>
        <w:tc>
          <w:tcPr>
            <w:tcW w:w="2159" w:type="dxa"/>
            <w:vAlign w:val="center"/>
          </w:tcPr>
          <w:p>
            <w:pPr>
              <w:widowControl/>
              <w:jc w:val="center"/>
              <w:rPr>
                <w:rFonts w:eastAsiaTheme="minorEastAsia"/>
                <w:color w:val="000000"/>
                <w:sz w:val="24"/>
                <w:szCs w:val="24"/>
                <w:lang w:bidi="ar-SA"/>
              </w:rPr>
            </w:pPr>
            <w:r>
              <w:rPr>
                <w:rFonts w:hint="eastAsia" w:ascii="Times New Roman" w:hAnsi="Times New Roman" w:eastAsiaTheme="minorEastAsia"/>
                <w:color w:val="000000"/>
                <w:sz w:val="24"/>
                <w:szCs w:val="24"/>
              </w:rPr>
              <w:t>0.0161%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6912" w:type="dxa"/>
            <w:gridSpan w:val="4"/>
            <w:vAlign w:val="center"/>
          </w:tcPr>
          <w:p>
            <w:pPr>
              <w:snapToGrid w:val="0"/>
              <w:rPr>
                <w:rFonts w:eastAsiaTheme="minorEastAsia"/>
                <w:color w:val="000000"/>
                <w:sz w:val="24"/>
                <w:szCs w:val="24"/>
              </w:rPr>
            </w:pPr>
            <w:r>
              <w:rPr>
                <w:rFonts w:hint="eastAsia" w:eastAsiaTheme="minorEastAsia"/>
                <w:color w:val="000000"/>
                <w:sz w:val="24"/>
                <w:szCs w:val="24"/>
              </w:rPr>
              <w:t>募集期限届满基金是否符合法律法规规定的办理基金备案手续的条件</w:t>
            </w:r>
          </w:p>
        </w:tc>
        <w:tc>
          <w:tcPr>
            <w:tcW w:w="2159" w:type="dxa"/>
            <w:vAlign w:val="center"/>
          </w:tcPr>
          <w:p>
            <w:pPr>
              <w:spacing w:line="560" w:lineRule="exact"/>
              <w:jc w:val="center"/>
              <w:rPr>
                <w:rFonts w:cs="宋体" w:eastAsiaTheme="minorEastAsia"/>
                <w:sz w:val="24"/>
                <w:szCs w:val="24"/>
              </w:rPr>
            </w:pPr>
            <w:r>
              <w:rPr>
                <w:rFonts w:hint="eastAsia" w:eastAsia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912" w:type="dxa"/>
            <w:gridSpan w:val="4"/>
            <w:vAlign w:val="center"/>
          </w:tcPr>
          <w:p>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2159" w:type="dxa"/>
            <w:vAlign w:val="center"/>
          </w:tcPr>
          <w:p>
            <w:pPr>
              <w:rPr>
                <w:rFonts w:cs="宋体" w:eastAsiaTheme="minorEastAsia"/>
                <w:sz w:val="24"/>
                <w:szCs w:val="24"/>
              </w:rPr>
            </w:pPr>
            <w:r>
              <w:rPr>
                <w:rFonts w:hint="eastAsia" w:eastAsiaTheme="minorEastAsia"/>
                <w:sz w:val="24"/>
                <w:szCs w:val="24"/>
              </w:rPr>
              <w:t>2025年</w:t>
            </w:r>
            <w:r>
              <w:rPr>
                <w:rFonts w:eastAsiaTheme="minorEastAsia"/>
                <w:sz w:val="24"/>
                <w:szCs w:val="24"/>
              </w:rPr>
              <w:t>7</w:t>
            </w:r>
            <w:r>
              <w:rPr>
                <w:rFonts w:hint="eastAsia" w:eastAsiaTheme="minorEastAsia"/>
                <w:sz w:val="24"/>
                <w:szCs w:val="24"/>
              </w:rPr>
              <w:t>月</w:t>
            </w:r>
            <w:r>
              <w:rPr>
                <w:rFonts w:eastAsiaTheme="minorEastAsia"/>
                <w:sz w:val="24"/>
                <w:szCs w:val="24"/>
              </w:rPr>
              <w:t>18</w:t>
            </w:r>
            <w:r>
              <w:rPr>
                <w:rFonts w:hint="eastAsia" w:eastAsiaTheme="minorEastAsia"/>
                <w:sz w:val="24"/>
                <w:szCs w:val="24"/>
              </w:rPr>
              <w:t>日</w:t>
            </w:r>
          </w:p>
        </w:tc>
      </w:tr>
    </w:tbl>
    <w:p>
      <w:pPr>
        <w:spacing w:line="360" w:lineRule="auto"/>
        <w:rPr>
          <w:rFonts w:eastAsiaTheme="minorEastAsia"/>
          <w:kern w:val="0"/>
          <w:sz w:val="24"/>
          <w:szCs w:val="24"/>
        </w:rPr>
      </w:pPr>
      <w:r>
        <w:rPr>
          <w:rFonts w:eastAsiaTheme="minorEastAsia"/>
          <w:kern w:val="0"/>
          <w:sz w:val="24"/>
          <w:szCs w:val="24"/>
        </w:rPr>
        <w:t>注：</w:t>
      </w:r>
      <w:r>
        <w:rPr>
          <w:rFonts w:hint="eastAsia" w:eastAsiaTheme="minorEastAsia"/>
          <w:kern w:val="0"/>
          <w:sz w:val="24"/>
          <w:szCs w:val="24"/>
        </w:rPr>
        <w:t>（</w:t>
      </w:r>
      <w:r>
        <w:rPr>
          <w:rFonts w:eastAsiaTheme="minorEastAsia"/>
          <w:kern w:val="0"/>
          <w:sz w:val="24"/>
          <w:szCs w:val="24"/>
        </w:rPr>
        <w:t>1</w:t>
      </w:r>
      <w:r>
        <w:rPr>
          <w:rFonts w:hint="eastAsia" w:eastAsiaTheme="minor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pPr>
        <w:spacing w:line="360" w:lineRule="auto"/>
        <w:rPr>
          <w:rFonts w:eastAsiaTheme="minorEastAsia"/>
          <w:kern w:val="0"/>
          <w:sz w:val="24"/>
          <w:szCs w:val="24"/>
        </w:rPr>
      </w:pPr>
      <w:r>
        <w:rPr>
          <w:rFonts w:eastAsiaTheme="minorEastAsia"/>
          <w:kern w:val="0"/>
          <w:sz w:val="24"/>
          <w:szCs w:val="24"/>
        </w:rPr>
        <w:t>（2）</w:t>
      </w:r>
      <w:r>
        <w:rPr>
          <w:rFonts w:hint="eastAsia" w:eastAsiaTheme="minorEastAsia"/>
          <w:kern w:val="0"/>
          <w:sz w:val="24"/>
          <w:szCs w:val="24"/>
        </w:rPr>
        <w:t>本基金管理人的高级管理人员、基金投资和研究部门负责人未认购本基金；本基金基金经理未认购本基金。</w:t>
      </w:r>
    </w:p>
    <w:p>
      <w:pPr>
        <w:spacing w:line="360" w:lineRule="auto"/>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3</w:t>
      </w:r>
      <w:r>
        <w:rPr>
          <w:rFonts w:hint="eastAsia" w:eastAsiaTheme="minor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pPr>
        <w:pStyle w:val="2"/>
        <w:spacing w:line="560" w:lineRule="exact"/>
        <w:rPr>
          <w:rFonts w:ascii="Times New Roman" w:hAnsi="Times New Roman" w:eastAsiaTheme="minorEastAsia"/>
          <w:bCs w:val="0"/>
          <w:color w:val="000000"/>
          <w:sz w:val="24"/>
          <w:szCs w:val="24"/>
        </w:rPr>
      </w:pPr>
      <w:r>
        <w:rPr>
          <w:rFonts w:ascii="Times New Roman" w:hAnsi="Times New Roman" w:eastAsiaTheme="minorEastAsia"/>
          <w:bCs w:val="0"/>
          <w:color w:val="000000"/>
          <w:sz w:val="24"/>
          <w:szCs w:val="24"/>
        </w:rPr>
        <w:t>3 其他需要提示的事项</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1）基金份额持有人可以在基金合同生效之日起2个工作日后到销售机构的网点进行交易确认单的查询和打印，也可以通过本基金管理人的网站（www.fund001.com）查询交易确认情况。</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2）</w:t>
      </w:r>
      <w:r>
        <w:rPr>
          <w:rFonts w:hint="eastAsia" w:eastAsiaTheme="minorEastAsia"/>
          <w:kern w:val="0"/>
          <w:sz w:val="24"/>
          <w:szCs w:val="24"/>
        </w:rPr>
        <w:t>基金管理人可根据实际情况依法决定本基金开始办理申购的具体日期，具体业务办理时间在申购开始公告中规定。基金管理人自基金合同生效之日起的第180天（含该日，如为非工作日则顺延至下一工作日）开始办理赎回，具体业务办理时间在赎回开始公告中规定。对于每份基金份额，自其最短持有期限届满日起（含该日），基金份额持有人方可就该基金份额提出赎回申请。</w:t>
      </w:r>
      <w:r>
        <w:rPr>
          <w:rFonts w:eastAsiaTheme="minorEastAsia"/>
          <w:kern w:val="0"/>
          <w:sz w:val="24"/>
          <w:szCs w:val="24"/>
        </w:rPr>
        <w:t>办理申购、赎回业务的具体时间由本基金管理人于申购、赎回开放日前依照《</w:t>
      </w:r>
      <w:r>
        <w:rPr>
          <w:rFonts w:hint="eastAsia" w:eastAsiaTheme="minorEastAsia"/>
          <w:kern w:val="0"/>
          <w:sz w:val="24"/>
          <w:szCs w:val="24"/>
        </w:rPr>
        <w:t>公开募集</w:t>
      </w:r>
      <w:r>
        <w:rPr>
          <w:rFonts w:eastAsiaTheme="minorEastAsia"/>
          <w:kern w:val="0"/>
          <w:sz w:val="24"/>
          <w:szCs w:val="24"/>
        </w:rPr>
        <w:t>证券投资基金信息披露管理办法》的有关规定在</w:t>
      </w:r>
      <w:r>
        <w:rPr>
          <w:rFonts w:hint="eastAsia" w:eastAsiaTheme="minorEastAsia"/>
          <w:kern w:val="0"/>
          <w:sz w:val="24"/>
          <w:szCs w:val="24"/>
        </w:rPr>
        <w:t>规定</w:t>
      </w:r>
      <w:r>
        <w:rPr>
          <w:rFonts w:eastAsiaTheme="minorEastAsia"/>
          <w:kern w:val="0"/>
          <w:sz w:val="24"/>
          <w:szCs w:val="24"/>
        </w:rPr>
        <w:t>媒体上公告。</w:t>
      </w:r>
    </w:p>
    <w:p>
      <w:pPr>
        <w:widowControl/>
        <w:spacing w:line="360" w:lineRule="auto"/>
        <w:ind w:firstLine="480" w:firstLineChars="200"/>
        <w:rPr>
          <w:rFonts w:eastAsiaTheme="minorEastAsia"/>
          <w:kern w:val="0"/>
          <w:sz w:val="24"/>
          <w:szCs w:val="24"/>
        </w:rPr>
      </w:pPr>
    </w:p>
    <w:p>
      <w:pPr>
        <w:spacing w:line="360" w:lineRule="auto"/>
        <w:ind w:firstLine="480" w:firstLineChars="200"/>
        <w:rPr>
          <w:rFonts w:eastAsiaTheme="minorEastAsia"/>
          <w:kern w:val="0"/>
          <w:sz w:val="24"/>
          <w:szCs w:val="24"/>
        </w:rPr>
      </w:pPr>
      <w:r>
        <w:rPr>
          <w:rFonts w:hint="eastAsia" w:eastAsiaTheme="minorEastAsia"/>
          <w:kern w:val="0"/>
          <w:sz w:val="24"/>
          <w:szCs w:val="24"/>
        </w:rPr>
        <w:t>风险提示：</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特此公告。</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209D"/>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1184A"/>
    <w:rsid w:val="0043048D"/>
    <w:rsid w:val="00432AA7"/>
    <w:rsid w:val="00433603"/>
    <w:rsid w:val="0043612F"/>
    <w:rsid w:val="00441000"/>
    <w:rsid w:val="0044222E"/>
    <w:rsid w:val="00443ACF"/>
    <w:rsid w:val="00443C52"/>
    <w:rsid w:val="004449D1"/>
    <w:rsid w:val="00457F15"/>
    <w:rsid w:val="004669F8"/>
    <w:rsid w:val="00467A98"/>
    <w:rsid w:val="00470D71"/>
    <w:rsid w:val="00471C46"/>
    <w:rsid w:val="00471F62"/>
    <w:rsid w:val="004728BC"/>
    <w:rsid w:val="004761CD"/>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3BD1"/>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29EA"/>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E1718"/>
    <w:rsid w:val="005F0D33"/>
    <w:rsid w:val="005F72EE"/>
    <w:rsid w:val="005F796C"/>
    <w:rsid w:val="00601BF3"/>
    <w:rsid w:val="00603670"/>
    <w:rsid w:val="00613952"/>
    <w:rsid w:val="00615513"/>
    <w:rsid w:val="0061553F"/>
    <w:rsid w:val="0061685F"/>
    <w:rsid w:val="006205E6"/>
    <w:rsid w:val="00623C2A"/>
    <w:rsid w:val="00623D12"/>
    <w:rsid w:val="00631110"/>
    <w:rsid w:val="00634C46"/>
    <w:rsid w:val="00634D25"/>
    <w:rsid w:val="00635330"/>
    <w:rsid w:val="00636D84"/>
    <w:rsid w:val="00641C81"/>
    <w:rsid w:val="006632DE"/>
    <w:rsid w:val="006706C5"/>
    <w:rsid w:val="00677A73"/>
    <w:rsid w:val="006860C1"/>
    <w:rsid w:val="006900FF"/>
    <w:rsid w:val="006A4579"/>
    <w:rsid w:val="006A7FE5"/>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55AEB"/>
    <w:rsid w:val="007670F3"/>
    <w:rsid w:val="0076782E"/>
    <w:rsid w:val="00767B47"/>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2CB2"/>
    <w:rsid w:val="00894643"/>
    <w:rsid w:val="008956FE"/>
    <w:rsid w:val="00897447"/>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3F19"/>
    <w:rsid w:val="009F4198"/>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604D"/>
    <w:rsid w:val="00A66B74"/>
    <w:rsid w:val="00A74AFB"/>
    <w:rsid w:val="00A85291"/>
    <w:rsid w:val="00A92B73"/>
    <w:rsid w:val="00A97A11"/>
    <w:rsid w:val="00AA1205"/>
    <w:rsid w:val="00AA7946"/>
    <w:rsid w:val="00AB011F"/>
    <w:rsid w:val="00AB110A"/>
    <w:rsid w:val="00AB494D"/>
    <w:rsid w:val="00AB5C5F"/>
    <w:rsid w:val="00AC3E86"/>
    <w:rsid w:val="00AD1BFF"/>
    <w:rsid w:val="00AD5E3C"/>
    <w:rsid w:val="00AD6302"/>
    <w:rsid w:val="00AE54B5"/>
    <w:rsid w:val="00AE6118"/>
    <w:rsid w:val="00AF083A"/>
    <w:rsid w:val="00AF0B13"/>
    <w:rsid w:val="00AF11D0"/>
    <w:rsid w:val="00AF2D23"/>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BF6852"/>
    <w:rsid w:val="00C00536"/>
    <w:rsid w:val="00C072D6"/>
    <w:rsid w:val="00C1325E"/>
    <w:rsid w:val="00C1591D"/>
    <w:rsid w:val="00C23652"/>
    <w:rsid w:val="00C30E6A"/>
    <w:rsid w:val="00C35D35"/>
    <w:rsid w:val="00C40FE0"/>
    <w:rsid w:val="00C45C86"/>
    <w:rsid w:val="00C47B53"/>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0B11"/>
    <w:rsid w:val="00F7145D"/>
    <w:rsid w:val="00F75020"/>
    <w:rsid w:val="00F76A56"/>
    <w:rsid w:val="00F76B10"/>
    <w:rsid w:val="00F76C44"/>
    <w:rsid w:val="00F82497"/>
    <w:rsid w:val="00F8684F"/>
    <w:rsid w:val="00F92D5C"/>
    <w:rsid w:val="00FA2042"/>
    <w:rsid w:val="00FA3E5F"/>
    <w:rsid w:val="00FC412E"/>
    <w:rsid w:val="00FC5BDE"/>
    <w:rsid w:val="00FC6601"/>
    <w:rsid w:val="00FC6A28"/>
    <w:rsid w:val="00FD5DCA"/>
    <w:rsid w:val="00FE174F"/>
    <w:rsid w:val="00FE1833"/>
    <w:rsid w:val="00FE1F9A"/>
    <w:rsid w:val="00FE4D0A"/>
    <w:rsid w:val="00FF2E75"/>
    <w:rsid w:val="00FF37C0"/>
    <w:rsid w:val="00FF3E55"/>
    <w:rsid w:val="00FF5DD0"/>
    <w:rsid w:val="00FF68C6"/>
    <w:rsid w:val="09373995"/>
    <w:rsid w:val="10703F15"/>
    <w:rsid w:val="134B0AF8"/>
    <w:rsid w:val="17802C1E"/>
    <w:rsid w:val="18EC4816"/>
    <w:rsid w:val="2A95774B"/>
    <w:rsid w:val="2EC31678"/>
    <w:rsid w:val="2F936CFC"/>
    <w:rsid w:val="30134BD0"/>
    <w:rsid w:val="3A3C5041"/>
    <w:rsid w:val="3CFA6AF5"/>
    <w:rsid w:val="42FF594F"/>
    <w:rsid w:val="45CE25EE"/>
    <w:rsid w:val="48F205E0"/>
    <w:rsid w:val="52BA4D0E"/>
    <w:rsid w:val="532E4124"/>
    <w:rsid w:val="57D60097"/>
    <w:rsid w:val="57E41028"/>
    <w:rsid w:val="67EE1836"/>
    <w:rsid w:val="72AF5F0B"/>
    <w:rsid w:val="74F979A2"/>
    <w:rsid w:val="7B1C534B"/>
    <w:rsid w:val="7BFB6AAD"/>
    <w:rsid w:val="7D6F53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qFormat/>
    <w:uiPriority w:val="0"/>
    <w:pPr>
      <w:snapToGrid w:val="0"/>
      <w:jc w:val="left"/>
    </w:pPr>
    <w:rPr>
      <w:rFonts w:eastAsia="宋体"/>
      <w:sz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qFormat/>
    <w:uiPriority w:val="0"/>
    <w:rPr>
      <w:vertAlign w:val="superscript"/>
    </w:rPr>
  </w:style>
  <w:style w:type="character" w:customStyle="1" w:styleId="15">
    <w:name w:val="标题 2 字符"/>
    <w:basedOn w:val="12"/>
    <w:link w:val="2"/>
    <w:qFormat/>
    <w:uiPriority w:val="0"/>
    <w:rPr>
      <w:rFonts w:ascii="Arial" w:hAnsi="Arial" w:eastAsia="黑体" w:cs="Times New Roman"/>
      <w:b/>
      <w:bCs/>
      <w:sz w:val="32"/>
      <w:szCs w:val="32"/>
    </w:rPr>
  </w:style>
  <w:style w:type="character" w:customStyle="1" w:styleId="16">
    <w:name w:val="脚注文本 字符"/>
    <w:basedOn w:val="12"/>
    <w:link w:val="8"/>
    <w:qFormat/>
    <w:uiPriority w:val="0"/>
    <w:rPr>
      <w:rFonts w:ascii="Times New Roman" w:hAnsi="Times New Roman" w:eastAsia="宋体" w:cs="Times New Roman"/>
      <w:sz w:val="18"/>
      <w:szCs w:val="20"/>
    </w:rPr>
  </w:style>
  <w:style w:type="character" w:customStyle="1" w:styleId="17">
    <w:name w:val="页眉 字符"/>
    <w:basedOn w:val="12"/>
    <w:link w:val="7"/>
    <w:qFormat/>
    <w:uiPriority w:val="99"/>
    <w:rPr>
      <w:rFonts w:ascii="Times New Roman" w:hAnsi="Times New Roman" w:eastAsia="方正仿宋简体" w:cs="Times New Roman"/>
      <w:sz w:val="18"/>
      <w:szCs w:val="18"/>
    </w:rPr>
  </w:style>
  <w:style w:type="character" w:customStyle="1" w:styleId="18">
    <w:name w:val="页脚 字符"/>
    <w:basedOn w:val="12"/>
    <w:link w:val="6"/>
    <w:qFormat/>
    <w:uiPriority w:val="99"/>
    <w:rPr>
      <w:rFonts w:ascii="Times New Roman" w:hAnsi="Times New Roman" w:eastAsia="方正仿宋简体" w:cs="Times New Roman"/>
      <w:sz w:val="18"/>
      <w:szCs w:val="18"/>
    </w:rPr>
  </w:style>
  <w:style w:type="character" w:customStyle="1" w:styleId="19">
    <w:name w:val="文档结构图 字符"/>
    <w:basedOn w:val="12"/>
    <w:link w:val="3"/>
    <w:semiHidden/>
    <w:qFormat/>
    <w:uiPriority w:val="99"/>
    <w:rPr>
      <w:rFonts w:ascii="宋体" w:hAnsi="Times New Roman" w:eastAsia="宋体" w:cs="Times New Roman"/>
      <w:sz w:val="18"/>
      <w:szCs w:val="18"/>
    </w:rPr>
  </w:style>
  <w:style w:type="character" w:customStyle="1" w:styleId="20">
    <w:name w:val="批注框文本 字符"/>
    <w:basedOn w:val="12"/>
    <w:link w:val="5"/>
    <w:semiHidden/>
    <w:qFormat/>
    <w:uiPriority w:val="99"/>
    <w:rPr>
      <w:rFonts w:ascii="Times New Roman" w:hAnsi="Times New Roman" w:eastAsia="方正仿宋简体" w:cs="Times New Roman"/>
      <w:sz w:val="18"/>
      <w:szCs w:val="18"/>
    </w:rPr>
  </w:style>
  <w:style w:type="character" w:customStyle="1" w:styleId="21">
    <w:name w:val="批注文字 字符"/>
    <w:basedOn w:val="12"/>
    <w:link w:val="4"/>
    <w:semiHidden/>
    <w:qFormat/>
    <w:uiPriority w:val="99"/>
    <w:rPr>
      <w:rFonts w:ascii="Times New Roman" w:hAnsi="Times New Roman" w:eastAsia="方正仿宋简体" w:cs="Times New Roman"/>
      <w:sz w:val="32"/>
      <w:szCs w:val="20"/>
    </w:rPr>
  </w:style>
  <w:style w:type="character" w:customStyle="1" w:styleId="22">
    <w:name w:val="批注主题 字符"/>
    <w:basedOn w:val="21"/>
    <w:link w:val="9"/>
    <w:semiHidden/>
    <w:qFormat/>
    <w:uiPriority w:val="99"/>
    <w:rPr>
      <w:rFonts w:ascii="Times New Roman" w:hAnsi="Times New Roman" w:eastAsia="方正仿宋简体" w:cs="Times New Roman"/>
      <w:b/>
      <w:bCs/>
      <w:sz w:val="32"/>
      <w:szCs w:val="20"/>
    </w:rPr>
  </w:style>
  <w:style w:type="paragraph" w:customStyle="1" w:styleId="23">
    <w:name w:val="修订1"/>
    <w:hidden/>
    <w:semiHidden/>
    <w:qFormat/>
    <w:uiPriority w:val="99"/>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355</Words>
  <Characters>2025</Characters>
  <Lines>16</Lines>
  <Paragraphs>4</Paragraphs>
  <TotalTime>18</TotalTime>
  <ScaleCrop>false</ScaleCrop>
  <LinksUpToDate>false</LinksUpToDate>
  <CharactersWithSpaces>2376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2025-07-17T08:53:00Z</dcterms:created>
  <dc:creator>User</dc:creator>
  <cp:lastModifiedBy>haotingting</cp:lastModifiedBy>
  <cp:lastPrinted>2024-11-26T09:14:00Z</cp:lastPrinted>
  <dcterms:modified xsi:type="dcterms:W3CDTF">2025-07-18T01:22:14Z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6E2AFFC556264E1789839BD4E420F197</vt:lpwstr>
  </property>
</Properties>
</file>