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bidi w:val="0"/>
        <w:spacing w:after="280" w:afterAutospacing="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0"/>
          <w:rtl w:val="0"/>
        </w:rPr>
        <w:t>交银施罗德基金管理有限公司旗下全部基金2025年第二季度报告提示性公告</w:t>
      </w:r>
      <w:r>
        <w:rPr>
          <w:rFonts w:ascii="Times New Roman" w:hAnsi="Times New Roman"/>
          <w:rtl w:val="0"/>
        </w:rPr>
        <w:t xml:space="preserve"> </w:t>
      </w:r>
    </w:p>
    <w:p>
      <w:pPr>
        <w:bidi w:val="0"/>
        <w:spacing w:after="280" w:afterAutospacing="1" w:line="440" w:lineRule="atLeast"/>
        <w:ind w:firstLine="420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本公司董事会及董事保证基金季度报告所载资料不存在虚假记载、误导性陈述或重大遗漏，并对其内容的真实性、准确性和完整性承担个别及连带责任。</w:t>
      </w:r>
    </w:p>
    <w:p>
      <w:pPr>
        <w:bidi w:val="0"/>
        <w:spacing w:after="280" w:afterAutospacing="1" w:line="440" w:lineRule="atLeast"/>
        <w:ind w:firstLine="420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交银施罗德基金管理有限公司旗下披露2025年第二季度报告的基金如下：</w:t>
      </w:r>
    </w:p>
    <w:tbl>
      <w:tblPr>
        <w:tblStyle w:val="3"/>
        <w:tblW w:w="475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6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交银施罗德中债1-3年农发行债券指数证券投资基金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2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交银施罗德裕祥纯债债券型证券投资基金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3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交银施罗德稳鑫短债债券型证券投资基金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4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交银施罗德安享稳健养老目标一年持有期混合型基金中基金（FOF）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5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交银施罗德天利宝货币市场基金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6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交银施罗德现金宝货币市场基金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7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交银施罗德活期通货币市场基金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8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交银施罗德天鑫宝货币市场基金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9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交银施罗德瑞鑫六个月持有期混合型证券投资基金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10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交银施罗德天益宝货币市场基金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11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交银施罗德医药创新股票型证券投资基金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12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交银施罗德增利增强债券型证券投资基金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13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交银施罗德股息优化混合型证券投资基金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14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交银施罗德恒益灵活配置混合型证券投资基金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15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交银施罗德持续成长主题混合型证券投资基金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16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交银施罗德品质升级混合型证券投资基金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17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交银施罗德丰晟收益债券型证券投资基金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18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交银施罗德裕如纯债债券型证券投资基金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19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交银施罗德创新成长混合型证券投资基金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20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深证300价值交易型开放式指数证券投资基金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21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交银施罗德信用添利债券证券投资基金（LOF）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22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交银施罗德国证新能源指数证券投资基金（LOF）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23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交银施罗德中证海外中国互联网指数型证券投资基金（LOF）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24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交银施罗德中证环境治理指数型证券投资基金（LOF）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25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上证180公司治理交易型开放式指数证券投资基金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26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交银施罗德货币市场证券投资基金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27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交银施罗德增利债券证券投资基金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28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交银施罗德双利债券证券投资基金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29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交银施罗德上证180公司治理交易型开放式指数证券投资基金联接基金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30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交银施罗德精选混合型证券投资基金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31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交银施罗德稳健配置混合型证券投资基金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32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交银施罗德成长混合型证券投资基金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33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交银施罗德蓝筹混合型证券投资基金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34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交银施罗德环球精选价值证券投资基金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35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交银施罗德优势行业灵活配置混合型证券投资基金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36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交银施罗德先锋混合型证券投资基金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37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交银施罗德主题优选灵活配置混合型证券投资基金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38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交银施罗德趋势优先混合型证券投资基金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39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交银施罗德先进制造混合型证券投资基金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40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交银施罗德深证300价值交易型开放式指数证券投资基金联接基金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41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交银施罗德策略回报灵活配置混合型证券投资基金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42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交银施罗德阿尔法核心混合型证券投资基金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43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交银施罗德消费新驱动股票型证券投资基金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44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交银施罗德纯债债券型发起式证券投资基金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45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交银施罗德双轮动债券型证券投资基金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46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交银施罗德稳固收益债券型证券投资基金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47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交银施罗德成长30混合型证券投资基金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48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交银施罗德定期支付月月丰债券型证券投资基金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49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交银施罗德定期支付双息平衡混合型证券投资基金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50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交银施罗德强化回报债券型证券投资基金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51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交银施罗德新成长混合型证券投资基金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52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交银施罗德周期回报灵活配置混合型证券投资基金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53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交银施罗德丰盈收益债券型证券投资基金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54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交银施罗德丰润收益债券型证券投资基金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55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交银施罗德丰享收益债券型证券投资基金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56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交银施罗德新回报灵活配置混合型证券投资基金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57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交银施罗德安心收益债券型证券投资基金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58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交银施罗德多策略回报灵活配置混合型证券投资基金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59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交银施罗德国企改革灵活配置混合型证券投资基金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60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交银施罗德裕通纯债债券型证券投资基金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61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交银施罗德核心资产混合型证券投资基金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62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交银施罗德瑞丰混合型证券投资基金（LOF）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63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交银施罗德荣鑫灵活配置混合型证券投资基金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64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交银施罗德科技创新灵活配置混合型证券投资基金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65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交银施罗德优选回报灵活配置混合型证券投资基金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66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交银施罗德优择回报灵活配置混合型证券投资基金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67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交银施罗德新生活力灵活配置混合型证券投资基金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68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交银施罗德数据产业灵活配置混合型证券投资基金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69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交银施罗德裕盈纯债债券型证券投资基金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70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交银施罗德经济新动力混合型证券投资基金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71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交银施罗德沪港深价值精选灵活配置混合型证券投资基金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72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交银施罗德裕隆纯债债券型证券投资基金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73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交银施罗德境尚收益债券型证券投资基金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74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交银施罗德裕利纯债债券型证券投资基金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75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交银施罗德可转债债券型证券投资基金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76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交银施罗德创业板50指数型证券投资基金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77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交银施罗德裕坤纯债一年定期开放债券型发起式证券投资基金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78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交银施罗德裕泰两年定期开放债券型证券投资基金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79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交银施罗德稳利中短债债券型证券投资基金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80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交银施罗德内核驱动混合型证券投资基金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81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交银施罗德启欣混合型证券投资基金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82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交银施罗德启诚混合型证券投资基金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83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交银施罗德稳安60天滚动持有债券型证券投资基金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84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交银施罗德中证同业存单AAA指数7天持有期证券投资基金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85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交银施罗德安悦平衡养老目标三年持有期混合型发起式基金中基金（FOF）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86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交银施罗德启合混合型证券投资基金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87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交银施罗德内需增长一年持有期混合型证券投资基金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88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交银施罗德启盛混合型证券投资基金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89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交银施罗德瑞元三年定期开放混合型证券投资基金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90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交银施罗德上证科创板100指数型证券投资基金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91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交银施罗德中证A50指数型证券投资基金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92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交银施罗德养老目标日期2035三年持有期混合型基金中基金（FOF）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93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交银施罗德裕景纯债一年定期开放债券型证券投资基金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94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交银施罗德鸿泰一年持有期混合型证券投资基金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95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交银施罗德医疗健康混合型发起式证券投资基金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96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交银施罗德智选进取三个月持有期混合型发起式基金中基金（FOF）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97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交银施罗德鸿光一年持有期混合型证券投资基金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98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交银施罗德招享一年持有期混合型基金中基金（FOF）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99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交银施罗德鸿信一年持有期混合型证券投资基金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100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交银施罗德稳安30天滚动持有债券型证券投资基金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101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交银施罗德启信混合型发起式证券投资基金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102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交银施罗德中高等级信用债债券型证券投资基金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103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交银施罗德裕惠纯债债券型证券投资基金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104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交银施罗德臻选回报混合型证券投资基金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105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交银施罗德启道混合型证券投资基金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106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交银施罗德均衡成长一年持有期混合型证券投资基金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107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交银施罗德品质增长一年持有期混合型证券投资基金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108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交银施罗德稳益短债债券型证券投资基金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109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交银施罗德悦信精选混合型证券投资基金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110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交银施罗德瑞思混合型证券投资基金（LOF）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111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交银施罗德启明混合型证券投资基金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112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交银施罗德中债1-3年政策性金融债指数证券投资基金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113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交银施罗德鸿福六个月持有期混合型证券投资基金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114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交银施罗德瑞卓三年持有期混合型证券投资基金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115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交银施罗德智选星光混合型基金中基金（FOF-LOF）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116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交银施罗德兴享一年持有期混合型基金中基金（FOF）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117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交银施罗德瑞和三年持有期混合型证券投资基金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118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交银施罗德启衡混合型证券投资基金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119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交银施罗德中证红利低波动100指数型证券投资基金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120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交银施罗德稳悦回报债券型证券投资基金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121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交银施罗德中债0-3年政策性金融债指数证券投资基金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122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交银施罗德科锐科技创新混合型证券投资基金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123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交银施罗德启汇混合型证券投资基金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124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交银施罗德产业机遇混合型证券投资基金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125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交银施罗德稳进回报六个月持有期混合型证券投资基金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126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交银施罗德稳进丰利六个月持有期混合型证券投资基金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127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交银施罗德创新领航混合型证券投资基金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128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交银施罗德成长动力一年持有期混合型证券投资基金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129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交银施罗德优享一年持有期混合型基金中基金（FOF）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130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交银施罗德裕道纯债一年定期开放债券型发起式证券投资基金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131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交银施罗德慧选睿信一年持有期混合型基金中基金（FOF）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132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交银施罗德稳安90天持有期债券型证券投资基金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133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交银施罗德启嘉混合型证券投资基金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134</w:t>
            </w:r>
          </w:p>
        </w:tc>
        <w:tc>
          <w:tcPr>
            <w:tcW w:w="4250" w:type="pc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bidi w:val="0"/>
              <w:spacing w:after="0" w:afterAutospacing="0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rtl w:val="0"/>
              </w:rPr>
              <w:t>交银施罗德中证A500指数型证券投资基金</w:t>
            </w:r>
          </w:p>
        </w:tc>
      </w:tr>
    </w:tbl>
    <w:p>
      <w:pPr>
        <w:bidi w:val="0"/>
        <w:spacing w:after="280" w:afterAutospacing="1" w:line="440" w:lineRule="atLeast"/>
        <w:ind w:firstLine="420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上述基金202</w:t>
      </w:r>
      <w:bookmarkStart w:id="0" w:name="_GoBack"/>
      <w:r>
        <w:rPr>
          <w:rFonts w:ascii="Times New Roman" w:hAnsi="Times New Roman"/>
          <w:rtl w:val="0"/>
        </w:rPr>
        <w:t>5年第二季度报告全文于2025年07月18日在本公司网站(www.fund001.com)和中国证监会基金电子披露网站(http://eid.csrc.gov.cn/fund)披露，供投资者查阅。如有</w:t>
      </w:r>
      <w:bookmarkEnd w:id="0"/>
      <w:r>
        <w:rPr>
          <w:rFonts w:ascii="Times New Roman" w:hAnsi="Times New Roman"/>
          <w:rtl w:val="0"/>
        </w:rPr>
        <w:t>疑问可拨打本公司客服电话（400-700-5000）咨询。</w:t>
      </w:r>
    </w:p>
    <w:p>
      <w:pPr>
        <w:bidi w:val="0"/>
        <w:spacing w:after="280" w:afterAutospacing="1" w:line="440" w:lineRule="atLeast"/>
        <w:ind w:firstLine="420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 xml:space="preserve">本基金管理人承诺以诚实信用、勤勉尽责的原则管理和运用基金资产，但不保证基金一定盈利，也不保证最低收益。请充分了解基金的风险收益特征，审慎做出投资决定。 </w:t>
      </w:r>
    </w:p>
    <w:p>
      <w:pPr>
        <w:bidi w:val="0"/>
        <w:spacing w:after="280" w:afterAutospacing="1" w:line="440" w:lineRule="atLeast"/>
        <w:ind w:firstLine="420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 xml:space="preserve">特此公告。 </w:t>
      </w:r>
    </w:p>
    <w:p>
      <w:pPr>
        <w:bidi w:val="0"/>
        <w:spacing w:after="280" w:afterAutospacing="1" w:line="440" w:lineRule="atLeast"/>
        <w:jc w:val="righ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 xml:space="preserve">交银施罗德基金管理有限公司 </w:t>
      </w:r>
    </w:p>
    <w:p>
      <w:pPr>
        <w:pBdr>
          <w:right w:val="none" w:color="auto" w:sz="0" w:space="0"/>
        </w:pBdr>
        <w:bidi w:val="0"/>
        <w:spacing w:after="280" w:afterAutospacing="1"/>
        <w:jc w:val="righ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 xml:space="preserve">2025年07月18日 </w:t>
      </w:r>
    </w:p>
    <w:p>
      <w:pPr>
        <w:rPr>
          <w:rFonts w:ascii="Times New Roman" w:hAnsi="Times New Roman"/>
          <w:rtl w:val="0"/>
        </w:rPr>
      </w:pPr>
    </w:p>
    <w:sectPr>
      <w:footerReference r:id="rId3" w:type="default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displayBackgroundShape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000000"/>
    <w:rsid w:val="12583B0C"/>
    <w:rsid w:val="34886D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rPr>
      <w:sz w:val="20"/>
      <w:szCs w:val="20"/>
    </w:rPr>
  </w:style>
  <w:style w:type="character" w:styleId="5">
    <w:name w:val="annotation reference"/>
    <w:basedOn w:val="4"/>
    <w:qFormat/>
    <w:uiPriority w:val="0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2025-07-14T02:37:00Z</dcterms:created>
  <cp:lastModifiedBy>haotingting</cp:lastModifiedBy>
  <dcterms:modified xsi:type="dcterms:W3CDTF">2025-07-14T02:58:18Z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A3C1189E889F46F4B41D86E7D5A3EFE8</vt:lpwstr>
  </property>
</Properties>
</file>