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7F" w:rsidRDefault="0020207F">
      <w:pPr>
        <w:rPr>
          <w:sz w:val="32"/>
        </w:rPr>
      </w:pPr>
    </w:p>
    <w:p w:rsidR="0020207F" w:rsidRDefault="0020207F">
      <w:pPr>
        <w:rPr>
          <w:sz w:val="32"/>
        </w:rPr>
      </w:pPr>
    </w:p>
    <w:p w:rsidR="0020207F" w:rsidRDefault="0020207F">
      <w:pPr>
        <w:rPr>
          <w:sz w:val="32"/>
        </w:rPr>
      </w:pPr>
    </w:p>
    <w:p w:rsidR="0020207F" w:rsidRDefault="000C59E2">
      <w:pPr>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srcRect/>
                    <a:stretch>
                      <a:fillRect/>
                    </a:stretch>
                  </pic:blipFill>
                  <pic:spPr>
                    <a:xfrm>
                      <a:off x="0" y="0"/>
                      <a:ext cx="4343400" cy="571500"/>
                    </a:xfrm>
                    <a:prstGeom prst="rect">
                      <a:avLst/>
                    </a:prstGeom>
                    <a:noFill/>
                    <a:ln w="9525">
                      <a:noFill/>
                      <a:miter lim="800000"/>
                      <a:headEnd/>
                      <a:tailEnd/>
                    </a:ln>
                  </pic:spPr>
                </pic:pic>
              </a:graphicData>
            </a:graphic>
          </wp:inline>
        </w:drawing>
      </w:r>
    </w:p>
    <w:p w:rsidR="0020207F" w:rsidRDefault="0020207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20207F" w:rsidRDefault="0020207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20207F" w:rsidRDefault="000C59E2">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w:t>
      </w:r>
      <w:r>
        <w:rPr>
          <w:rFonts w:ascii="Times New Roman" w:hAnsi="Times New Roman"/>
          <w:b/>
          <w:spacing w:val="2"/>
          <w:w w:val="99"/>
          <w:kern w:val="0"/>
          <w:position w:val="-4"/>
          <w:sz w:val="44"/>
          <w:szCs w:val="44"/>
        </w:rPr>
        <w:t>180</w:t>
      </w:r>
      <w:r>
        <w:rPr>
          <w:rFonts w:ascii="Times New Roman" w:hAnsi="Times New Roman"/>
          <w:b/>
          <w:spacing w:val="2"/>
          <w:w w:val="99"/>
          <w:kern w:val="0"/>
          <w:position w:val="-4"/>
          <w:sz w:val="44"/>
          <w:szCs w:val="44"/>
        </w:rPr>
        <w:t>天持有期债券型证券投资基金</w:t>
      </w:r>
    </w:p>
    <w:p w:rsidR="0020207F" w:rsidRDefault="000C59E2">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p>
    <w:p w:rsidR="0020207F" w:rsidRDefault="000C59E2">
      <w:pPr>
        <w:autoSpaceDE w:val="0"/>
        <w:autoSpaceDN w:val="0"/>
        <w:adjustRightInd w:val="0"/>
        <w:snapToGrid w:val="0"/>
        <w:spacing w:line="360" w:lineRule="auto"/>
        <w:ind w:rightChars="6" w:right="13"/>
        <w:jc w:val="center"/>
        <w:rPr>
          <w:rFonts w:ascii="宋体" w:hAnsi="宋体"/>
          <w:spacing w:val="2"/>
          <w:w w:val="99"/>
          <w:kern w:val="0"/>
          <w:sz w:val="32"/>
          <w:szCs w:val="32"/>
        </w:rPr>
      </w:pPr>
      <w:r>
        <w:rPr>
          <w:rFonts w:ascii="宋体" w:hAnsi="宋体" w:hint="eastAsia"/>
          <w:b/>
          <w:sz w:val="30"/>
          <w:szCs w:val="30"/>
        </w:rPr>
        <w:t>【本基金不向金融机构自营账户销售】</w:t>
      </w:r>
    </w:p>
    <w:p w:rsidR="0020207F" w:rsidRDefault="0020207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0207F" w:rsidRDefault="0020207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0207F" w:rsidRDefault="0020207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0207F" w:rsidRDefault="0020207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0207F" w:rsidRDefault="0020207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0207F" w:rsidRDefault="000C59E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20207F" w:rsidRDefault="000C59E2">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Pr>
          <w:rFonts w:ascii="宋体" w:hAnsi="宋体" w:hint="eastAsia"/>
          <w:b/>
          <w:spacing w:val="2"/>
          <w:w w:val="99"/>
          <w:kern w:val="0"/>
          <w:sz w:val="28"/>
          <w:szCs w:val="32"/>
        </w:rPr>
        <w:t>中国农业银行股份有限公司</w:t>
      </w:r>
    </w:p>
    <w:p w:rsidR="0020207F" w:rsidRDefault="0020207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0207F" w:rsidRDefault="0020207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0207F" w:rsidRDefault="000C59E2">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六</w:t>
      </w:r>
      <w:r>
        <w:rPr>
          <w:rFonts w:ascii="Times New Roman" w:hAnsi="Times New Roman"/>
          <w:b/>
          <w:spacing w:val="2"/>
          <w:w w:val="99"/>
          <w:kern w:val="0"/>
          <w:sz w:val="28"/>
          <w:szCs w:val="32"/>
        </w:rPr>
        <w:t>月</w:t>
      </w:r>
    </w:p>
    <w:p w:rsidR="0020207F" w:rsidRDefault="0020207F">
      <w:pPr>
        <w:autoSpaceDE w:val="0"/>
        <w:autoSpaceDN w:val="0"/>
        <w:adjustRightInd w:val="0"/>
        <w:snapToGrid w:val="0"/>
        <w:spacing w:line="360" w:lineRule="auto"/>
        <w:ind w:left="1347" w:rightChars="6" w:right="13"/>
        <w:rPr>
          <w:rFonts w:ascii="宋体" w:hAnsi="宋体"/>
          <w:kern w:val="0"/>
          <w:sz w:val="32"/>
          <w:szCs w:val="32"/>
        </w:rPr>
        <w:sectPr w:rsidR="0020207F">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rsidR="0020207F" w:rsidRDefault="000C59E2">
      <w:pPr>
        <w:pStyle w:val="1"/>
        <w:snapToGrid w:val="0"/>
        <w:spacing w:beforeLines="0" w:before="240" w:after="240"/>
        <w:rPr>
          <w:rFonts w:ascii="宋体" w:hAnsi="宋体"/>
          <w:kern w:val="0"/>
        </w:rPr>
      </w:pPr>
      <w:bookmarkStart w:id="0" w:name="_Toc324920538"/>
      <w:bookmarkStart w:id="1" w:name="_Toc496884613"/>
      <w:bookmarkStart w:id="2" w:name="_Toc104564183"/>
      <w:r>
        <w:rPr>
          <w:rFonts w:ascii="Times New Roman" w:hAnsi="Times New Roman"/>
          <w:kern w:val="0"/>
        </w:rPr>
        <w:lastRenderedPageBreak/>
        <w:t>重要提示</w:t>
      </w:r>
      <w:bookmarkEnd w:id="0"/>
      <w:bookmarkEnd w:id="1"/>
      <w:bookmarkEnd w:id="2"/>
    </w:p>
    <w:p w:rsidR="0020207F" w:rsidRDefault="000C59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w:t>
      </w:r>
      <w:r>
        <w:rPr>
          <w:rFonts w:ascii="Times New Roman" w:hAnsi="Times New Roman"/>
          <w:kern w:val="0"/>
          <w:sz w:val="24"/>
        </w:rPr>
        <w:t>180</w:t>
      </w:r>
      <w:r>
        <w:rPr>
          <w:rFonts w:ascii="Times New Roman" w:hAnsi="Times New Roman"/>
          <w:kern w:val="0"/>
          <w:sz w:val="24"/>
        </w:rPr>
        <w:t>天持有期债券型证券投资基金（以下简称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2</w:t>
      </w:r>
      <w:r>
        <w:rPr>
          <w:rFonts w:ascii="Times New Roman" w:hAnsi="Times New Roman"/>
          <w:kern w:val="0"/>
          <w:sz w:val="24"/>
        </w:rPr>
        <w:t>月</w:t>
      </w:r>
      <w:r>
        <w:rPr>
          <w:rFonts w:ascii="Times New Roman" w:hAnsi="Times New Roman"/>
          <w:kern w:val="0"/>
          <w:sz w:val="24"/>
        </w:rPr>
        <w:t>8</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2025</w:t>
      </w:r>
      <w:r>
        <w:rPr>
          <w:rFonts w:ascii="Times New Roman" w:hAnsi="Times New Roman"/>
          <w:kern w:val="0"/>
          <w:sz w:val="24"/>
        </w:rPr>
        <w:t>】</w:t>
      </w:r>
      <w:r>
        <w:rPr>
          <w:rFonts w:ascii="Times New Roman" w:hAnsi="Times New Roman"/>
          <w:kern w:val="0"/>
          <w:sz w:val="24"/>
        </w:rPr>
        <w:t>242</w:t>
      </w:r>
      <w:r>
        <w:rPr>
          <w:rFonts w:ascii="Times New Roman" w:hAnsi="Times New Roman"/>
          <w:kern w:val="0"/>
          <w:sz w:val="24"/>
        </w:rPr>
        <w:t>号文准予募集注册。</w:t>
      </w:r>
    </w:p>
    <w:p w:rsidR="0020207F" w:rsidRDefault="000C59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rsidR="0020207F" w:rsidRDefault="000C59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rsidR="0020207F" w:rsidRDefault="000C59E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w:t>
      </w:r>
      <w:r>
        <w:rPr>
          <w:rFonts w:ascii="Times New Roman" w:hAnsi="Times New Roman" w:hint="eastAsia"/>
          <w:kern w:val="0"/>
          <w:sz w:val="24"/>
        </w:rPr>
        <w:t>基金</w:t>
      </w:r>
      <w:r>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Pr>
          <w:rFonts w:ascii="Times New Roman" w:hAnsi="Times New Roman" w:hint="eastAsia"/>
          <w:kern w:val="0"/>
          <w:sz w:val="24"/>
        </w:rPr>
        <w:t>运作</w:t>
      </w:r>
      <w:r>
        <w:rPr>
          <w:rFonts w:ascii="Times New Roman" w:hAnsi="Times New Roman"/>
          <w:kern w:val="0"/>
          <w:sz w:val="24"/>
        </w:rPr>
        <w:t>过程中产生的基金管理风险；流动性风险（包括实施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时的特定风险）；交易对手违约风险；本基金的特有风险</w:t>
      </w:r>
      <w:r>
        <w:rPr>
          <w:rFonts w:ascii="Times New Roman" w:hAnsi="Times New Roman" w:hint="eastAsia"/>
          <w:kern w:val="0"/>
          <w:sz w:val="24"/>
        </w:rPr>
        <w:t>；</w:t>
      </w:r>
      <w:r>
        <w:rPr>
          <w:rFonts w:ascii="宋体" w:hAnsi="宋体" w:hint="eastAsia"/>
          <w:sz w:val="24"/>
        </w:rPr>
        <w:t>投资国债期货的特定风险；</w:t>
      </w:r>
      <w:r>
        <w:rPr>
          <w:rFonts w:ascii="Times New Roman" w:hAnsi="Times New Roman"/>
          <w:kern w:val="0"/>
          <w:sz w:val="24"/>
        </w:rPr>
        <w:t>投资资产支持证券的特定风险；</w:t>
      </w:r>
      <w:r>
        <w:rPr>
          <w:rFonts w:ascii="Times New Roman" w:hAnsi="Times New Roman" w:hint="eastAsia"/>
          <w:kern w:val="0"/>
          <w:sz w:val="24"/>
        </w:rPr>
        <w:t>信用衍生</w:t>
      </w:r>
      <w:proofErr w:type="gramStart"/>
      <w:r>
        <w:rPr>
          <w:rFonts w:ascii="Times New Roman" w:hAnsi="Times New Roman" w:hint="eastAsia"/>
          <w:kern w:val="0"/>
          <w:sz w:val="24"/>
        </w:rPr>
        <w:t>品投资</w:t>
      </w:r>
      <w:proofErr w:type="gramEnd"/>
      <w:r>
        <w:rPr>
          <w:rFonts w:ascii="Times New Roman" w:hAnsi="Times New Roman" w:hint="eastAsia"/>
          <w:kern w:val="0"/>
          <w:sz w:val="24"/>
        </w:rPr>
        <w:t>风险；本基金法律文件风险收益特征表述与销售机构基金风险评价可能不一致的风险</w:t>
      </w:r>
      <w:r>
        <w:rPr>
          <w:rFonts w:ascii="Times New Roman" w:hAnsi="Times New Roman"/>
          <w:kern w:val="0"/>
          <w:sz w:val="24"/>
        </w:rPr>
        <w:t>；投资本基金的其他风险等等。</w:t>
      </w:r>
    </w:p>
    <w:p w:rsidR="0020207F" w:rsidRDefault="000C59E2">
      <w:pPr>
        <w:autoSpaceDE w:val="0"/>
        <w:autoSpaceDN w:val="0"/>
        <w:adjustRightInd w:val="0"/>
        <w:snapToGrid w:val="0"/>
        <w:spacing w:line="360" w:lineRule="auto"/>
        <w:ind w:leftChars="50" w:left="105" w:firstLineChars="200" w:firstLine="480"/>
        <w:rPr>
          <w:rFonts w:ascii="宋体" w:hAnsi="宋体"/>
          <w:kern w:val="0"/>
          <w:sz w:val="24"/>
        </w:rPr>
      </w:pPr>
      <w:r>
        <w:rPr>
          <w:rFonts w:ascii="宋体" w:hAnsi="宋体" w:hint="eastAsia"/>
          <w:kern w:val="0"/>
          <w:sz w:val="24"/>
        </w:rPr>
        <w:t>本基金每份基金份额的最短持有期限为180天，在最短持有期限内该份基金份额不可赎回，自最短持有期限届满日起（含该日）可赎回。即：自基金合同生效日（对认购份额而言）、基金份额申购确认日（对申购份额而言）起的第180天起（含当日，如为非工作日则顺延至下一工作日），投资者方可提出赎回申请。对于基金份额持有人而言，存在投资本基金后180天内无法赎回的风险。</w:t>
      </w:r>
    </w:p>
    <w:p w:rsidR="0020207F" w:rsidRDefault="000C59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本基金可投资国债期货，国债期货的投资可能面临市场风险、</w:t>
      </w:r>
      <w:proofErr w:type="gramStart"/>
      <w:r>
        <w:rPr>
          <w:rFonts w:ascii="Times New Roman" w:hAnsi="Times New Roman" w:hint="eastAsia"/>
          <w:kern w:val="0"/>
          <w:sz w:val="24"/>
        </w:rPr>
        <w:t>基差风险</w:t>
      </w:r>
      <w:proofErr w:type="gramEnd"/>
      <w:r>
        <w:rPr>
          <w:rFonts w:ascii="Times New Roman" w:hAnsi="Times New Roman" w:hint="eastAsia"/>
          <w:kern w:val="0"/>
          <w:sz w:val="24"/>
        </w:rPr>
        <w:t>、流动性风险。</w:t>
      </w:r>
    </w:p>
    <w:p w:rsidR="0020207F" w:rsidRDefault="000C59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w:t>
      </w:r>
      <w:r>
        <w:rPr>
          <w:rFonts w:ascii="Times New Roman" w:hAnsi="Times New Roman"/>
          <w:kern w:val="0"/>
          <w:sz w:val="24"/>
        </w:rPr>
        <w:lastRenderedPageBreak/>
        <w:t>性风险、信用风险等风险，基金管理人将本着谨慎和控制风险的原则进行资产支持证券投资，</w:t>
      </w:r>
      <w:proofErr w:type="gramStart"/>
      <w:r>
        <w:rPr>
          <w:rFonts w:ascii="Times New Roman" w:hAnsi="Times New Roman"/>
          <w:kern w:val="0"/>
          <w:sz w:val="24"/>
        </w:rPr>
        <w:t>请基金</w:t>
      </w:r>
      <w:proofErr w:type="gramEnd"/>
      <w:r>
        <w:rPr>
          <w:rFonts w:ascii="Times New Roman" w:hAnsi="Times New Roman"/>
          <w:kern w:val="0"/>
          <w:sz w:val="24"/>
        </w:rPr>
        <w:t>份额持有人关注包括投资资产支持证券可能导致的基金净值波动在内的各项风险。</w:t>
      </w:r>
    </w:p>
    <w:p w:rsidR="0020207F" w:rsidRDefault="000C59E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为对冲信用风险，本基金可能投资信用衍生品，信用衍生品的投资可能面临流动性风险、偿付风险和价格波动风险。</w:t>
      </w:r>
    </w:p>
    <w:p w:rsidR="0020207F" w:rsidRDefault="000C59E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基金合同提前终止风险。</w:t>
      </w:r>
      <w:r>
        <w:rPr>
          <w:rFonts w:ascii="宋体" w:hAnsi="宋体" w:hint="eastAsia"/>
          <w:sz w:val="24"/>
        </w:rPr>
        <w:t>《基金合同》生效后，</w:t>
      </w:r>
      <w:r>
        <w:rPr>
          <w:rFonts w:ascii="Times New Roman" w:hAnsi="Times New Roman" w:hint="eastAsia"/>
          <w:kern w:val="0"/>
          <w:sz w:val="24"/>
        </w:rPr>
        <w:t>连续</w:t>
      </w:r>
      <w:r>
        <w:rPr>
          <w:rFonts w:ascii="Times New Roman" w:hAnsi="Times New Roman" w:hint="eastAsia"/>
          <w:kern w:val="0"/>
          <w:sz w:val="24"/>
        </w:rPr>
        <w:t>50</w:t>
      </w:r>
      <w:r>
        <w:rPr>
          <w:rFonts w:ascii="Times New Roman" w:hAnsi="Times New Roman" w:hint="eastAsia"/>
          <w:kern w:val="0"/>
          <w:sz w:val="24"/>
        </w:rPr>
        <w:t>个工作日出现基金份额持有人数量不满</w:t>
      </w:r>
      <w:r>
        <w:rPr>
          <w:rFonts w:ascii="Times New Roman" w:hAnsi="Times New Roman" w:hint="eastAsia"/>
          <w:kern w:val="0"/>
          <w:sz w:val="24"/>
        </w:rPr>
        <w:t>200</w:t>
      </w:r>
      <w:r>
        <w:rPr>
          <w:rFonts w:ascii="Times New Roman" w:hAnsi="Times New Roman" w:hint="eastAsia"/>
          <w:kern w:val="0"/>
          <w:sz w:val="24"/>
        </w:rPr>
        <w:t>人或者基金资产净值低于</w:t>
      </w:r>
      <w:r>
        <w:rPr>
          <w:rFonts w:ascii="Times New Roman" w:hAnsi="Times New Roman" w:hint="eastAsia"/>
          <w:kern w:val="0"/>
          <w:sz w:val="24"/>
        </w:rPr>
        <w:t>5000</w:t>
      </w:r>
      <w:r>
        <w:rPr>
          <w:rFonts w:ascii="Times New Roman" w:hAnsi="Times New Roman" w:hint="eastAsia"/>
          <w:kern w:val="0"/>
          <w:sz w:val="24"/>
        </w:rPr>
        <w:t>万元情形的，基金合同终止，不需召开基金份额持有人大会。因此，投资者可能面临基金合同提前终止的风险。</w:t>
      </w:r>
    </w:p>
    <w:p w:rsidR="0020207F" w:rsidRDefault="000C59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rsidR="0020207F" w:rsidRDefault="000C59E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w:t>
      </w:r>
      <w:r>
        <w:rPr>
          <w:rFonts w:ascii="Times New Roman" w:hAnsi="Times New Roman" w:hint="eastAsia"/>
          <w:kern w:val="0"/>
          <w:sz w:val="24"/>
        </w:rPr>
        <w:t>、</w:t>
      </w:r>
      <w:r>
        <w:rPr>
          <w:rFonts w:ascii="Times New Roman" w:hAnsi="Times New Roman"/>
          <w:kern w:val="0"/>
          <w:sz w:val="24"/>
        </w:rPr>
        <w:t>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rsidR="0020207F" w:rsidRDefault="000C59E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20207F" w:rsidRDefault="000C59E2">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当本基金持有特定资产且存在或潜在大额赎回申请时，基金管理人履行相应程序后，可以</w:t>
      </w:r>
      <w:proofErr w:type="gramStart"/>
      <w:r>
        <w:rPr>
          <w:rFonts w:ascii="Times New Roman" w:hAnsi="Times New Roman" w:hint="eastAsia"/>
          <w:kern w:val="0"/>
          <w:sz w:val="24"/>
        </w:rPr>
        <w:t>启动侧袋机制</w:t>
      </w:r>
      <w:proofErr w:type="gramEnd"/>
      <w:r>
        <w:rPr>
          <w:rFonts w:ascii="Times New Roman" w:hAnsi="Times New Roman" w:hint="eastAsia"/>
          <w:kern w:val="0"/>
          <w:sz w:val="24"/>
        </w:rPr>
        <w:t>，具体详见基金合同和招募说明书的有关章节。</w:t>
      </w:r>
      <w:proofErr w:type="gramStart"/>
      <w:r>
        <w:rPr>
          <w:rFonts w:ascii="Times New Roman" w:hAnsi="Times New Roman" w:hint="eastAsia"/>
          <w:kern w:val="0"/>
          <w:sz w:val="24"/>
        </w:rPr>
        <w:t>侧袋机制</w:t>
      </w:r>
      <w:proofErr w:type="gramEnd"/>
      <w:r>
        <w:rPr>
          <w:rFonts w:ascii="Times New Roman" w:hAnsi="Times New Roman" w:hint="eastAsia"/>
          <w:kern w:val="0"/>
          <w:sz w:val="24"/>
        </w:rPr>
        <w:t>实施期间，基金管理人将对基金简称进行特殊标识，并不</w:t>
      </w:r>
      <w:proofErr w:type="gramStart"/>
      <w:r>
        <w:rPr>
          <w:rFonts w:ascii="Times New Roman" w:hAnsi="Times New Roman" w:hint="eastAsia"/>
          <w:kern w:val="0"/>
          <w:sz w:val="24"/>
        </w:rPr>
        <w:t>办理侧袋账户</w:t>
      </w:r>
      <w:proofErr w:type="gramEnd"/>
      <w:r>
        <w:rPr>
          <w:rFonts w:ascii="Times New Roman" w:hAnsi="Times New Roman" w:hint="eastAsia"/>
          <w:kern w:val="0"/>
          <w:sz w:val="24"/>
        </w:rPr>
        <w:t>的申购赎回。</w:t>
      </w:r>
      <w:proofErr w:type="gramStart"/>
      <w:r>
        <w:rPr>
          <w:rFonts w:ascii="Times New Roman" w:hAnsi="Times New Roman" w:hint="eastAsia"/>
          <w:kern w:val="0"/>
          <w:sz w:val="24"/>
        </w:rPr>
        <w:t>请基金</w:t>
      </w:r>
      <w:proofErr w:type="gramEnd"/>
      <w:r>
        <w:rPr>
          <w:rFonts w:ascii="Times New Roman" w:hAnsi="Times New Roman" w:hint="eastAsia"/>
          <w:kern w:val="0"/>
          <w:sz w:val="24"/>
        </w:rPr>
        <w:t>份额持有人仔细阅读相关内容并关注本基金启用</w:t>
      </w:r>
      <w:proofErr w:type="gramStart"/>
      <w:r>
        <w:rPr>
          <w:rFonts w:ascii="Times New Roman" w:hAnsi="Times New Roman" w:hint="eastAsia"/>
          <w:kern w:val="0"/>
          <w:sz w:val="24"/>
        </w:rPr>
        <w:t>侧袋机制</w:t>
      </w:r>
      <w:proofErr w:type="gramEnd"/>
      <w:r>
        <w:rPr>
          <w:rFonts w:ascii="Times New Roman" w:hAnsi="Times New Roman" w:hint="eastAsia"/>
          <w:kern w:val="0"/>
          <w:sz w:val="24"/>
        </w:rPr>
        <w:t>时的特定风险。</w:t>
      </w:r>
    </w:p>
    <w:p w:rsidR="0020207F" w:rsidRDefault="0020207F">
      <w:pPr>
        <w:rPr>
          <w:rFonts w:ascii="Times New Roman" w:hAnsi="Times New Roman"/>
          <w:kern w:val="0"/>
          <w:sz w:val="24"/>
        </w:rPr>
      </w:pPr>
    </w:p>
    <w:p w:rsidR="0020207F" w:rsidRDefault="0020207F">
      <w:pPr>
        <w:rPr>
          <w:rFonts w:ascii="Times New Roman" w:hAnsi="Times New Roman"/>
          <w:kern w:val="0"/>
          <w:sz w:val="24"/>
        </w:rPr>
        <w:sectPr w:rsidR="0020207F">
          <w:headerReference w:type="default" r:id="rId13"/>
          <w:pgSz w:w="11920" w:h="16840"/>
          <w:pgMar w:top="1440" w:right="1680" w:bottom="280" w:left="1680" w:header="0" w:footer="1073" w:gutter="0"/>
          <w:pgNumType w:start="1"/>
          <w:cols w:space="720"/>
        </w:sectPr>
      </w:pPr>
    </w:p>
    <w:p w:rsidR="0020207F" w:rsidRDefault="000C59E2">
      <w:pPr>
        <w:jc w:val="center"/>
        <w:rPr>
          <w:rFonts w:ascii="Times New Roman" w:hAnsi="Times New Roman"/>
          <w:kern w:val="0"/>
          <w:sz w:val="24"/>
        </w:rPr>
      </w:pPr>
      <w:r>
        <w:rPr>
          <w:rFonts w:ascii="Times New Roman" w:hAnsi="Times New Roman"/>
          <w:kern w:val="0"/>
          <w:sz w:val="24"/>
        </w:rPr>
        <w:lastRenderedPageBreak/>
        <w:t>目</w:t>
      </w:r>
      <w:r>
        <w:rPr>
          <w:rFonts w:ascii="Times New Roman" w:hAnsi="Times New Roman"/>
          <w:kern w:val="0"/>
          <w:sz w:val="24"/>
        </w:rPr>
        <w:tab/>
      </w:r>
      <w:r>
        <w:rPr>
          <w:rFonts w:ascii="Times New Roman" w:hAnsi="Times New Roman"/>
          <w:kern w:val="0"/>
          <w:sz w:val="24"/>
        </w:rPr>
        <w:t>录</w:t>
      </w:r>
    </w:p>
    <w:p w:rsidR="0020207F" w:rsidRDefault="000C59E2">
      <w:pPr>
        <w:pStyle w:val="11"/>
        <w:tabs>
          <w:tab w:val="right" w:leader="dot" w:pos="8550"/>
        </w:tabs>
        <w:spacing w:line="360" w:lineRule="auto"/>
        <w:rPr>
          <w:rStyle w:val="af3"/>
          <w:rFonts w:ascii="宋体" w:hAnsi="宋体"/>
          <w:sz w:val="24"/>
        </w:rPr>
      </w:pPr>
      <w:r>
        <w:rPr>
          <w:rFonts w:ascii="Times New Roman" w:hAnsi="Times New Roman"/>
          <w:kern w:val="0"/>
          <w:sz w:val="24"/>
        </w:rPr>
        <w:fldChar w:fldCharType="begin"/>
      </w:r>
      <w:r>
        <w:rPr>
          <w:rFonts w:ascii="Times New Roman" w:hAnsi="Times New Roman"/>
          <w:kern w:val="0"/>
          <w:sz w:val="24"/>
        </w:rPr>
        <w:instrText xml:space="preserve"> TOC \o "1-3" \f - \h \t "-1" </w:instrText>
      </w:r>
      <w:r>
        <w:rPr>
          <w:rFonts w:ascii="Times New Roman" w:hAnsi="Times New Roman"/>
          <w:kern w:val="0"/>
          <w:sz w:val="24"/>
        </w:rPr>
        <w:fldChar w:fldCharType="separate"/>
      </w:r>
      <w:hyperlink w:anchor="_Toc104564183" w:history="1">
        <w:r>
          <w:rPr>
            <w:rStyle w:val="af3"/>
            <w:rFonts w:ascii="宋体" w:hAnsi="宋体"/>
            <w:sz w:val="24"/>
          </w:rPr>
          <w:t>重要提示</w:t>
        </w:r>
        <w:r>
          <w:rPr>
            <w:rStyle w:val="af3"/>
            <w:rFonts w:ascii="宋体" w:hAnsi="宋体"/>
            <w:sz w:val="24"/>
          </w:rPr>
          <w:tab/>
        </w:r>
        <w:r>
          <w:rPr>
            <w:rStyle w:val="af3"/>
            <w:rFonts w:ascii="宋体" w:hAnsi="宋体"/>
            <w:sz w:val="24"/>
          </w:rPr>
          <w:fldChar w:fldCharType="begin"/>
        </w:r>
        <w:r>
          <w:rPr>
            <w:rStyle w:val="af3"/>
            <w:rFonts w:ascii="宋体" w:hAnsi="宋体"/>
            <w:sz w:val="24"/>
          </w:rPr>
          <w:instrText xml:space="preserve"> PAGEREF _Toc104564183 \h </w:instrText>
        </w:r>
        <w:r>
          <w:rPr>
            <w:rStyle w:val="af3"/>
            <w:rFonts w:ascii="宋体" w:hAnsi="宋体"/>
            <w:sz w:val="24"/>
          </w:rPr>
        </w:r>
        <w:r>
          <w:rPr>
            <w:rStyle w:val="af3"/>
            <w:rFonts w:ascii="宋体" w:hAnsi="宋体"/>
            <w:sz w:val="24"/>
          </w:rPr>
          <w:fldChar w:fldCharType="separate"/>
        </w:r>
        <w:r>
          <w:rPr>
            <w:rStyle w:val="af3"/>
            <w:rFonts w:ascii="宋体" w:hAnsi="宋体"/>
            <w:sz w:val="24"/>
          </w:rPr>
          <w:t>1</w:t>
        </w:r>
        <w:r>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84" w:history="1">
        <w:r w:rsidR="000C59E2">
          <w:rPr>
            <w:rStyle w:val="af3"/>
            <w:rFonts w:ascii="宋体" w:hAnsi="宋体"/>
            <w:sz w:val="24"/>
          </w:rPr>
          <w:t>一、绪言</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_Toc104564184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4</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85" w:history="1">
        <w:r w:rsidR="000C59E2">
          <w:rPr>
            <w:rStyle w:val="af3"/>
            <w:rFonts w:ascii="宋体" w:hAnsi="宋体"/>
            <w:sz w:val="24"/>
          </w:rPr>
          <w:t>二、释义</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_Toc104564185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5</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86" w:history="1">
        <w:r w:rsidR="000C59E2">
          <w:rPr>
            <w:rStyle w:val="af3"/>
            <w:rFonts w:ascii="宋体" w:hAnsi="宋体"/>
            <w:sz w:val="24"/>
          </w:rPr>
          <w:t>三、基金管理人</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_Toc104564186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10</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87" w:history="1">
        <w:r w:rsidR="000C59E2">
          <w:rPr>
            <w:rStyle w:val="af3"/>
            <w:rFonts w:ascii="宋体" w:hAnsi="宋体"/>
            <w:sz w:val="24"/>
          </w:rPr>
          <w:t>四、基金托管人</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_Toc104564187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18</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88" w:history="1">
        <w:r w:rsidR="000C59E2">
          <w:rPr>
            <w:rStyle w:val="af3"/>
            <w:rFonts w:ascii="宋体" w:hAnsi="宋体"/>
            <w:sz w:val="24"/>
          </w:rPr>
          <w:t>五、相关服务机构</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_Toc104564188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21</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89" w:history="1">
        <w:r w:rsidR="000C59E2">
          <w:rPr>
            <w:rStyle w:val="af3"/>
            <w:rFonts w:ascii="宋体" w:hAnsi="宋体"/>
            <w:sz w:val="24"/>
          </w:rPr>
          <w:t>六、基金的募集</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_Toc104564189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24</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0" w:history="1">
        <w:r w:rsidR="000C59E2">
          <w:rPr>
            <w:rStyle w:val="af3"/>
            <w:rFonts w:ascii="宋体" w:hAnsi="宋体"/>
            <w:sz w:val="24"/>
          </w:rPr>
          <w:t>七、基金合同的生效</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_Toc104564190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30</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1" w:history="1">
        <w:r w:rsidR="000C59E2">
          <w:rPr>
            <w:rStyle w:val="af3"/>
            <w:rFonts w:ascii="宋体" w:hAnsi="宋体"/>
            <w:sz w:val="24"/>
          </w:rPr>
          <w:t>八、基金份额的申购与赎回</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_Toc104564191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31</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2" w:history="1">
        <w:r w:rsidR="000C59E2">
          <w:rPr>
            <w:rStyle w:val="af3"/>
            <w:rFonts w:ascii="宋体" w:hAnsi="宋体"/>
            <w:sz w:val="24"/>
          </w:rPr>
          <w:t>九、基金的投资</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_Toc104564192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44</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3" w:history="1">
        <w:r w:rsidR="000C59E2">
          <w:rPr>
            <w:rStyle w:val="af3"/>
            <w:rFonts w:ascii="宋体" w:hAnsi="宋体"/>
            <w:sz w:val="24"/>
          </w:rPr>
          <w:t>十、基金的财产</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_Toc104564193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52</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4" w:history="1">
        <w:r w:rsidR="000C59E2">
          <w:rPr>
            <w:rStyle w:val="af3"/>
            <w:rFonts w:ascii="宋体" w:hAnsi="宋体"/>
            <w:sz w:val="24"/>
          </w:rPr>
          <w:t>十一、基金资产的估值</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_Toc104564194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53</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5" w:history="1">
        <w:r w:rsidR="000C59E2">
          <w:rPr>
            <w:rStyle w:val="af3"/>
            <w:rFonts w:ascii="宋体" w:hAnsi="宋体"/>
            <w:sz w:val="24"/>
          </w:rPr>
          <w:t>十二、基金收益与分配</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_Toc104564195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59</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6" w:history="1">
        <w:r w:rsidR="000C59E2">
          <w:rPr>
            <w:rStyle w:val="af3"/>
            <w:rFonts w:ascii="宋体" w:hAnsi="宋体"/>
            <w:sz w:val="24"/>
          </w:rPr>
          <w:t>十三、基金的费用与税收</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_Toc104564196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61</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7" w:history="1">
        <w:r w:rsidR="000C59E2">
          <w:rPr>
            <w:rStyle w:val="af3"/>
            <w:rFonts w:ascii="宋体" w:hAnsi="宋体"/>
            <w:sz w:val="24"/>
          </w:rPr>
          <w:t>十四、基金的会计与审计</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_Toc104564197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64</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8" w:history="1">
        <w:r w:rsidR="000C59E2">
          <w:rPr>
            <w:rStyle w:val="af3"/>
            <w:rFonts w:ascii="宋体" w:hAnsi="宋体"/>
            <w:sz w:val="24"/>
          </w:rPr>
          <w:t>十五、基金的信息披露</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_Toc104564198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65</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199" w:history="1">
        <w:r w:rsidR="000C59E2">
          <w:rPr>
            <w:rStyle w:val="af3"/>
            <w:rFonts w:ascii="宋体" w:hAnsi="宋体"/>
            <w:sz w:val="24"/>
          </w:rPr>
          <w:t>十六、侧袋机制</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_Toc104564199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72</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200" w:history="1">
        <w:r w:rsidR="000C59E2">
          <w:rPr>
            <w:rStyle w:val="af3"/>
            <w:rFonts w:ascii="宋体" w:hAnsi="宋体"/>
            <w:sz w:val="24"/>
          </w:rPr>
          <w:t>十七、风险揭示</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_Toc104564200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74</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201" w:history="1">
        <w:r w:rsidR="000C59E2">
          <w:rPr>
            <w:rStyle w:val="af3"/>
            <w:rFonts w:ascii="宋体" w:hAnsi="宋体"/>
            <w:sz w:val="24"/>
          </w:rPr>
          <w:t>十八、基金合同的变更、终止与基金财产的清算</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_Toc104564201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82</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202" w:history="1">
        <w:r w:rsidR="000C59E2">
          <w:rPr>
            <w:rStyle w:val="af3"/>
            <w:rFonts w:ascii="宋体" w:hAnsi="宋体"/>
            <w:sz w:val="24"/>
          </w:rPr>
          <w:t>十九、基金合同内容摘要</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_Toc104564202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84</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203" w:history="1">
        <w:r w:rsidR="000C59E2">
          <w:rPr>
            <w:rStyle w:val="af3"/>
            <w:rFonts w:ascii="宋体" w:hAnsi="宋体"/>
            <w:sz w:val="24"/>
          </w:rPr>
          <w:t>二十、托管协议的内容摘要</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_Toc104564203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101</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204" w:history="1">
        <w:r w:rsidR="000C59E2">
          <w:rPr>
            <w:rStyle w:val="af3"/>
            <w:rFonts w:ascii="宋体" w:hAnsi="宋体"/>
            <w:sz w:val="24"/>
          </w:rPr>
          <w:t>二十一、对基金份额持有人的服务</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_Toc104564204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113</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205" w:history="1">
        <w:r w:rsidR="000C59E2">
          <w:rPr>
            <w:rStyle w:val="af3"/>
            <w:rFonts w:ascii="宋体" w:hAnsi="宋体"/>
            <w:sz w:val="24"/>
          </w:rPr>
          <w:t>二十二、其他应披露事项</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_Toc104564205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115</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206" w:history="1">
        <w:r w:rsidR="000C59E2">
          <w:rPr>
            <w:rStyle w:val="af3"/>
            <w:rFonts w:ascii="宋体" w:hAnsi="宋体"/>
            <w:sz w:val="24"/>
          </w:rPr>
          <w:t>二十三、招募说明书的存放及查阅方式</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_Toc104564206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116</w:t>
        </w:r>
        <w:r w:rsidR="000C59E2">
          <w:rPr>
            <w:rStyle w:val="af3"/>
            <w:rFonts w:ascii="宋体" w:hAnsi="宋体"/>
            <w:sz w:val="24"/>
          </w:rPr>
          <w:fldChar w:fldCharType="end"/>
        </w:r>
      </w:hyperlink>
    </w:p>
    <w:p w:rsidR="0020207F" w:rsidRDefault="00642A18">
      <w:pPr>
        <w:pStyle w:val="11"/>
        <w:tabs>
          <w:tab w:val="right" w:leader="dot" w:pos="8550"/>
        </w:tabs>
        <w:spacing w:line="360" w:lineRule="auto"/>
        <w:rPr>
          <w:rStyle w:val="af3"/>
          <w:rFonts w:ascii="宋体" w:hAnsi="宋体"/>
          <w:sz w:val="24"/>
        </w:rPr>
      </w:pPr>
      <w:hyperlink w:anchor="_Toc104564207" w:history="1">
        <w:r w:rsidR="000C59E2">
          <w:rPr>
            <w:rStyle w:val="af3"/>
            <w:rFonts w:ascii="宋体" w:hAnsi="宋体"/>
            <w:sz w:val="24"/>
          </w:rPr>
          <w:t>二十四、备查文件</w:t>
        </w:r>
        <w:r w:rsidR="000C59E2">
          <w:rPr>
            <w:rStyle w:val="af3"/>
            <w:rFonts w:ascii="宋体" w:hAnsi="宋体"/>
            <w:sz w:val="24"/>
          </w:rPr>
          <w:tab/>
        </w:r>
        <w:r w:rsidR="000C59E2">
          <w:rPr>
            <w:rStyle w:val="af3"/>
            <w:rFonts w:ascii="宋体" w:hAnsi="宋体"/>
            <w:sz w:val="24"/>
          </w:rPr>
          <w:fldChar w:fldCharType="begin"/>
        </w:r>
        <w:r w:rsidR="000C59E2">
          <w:rPr>
            <w:rStyle w:val="af3"/>
            <w:rFonts w:ascii="宋体" w:hAnsi="宋体"/>
            <w:sz w:val="24"/>
          </w:rPr>
          <w:instrText xml:space="preserve"> PAGEREF _Toc104564207 \h </w:instrText>
        </w:r>
        <w:r w:rsidR="000C59E2">
          <w:rPr>
            <w:rStyle w:val="af3"/>
            <w:rFonts w:ascii="宋体" w:hAnsi="宋体"/>
            <w:sz w:val="24"/>
          </w:rPr>
        </w:r>
        <w:r w:rsidR="000C59E2">
          <w:rPr>
            <w:rStyle w:val="af3"/>
            <w:rFonts w:ascii="宋体" w:hAnsi="宋体"/>
            <w:sz w:val="24"/>
          </w:rPr>
          <w:fldChar w:fldCharType="separate"/>
        </w:r>
        <w:r w:rsidR="000C59E2">
          <w:rPr>
            <w:rStyle w:val="af3"/>
            <w:rFonts w:ascii="宋体" w:hAnsi="宋体"/>
            <w:sz w:val="24"/>
          </w:rPr>
          <w:t>117</w:t>
        </w:r>
        <w:r w:rsidR="000C59E2">
          <w:rPr>
            <w:rStyle w:val="af3"/>
            <w:rFonts w:ascii="宋体" w:hAnsi="宋体"/>
            <w:sz w:val="24"/>
          </w:rPr>
          <w:fldChar w:fldCharType="end"/>
        </w:r>
      </w:hyperlink>
    </w:p>
    <w:p w:rsidR="0020207F" w:rsidRDefault="000C59E2">
      <w:pPr>
        <w:pStyle w:val="Style19"/>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rsidR="0020207F" w:rsidRDefault="0020207F">
      <w:pPr>
        <w:autoSpaceDE w:val="0"/>
        <w:autoSpaceDN w:val="0"/>
        <w:adjustRightInd w:val="0"/>
        <w:snapToGrid w:val="0"/>
        <w:spacing w:line="360" w:lineRule="auto"/>
        <w:ind w:left="120" w:rightChars="6" w:right="13"/>
        <w:rPr>
          <w:rFonts w:ascii="宋体" w:hAnsi="宋体"/>
          <w:kern w:val="0"/>
          <w:szCs w:val="24"/>
        </w:rPr>
        <w:sectPr w:rsidR="0020207F">
          <w:pgSz w:w="11920" w:h="16840"/>
          <w:pgMar w:top="1480" w:right="1680" w:bottom="280" w:left="1680" w:header="0" w:footer="1073" w:gutter="0"/>
          <w:cols w:space="720"/>
        </w:sectPr>
      </w:pPr>
    </w:p>
    <w:p w:rsidR="0020207F" w:rsidRDefault="000C59E2">
      <w:pPr>
        <w:pStyle w:val="1"/>
        <w:snapToGrid w:val="0"/>
        <w:spacing w:beforeLines="0" w:before="240" w:after="240"/>
        <w:rPr>
          <w:rFonts w:ascii="宋体" w:hAnsi="宋体"/>
          <w:szCs w:val="30"/>
        </w:rPr>
      </w:pPr>
      <w:bookmarkStart w:id="3" w:name="_Toc104564184"/>
      <w:r>
        <w:rPr>
          <w:rFonts w:ascii="Times New Roman" w:hAnsi="Times New Roman"/>
          <w:sz w:val="30"/>
        </w:rPr>
        <w:lastRenderedPageBreak/>
        <w:t>一、绪言</w:t>
      </w:r>
      <w:bookmarkEnd w:id="3"/>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180天持有期债券型证券投资基金招募说明书》（以下简称“本招募说明书”）依据《中华人民共和国证券投资基金法》（以下简称“《基金法》”）、《公开募集证券投资基金运作管理办法》（以下简称“《运作办法》”）、《</w:t>
      </w:r>
      <w:r>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交银施罗德180天持有期债券型证券投资基金基金合同》（以下简称“基金合同”</w:t>
      </w:r>
      <w:r>
        <w:rPr>
          <w:rFonts w:ascii="宋体" w:hAnsi="宋体" w:hint="eastAsia"/>
          <w:sz w:val="24"/>
        </w:rPr>
        <w:t>或“《基金合同》”</w:t>
      </w:r>
      <w:r>
        <w:rPr>
          <w:rFonts w:ascii="宋体" w:hAnsi="宋体"/>
          <w:sz w:val="24"/>
        </w:rPr>
        <w:t>）编写。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4" w:name="_Toc104564185"/>
      <w:bookmarkStart w:id="5" w:name="_Hlk100954017"/>
      <w:r>
        <w:rPr>
          <w:rFonts w:ascii="Times New Roman" w:hAnsi="Times New Roman"/>
          <w:sz w:val="30"/>
        </w:rPr>
        <w:lastRenderedPageBreak/>
        <w:t>二、释义</w:t>
      </w:r>
      <w:bookmarkEnd w:id="4"/>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1、基金或本基金：指交银施罗德180天持有期债券型证券投资基金</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w:t>
      </w:r>
      <w:r>
        <w:rPr>
          <w:rFonts w:ascii="宋体" w:hAnsi="宋体" w:hint="eastAsia"/>
          <w:sz w:val="24"/>
        </w:rPr>
        <w:t>中国农业银行股份有限公司</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4、基金合同、《基金合同》：指《交银施罗德180天持有期债券型证券投资基金基金合同》及对基金合同的任何有效修订和补充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5、托管协议：指基金管理人与基金托管人就本基金签订之《交银施罗德180天持有期债券型证券投资基金托管协议》及对该托管协议的任何有效修订和补充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6、招募说明书、《招募说明书》或本招募说明书：指《交银施罗德180天持有期债券型证券投资基金招募说明书》及其更新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7、基金产品资料概要：指《交银施罗德180天持有期债券型证券投资基金基金产品资料概要》及其更新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8、基金份额发售公告：指《交银施罗德180天持有期债券型证券投资基金基金份额发售公告》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Pr>
          <w:bCs/>
          <w:sz w:val="24"/>
        </w:rPr>
        <w:t>公开募集证券投资基金销售机构监督管理办法</w:t>
      </w:r>
      <w:r>
        <w:rPr>
          <w:rFonts w:ascii="宋体" w:hAnsi="宋体"/>
          <w:sz w:val="24"/>
        </w:rPr>
        <w:t>》及颁布机关对其不时做出的修订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w:t>
      </w:r>
      <w:r>
        <w:rPr>
          <w:rFonts w:ascii="宋体" w:hAnsi="宋体" w:hint="eastAsia"/>
          <w:sz w:val="24"/>
        </w:rPr>
        <w:t>国家金融监督管理总局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17、基金合同当事人：指受基金合同约束，根据基金合同享有权利并承担义务的法律主体，包括基金管理人、基金托管人和基金份额持有人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w:t>
      </w:r>
      <w:r>
        <w:rPr>
          <w:rFonts w:ascii="宋体" w:hAnsi="宋体" w:hint="eastAsia"/>
          <w:sz w:val="24"/>
        </w:rPr>
        <w:t>、</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21、投资人、投资者：指个人投资者、机构投资者、合格境外投资者以及法律法规或中国证监会允许购买证券投资基金的其他投资人的合称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26、登记机构：</w:t>
      </w:r>
      <w:proofErr w:type="gramStart"/>
      <w:r>
        <w:rPr>
          <w:rFonts w:ascii="宋体" w:hAnsi="宋体"/>
          <w:sz w:val="24"/>
        </w:rPr>
        <w:t>指办理</w:t>
      </w:r>
      <w:proofErr w:type="gramEnd"/>
      <w:r>
        <w:rPr>
          <w:rFonts w:ascii="宋体" w:hAnsi="宋体"/>
          <w:sz w:val="24"/>
        </w:rPr>
        <w:t>登记业务的机构。基金的登记机构为交银施罗德基金管理有限公司或接受交银施罗德基金管理有限公司委托代为办理登记业务的机构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28、基金交易账户：指销售机构为投资人开立的、记录投资人通过该销售机构办理认购、申购、赎回、转换及转托管等业务而引起的基金份额变动及结余情况的账户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29、基金合同生效日：指基金募集达到法律法规规定及基金合同规定的条件，基金管理人向中国证监会办理基金备案手续完毕，并获得中国证监会书面确认的日</w:t>
      </w:r>
      <w:r>
        <w:rPr>
          <w:rFonts w:ascii="宋体" w:hAnsi="宋体"/>
          <w:sz w:val="24"/>
        </w:rPr>
        <w:lastRenderedPageBreak/>
        <w:t>期</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31、基金募集期：指自基金份额发售之日起至发售结束之日止的期间，最长不得超过3个月</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32、存续期：指基金合同生效至终止之间的不定期期限</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33、最短持有期限：本基金每份基金份额的最短持有期限为180天，在最短持有期限内该份基金份额不可赎回，自最短持有期限届满日起（含该日）可赎回。即：自基金合同生效日（对认购份额而言）、基金份额申购确认日（对申购份额而言）起的第180天起（含该日，如为非工作日则顺延至下一工作日），投资者方可提出赎回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w:t>
      </w:r>
      <w:proofErr w:type="gramStart"/>
      <w:r>
        <w:rPr>
          <w:rFonts w:ascii="宋体" w:hAnsi="宋体"/>
          <w:sz w:val="24"/>
        </w:rPr>
        <w:t>个</w:t>
      </w:r>
      <w:proofErr w:type="gramEnd"/>
      <w:r>
        <w:rPr>
          <w:rFonts w:ascii="宋体" w:hAnsi="宋体"/>
          <w:sz w:val="24"/>
        </w:rPr>
        <w:t>工作日（不包含T日）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39、《业务规则》：指《交银施罗德基金管理有限公司开放式基金业务规则》</w:t>
      </w:r>
      <w:r>
        <w:rPr>
          <w:rFonts w:ascii="宋体" w:hAnsi="宋体" w:hint="eastAsia"/>
          <w:sz w:val="24"/>
        </w:rPr>
        <w:t>，</w:t>
      </w:r>
      <w:r>
        <w:rPr>
          <w:rFonts w:ascii="宋体" w:hAnsi="宋体"/>
          <w:sz w:val="24"/>
        </w:rPr>
        <w:t>是规范基金管理人所管理的开放式证券投资基金登记方面的业务规则，由基金管理人和投资人共同遵守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44、转托管：指基金份额持有人在本基金的不同销售机构之间实施的变更所持</w:t>
      </w:r>
      <w:r>
        <w:rPr>
          <w:rFonts w:ascii="宋体" w:hAnsi="宋体"/>
          <w:sz w:val="24"/>
        </w:rPr>
        <w:lastRenderedPageBreak/>
        <w:t>基金份额销售机构的操作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47、元：指人民币元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48、基金收益：指基金投资所得</w:t>
      </w:r>
      <w:r>
        <w:rPr>
          <w:rFonts w:ascii="宋体" w:hAnsi="宋体" w:hint="eastAsia"/>
          <w:sz w:val="24"/>
        </w:rPr>
        <w:t>红利、股息、</w:t>
      </w:r>
      <w:r>
        <w:rPr>
          <w:rFonts w:ascii="宋体" w:hAnsi="宋体"/>
          <w:sz w:val="24"/>
        </w:rPr>
        <w:t>债券利息、买卖证券价差、银行存款利息、已实现的其他合法收入及因运用基金财产带来的成本和费用的节约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49、基金资产总值：指基金拥有的各类有价证券、</w:t>
      </w:r>
      <w:r>
        <w:rPr>
          <w:rFonts w:hint="eastAsia"/>
          <w:bCs/>
          <w:sz w:val="24"/>
        </w:rPr>
        <w:t>国债期货合约、</w:t>
      </w:r>
      <w:r>
        <w:rPr>
          <w:rFonts w:ascii="宋体" w:hAnsi="宋体"/>
          <w:sz w:val="24"/>
        </w:rPr>
        <w:t>银行存款本息、基金应收款</w:t>
      </w:r>
      <w:r>
        <w:rPr>
          <w:rFonts w:ascii="宋体" w:hAnsi="宋体" w:hint="eastAsia"/>
          <w:sz w:val="24"/>
        </w:rPr>
        <w:t>项</w:t>
      </w:r>
      <w:r>
        <w:rPr>
          <w:rFonts w:ascii="宋体" w:hAnsi="宋体"/>
          <w:sz w:val="24"/>
        </w:rPr>
        <w:t>及其他资产的价值总和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50、基金资产净值：指基金资产总值减去基金负债后的价值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51、基金份额净值：指计算日基金资产净值除以计算日基金份额总数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52、基金资产估值：指计算评估基金资产和负债的价值，以确定基金资产净值和基金份额净值的过程</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53、</w:t>
      </w:r>
      <w:r>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54、销售服务费：指从基金财产中计提的，用于本基金市场推广、销售以及基金份额持有人服务的费用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55、A类基金份额：指在投资人认购/申购时收取认购/申购费用且不从本类别基金资产中计</w:t>
      </w:r>
      <w:proofErr w:type="gramStart"/>
      <w:r>
        <w:rPr>
          <w:rFonts w:ascii="宋体" w:hAnsi="宋体"/>
          <w:sz w:val="24"/>
        </w:rPr>
        <w:t>提销售</w:t>
      </w:r>
      <w:proofErr w:type="gramEnd"/>
      <w:r>
        <w:rPr>
          <w:rFonts w:ascii="宋体" w:hAnsi="宋体"/>
          <w:sz w:val="24"/>
        </w:rPr>
        <w:t>服务费的基金份额</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56、C类基金份额：指在投资人认购/申购时不收取认购/申购费用并从本类别基金资产中计</w:t>
      </w:r>
      <w:proofErr w:type="gramStart"/>
      <w:r>
        <w:rPr>
          <w:rFonts w:ascii="宋体" w:hAnsi="宋体"/>
          <w:sz w:val="24"/>
        </w:rPr>
        <w:t>提销售</w:t>
      </w:r>
      <w:proofErr w:type="gramEnd"/>
      <w:r>
        <w:rPr>
          <w:rFonts w:ascii="宋体" w:hAnsi="宋体"/>
          <w:sz w:val="24"/>
        </w:rPr>
        <w:t>服务费的基金份额</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57、信用衍生品：指符合证券交易所或银行间市场相关业务规则，专门用于管理信用风险的信用衍生工具</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58、信用保护买方：亦称信用保护购买方，指接受信用风险保护的一方</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59、信用保护卖方：亦称信用保护提供方，指提供信用风险保护的一方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60、名义本金：亦称交易名义本金，指为信用衍生品交易提供信用风险保护的</w:t>
      </w:r>
      <w:r>
        <w:rPr>
          <w:rFonts w:ascii="宋体" w:hAnsi="宋体"/>
          <w:sz w:val="24"/>
        </w:rPr>
        <w:lastRenderedPageBreak/>
        <w:t>金额，各项支付和结算以此金额为计算基准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约定有条件提前支取的银行存款）、停牌股票、流通受限的新股及非公开发行股票、资产支持证券、因发行人债务违约无法进行转让或交易的债券等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w:t>
      </w:r>
      <w:proofErr w:type="gramStart"/>
      <w:r>
        <w:rPr>
          <w:rFonts w:ascii="宋体" w:hAnsi="宋体"/>
          <w:sz w:val="24"/>
        </w:rPr>
        <w:t>侧袋机制</w:t>
      </w:r>
      <w:proofErr w:type="gramEnd"/>
      <w:r>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sz w:val="24"/>
        </w:rPr>
        <w:t>侧袋机制</w:t>
      </w:r>
      <w:proofErr w:type="gramEnd"/>
      <w:r>
        <w:rPr>
          <w:rFonts w:ascii="宋体" w:hAnsi="宋体"/>
          <w:sz w:val="24"/>
        </w:rPr>
        <w:t>实施期间，原有账户称为主袋账户，专门账户</w:t>
      </w:r>
      <w:proofErr w:type="gramStart"/>
      <w:r>
        <w:rPr>
          <w:rFonts w:ascii="宋体" w:hAnsi="宋体"/>
          <w:sz w:val="24"/>
        </w:rPr>
        <w:t>称为侧袋账户</w:t>
      </w:r>
      <w:proofErr w:type="gramEnd"/>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64、特定资产：包括：（一）无可参考的活跃市场价格且采用估值技术</w:t>
      </w:r>
      <w:proofErr w:type="gramStart"/>
      <w:r>
        <w:rPr>
          <w:rFonts w:ascii="宋体" w:hAnsi="宋体"/>
          <w:sz w:val="24"/>
        </w:rPr>
        <w:t>仍导致</w:t>
      </w:r>
      <w:proofErr w:type="gramEnd"/>
      <w:r>
        <w:rPr>
          <w:rFonts w:ascii="宋体" w:hAnsi="宋体"/>
          <w:sz w:val="24"/>
        </w:rPr>
        <w:t>公允价值存在重大不确定性的资产；（二）</w:t>
      </w:r>
      <w:proofErr w:type="gramStart"/>
      <w:r>
        <w:rPr>
          <w:rFonts w:ascii="宋体" w:hAnsi="宋体"/>
          <w:sz w:val="24"/>
        </w:rPr>
        <w:t>按摊余成本</w:t>
      </w:r>
      <w:proofErr w:type="gramEnd"/>
      <w:r>
        <w:rPr>
          <w:rFonts w:ascii="宋体" w:hAnsi="宋体"/>
          <w:sz w:val="24"/>
        </w:rPr>
        <w:t>计量且计提资产减值</w:t>
      </w:r>
      <w:proofErr w:type="gramStart"/>
      <w:r>
        <w:rPr>
          <w:rFonts w:ascii="宋体" w:hAnsi="宋体"/>
          <w:sz w:val="24"/>
        </w:rPr>
        <w:t>准备仍导致</w:t>
      </w:r>
      <w:proofErr w:type="gramEnd"/>
      <w:r>
        <w:rPr>
          <w:rFonts w:ascii="宋体" w:hAnsi="宋体"/>
          <w:sz w:val="24"/>
        </w:rPr>
        <w:t>资产价值存在重大不确定性的资产；（三）其他资产价值存在重大不确定性的资产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65、不可抗力：指基金合同当事人不能预见、不能避免且不能克服的客观事件</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5"/>
    <w:p w:rsidR="0020207F" w:rsidRDefault="000C59E2">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lastRenderedPageBreak/>
        <w:tab/>
      </w:r>
      <w:bookmarkStart w:id="6" w:name="_Toc104564186"/>
      <w:r>
        <w:rPr>
          <w:rFonts w:ascii="Times New Roman" w:hAnsi="Times New Roman"/>
          <w:sz w:val="30"/>
        </w:rPr>
        <w:t>三、基金管理人</w:t>
      </w:r>
      <w:bookmarkEnd w:id="6"/>
      <w:r>
        <w:rPr>
          <w:rFonts w:ascii="Times New Roman" w:hAnsi="Times New Roman"/>
          <w:sz w:val="30"/>
        </w:rPr>
        <w:tab/>
      </w:r>
    </w:p>
    <w:p w:rsidR="0020207F" w:rsidRDefault="000C59E2">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（一）基金管理人概况</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名称：交银施罗德基金管理有限公司</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住所：</w:t>
      </w:r>
      <w:r>
        <w:rPr>
          <w:rFonts w:ascii="Times New Roman" w:hAnsi="Times New Roman" w:hint="eastAsia"/>
          <w:kern w:val="0"/>
          <w:sz w:val="24"/>
        </w:rPr>
        <w:t>中国</w:t>
      </w:r>
      <w:r>
        <w:rPr>
          <w:rFonts w:ascii="Times New Roman" w:hAnsi="Times New Roman"/>
          <w:kern w:val="0"/>
          <w:sz w:val="24"/>
        </w:rPr>
        <w:t>（</w:t>
      </w:r>
      <w:r>
        <w:rPr>
          <w:rFonts w:ascii="Times New Roman" w:hAnsi="Times New Roman" w:hint="eastAsia"/>
          <w:kern w:val="0"/>
          <w:sz w:val="24"/>
        </w:rPr>
        <w:t>上海）自由</w:t>
      </w:r>
      <w:r>
        <w:rPr>
          <w:rFonts w:ascii="Times New Roman" w:hAnsi="Times New Roman"/>
          <w:kern w:val="0"/>
          <w:sz w:val="24"/>
        </w:rPr>
        <w:t>贸易试验区银城中路</w:t>
      </w:r>
      <w:r>
        <w:rPr>
          <w:rFonts w:ascii="Times New Roman" w:hAnsi="Times New Roman"/>
          <w:kern w:val="0"/>
          <w:sz w:val="24"/>
        </w:rPr>
        <w:t>188</w:t>
      </w:r>
      <w:r>
        <w:rPr>
          <w:rFonts w:ascii="Times New Roman" w:hAnsi="Times New Roman"/>
          <w:kern w:val="0"/>
          <w:sz w:val="24"/>
        </w:rPr>
        <w:t>号交通银行大楼二层（裙）</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办公地址：</w:t>
      </w:r>
      <w:r>
        <w:rPr>
          <w:rFonts w:ascii="Times New Roman" w:hAnsi="Times New Roman" w:hint="eastAsia"/>
          <w:kern w:val="0"/>
          <w:sz w:val="24"/>
        </w:rPr>
        <w:t>上海市浦东</w:t>
      </w:r>
      <w:proofErr w:type="gramStart"/>
      <w:r>
        <w:rPr>
          <w:rFonts w:ascii="Times New Roman" w:hAnsi="Times New Roman"/>
          <w:kern w:val="0"/>
          <w:sz w:val="24"/>
        </w:rPr>
        <w:t>新区</w:t>
      </w:r>
      <w:r>
        <w:rPr>
          <w:rFonts w:ascii="Times New Roman" w:hAnsi="Times New Roman" w:hint="eastAsia"/>
          <w:kern w:val="0"/>
          <w:sz w:val="24"/>
        </w:rPr>
        <w:t>世纪</w:t>
      </w:r>
      <w:proofErr w:type="gramEnd"/>
      <w:r>
        <w:rPr>
          <w:rFonts w:ascii="Times New Roman" w:hAnsi="Times New Roman" w:hint="eastAsia"/>
          <w:kern w:val="0"/>
          <w:sz w:val="24"/>
        </w:rPr>
        <w:t>大道</w:t>
      </w:r>
      <w:r>
        <w:rPr>
          <w:rFonts w:ascii="Times New Roman" w:hAnsi="Times New Roman"/>
          <w:kern w:val="0"/>
          <w:sz w:val="24"/>
        </w:rPr>
        <w:t>8</w:t>
      </w:r>
      <w:r>
        <w:rPr>
          <w:rFonts w:ascii="Times New Roman" w:hAnsi="Times New Roman" w:hint="eastAsia"/>
          <w:kern w:val="0"/>
          <w:sz w:val="24"/>
        </w:rPr>
        <w:t>号国</w:t>
      </w:r>
      <w:proofErr w:type="gramStart"/>
      <w:r>
        <w:rPr>
          <w:rFonts w:ascii="Times New Roman" w:hAnsi="Times New Roman" w:hint="eastAsia"/>
          <w:kern w:val="0"/>
          <w:sz w:val="24"/>
        </w:rPr>
        <w:t>金中心</w:t>
      </w:r>
      <w:proofErr w:type="gramEnd"/>
      <w:r>
        <w:rPr>
          <w:rFonts w:ascii="Times New Roman" w:hAnsi="Times New Roman" w:hint="eastAsia"/>
          <w:kern w:val="0"/>
          <w:sz w:val="24"/>
        </w:rPr>
        <w:t>二期</w:t>
      </w:r>
      <w:r>
        <w:rPr>
          <w:rFonts w:ascii="Times New Roman" w:hAnsi="Times New Roman"/>
          <w:kern w:val="0"/>
          <w:sz w:val="24"/>
        </w:rPr>
        <w:t>21-22</w:t>
      </w:r>
      <w:r>
        <w:rPr>
          <w:rFonts w:ascii="Times New Roman" w:hAnsi="Times New Roman" w:hint="eastAsia"/>
          <w:kern w:val="0"/>
          <w:sz w:val="24"/>
        </w:rPr>
        <w:t>楼</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sz w:val="24"/>
        </w:rPr>
        <w:t>邮政编码：</w:t>
      </w:r>
      <w:r>
        <w:rPr>
          <w:rFonts w:ascii="Times New Roman" w:hAnsi="Times New Roman"/>
          <w:sz w:val="24"/>
        </w:rPr>
        <w:t>200120</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法定代表人：</w:t>
      </w:r>
      <w:r>
        <w:rPr>
          <w:rFonts w:ascii="Times New Roman" w:hAnsi="Times New Roman" w:hint="eastAsia"/>
          <w:sz w:val="24"/>
        </w:rPr>
        <w:t>张宏良</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成立时间：</w:t>
      </w:r>
      <w:r>
        <w:rPr>
          <w:rFonts w:ascii="Times New Roman" w:hAnsi="Times New Roman"/>
          <w:kern w:val="0"/>
          <w:sz w:val="24"/>
        </w:rPr>
        <w:t>2005</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4</w:t>
      </w:r>
      <w:r>
        <w:rPr>
          <w:rFonts w:ascii="Times New Roman" w:hAnsi="Times New Roman"/>
          <w:kern w:val="0"/>
          <w:sz w:val="24"/>
        </w:rPr>
        <w:t>日</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注册资本：</w:t>
      </w:r>
      <w:r>
        <w:rPr>
          <w:rFonts w:ascii="Times New Roman" w:hAnsi="Times New Roman"/>
          <w:kern w:val="0"/>
          <w:sz w:val="24"/>
        </w:rPr>
        <w:t>2</w:t>
      </w:r>
      <w:r>
        <w:rPr>
          <w:rFonts w:ascii="Times New Roman" w:hAnsi="Times New Roman"/>
          <w:kern w:val="0"/>
          <w:sz w:val="24"/>
        </w:rPr>
        <w:t>亿元人民币</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存续期间：持续经营</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联系人：</w:t>
      </w:r>
      <w:r>
        <w:rPr>
          <w:rFonts w:ascii="Times New Roman" w:hAnsi="Times New Roman" w:hint="eastAsia"/>
          <w:sz w:val="24"/>
        </w:rPr>
        <w:t>何佳妮</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电话：</w:t>
      </w:r>
      <w:r>
        <w:rPr>
          <w:rFonts w:ascii="Times New Roman" w:hAnsi="Times New Roman" w:hint="eastAsia"/>
          <w:kern w:val="0"/>
          <w:sz w:val="24"/>
        </w:rPr>
        <w:t>（</w:t>
      </w:r>
      <w:r>
        <w:rPr>
          <w:rFonts w:ascii="Times New Roman" w:hAnsi="Times New Roman"/>
          <w:kern w:val="0"/>
          <w:sz w:val="24"/>
        </w:rPr>
        <w:t>021</w:t>
      </w:r>
      <w:r>
        <w:rPr>
          <w:rFonts w:ascii="Times New Roman" w:hAnsi="Times New Roman" w:hint="eastAsia"/>
          <w:kern w:val="0"/>
          <w:sz w:val="24"/>
        </w:rPr>
        <w:t>）</w:t>
      </w:r>
      <w:r>
        <w:rPr>
          <w:rFonts w:ascii="Times New Roman" w:hAnsi="Times New Roman"/>
          <w:kern w:val="0"/>
          <w:sz w:val="24"/>
        </w:rPr>
        <w:t>61055050</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传真：</w:t>
      </w:r>
      <w:r>
        <w:rPr>
          <w:rFonts w:ascii="Times New Roman" w:hAnsi="Times New Roman" w:hint="eastAsia"/>
          <w:kern w:val="0"/>
          <w:sz w:val="24"/>
        </w:rPr>
        <w:t>（</w:t>
      </w:r>
      <w:r>
        <w:rPr>
          <w:rFonts w:ascii="Times New Roman" w:hAnsi="Times New Roman"/>
          <w:kern w:val="0"/>
          <w:sz w:val="24"/>
        </w:rPr>
        <w:t>021</w:t>
      </w:r>
      <w:r>
        <w:rPr>
          <w:rFonts w:ascii="Times New Roman" w:hAnsi="Times New Roman" w:hint="eastAsia"/>
          <w:kern w:val="0"/>
          <w:sz w:val="24"/>
        </w:rPr>
        <w:t>）</w:t>
      </w:r>
      <w:r>
        <w:rPr>
          <w:rFonts w:ascii="Times New Roman" w:hAnsi="Times New Roman"/>
          <w:kern w:val="0"/>
          <w:sz w:val="24"/>
        </w:rPr>
        <w:t>61055034</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kern w:val="0"/>
          <w:sz w:val="24"/>
        </w:rPr>
        <w:t>交银施罗德基金管理有限公司（以下简称</w:t>
      </w:r>
      <w:r>
        <w:rPr>
          <w:rFonts w:ascii="Times New Roman" w:hAnsi="Times New Roman" w:hint="eastAsia"/>
          <w:kern w:val="0"/>
          <w:sz w:val="24"/>
        </w:rPr>
        <w:t>“</w:t>
      </w:r>
      <w:r>
        <w:rPr>
          <w:rFonts w:ascii="Times New Roman" w:hAnsi="Times New Roman"/>
          <w:kern w:val="0"/>
          <w:sz w:val="24"/>
        </w:rPr>
        <w:t>公司</w:t>
      </w:r>
      <w:r>
        <w:rPr>
          <w:rFonts w:ascii="Times New Roman" w:hAnsi="Times New Roman" w:hint="eastAsia"/>
          <w:kern w:val="0"/>
          <w:sz w:val="24"/>
        </w:rPr>
        <w:t>”</w:t>
      </w:r>
      <w:r>
        <w:rPr>
          <w:rFonts w:ascii="Times New Roman" w:hAnsi="Times New Roman"/>
          <w:kern w:val="0"/>
          <w:sz w:val="24"/>
        </w:rPr>
        <w:t>）经中国证监会证</w:t>
      </w:r>
      <w:proofErr w:type="gramStart"/>
      <w:r>
        <w:rPr>
          <w:rFonts w:ascii="Times New Roman" w:hAnsi="Times New Roman"/>
          <w:kern w:val="0"/>
          <w:sz w:val="24"/>
        </w:rPr>
        <w:t>监基金字</w:t>
      </w:r>
      <w:proofErr w:type="gramEnd"/>
      <w:r>
        <w:rPr>
          <w:rFonts w:ascii="Times New Roman" w:hAnsi="Times New Roman"/>
          <w:kern w:val="0"/>
          <w:sz w:val="24"/>
        </w:rPr>
        <w:t>[2005]128</w:t>
      </w:r>
      <w:r>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20207F">
        <w:trPr>
          <w:trHeight w:val="402"/>
        </w:trPr>
        <w:tc>
          <w:tcPr>
            <w:tcW w:w="5400" w:type="dxa"/>
          </w:tcPr>
          <w:p w:rsidR="0020207F" w:rsidRDefault="000C59E2">
            <w:pPr>
              <w:widowControl/>
              <w:jc w:val="center"/>
              <w:rPr>
                <w:rFonts w:ascii="Times New Roman" w:hAnsi="Times New Roman"/>
                <w:kern w:val="0"/>
                <w:sz w:val="24"/>
              </w:rPr>
            </w:pPr>
            <w:r>
              <w:rPr>
                <w:rFonts w:ascii="Times New Roman" w:hAnsi="Times New Roman"/>
                <w:kern w:val="0"/>
                <w:sz w:val="24"/>
              </w:rPr>
              <w:t>股东名称</w:t>
            </w:r>
          </w:p>
        </w:tc>
        <w:tc>
          <w:tcPr>
            <w:tcW w:w="3060" w:type="dxa"/>
          </w:tcPr>
          <w:p w:rsidR="0020207F" w:rsidRDefault="000C59E2">
            <w:pPr>
              <w:widowControl/>
              <w:jc w:val="center"/>
              <w:rPr>
                <w:rFonts w:ascii="Times New Roman" w:hAnsi="Times New Roman"/>
                <w:kern w:val="0"/>
                <w:sz w:val="24"/>
              </w:rPr>
            </w:pPr>
            <w:r>
              <w:rPr>
                <w:rFonts w:ascii="Times New Roman" w:hAnsi="Times New Roman"/>
                <w:kern w:val="0"/>
                <w:sz w:val="24"/>
              </w:rPr>
              <w:t>股权比例</w:t>
            </w:r>
          </w:p>
        </w:tc>
      </w:tr>
      <w:tr w:rsidR="0020207F">
        <w:trPr>
          <w:trHeight w:val="579"/>
        </w:trPr>
        <w:tc>
          <w:tcPr>
            <w:tcW w:w="5400" w:type="dxa"/>
          </w:tcPr>
          <w:p w:rsidR="0020207F" w:rsidRDefault="000C59E2">
            <w:pPr>
              <w:widowControl/>
              <w:rPr>
                <w:rFonts w:ascii="Times New Roman" w:hAnsi="Times New Roman"/>
                <w:kern w:val="0"/>
                <w:sz w:val="24"/>
              </w:rPr>
            </w:pPr>
            <w:r>
              <w:rPr>
                <w:rFonts w:ascii="Times New Roman" w:hAnsi="Times New Roman"/>
                <w:kern w:val="0"/>
                <w:sz w:val="24"/>
              </w:rPr>
              <w:t>交通银行股份有限公司（以下使用全称或其简称</w:t>
            </w:r>
            <w:r>
              <w:rPr>
                <w:rFonts w:ascii="Times New Roman" w:hAnsi="Times New Roman"/>
                <w:kern w:val="0"/>
                <w:sz w:val="24"/>
              </w:rPr>
              <w:t>“</w:t>
            </w:r>
            <w:r>
              <w:rPr>
                <w:rFonts w:ascii="Times New Roman" w:hAnsi="Times New Roman"/>
                <w:kern w:val="0"/>
                <w:sz w:val="24"/>
              </w:rPr>
              <w:t>交通银行</w:t>
            </w:r>
            <w:r>
              <w:rPr>
                <w:rFonts w:ascii="Times New Roman" w:hAnsi="Times New Roman"/>
                <w:kern w:val="0"/>
                <w:sz w:val="24"/>
              </w:rPr>
              <w:t>”</w:t>
            </w:r>
            <w:r>
              <w:rPr>
                <w:rFonts w:ascii="Times New Roman" w:hAnsi="Times New Roman"/>
                <w:kern w:val="0"/>
                <w:sz w:val="24"/>
              </w:rPr>
              <w:t>）</w:t>
            </w:r>
          </w:p>
        </w:tc>
        <w:tc>
          <w:tcPr>
            <w:tcW w:w="3060" w:type="dxa"/>
            <w:vAlign w:val="center"/>
          </w:tcPr>
          <w:p w:rsidR="0020207F" w:rsidRDefault="000C59E2">
            <w:pPr>
              <w:widowControl/>
              <w:jc w:val="center"/>
              <w:rPr>
                <w:rFonts w:ascii="Times New Roman" w:hAnsi="Times New Roman"/>
                <w:kern w:val="0"/>
                <w:sz w:val="24"/>
              </w:rPr>
            </w:pPr>
            <w:r>
              <w:rPr>
                <w:rFonts w:ascii="Times New Roman" w:hAnsi="Times New Roman"/>
                <w:kern w:val="0"/>
                <w:sz w:val="24"/>
              </w:rPr>
              <w:t>65%</w:t>
            </w:r>
          </w:p>
        </w:tc>
      </w:tr>
      <w:tr w:rsidR="0020207F">
        <w:tc>
          <w:tcPr>
            <w:tcW w:w="5400" w:type="dxa"/>
          </w:tcPr>
          <w:p w:rsidR="0020207F" w:rsidRDefault="000C59E2">
            <w:pPr>
              <w:widowControl/>
              <w:rPr>
                <w:rFonts w:ascii="Times New Roman" w:hAnsi="Times New Roman"/>
                <w:kern w:val="0"/>
                <w:sz w:val="24"/>
              </w:rPr>
            </w:pPr>
            <w:r>
              <w:rPr>
                <w:rFonts w:ascii="Times New Roman" w:hAnsi="Times New Roman"/>
                <w:kern w:val="0"/>
                <w:sz w:val="24"/>
              </w:rPr>
              <w:t>施罗德投资管理有限公司</w:t>
            </w:r>
          </w:p>
        </w:tc>
        <w:tc>
          <w:tcPr>
            <w:tcW w:w="3060" w:type="dxa"/>
            <w:vAlign w:val="center"/>
          </w:tcPr>
          <w:p w:rsidR="0020207F" w:rsidRDefault="000C59E2">
            <w:pPr>
              <w:widowControl/>
              <w:jc w:val="center"/>
              <w:rPr>
                <w:rFonts w:ascii="Times New Roman" w:hAnsi="Times New Roman"/>
                <w:kern w:val="0"/>
                <w:sz w:val="24"/>
              </w:rPr>
            </w:pPr>
            <w:r>
              <w:rPr>
                <w:rFonts w:ascii="Times New Roman" w:hAnsi="Times New Roman"/>
                <w:kern w:val="0"/>
                <w:sz w:val="24"/>
              </w:rPr>
              <w:t>30%</w:t>
            </w:r>
          </w:p>
        </w:tc>
      </w:tr>
      <w:tr w:rsidR="0020207F">
        <w:trPr>
          <w:trHeight w:val="58"/>
        </w:trPr>
        <w:tc>
          <w:tcPr>
            <w:tcW w:w="5400" w:type="dxa"/>
          </w:tcPr>
          <w:p w:rsidR="0020207F" w:rsidRDefault="000C59E2">
            <w:pPr>
              <w:widowControl/>
              <w:rPr>
                <w:rFonts w:ascii="Times New Roman" w:hAnsi="Times New Roman"/>
                <w:kern w:val="0"/>
                <w:sz w:val="24"/>
              </w:rPr>
            </w:pPr>
            <w:r>
              <w:rPr>
                <w:rFonts w:ascii="Times New Roman" w:hAnsi="Times New Roman"/>
                <w:kern w:val="0"/>
                <w:sz w:val="24"/>
              </w:rPr>
              <w:t>中国国际海运集装箱（集团）股份有限公司</w:t>
            </w:r>
          </w:p>
        </w:tc>
        <w:tc>
          <w:tcPr>
            <w:tcW w:w="3060" w:type="dxa"/>
            <w:vAlign w:val="center"/>
          </w:tcPr>
          <w:p w:rsidR="0020207F" w:rsidRDefault="000C59E2">
            <w:pPr>
              <w:widowControl/>
              <w:jc w:val="center"/>
              <w:rPr>
                <w:rFonts w:ascii="Times New Roman" w:hAnsi="Times New Roman"/>
                <w:kern w:val="0"/>
                <w:sz w:val="24"/>
              </w:rPr>
            </w:pPr>
            <w:r>
              <w:rPr>
                <w:rFonts w:ascii="Times New Roman" w:hAnsi="Times New Roman"/>
                <w:kern w:val="0"/>
                <w:sz w:val="24"/>
              </w:rPr>
              <w:t>5%</w:t>
            </w:r>
          </w:p>
        </w:tc>
      </w:tr>
    </w:tbl>
    <w:p w:rsidR="0020207F" w:rsidRDefault="0020207F">
      <w:pPr>
        <w:adjustRightInd w:val="0"/>
        <w:snapToGrid w:val="0"/>
        <w:spacing w:line="360" w:lineRule="auto"/>
        <w:ind w:firstLineChars="200" w:firstLine="480"/>
        <w:rPr>
          <w:rFonts w:ascii="Times New Roman" w:hAnsi="Times New Roman"/>
          <w:kern w:val="0"/>
          <w:sz w:val="24"/>
        </w:rPr>
      </w:pPr>
    </w:p>
    <w:p w:rsidR="0020207F" w:rsidRDefault="000C59E2">
      <w:pPr>
        <w:widowControl/>
        <w:adjustRightInd w:val="0"/>
        <w:snapToGrid w:val="0"/>
        <w:spacing w:line="360" w:lineRule="auto"/>
        <w:ind w:firstLineChars="200" w:firstLine="482"/>
        <w:rPr>
          <w:rFonts w:ascii="Times New Roman" w:hAnsi="Times New Roman"/>
          <w:b/>
          <w:kern w:val="0"/>
          <w:sz w:val="24"/>
        </w:rPr>
      </w:pPr>
      <w:r>
        <w:rPr>
          <w:rFonts w:ascii="Times New Roman" w:hAnsi="Times New Roman"/>
          <w:b/>
          <w:kern w:val="0"/>
          <w:sz w:val="24"/>
        </w:rPr>
        <w:t>（二）主要成员情况</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1、基金管理人董事会成员</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w:t>
      </w:r>
      <w:proofErr w:type="gramStart"/>
      <w:r>
        <w:rPr>
          <w:rFonts w:ascii="宋体" w:hAnsi="宋体" w:hint="eastAsia"/>
          <w:sz w:val="24"/>
        </w:rPr>
        <w:t>联资产</w:t>
      </w:r>
      <w:proofErr w:type="gramEnd"/>
      <w:r>
        <w:rPr>
          <w:rFonts w:ascii="宋体" w:hAnsi="宋体" w:hint="eastAsia"/>
          <w:sz w:val="24"/>
        </w:rPr>
        <w:t>管理有限公司董事长，交银理财有限责任公司党委书记、董事长。</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胡晓晖女士，董事，学士，现任交通银行总行董事会办公室资深专家，历任交通银行总行授信管理部副处长、处长，苏州分行副行长、高级信贷执行官，总行授信管理部副总经理、监事会办公室副主任、资深专家。</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董事，博士，高级经济师，第十、十一、十二届民盟中央委员、第十一、十二、十三届全国政协委员。现任交银施罗德基金管理有限公司资深专家，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总经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杜伟麒（Chris Durack）先生，董事，硕士。现任施罗德投资亚太区行政总裁。历任施罗德投资澳大利亚董事</w:t>
      </w:r>
      <w:proofErr w:type="gramStart"/>
      <w:r>
        <w:rPr>
          <w:rFonts w:ascii="宋体" w:hAnsi="宋体" w:hint="eastAsia"/>
          <w:sz w:val="24"/>
        </w:rPr>
        <w:t>兼产品</w:t>
      </w:r>
      <w:proofErr w:type="gramEnd"/>
      <w:r>
        <w:rPr>
          <w:rFonts w:ascii="宋体" w:hAnsi="宋体" w:hint="eastAsia"/>
          <w:sz w:val="24"/>
        </w:rPr>
        <w:t>及分销主管、香港行政总裁兼亚太区机构业务主管、澳大利亚行政总裁兼亚太区联席主管等职。</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郝爱群女士，独立董事，学士。历任人民银行稽核司副处长、处长，合作司调研员，</w:t>
      </w:r>
      <w:proofErr w:type="gramStart"/>
      <w:r>
        <w:rPr>
          <w:rFonts w:ascii="宋体" w:hAnsi="宋体" w:hint="eastAsia"/>
          <w:sz w:val="24"/>
        </w:rPr>
        <w:t>非银司副</w:t>
      </w:r>
      <w:proofErr w:type="gramEnd"/>
      <w:r>
        <w:rPr>
          <w:rFonts w:ascii="宋体" w:hAnsi="宋体" w:hint="eastAsia"/>
          <w:sz w:val="24"/>
        </w:rPr>
        <w:t>巡视员、副司长，银监会</w:t>
      </w:r>
      <w:proofErr w:type="gramStart"/>
      <w:r>
        <w:rPr>
          <w:rFonts w:ascii="宋体" w:hAnsi="宋体" w:hint="eastAsia"/>
          <w:sz w:val="24"/>
        </w:rPr>
        <w:t>非银部副</w:t>
      </w:r>
      <w:proofErr w:type="gramEnd"/>
      <w:r>
        <w:rPr>
          <w:rFonts w:ascii="宋体" w:hAnsi="宋体" w:hint="eastAsia"/>
          <w:sz w:val="24"/>
        </w:rPr>
        <w:t>主任，银行监管一部副主任、巡视员，汇金公司派出董事。</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张子学先生，独立董事，博士。现任中国政法</w:t>
      </w:r>
      <w:proofErr w:type="gramStart"/>
      <w:r>
        <w:rPr>
          <w:rFonts w:ascii="宋体" w:hAnsi="宋体" w:hint="eastAsia"/>
          <w:sz w:val="24"/>
        </w:rPr>
        <w:t>大学民商经济</w:t>
      </w:r>
      <w:proofErr w:type="gramEnd"/>
      <w:r>
        <w:rPr>
          <w:rFonts w:ascii="宋体" w:hAnsi="宋体" w:hint="eastAsia"/>
          <w:sz w:val="24"/>
        </w:rPr>
        <w:t>法学院教授，兼任基金业协会自律监察委员会委员。历任证监会办公厅副处长、上市公司</w:t>
      </w:r>
      <w:proofErr w:type="gramStart"/>
      <w:r>
        <w:rPr>
          <w:rFonts w:ascii="宋体" w:hAnsi="宋体" w:hint="eastAsia"/>
          <w:sz w:val="24"/>
        </w:rPr>
        <w:t>监管部</w:t>
      </w:r>
      <w:proofErr w:type="gramEnd"/>
      <w:r>
        <w:rPr>
          <w:rFonts w:ascii="宋体" w:hAnsi="宋体" w:hint="eastAsia"/>
          <w:sz w:val="24"/>
        </w:rPr>
        <w:t>处长、行政处罚委员会专职委员、副主任审理员，兼任证监会上市公司并购重组审核委员会委员、行政复议委员会委员。</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黎建强先生，独立董事，博士，教育部长</w:t>
      </w:r>
      <w:proofErr w:type="gramStart"/>
      <w:r>
        <w:rPr>
          <w:rFonts w:ascii="宋体" w:hAnsi="宋体" w:hint="eastAsia"/>
          <w:sz w:val="24"/>
        </w:rPr>
        <w:t>江学者</w:t>
      </w:r>
      <w:proofErr w:type="gramEnd"/>
      <w:r>
        <w:rPr>
          <w:rFonts w:ascii="宋体" w:hAnsi="宋体" w:hint="eastAsia"/>
          <w:sz w:val="24"/>
        </w:rPr>
        <w:t>讲座教授。现任香港大学工业工程系荣誉教授，亚洲风险</w:t>
      </w:r>
      <w:proofErr w:type="gramStart"/>
      <w:r>
        <w:rPr>
          <w:rFonts w:ascii="宋体" w:hAnsi="宋体" w:hint="eastAsia"/>
          <w:sz w:val="24"/>
        </w:rPr>
        <w:t>及危机</w:t>
      </w:r>
      <w:proofErr w:type="gramEnd"/>
      <w:r>
        <w:rPr>
          <w:rFonts w:ascii="宋体" w:hAnsi="宋体" w:hint="eastAsia"/>
          <w:sz w:val="24"/>
        </w:rPr>
        <w:t>管理协会主席，兼任深交所上市的中联重科集团独立非执行董事。历任香港城市大学管理科学讲座教授，湖南省政协委员并兼任湖南大学工商管理学院院长。</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2、基金管理人监事会成员</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林凯珊女士，监事，硕士。现任施罗德投资管理（香港）有限公司中国内地及</w:t>
      </w:r>
      <w:r>
        <w:rPr>
          <w:rFonts w:ascii="宋体" w:hAnsi="宋体" w:hint="eastAsia"/>
          <w:sz w:val="24"/>
        </w:rPr>
        <w:lastRenderedPageBreak/>
        <w:t>中国香港法律部主管。历任香港证券及期货事务监察委员会发牌科经理、的</w:t>
      </w:r>
      <w:proofErr w:type="gramStart"/>
      <w:r>
        <w:rPr>
          <w:rFonts w:ascii="宋体" w:hAnsi="宋体" w:hint="eastAsia"/>
          <w:sz w:val="24"/>
        </w:rPr>
        <w:t>近律师</w:t>
      </w:r>
      <w:proofErr w:type="gramEnd"/>
      <w:r>
        <w:rPr>
          <w:rFonts w:ascii="宋体" w:hAnsi="宋体" w:hint="eastAsia"/>
          <w:sz w:val="24"/>
        </w:rPr>
        <w:t>行律师。</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w:t>
      </w:r>
      <w:proofErr w:type="gramStart"/>
      <w:r>
        <w:rPr>
          <w:rFonts w:ascii="宋体" w:hAnsi="宋体" w:hint="eastAsia"/>
          <w:sz w:val="24"/>
        </w:rPr>
        <w:t>兼产品</w:t>
      </w:r>
      <w:proofErr w:type="gramEnd"/>
      <w:r>
        <w:rPr>
          <w:rFonts w:ascii="宋体" w:hAnsi="宋体" w:hint="eastAsia"/>
          <w:sz w:val="24"/>
        </w:rPr>
        <w:t>开发部总经理。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3、基金管理人高级管理人员</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袁庆伟女士，总经理，硕士。历任交通银行乌鲁木齐分行财务会计处副处长、会计结算部高级经理，交通银行总行资产托管业务中心（资产托管部）副总裁、总裁，交通银行总行金融机构部总经理、资产管理业务中心总裁等职务。</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hint="eastAsia"/>
          <w:sz w:val="24"/>
        </w:rPr>
        <w:t>风控副</w:t>
      </w:r>
      <w:proofErr w:type="gramEnd"/>
      <w:r>
        <w:rPr>
          <w:rFonts w:ascii="宋体" w:hAnsi="宋体" w:hint="eastAsia"/>
          <w:sz w:val="24"/>
        </w:rPr>
        <w:t>总监、投资运营总监。</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rsidR="0020207F" w:rsidRDefault="000C59E2">
      <w:pPr>
        <w:autoSpaceDE w:val="0"/>
        <w:autoSpaceDN w:val="0"/>
        <w:adjustRightInd w:val="0"/>
        <w:snapToGrid w:val="0"/>
        <w:spacing w:line="360" w:lineRule="auto"/>
        <w:ind w:firstLineChars="200" w:firstLine="480"/>
        <w:jc w:val="left"/>
        <w:rPr>
          <w:kern w:val="0"/>
          <w:sz w:val="24"/>
        </w:rPr>
      </w:pPr>
      <w:r>
        <w:rPr>
          <w:rFonts w:ascii="宋体" w:hAnsi="宋体"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魏玉敏女士:基金经理。厦门大学金融学硕士、学士，13年证券投资行业从业经验。2012年至2013年任招商证券固定收益研究员，2013年至2016年任国信证券固定收益高级分析师。2016年加入交银施罗德基金管理有限公司，曾</w:t>
      </w:r>
      <w:proofErr w:type="gramStart"/>
      <w:r>
        <w:rPr>
          <w:rFonts w:ascii="宋体" w:hAnsi="宋体"/>
          <w:sz w:val="24"/>
        </w:rPr>
        <w:t>任固定收益部基金</w:t>
      </w:r>
      <w:proofErr w:type="gramEnd"/>
      <w:r>
        <w:rPr>
          <w:rFonts w:ascii="宋体" w:hAnsi="宋体"/>
          <w:sz w:val="24"/>
        </w:rPr>
        <w:t>经理，现任混合资产投资</w:t>
      </w:r>
      <w:proofErr w:type="gramStart"/>
      <w:r>
        <w:rPr>
          <w:rFonts w:ascii="宋体" w:hAnsi="宋体"/>
          <w:sz w:val="24"/>
        </w:rPr>
        <w:t>部基金</w:t>
      </w:r>
      <w:proofErr w:type="gramEnd"/>
      <w:r>
        <w:rPr>
          <w:rFonts w:ascii="宋体" w:hAnsi="宋体"/>
          <w:sz w:val="24"/>
        </w:rPr>
        <w:t>经理。</w:t>
      </w:r>
      <w:proofErr w:type="gramStart"/>
      <w:r>
        <w:rPr>
          <w:rFonts w:ascii="宋体" w:hAnsi="宋体"/>
          <w:sz w:val="24"/>
        </w:rPr>
        <w:t>曾任交银</w:t>
      </w:r>
      <w:proofErr w:type="gramEnd"/>
      <w:r>
        <w:rPr>
          <w:rFonts w:ascii="宋体" w:hAnsi="宋体"/>
          <w:sz w:val="24"/>
        </w:rPr>
        <w:t>施罗德丰晟收益债券型证券投资基金(2018年08月29日至2020年10月16日)、交银</w:t>
      </w:r>
      <w:proofErr w:type="gramStart"/>
      <w:r>
        <w:rPr>
          <w:rFonts w:ascii="宋体" w:hAnsi="宋体"/>
          <w:sz w:val="24"/>
        </w:rPr>
        <w:t>施罗德纯债债券</w:t>
      </w:r>
      <w:proofErr w:type="gramEnd"/>
      <w:r>
        <w:rPr>
          <w:rFonts w:ascii="宋体" w:hAnsi="宋体"/>
          <w:sz w:val="24"/>
        </w:rPr>
        <w:t>型发起式证券投资</w:t>
      </w:r>
      <w:r>
        <w:rPr>
          <w:rFonts w:ascii="宋体" w:hAnsi="宋体"/>
          <w:sz w:val="24"/>
        </w:rPr>
        <w:lastRenderedPageBreak/>
        <w:t>基金(2018年08月29日至2025年01月15日)、交银施罗德</w:t>
      </w:r>
      <w:proofErr w:type="gramStart"/>
      <w:r>
        <w:rPr>
          <w:rFonts w:ascii="宋体" w:hAnsi="宋体"/>
          <w:sz w:val="24"/>
        </w:rPr>
        <w:t>裕如纯债债券</w:t>
      </w:r>
      <w:proofErr w:type="gramEnd"/>
      <w:r>
        <w:rPr>
          <w:rFonts w:ascii="宋体" w:hAnsi="宋体"/>
          <w:sz w:val="24"/>
        </w:rPr>
        <w:t>型证券投资基金(2018年08月29日至2023年09月11日)、交银施罗德丰润收益债券型证券投资基金(2018年11月02日至2021年12月16日)、交银施罗德中债1-3年农发行债券指数证券投资基金(2019年01月23日至2021年12月16日)、交银施罗德裕泰两年定期开放债券型证券投资基金(2019年12月10日至2025年01月07日)、交银施罗德</w:t>
      </w:r>
      <w:proofErr w:type="gramStart"/>
      <w:r>
        <w:rPr>
          <w:rFonts w:ascii="宋体" w:hAnsi="宋体"/>
          <w:sz w:val="24"/>
        </w:rPr>
        <w:t>鑫</w:t>
      </w:r>
      <w:proofErr w:type="gramEnd"/>
      <w:r>
        <w:rPr>
          <w:rFonts w:ascii="宋体" w:hAnsi="宋体"/>
          <w:sz w:val="24"/>
        </w:rPr>
        <w:t>选回报混合型证券投资基金(2021年04月29日至2024年05月22日)的基金经理。现任交银施罗德增利债券证券投资基金(2018年08月29日至今)、交银施罗德增利增强债券型证券投资基金(2018年11月02日至今)、交银施罗德可转债债券型证券投资基金(2019年07月11日至今)、交银施罗德安心收益债券型证券投资基金(2022年01月27日至今)、交银施罗德双利债券证券投资基金(2022年08月18日至今)、交银施罗德强化回报债券型证券投资基金(2023年04月15日至今)、交银施罗德定期支付月月丰债券型证券投资基金(2024年12月27日至今)、交银施罗德优选回报灵活配置混合型证券投资基金(2025年03月22日至今)的基金经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20207F" w:rsidRDefault="000C59E2">
      <w:pPr>
        <w:widowControl/>
        <w:adjustRightInd w:val="0"/>
        <w:snapToGrid w:val="0"/>
        <w:spacing w:line="360" w:lineRule="auto"/>
        <w:ind w:firstLineChars="200" w:firstLine="480"/>
        <w:rPr>
          <w:rFonts w:hAnsi="宋体"/>
          <w:kern w:val="0"/>
          <w:sz w:val="24"/>
        </w:rPr>
      </w:pPr>
      <w:r>
        <w:rPr>
          <w:rFonts w:ascii="宋体" w:hAnsi="宋体"/>
          <w:sz w:val="24"/>
        </w:rPr>
        <w:t>委员：</w:t>
      </w:r>
      <w:r>
        <w:rPr>
          <w:rFonts w:hAnsi="宋体" w:hint="eastAsia"/>
          <w:kern w:val="0"/>
          <w:sz w:val="24"/>
        </w:rPr>
        <w:t>袁庆伟（总经理）</w:t>
      </w:r>
    </w:p>
    <w:p w:rsidR="0020207F" w:rsidRDefault="000C59E2">
      <w:pPr>
        <w:widowControl/>
        <w:adjustRightInd w:val="0"/>
        <w:snapToGrid w:val="0"/>
        <w:spacing w:line="360" w:lineRule="auto"/>
        <w:ind w:firstLineChars="500" w:firstLine="1200"/>
        <w:rPr>
          <w:rFonts w:hAnsi="宋体"/>
          <w:kern w:val="0"/>
          <w:sz w:val="24"/>
        </w:rPr>
      </w:pPr>
      <w:r>
        <w:rPr>
          <w:rFonts w:hAnsi="宋体" w:hint="eastAsia"/>
          <w:kern w:val="0"/>
          <w:sz w:val="24"/>
        </w:rPr>
        <w:t>马俊（副总经理）</w:t>
      </w:r>
    </w:p>
    <w:p w:rsidR="0020207F" w:rsidRDefault="000C59E2">
      <w:pPr>
        <w:widowControl/>
        <w:adjustRightInd w:val="0"/>
        <w:snapToGrid w:val="0"/>
        <w:spacing w:line="360" w:lineRule="auto"/>
        <w:ind w:firstLineChars="500" w:firstLine="1200"/>
        <w:rPr>
          <w:rFonts w:hAnsi="宋体"/>
          <w:kern w:val="0"/>
          <w:sz w:val="24"/>
        </w:rPr>
      </w:pPr>
      <w:r>
        <w:rPr>
          <w:rFonts w:hAnsi="宋体" w:hint="eastAsia"/>
          <w:kern w:val="0"/>
          <w:sz w:val="24"/>
        </w:rPr>
        <w:t>于海颖（混合资产投资总监兼多元资产管理总监、基金经理）</w:t>
      </w:r>
    </w:p>
    <w:p w:rsidR="0020207F" w:rsidRDefault="000C59E2">
      <w:pPr>
        <w:widowControl/>
        <w:adjustRightInd w:val="0"/>
        <w:snapToGrid w:val="0"/>
        <w:spacing w:line="360" w:lineRule="auto"/>
        <w:ind w:firstLineChars="500" w:firstLine="1200"/>
        <w:rPr>
          <w:rFonts w:hAnsi="宋体"/>
          <w:kern w:val="0"/>
          <w:sz w:val="24"/>
        </w:rPr>
      </w:pPr>
      <w:r>
        <w:rPr>
          <w:rFonts w:hAnsi="宋体" w:hint="eastAsia"/>
          <w:kern w:val="0"/>
          <w:sz w:val="24"/>
        </w:rPr>
        <w:t>王崇（权益投资副总监、权益部一级专家、基金经理）</w:t>
      </w:r>
    </w:p>
    <w:p w:rsidR="0020207F" w:rsidRDefault="000C59E2">
      <w:pPr>
        <w:autoSpaceDE w:val="0"/>
        <w:autoSpaceDN w:val="0"/>
        <w:adjustRightInd w:val="0"/>
        <w:snapToGrid w:val="0"/>
        <w:spacing w:line="360" w:lineRule="auto"/>
        <w:ind w:firstLineChars="500" w:firstLine="1200"/>
        <w:jc w:val="left"/>
        <w:rPr>
          <w:rFonts w:ascii="宋体" w:hAnsi="宋体"/>
          <w:szCs w:val="24"/>
        </w:rPr>
      </w:pPr>
      <w:r>
        <w:rPr>
          <w:rFonts w:hAnsi="宋体" w:hint="eastAsia"/>
          <w:kern w:val="0"/>
          <w:sz w:val="24"/>
        </w:rPr>
        <w:t>马韬（研究总监）</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6、</w:t>
      </w:r>
      <w:r>
        <w:rPr>
          <w:rFonts w:ascii="宋体" w:hAnsi="宋体"/>
          <w:sz w:val="24"/>
        </w:rPr>
        <w:t>上述人员之间不存在近亲属关系。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8、办理与基金财产管理业务活动有关的信息披露事项；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4、不以任何形式为其他组织或个人进行证券交易。</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w:t>
      </w:r>
      <w:r>
        <w:rPr>
          <w:rFonts w:ascii="宋体" w:hAnsi="宋体"/>
          <w:sz w:val="24"/>
        </w:rPr>
        <w:lastRenderedPageBreak/>
        <w:t>就潜在风险与相关部门协调，审阅公司审计报告及监察情况。</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hint="eastAsia"/>
          <w:sz w:val="24"/>
        </w:rPr>
        <w:t>内控</w:t>
      </w:r>
      <w:r>
        <w:rPr>
          <w:rFonts w:ascii="宋体" w:hAnsi="宋体"/>
          <w:sz w:val="24"/>
        </w:rPr>
        <w:t>合</w:t>
      </w:r>
      <w:proofErr w:type="gramStart"/>
      <w:r>
        <w:rPr>
          <w:rFonts w:ascii="宋体" w:hAnsi="宋体"/>
          <w:sz w:val="24"/>
        </w:rPr>
        <w:t>规</w:t>
      </w:r>
      <w:proofErr w:type="gramEnd"/>
      <w:r>
        <w:rPr>
          <w:rFonts w:ascii="宋体" w:hAnsi="宋体" w:hint="eastAsia"/>
          <w:sz w:val="24"/>
        </w:rPr>
        <w:t>及法律事务</w:t>
      </w:r>
      <w:r>
        <w:rPr>
          <w:rFonts w:ascii="宋体" w:hAnsi="宋体"/>
          <w:sz w:val="24"/>
        </w:rPr>
        <w:t>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内控</w:t>
      </w:r>
      <w:r>
        <w:rPr>
          <w:rFonts w:ascii="宋体" w:hAnsi="宋体"/>
          <w:sz w:val="24"/>
        </w:rPr>
        <w:t>合</w:t>
      </w:r>
      <w:proofErr w:type="gramStart"/>
      <w:r>
        <w:rPr>
          <w:rFonts w:ascii="宋体" w:hAnsi="宋体"/>
          <w:sz w:val="24"/>
        </w:rPr>
        <w:t>规</w:t>
      </w:r>
      <w:proofErr w:type="gramEnd"/>
      <w:r>
        <w:rPr>
          <w:rFonts w:ascii="宋体" w:hAnsi="宋体" w:hint="eastAsia"/>
          <w:sz w:val="24"/>
        </w:rPr>
        <w:t>及法律事务</w:t>
      </w:r>
      <w:r>
        <w:rPr>
          <w:rFonts w:ascii="宋体" w:hAnsi="宋体"/>
          <w:sz w:val="24"/>
        </w:rPr>
        <w:t>部负责公司的法律、</w:t>
      </w:r>
      <w:r>
        <w:rPr>
          <w:rFonts w:ascii="宋体" w:hAnsi="宋体" w:hint="eastAsia"/>
          <w:sz w:val="24"/>
        </w:rPr>
        <w:t>内控</w:t>
      </w:r>
      <w:r>
        <w:rPr>
          <w:rFonts w:ascii="宋体" w:hAnsi="宋体"/>
          <w:sz w:val="24"/>
        </w:rPr>
        <w:t>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w:t>
      </w:r>
      <w:r>
        <w:rPr>
          <w:rFonts w:ascii="宋体" w:hAnsi="宋体" w:hint="eastAsia"/>
          <w:sz w:val="24"/>
        </w:rPr>
        <w:t>内控</w:t>
      </w:r>
      <w:r>
        <w:rPr>
          <w:rFonts w:ascii="宋体" w:hAnsi="宋体"/>
          <w:sz w:val="24"/>
        </w:rPr>
        <w:t>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（3）建立、健全岗位责任制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w:t>
      </w:r>
      <w:proofErr w:type="gramStart"/>
      <w:r>
        <w:rPr>
          <w:rFonts w:ascii="宋体" w:hAnsi="宋体" w:hint="eastAsia"/>
          <w:sz w:val="24"/>
        </w:rPr>
        <w:t>券</w:t>
      </w:r>
      <w:proofErr w:type="gramEnd"/>
      <w:r>
        <w:rPr>
          <w:rFonts w:ascii="宋体" w:hAnsi="宋体"/>
          <w:sz w:val="24"/>
        </w:rPr>
        <w:t>的风险，以便公司及时采取有效的措施，对风险进行分散、控制和规避，尽可能地减少损失。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7" w:name="_Toc104564187"/>
      <w:r>
        <w:rPr>
          <w:rFonts w:ascii="Times New Roman" w:hAnsi="Times New Roman"/>
          <w:sz w:val="30"/>
        </w:rPr>
        <w:lastRenderedPageBreak/>
        <w:t>四、基金托管人</w:t>
      </w:r>
      <w:bookmarkEnd w:id="7"/>
    </w:p>
    <w:p w:rsidR="0020207F" w:rsidRDefault="000C59E2">
      <w:pPr>
        <w:adjustRightInd w:val="0"/>
        <w:snapToGrid w:val="0"/>
        <w:spacing w:line="360" w:lineRule="auto"/>
        <w:ind w:firstLineChars="200" w:firstLine="482"/>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rsidR="0020207F" w:rsidRDefault="000C59E2">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、基本情况</w:t>
      </w:r>
    </w:p>
    <w:p w:rsidR="0020207F" w:rsidRDefault="000C59E2">
      <w:pPr>
        <w:widowControl/>
        <w:adjustRightInd w:val="0"/>
        <w:snapToGrid w:val="0"/>
        <w:spacing w:line="360" w:lineRule="auto"/>
        <w:ind w:firstLineChars="200" w:firstLine="480"/>
      </w:pPr>
      <w:r>
        <w:rPr>
          <w:rFonts w:hint="eastAsia"/>
          <w:kern w:val="0"/>
          <w:sz w:val="24"/>
          <w:szCs w:val="24"/>
        </w:rPr>
        <w:t>名称：中国农业银行股份有限公司（简称“中国农业银行”）</w:t>
      </w:r>
    </w:p>
    <w:p w:rsidR="0020207F" w:rsidRDefault="000C59E2">
      <w:pPr>
        <w:widowControl/>
        <w:adjustRightInd w:val="0"/>
        <w:snapToGrid w:val="0"/>
        <w:spacing w:line="360" w:lineRule="auto"/>
        <w:ind w:firstLineChars="200" w:firstLine="480"/>
      </w:pPr>
      <w:r>
        <w:rPr>
          <w:rFonts w:hint="eastAsia"/>
          <w:kern w:val="0"/>
          <w:sz w:val="24"/>
          <w:szCs w:val="24"/>
        </w:rPr>
        <w:t>住所：北京市东城区建国门内大街</w:t>
      </w:r>
      <w:r>
        <w:rPr>
          <w:kern w:val="0"/>
          <w:sz w:val="24"/>
          <w:szCs w:val="24"/>
        </w:rPr>
        <w:t>69</w:t>
      </w:r>
      <w:r>
        <w:rPr>
          <w:rFonts w:hint="eastAsia"/>
          <w:kern w:val="0"/>
          <w:sz w:val="24"/>
          <w:szCs w:val="24"/>
        </w:rPr>
        <w:t>号</w:t>
      </w:r>
    </w:p>
    <w:p w:rsidR="0020207F" w:rsidRDefault="000C59E2">
      <w:pPr>
        <w:widowControl/>
        <w:adjustRightInd w:val="0"/>
        <w:snapToGrid w:val="0"/>
        <w:spacing w:line="360" w:lineRule="auto"/>
        <w:ind w:firstLineChars="200" w:firstLine="480"/>
      </w:pPr>
      <w:r>
        <w:rPr>
          <w:rFonts w:hint="eastAsia"/>
          <w:kern w:val="0"/>
          <w:sz w:val="24"/>
          <w:szCs w:val="24"/>
        </w:rPr>
        <w:t>办公地址：北京市西城区复兴门内大街</w:t>
      </w:r>
      <w:r>
        <w:rPr>
          <w:kern w:val="0"/>
          <w:sz w:val="24"/>
          <w:szCs w:val="24"/>
        </w:rPr>
        <w:t>28</w:t>
      </w:r>
      <w:r>
        <w:rPr>
          <w:rFonts w:hint="eastAsia"/>
          <w:kern w:val="0"/>
          <w:sz w:val="24"/>
          <w:szCs w:val="24"/>
        </w:rPr>
        <w:t>号</w:t>
      </w:r>
      <w:proofErr w:type="gramStart"/>
      <w:r>
        <w:rPr>
          <w:rFonts w:hint="eastAsia"/>
          <w:kern w:val="0"/>
          <w:sz w:val="24"/>
          <w:szCs w:val="24"/>
        </w:rPr>
        <w:t>凯</w:t>
      </w:r>
      <w:proofErr w:type="gramEnd"/>
      <w:r>
        <w:rPr>
          <w:rFonts w:hint="eastAsia"/>
          <w:kern w:val="0"/>
          <w:sz w:val="24"/>
          <w:szCs w:val="24"/>
        </w:rPr>
        <w:t>晨世贸中心东座</w:t>
      </w:r>
    </w:p>
    <w:p w:rsidR="0020207F" w:rsidRDefault="000C59E2">
      <w:pPr>
        <w:widowControl/>
        <w:adjustRightInd w:val="0"/>
        <w:snapToGrid w:val="0"/>
        <w:spacing w:line="360" w:lineRule="auto"/>
        <w:ind w:firstLineChars="200" w:firstLine="480"/>
      </w:pPr>
      <w:r>
        <w:rPr>
          <w:rFonts w:hint="eastAsia"/>
          <w:kern w:val="0"/>
          <w:sz w:val="24"/>
          <w:szCs w:val="24"/>
        </w:rPr>
        <w:t>法定代表人：谷澍</w:t>
      </w:r>
    </w:p>
    <w:p w:rsidR="0020207F" w:rsidRDefault="000C59E2">
      <w:pPr>
        <w:widowControl/>
        <w:adjustRightInd w:val="0"/>
        <w:snapToGrid w:val="0"/>
        <w:spacing w:line="360" w:lineRule="auto"/>
        <w:ind w:firstLineChars="200" w:firstLine="480"/>
      </w:pPr>
      <w:r>
        <w:rPr>
          <w:rFonts w:hint="eastAsia"/>
          <w:kern w:val="0"/>
          <w:sz w:val="24"/>
          <w:szCs w:val="24"/>
        </w:rPr>
        <w:t>成立日期：</w:t>
      </w:r>
      <w:r>
        <w:rPr>
          <w:kern w:val="0"/>
          <w:sz w:val="24"/>
          <w:szCs w:val="24"/>
        </w:rPr>
        <w:t>2009</w:t>
      </w:r>
      <w:r>
        <w:rPr>
          <w:rFonts w:hint="eastAsia"/>
          <w:kern w:val="0"/>
          <w:sz w:val="24"/>
          <w:szCs w:val="24"/>
        </w:rPr>
        <w:t>年</w:t>
      </w:r>
      <w:r>
        <w:rPr>
          <w:kern w:val="0"/>
          <w:sz w:val="24"/>
          <w:szCs w:val="24"/>
        </w:rPr>
        <w:t>1</w:t>
      </w:r>
      <w:r>
        <w:rPr>
          <w:rFonts w:hint="eastAsia"/>
          <w:kern w:val="0"/>
          <w:sz w:val="24"/>
          <w:szCs w:val="24"/>
        </w:rPr>
        <w:t>月</w:t>
      </w:r>
      <w:r>
        <w:rPr>
          <w:kern w:val="0"/>
          <w:sz w:val="24"/>
          <w:szCs w:val="24"/>
        </w:rPr>
        <w:t>15</w:t>
      </w:r>
      <w:r>
        <w:rPr>
          <w:rFonts w:hint="eastAsia"/>
          <w:kern w:val="0"/>
          <w:sz w:val="24"/>
          <w:szCs w:val="24"/>
        </w:rPr>
        <w:t>日</w:t>
      </w:r>
    </w:p>
    <w:p w:rsidR="0020207F" w:rsidRDefault="000C59E2">
      <w:pPr>
        <w:widowControl/>
        <w:adjustRightInd w:val="0"/>
        <w:snapToGrid w:val="0"/>
        <w:spacing w:line="360" w:lineRule="auto"/>
        <w:ind w:firstLineChars="200" w:firstLine="480"/>
      </w:pPr>
      <w:r>
        <w:rPr>
          <w:rFonts w:hint="eastAsia"/>
          <w:kern w:val="0"/>
          <w:sz w:val="24"/>
          <w:szCs w:val="24"/>
        </w:rPr>
        <w:t>批准设立机关和批准设立文号：中国银监</w:t>
      </w:r>
      <w:proofErr w:type="gramStart"/>
      <w:r>
        <w:rPr>
          <w:rFonts w:hint="eastAsia"/>
          <w:kern w:val="0"/>
          <w:sz w:val="24"/>
          <w:szCs w:val="24"/>
        </w:rPr>
        <w:t>会银监复</w:t>
      </w:r>
      <w:proofErr w:type="gramEnd"/>
      <w:r>
        <w:rPr>
          <w:kern w:val="0"/>
          <w:sz w:val="24"/>
          <w:szCs w:val="24"/>
        </w:rPr>
        <w:t>[2009]13</w:t>
      </w:r>
      <w:r>
        <w:rPr>
          <w:rFonts w:hint="eastAsia"/>
          <w:kern w:val="0"/>
          <w:sz w:val="24"/>
          <w:szCs w:val="24"/>
        </w:rPr>
        <w:t>号</w:t>
      </w:r>
    </w:p>
    <w:p w:rsidR="0020207F" w:rsidRDefault="000C59E2">
      <w:pPr>
        <w:widowControl/>
        <w:adjustRightInd w:val="0"/>
        <w:snapToGrid w:val="0"/>
        <w:spacing w:line="360" w:lineRule="auto"/>
        <w:ind w:firstLineChars="200" w:firstLine="480"/>
      </w:pPr>
      <w:r>
        <w:rPr>
          <w:rFonts w:hint="eastAsia"/>
          <w:kern w:val="0"/>
          <w:sz w:val="24"/>
          <w:szCs w:val="24"/>
        </w:rPr>
        <w:t>基金托管资格批文及文号：中国证监会</w:t>
      </w:r>
      <w:proofErr w:type="gramStart"/>
      <w:r>
        <w:rPr>
          <w:rFonts w:hint="eastAsia"/>
          <w:kern w:val="0"/>
          <w:sz w:val="24"/>
          <w:szCs w:val="24"/>
        </w:rPr>
        <w:t>证监基字</w:t>
      </w:r>
      <w:proofErr w:type="gramEnd"/>
      <w:r>
        <w:rPr>
          <w:kern w:val="0"/>
          <w:sz w:val="24"/>
          <w:szCs w:val="24"/>
        </w:rPr>
        <w:t>[1998]23</w:t>
      </w:r>
      <w:r>
        <w:rPr>
          <w:rFonts w:hint="eastAsia"/>
          <w:kern w:val="0"/>
          <w:sz w:val="24"/>
          <w:szCs w:val="24"/>
        </w:rPr>
        <w:t>号</w:t>
      </w:r>
    </w:p>
    <w:p w:rsidR="0020207F" w:rsidRDefault="000C59E2">
      <w:pPr>
        <w:widowControl/>
        <w:adjustRightInd w:val="0"/>
        <w:snapToGrid w:val="0"/>
        <w:spacing w:line="360" w:lineRule="auto"/>
        <w:ind w:firstLineChars="200" w:firstLine="480"/>
      </w:pPr>
      <w:r>
        <w:rPr>
          <w:rFonts w:hint="eastAsia"/>
          <w:kern w:val="0"/>
          <w:sz w:val="24"/>
          <w:szCs w:val="24"/>
        </w:rPr>
        <w:t>注册资本：</w:t>
      </w:r>
      <w:r>
        <w:rPr>
          <w:kern w:val="0"/>
          <w:sz w:val="24"/>
          <w:szCs w:val="24"/>
        </w:rPr>
        <w:t>34,998,303.4</w:t>
      </w:r>
      <w:r>
        <w:rPr>
          <w:rFonts w:hint="eastAsia"/>
          <w:kern w:val="0"/>
          <w:sz w:val="24"/>
          <w:szCs w:val="24"/>
        </w:rPr>
        <w:t>万元人民币</w:t>
      </w:r>
    </w:p>
    <w:p w:rsidR="0020207F" w:rsidRDefault="000C59E2">
      <w:pPr>
        <w:widowControl/>
        <w:adjustRightInd w:val="0"/>
        <w:snapToGrid w:val="0"/>
        <w:spacing w:line="360" w:lineRule="auto"/>
        <w:ind w:firstLineChars="200" w:firstLine="480"/>
      </w:pPr>
      <w:r>
        <w:rPr>
          <w:rFonts w:hint="eastAsia"/>
          <w:kern w:val="0"/>
          <w:sz w:val="24"/>
          <w:szCs w:val="24"/>
        </w:rPr>
        <w:t>存续期间：持续经营</w:t>
      </w:r>
    </w:p>
    <w:p w:rsidR="0020207F" w:rsidRDefault="000C59E2">
      <w:pPr>
        <w:widowControl/>
        <w:adjustRightInd w:val="0"/>
        <w:snapToGrid w:val="0"/>
        <w:spacing w:line="360" w:lineRule="auto"/>
        <w:ind w:firstLineChars="200" w:firstLine="480"/>
        <w:rPr>
          <w:kern w:val="0"/>
          <w:sz w:val="24"/>
          <w:szCs w:val="24"/>
        </w:rPr>
      </w:pPr>
      <w:r>
        <w:rPr>
          <w:rFonts w:hint="eastAsia"/>
          <w:kern w:val="0"/>
          <w:sz w:val="24"/>
          <w:szCs w:val="24"/>
        </w:rPr>
        <w:t>联系电话：</w:t>
      </w:r>
      <w:r w:rsidR="00E44052" w:rsidRPr="00E44052">
        <w:rPr>
          <w:rFonts w:hint="eastAsia"/>
          <w:kern w:val="0"/>
          <w:sz w:val="24"/>
          <w:szCs w:val="24"/>
        </w:rPr>
        <w:t>010-68121512</w:t>
      </w:r>
    </w:p>
    <w:p w:rsidR="0020207F" w:rsidRDefault="000C59E2">
      <w:pPr>
        <w:widowControl/>
        <w:adjustRightInd w:val="0"/>
        <w:snapToGrid w:val="0"/>
        <w:spacing w:line="360" w:lineRule="auto"/>
        <w:ind w:firstLineChars="200" w:firstLine="480"/>
        <w:rPr>
          <w:kern w:val="0"/>
          <w:sz w:val="24"/>
          <w:szCs w:val="24"/>
        </w:rPr>
      </w:pPr>
      <w:r>
        <w:rPr>
          <w:rFonts w:hint="eastAsia"/>
          <w:kern w:val="0"/>
          <w:sz w:val="24"/>
          <w:szCs w:val="24"/>
        </w:rPr>
        <w:t>传真：</w:t>
      </w:r>
      <w:r>
        <w:rPr>
          <w:rFonts w:hint="eastAsia"/>
          <w:kern w:val="0"/>
          <w:sz w:val="24"/>
          <w:szCs w:val="24"/>
        </w:rPr>
        <w:t>010-68121816</w:t>
      </w:r>
    </w:p>
    <w:p w:rsidR="00AF0F04" w:rsidRDefault="00AF0F04" w:rsidP="00AF0F04">
      <w:pPr>
        <w:snapToGrid w:val="0"/>
        <w:spacing w:line="360" w:lineRule="auto"/>
        <w:ind w:firstLine="480"/>
        <w:rPr>
          <w:kern w:val="0"/>
          <w:sz w:val="24"/>
          <w:szCs w:val="24"/>
        </w:rPr>
      </w:pPr>
      <w:r w:rsidRPr="00AF0F04">
        <w:rPr>
          <w:rFonts w:hint="eastAsia"/>
          <w:sz w:val="24"/>
          <w:szCs w:val="24"/>
        </w:rPr>
        <w:t>联系人：任航</w:t>
      </w:r>
    </w:p>
    <w:p w:rsidR="0020207F" w:rsidRDefault="000C59E2">
      <w:pPr>
        <w:widowControl/>
        <w:adjustRightInd w:val="0"/>
        <w:snapToGrid w:val="0"/>
        <w:spacing w:line="360" w:lineRule="auto"/>
        <w:ind w:firstLineChars="200" w:firstLine="480"/>
        <w:rPr>
          <w:kern w:val="0"/>
          <w:sz w:val="24"/>
          <w:szCs w:val="24"/>
        </w:rPr>
      </w:pPr>
      <w:r>
        <w:rPr>
          <w:rFonts w:hint="eastAsia"/>
          <w:kern w:val="0"/>
          <w:sz w:val="24"/>
          <w:szCs w:val="24"/>
        </w:rPr>
        <w:t>中国农业银行是中国金融体系的重要组成部</w:t>
      </w:r>
      <w:bookmarkStart w:id="8" w:name="_GoBack"/>
      <w:bookmarkEnd w:id="8"/>
      <w:r>
        <w:rPr>
          <w:rFonts w:hint="eastAsia"/>
          <w:kern w:val="0"/>
          <w:sz w:val="24"/>
          <w:szCs w:val="24"/>
        </w:rPr>
        <w:t>分</w:t>
      </w:r>
      <w:r>
        <w:rPr>
          <w:rFonts w:hint="eastAsia"/>
          <w:kern w:val="0"/>
          <w:sz w:val="24"/>
          <w:szCs w:val="24"/>
        </w:rPr>
        <w:t>,</w:t>
      </w:r>
      <w:r>
        <w:rPr>
          <w:rFonts w:hint="eastAsia"/>
          <w:kern w:val="0"/>
          <w:sz w:val="24"/>
          <w:szCs w:val="24"/>
        </w:rPr>
        <w:t>总行设在北京。经国务院批准，中国农业银行整体改制为中国农业银行股份有限公司并于</w:t>
      </w:r>
      <w:r>
        <w:rPr>
          <w:rFonts w:hint="eastAsia"/>
          <w:kern w:val="0"/>
          <w:sz w:val="24"/>
          <w:szCs w:val="24"/>
        </w:rPr>
        <w:t>2009</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15</w:t>
      </w:r>
      <w:r>
        <w:rPr>
          <w:rFonts w:hint="eastAsia"/>
          <w:kern w:val="0"/>
          <w:sz w:val="24"/>
          <w:szCs w:val="24"/>
        </w:rPr>
        <w:t>日依法成立。中国农业银行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hint="eastAsia"/>
          <w:kern w:val="0"/>
          <w:sz w:val="24"/>
          <w:szCs w:val="24"/>
        </w:rPr>
        <w:t>500</w:t>
      </w:r>
      <w:r>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20207F" w:rsidRDefault="000C59E2">
      <w:pPr>
        <w:widowControl/>
        <w:adjustRightInd w:val="0"/>
        <w:snapToGrid w:val="0"/>
        <w:spacing w:line="360" w:lineRule="auto"/>
        <w:ind w:firstLineChars="200" w:firstLine="480"/>
        <w:rPr>
          <w:kern w:val="0"/>
          <w:sz w:val="24"/>
          <w:szCs w:val="24"/>
        </w:rPr>
      </w:pPr>
      <w:r>
        <w:rPr>
          <w:rFonts w:hint="eastAsia"/>
          <w:kern w:val="0"/>
          <w:sz w:val="24"/>
          <w:szCs w:val="24"/>
        </w:rPr>
        <w:t>中国农业银行是中国第一批开展托管业务的国内商业银行，经验丰富，服务优质，业绩突出，</w:t>
      </w:r>
      <w:r>
        <w:rPr>
          <w:rFonts w:hint="eastAsia"/>
          <w:kern w:val="0"/>
          <w:sz w:val="24"/>
          <w:szCs w:val="24"/>
        </w:rPr>
        <w:t>2004</w:t>
      </w:r>
      <w:r>
        <w:rPr>
          <w:rFonts w:hint="eastAsia"/>
          <w:kern w:val="0"/>
          <w:sz w:val="24"/>
          <w:szCs w:val="24"/>
        </w:rPr>
        <w:t>年被英国《全球托管人》评为中国“最佳托管银行”。</w:t>
      </w:r>
    </w:p>
    <w:p w:rsidR="0020207F" w:rsidRDefault="0020207F">
      <w:pPr>
        <w:widowControl/>
        <w:adjustRightInd w:val="0"/>
        <w:snapToGrid w:val="0"/>
        <w:spacing w:line="360" w:lineRule="auto"/>
        <w:ind w:firstLineChars="200" w:firstLine="480"/>
        <w:rPr>
          <w:kern w:val="0"/>
          <w:sz w:val="24"/>
          <w:szCs w:val="24"/>
        </w:rPr>
      </w:pPr>
    </w:p>
    <w:p w:rsidR="0020207F" w:rsidRDefault="000C59E2">
      <w:pPr>
        <w:widowControl/>
        <w:adjustRightInd w:val="0"/>
        <w:snapToGrid w:val="0"/>
        <w:spacing w:line="360" w:lineRule="auto"/>
        <w:ind w:firstLineChars="200" w:firstLine="480"/>
        <w:rPr>
          <w:kern w:val="0"/>
          <w:sz w:val="24"/>
          <w:szCs w:val="24"/>
        </w:rPr>
      </w:pPr>
      <w:r>
        <w:rPr>
          <w:rFonts w:hint="eastAsia"/>
          <w:kern w:val="0"/>
          <w:sz w:val="24"/>
          <w:szCs w:val="24"/>
        </w:rPr>
        <w:lastRenderedPageBreak/>
        <w:t>2007</w:t>
      </w:r>
      <w:r>
        <w:rPr>
          <w:rFonts w:hint="eastAsia"/>
          <w:kern w:val="0"/>
          <w:sz w:val="24"/>
          <w:szCs w:val="24"/>
        </w:rPr>
        <w:t>年中国农业银行通过了美国</w:t>
      </w:r>
      <w:r>
        <w:rPr>
          <w:rFonts w:hint="eastAsia"/>
          <w:kern w:val="0"/>
          <w:sz w:val="24"/>
          <w:szCs w:val="24"/>
        </w:rPr>
        <w:t>SAS70</w:t>
      </w:r>
      <w:r>
        <w:rPr>
          <w:rFonts w:hint="eastAsia"/>
          <w:kern w:val="0"/>
          <w:sz w:val="24"/>
          <w:szCs w:val="24"/>
        </w:rPr>
        <w:t>内部控制审计，并获得无保留意见的</w:t>
      </w:r>
      <w:r>
        <w:rPr>
          <w:rFonts w:hint="eastAsia"/>
          <w:kern w:val="0"/>
          <w:sz w:val="24"/>
          <w:szCs w:val="24"/>
        </w:rPr>
        <w:t>SAS70</w:t>
      </w:r>
      <w:r>
        <w:rPr>
          <w:rFonts w:hint="eastAsia"/>
          <w:kern w:val="0"/>
          <w:sz w:val="24"/>
          <w:szCs w:val="24"/>
        </w:rPr>
        <w:t>审计报告。自</w:t>
      </w:r>
      <w:r>
        <w:rPr>
          <w:rFonts w:hint="eastAsia"/>
          <w:kern w:val="0"/>
          <w:sz w:val="24"/>
          <w:szCs w:val="24"/>
        </w:rPr>
        <w:t>2010</w:t>
      </w:r>
      <w:r>
        <w:rPr>
          <w:rFonts w:hint="eastAsia"/>
          <w:kern w:val="0"/>
          <w:sz w:val="24"/>
          <w:szCs w:val="24"/>
        </w:rPr>
        <w:t>年起中国农业银行连续通过托管业务国际内控标准（</w:t>
      </w:r>
      <w:r>
        <w:rPr>
          <w:rFonts w:hint="eastAsia"/>
          <w:kern w:val="0"/>
          <w:sz w:val="24"/>
          <w:szCs w:val="24"/>
        </w:rPr>
        <w:t>ISAE3402</w:t>
      </w:r>
      <w:r>
        <w:rPr>
          <w:rFonts w:hint="eastAsia"/>
          <w:kern w:val="0"/>
          <w:sz w:val="24"/>
          <w:szCs w:val="24"/>
        </w:rPr>
        <w:t>）认证，表明了独立</w:t>
      </w:r>
      <w:proofErr w:type="gramStart"/>
      <w:r>
        <w:rPr>
          <w:rFonts w:hint="eastAsia"/>
          <w:kern w:val="0"/>
          <w:sz w:val="24"/>
          <w:szCs w:val="24"/>
        </w:rPr>
        <w:t>公正第三</w:t>
      </w:r>
      <w:proofErr w:type="gramEnd"/>
      <w:r>
        <w:rPr>
          <w:rFonts w:hint="eastAsia"/>
          <w:kern w:val="0"/>
          <w:sz w:val="24"/>
          <w:szCs w:val="24"/>
        </w:rPr>
        <w:t>方对中国农业银行托管服务运作流程的风险管理、内部控制的健全有效性的全面认可。中国农业银行着力加强能力建设，品牌声誉进一步提升，在</w:t>
      </w:r>
      <w:r>
        <w:rPr>
          <w:rFonts w:hint="eastAsia"/>
          <w:kern w:val="0"/>
          <w:sz w:val="24"/>
          <w:szCs w:val="24"/>
        </w:rPr>
        <w:t>2010</w:t>
      </w:r>
      <w:r>
        <w:rPr>
          <w:rFonts w:hint="eastAsia"/>
          <w:kern w:val="0"/>
          <w:sz w:val="24"/>
          <w:szCs w:val="24"/>
        </w:rPr>
        <w:t>年首届“‘金牌理财’</w:t>
      </w:r>
      <w:r>
        <w:rPr>
          <w:rFonts w:hint="eastAsia"/>
          <w:kern w:val="0"/>
          <w:sz w:val="24"/>
          <w:szCs w:val="24"/>
        </w:rPr>
        <w:t>TOP10</w:t>
      </w:r>
      <w:r>
        <w:rPr>
          <w:rFonts w:hint="eastAsia"/>
          <w:kern w:val="0"/>
          <w:sz w:val="24"/>
          <w:szCs w:val="24"/>
        </w:rPr>
        <w:t>颁奖盛典”中成绩突出，获“最佳托管银行”奖。</w:t>
      </w:r>
      <w:r>
        <w:rPr>
          <w:rFonts w:hint="eastAsia"/>
          <w:kern w:val="0"/>
          <w:sz w:val="24"/>
          <w:szCs w:val="24"/>
        </w:rPr>
        <w:t>2010</w:t>
      </w:r>
      <w:r>
        <w:rPr>
          <w:rFonts w:hint="eastAsia"/>
          <w:kern w:val="0"/>
          <w:sz w:val="24"/>
          <w:szCs w:val="24"/>
        </w:rPr>
        <w:t>年再次荣获《首席财务官》杂志颁发的“最佳资产托管奖”。</w:t>
      </w:r>
      <w:r>
        <w:rPr>
          <w:rFonts w:hint="eastAsia"/>
          <w:kern w:val="0"/>
          <w:sz w:val="24"/>
          <w:szCs w:val="24"/>
        </w:rPr>
        <w:t>2012</w:t>
      </w:r>
      <w:r>
        <w:rPr>
          <w:rFonts w:hint="eastAsia"/>
          <w:kern w:val="0"/>
          <w:sz w:val="24"/>
          <w:szCs w:val="24"/>
        </w:rPr>
        <w:t>年荣获第十届中国财经风云榜“最佳资产托管银行”称号；</w:t>
      </w:r>
      <w:r>
        <w:rPr>
          <w:rFonts w:hint="eastAsia"/>
          <w:kern w:val="0"/>
          <w:sz w:val="24"/>
          <w:szCs w:val="24"/>
        </w:rPr>
        <w:t>2013</w:t>
      </w:r>
      <w:r>
        <w:rPr>
          <w:rFonts w:hint="eastAsia"/>
          <w:kern w:val="0"/>
          <w:sz w:val="24"/>
          <w:szCs w:val="24"/>
        </w:rPr>
        <w:t>年至</w:t>
      </w:r>
      <w:r>
        <w:rPr>
          <w:rFonts w:hint="eastAsia"/>
          <w:kern w:val="0"/>
          <w:sz w:val="24"/>
          <w:szCs w:val="24"/>
        </w:rPr>
        <w:t>2017</w:t>
      </w:r>
      <w:r>
        <w:rPr>
          <w:rFonts w:hint="eastAsia"/>
          <w:kern w:val="0"/>
          <w:sz w:val="24"/>
          <w:szCs w:val="24"/>
        </w:rPr>
        <w:t>年连续荣获上海清算所授予的“托管银行优秀奖”和中央国债登记结算有限责任公司授予的“优秀托管机构奖”称号；</w:t>
      </w:r>
      <w:r>
        <w:rPr>
          <w:rFonts w:hint="eastAsia"/>
          <w:kern w:val="0"/>
          <w:sz w:val="24"/>
          <w:szCs w:val="24"/>
        </w:rPr>
        <w:t>2015</w:t>
      </w:r>
      <w:r>
        <w:rPr>
          <w:rFonts w:hint="eastAsia"/>
          <w:kern w:val="0"/>
          <w:sz w:val="24"/>
          <w:szCs w:val="24"/>
        </w:rPr>
        <w:t>年、</w:t>
      </w:r>
      <w:r>
        <w:rPr>
          <w:rFonts w:hint="eastAsia"/>
          <w:kern w:val="0"/>
          <w:sz w:val="24"/>
          <w:szCs w:val="24"/>
        </w:rPr>
        <w:t>2016</w:t>
      </w:r>
      <w:r>
        <w:rPr>
          <w:rFonts w:hint="eastAsia"/>
          <w:kern w:val="0"/>
          <w:sz w:val="24"/>
          <w:szCs w:val="24"/>
        </w:rPr>
        <w:t>年荣获中国银行业协会授予的“养老金业务最佳发展奖”称号；</w:t>
      </w:r>
      <w:r>
        <w:rPr>
          <w:rFonts w:hint="eastAsia"/>
          <w:kern w:val="0"/>
          <w:sz w:val="24"/>
          <w:szCs w:val="24"/>
        </w:rPr>
        <w:t>2018</w:t>
      </w:r>
      <w:r>
        <w:rPr>
          <w:rFonts w:hint="eastAsia"/>
          <w:kern w:val="0"/>
          <w:sz w:val="24"/>
          <w:szCs w:val="24"/>
        </w:rPr>
        <w:t>年荣获中国基金报授予的公</w:t>
      </w:r>
      <w:proofErr w:type="gramStart"/>
      <w:r>
        <w:rPr>
          <w:rFonts w:hint="eastAsia"/>
          <w:kern w:val="0"/>
          <w:sz w:val="24"/>
          <w:szCs w:val="24"/>
        </w:rPr>
        <w:t>募基金</w:t>
      </w:r>
      <w:proofErr w:type="gramEnd"/>
      <w:r>
        <w:rPr>
          <w:rFonts w:hint="eastAsia"/>
          <w:kern w:val="0"/>
          <w:sz w:val="24"/>
          <w:szCs w:val="24"/>
        </w:rPr>
        <w:t>20</w:t>
      </w:r>
      <w:r>
        <w:rPr>
          <w:rFonts w:hint="eastAsia"/>
          <w:kern w:val="0"/>
          <w:sz w:val="24"/>
          <w:szCs w:val="24"/>
        </w:rPr>
        <w:t>年“最佳基金托管银行”奖；</w:t>
      </w:r>
      <w:r>
        <w:rPr>
          <w:rFonts w:hint="eastAsia"/>
          <w:kern w:val="0"/>
          <w:sz w:val="24"/>
          <w:szCs w:val="24"/>
        </w:rPr>
        <w:t>2019</w:t>
      </w:r>
      <w:r>
        <w:rPr>
          <w:rFonts w:hint="eastAsia"/>
          <w:kern w:val="0"/>
          <w:sz w:val="24"/>
          <w:szCs w:val="24"/>
        </w:rPr>
        <w:t>年荣获证券时报授予的“</w:t>
      </w:r>
      <w:r>
        <w:rPr>
          <w:rFonts w:hint="eastAsia"/>
          <w:kern w:val="0"/>
          <w:sz w:val="24"/>
          <w:szCs w:val="24"/>
        </w:rPr>
        <w:t>2019</w:t>
      </w:r>
      <w:r>
        <w:rPr>
          <w:rFonts w:hint="eastAsia"/>
          <w:kern w:val="0"/>
          <w:sz w:val="24"/>
          <w:szCs w:val="24"/>
        </w:rPr>
        <w:t>年度资产托管银行天玑奖”称号；</w:t>
      </w:r>
      <w:r>
        <w:rPr>
          <w:rFonts w:hint="eastAsia"/>
          <w:kern w:val="0"/>
          <w:sz w:val="24"/>
          <w:szCs w:val="24"/>
        </w:rPr>
        <w:t>2020</w:t>
      </w:r>
      <w:r>
        <w:rPr>
          <w:rFonts w:hint="eastAsia"/>
          <w:kern w:val="0"/>
          <w:sz w:val="24"/>
          <w:szCs w:val="24"/>
        </w:rPr>
        <w:t>年被美国《环球金融》评为中国“最佳托管银行”；</w:t>
      </w:r>
      <w:r>
        <w:rPr>
          <w:rFonts w:hint="eastAsia"/>
          <w:kern w:val="0"/>
          <w:sz w:val="24"/>
          <w:szCs w:val="24"/>
        </w:rPr>
        <w:t>2021</w:t>
      </w:r>
      <w:r>
        <w:rPr>
          <w:rFonts w:hint="eastAsia"/>
          <w:kern w:val="0"/>
          <w:sz w:val="24"/>
          <w:szCs w:val="24"/>
        </w:rPr>
        <w:t>年荣获全国银行间同业拆借中心首次设立的“银行间本币市场优秀托管行”奖。</w:t>
      </w:r>
    </w:p>
    <w:p w:rsidR="0020207F" w:rsidRDefault="000C59E2">
      <w:pPr>
        <w:widowControl/>
        <w:adjustRightInd w:val="0"/>
        <w:snapToGrid w:val="0"/>
        <w:spacing w:line="360" w:lineRule="auto"/>
        <w:ind w:firstLineChars="200" w:firstLine="480"/>
        <w:rPr>
          <w:kern w:val="0"/>
          <w:sz w:val="24"/>
          <w:szCs w:val="24"/>
        </w:rPr>
      </w:pPr>
      <w:r>
        <w:rPr>
          <w:rFonts w:hint="eastAsia"/>
          <w:kern w:val="0"/>
          <w:sz w:val="24"/>
          <w:szCs w:val="24"/>
        </w:rPr>
        <w:t>中国农业银行证券投资基金托管部于</w:t>
      </w:r>
      <w:r>
        <w:rPr>
          <w:rFonts w:hint="eastAsia"/>
          <w:kern w:val="0"/>
          <w:sz w:val="24"/>
          <w:szCs w:val="24"/>
        </w:rPr>
        <w:t>1998</w:t>
      </w:r>
      <w:r>
        <w:rPr>
          <w:rFonts w:hint="eastAsia"/>
          <w:kern w:val="0"/>
          <w:sz w:val="24"/>
          <w:szCs w:val="24"/>
        </w:rPr>
        <w:t>年</w:t>
      </w:r>
      <w:r>
        <w:rPr>
          <w:rFonts w:hint="eastAsia"/>
          <w:kern w:val="0"/>
          <w:sz w:val="24"/>
          <w:szCs w:val="24"/>
        </w:rPr>
        <w:t>5</w:t>
      </w:r>
      <w:r>
        <w:rPr>
          <w:rFonts w:hint="eastAsia"/>
          <w:kern w:val="0"/>
          <w:sz w:val="24"/>
          <w:szCs w:val="24"/>
        </w:rPr>
        <w:t>月经中国证监会和中国人民银行批准成立，目前内设风险合</w:t>
      </w:r>
      <w:proofErr w:type="gramStart"/>
      <w:r>
        <w:rPr>
          <w:rFonts w:hint="eastAsia"/>
          <w:kern w:val="0"/>
          <w:sz w:val="24"/>
          <w:szCs w:val="24"/>
        </w:rPr>
        <w:t>规</w:t>
      </w:r>
      <w:proofErr w:type="gramEnd"/>
      <w:r>
        <w:rPr>
          <w:rFonts w:hint="eastAsia"/>
          <w:kern w:val="0"/>
          <w:sz w:val="24"/>
          <w:szCs w:val="24"/>
        </w:rPr>
        <w:t>部</w:t>
      </w:r>
      <w:r>
        <w:rPr>
          <w:rFonts w:hint="eastAsia"/>
          <w:kern w:val="0"/>
          <w:sz w:val="24"/>
          <w:szCs w:val="24"/>
        </w:rPr>
        <w:t>/</w:t>
      </w:r>
      <w:r>
        <w:rPr>
          <w:rFonts w:hint="eastAsia"/>
          <w:kern w:val="0"/>
          <w:sz w:val="24"/>
          <w:szCs w:val="24"/>
        </w:rPr>
        <w:t>综合管理部、业务管理部、客户一部、客户二部、客户三部、客户四部、系统与信息管理部、营运管理部、营运一部、营运二部，拥有先进的安全防范设施和基金托管业务系统。</w:t>
      </w:r>
    </w:p>
    <w:p w:rsidR="0020207F" w:rsidRDefault="000C59E2">
      <w:pPr>
        <w:widowControl/>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、主要人员情况</w:t>
      </w:r>
    </w:p>
    <w:p w:rsidR="0020207F" w:rsidRDefault="000C59E2">
      <w:pPr>
        <w:widowControl/>
        <w:adjustRightInd w:val="0"/>
        <w:snapToGrid w:val="0"/>
        <w:spacing w:line="360" w:lineRule="auto"/>
        <w:ind w:firstLineChars="200" w:firstLine="480"/>
        <w:rPr>
          <w:kern w:val="0"/>
          <w:sz w:val="24"/>
          <w:szCs w:val="24"/>
        </w:rPr>
      </w:pPr>
      <w:r>
        <w:rPr>
          <w:rFonts w:hint="eastAsia"/>
          <w:kern w:val="0"/>
          <w:sz w:val="24"/>
          <w:szCs w:val="24"/>
        </w:rPr>
        <w:t>中国农业银行托管业务部现有员工近</w:t>
      </w:r>
      <w:r>
        <w:rPr>
          <w:kern w:val="0"/>
          <w:sz w:val="24"/>
          <w:szCs w:val="24"/>
        </w:rPr>
        <w:t>283</w:t>
      </w:r>
      <w:r>
        <w:rPr>
          <w:rFonts w:hint="eastAsia"/>
          <w:kern w:val="0"/>
          <w:sz w:val="24"/>
          <w:szCs w:val="24"/>
        </w:rPr>
        <w:t>名，其中具有高级职称的专家</w:t>
      </w:r>
      <w:r>
        <w:rPr>
          <w:rFonts w:hint="eastAsia"/>
          <w:kern w:val="0"/>
          <w:sz w:val="24"/>
          <w:szCs w:val="24"/>
        </w:rPr>
        <w:t>60</w:t>
      </w:r>
      <w:r>
        <w:rPr>
          <w:rFonts w:hint="eastAsia"/>
          <w:kern w:val="0"/>
          <w:sz w:val="24"/>
          <w:szCs w:val="24"/>
        </w:rPr>
        <w:t>名，服务团队成员专业水平高、业务素质好、服务能力强，高级管理层均有</w:t>
      </w:r>
      <w:r>
        <w:rPr>
          <w:rFonts w:hint="eastAsia"/>
          <w:kern w:val="0"/>
          <w:sz w:val="24"/>
          <w:szCs w:val="24"/>
        </w:rPr>
        <w:t>20</w:t>
      </w:r>
      <w:r>
        <w:rPr>
          <w:rFonts w:hint="eastAsia"/>
          <w:kern w:val="0"/>
          <w:sz w:val="24"/>
          <w:szCs w:val="24"/>
        </w:rPr>
        <w:t>年以上金融从业经验和高级技术职称，精通国内外证券市场的运作。</w:t>
      </w:r>
    </w:p>
    <w:p w:rsidR="0020207F" w:rsidRDefault="000C59E2">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、基金托管业务经营情况</w:t>
      </w:r>
    </w:p>
    <w:p w:rsidR="0020207F" w:rsidRDefault="000C59E2">
      <w:pPr>
        <w:widowControl/>
        <w:adjustRightInd w:val="0"/>
        <w:snapToGrid w:val="0"/>
        <w:spacing w:line="360" w:lineRule="auto"/>
        <w:ind w:firstLineChars="200" w:firstLine="480"/>
        <w:rPr>
          <w:bCs/>
          <w:kern w:val="0"/>
          <w:sz w:val="24"/>
          <w:szCs w:val="24"/>
        </w:rPr>
      </w:pPr>
      <w:r>
        <w:rPr>
          <w:rFonts w:hint="eastAsia"/>
          <w:bCs/>
          <w:kern w:val="0"/>
          <w:sz w:val="24"/>
          <w:szCs w:val="24"/>
        </w:rPr>
        <w:t>截止到</w:t>
      </w:r>
      <w:r>
        <w:rPr>
          <w:rFonts w:hint="eastAsia"/>
          <w:bCs/>
          <w:kern w:val="0"/>
          <w:sz w:val="24"/>
          <w:szCs w:val="24"/>
        </w:rPr>
        <w:t>2025</w:t>
      </w:r>
      <w:r>
        <w:rPr>
          <w:rFonts w:hint="eastAsia"/>
          <w:bCs/>
          <w:kern w:val="0"/>
          <w:sz w:val="24"/>
          <w:szCs w:val="24"/>
        </w:rPr>
        <w:t>年</w:t>
      </w:r>
      <w:r>
        <w:rPr>
          <w:rFonts w:hint="eastAsia"/>
          <w:bCs/>
          <w:kern w:val="0"/>
          <w:sz w:val="24"/>
          <w:szCs w:val="24"/>
        </w:rPr>
        <w:t>3</w:t>
      </w:r>
      <w:r>
        <w:rPr>
          <w:rFonts w:hint="eastAsia"/>
          <w:bCs/>
          <w:kern w:val="0"/>
          <w:sz w:val="24"/>
          <w:szCs w:val="24"/>
        </w:rPr>
        <w:t>月</w:t>
      </w:r>
      <w:r>
        <w:rPr>
          <w:rFonts w:hint="eastAsia"/>
          <w:bCs/>
          <w:kern w:val="0"/>
          <w:sz w:val="24"/>
          <w:szCs w:val="24"/>
        </w:rPr>
        <w:t>31</w:t>
      </w:r>
      <w:r>
        <w:rPr>
          <w:rFonts w:hint="eastAsia"/>
          <w:bCs/>
          <w:kern w:val="0"/>
          <w:sz w:val="24"/>
          <w:szCs w:val="24"/>
        </w:rPr>
        <w:t>日，中国农业银行托管的封闭式证券投资基金和开放式证券投资基金共</w:t>
      </w:r>
      <w:r>
        <w:rPr>
          <w:rFonts w:hint="eastAsia"/>
          <w:bCs/>
          <w:kern w:val="0"/>
          <w:sz w:val="24"/>
          <w:szCs w:val="24"/>
        </w:rPr>
        <w:t>934</w:t>
      </w:r>
      <w:r>
        <w:rPr>
          <w:rFonts w:hint="eastAsia"/>
          <w:bCs/>
          <w:kern w:val="0"/>
          <w:sz w:val="24"/>
          <w:szCs w:val="24"/>
        </w:rPr>
        <w:t>只。</w:t>
      </w:r>
    </w:p>
    <w:p w:rsidR="0020207F" w:rsidRDefault="000C59E2">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（二）基金托管人的内部风险控制制度说明</w:t>
      </w:r>
    </w:p>
    <w:p w:rsidR="0020207F" w:rsidRDefault="000C59E2">
      <w:pPr>
        <w:snapToGrid w:val="0"/>
        <w:spacing w:line="360" w:lineRule="auto"/>
        <w:ind w:firstLine="540"/>
        <w:rPr>
          <w:rFonts w:ascii="宋体" w:hAnsi="宋体" w:cs="宋体"/>
          <w:sz w:val="24"/>
          <w:szCs w:val="24"/>
        </w:rPr>
      </w:pPr>
      <w:r>
        <w:rPr>
          <w:rFonts w:ascii="宋体" w:hAnsi="宋体" w:cs="宋体" w:hint="eastAsia"/>
          <w:sz w:val="24"/>
          <w:szCs w:val="24"/>
        </w:rPr>
        <w:t>1、内部控制目标</w:t>
      </w:r>
    </w:p>
    <w:p w:rsidR="0020207F" w:rsidRDefault="000C59E2">
      <w:pPr>
        <w:snapToGrid w:val="0"/>
        <w:spacing w:line="360" w:lineRule="auto"/>
        <w:ind w:firstLine="540"/>
        <w:rPr>
          <w:rFonts w:ascii="宋体" w:hAnsi="宋体" w:cs="宋体"/>
          <w:sz w:val="24"/>
          <w:szCs w:val="24"/>
        </w:rPr>
      </w:pPr>
      <w:r>
        <w:rPr>
          <w:rFonts w:ascii="宋体" w:hAnsi="宋体" w:cs="宋体" w:hint="eastAsia"/>
          <w:sz w:val="24"/>
          <w:szCs w:val="24"/>
        </w:rPr>
        <w:t>严格遵守国家有关托管业务的法律法规、行业监管规章和行内有关管理规定,守法经营、规范运作、严格监察,确保业务的稳健运行,保证基金财产的安全</w:t>
      </w:r>
      <w:proofErr w:type="gramStart"/>
      <w:r>
        <w:rPr>
          <w:rFonts w:ascii="宋体" w:hAnsi="宋体" w:cs="宋体" w:hint="eastAsia"/>
          <w:sz w:val="24"/>
          <w:szCs w:val="24"/>
        </w:rPr>
        <w:t>完整,</w:t>
      </w:r>
      <w:proofErr w:type="gramEnd"/>
      <w:r>
        <w:rPr>
          <w:rFonts w:ascii="宋体" w:hAnsi="宋体" w:cs="宋体" w:hint="eastAsia"/>
          <w:sz w:val="24"/>
          <w:szCs w:val="24"/>
        </w:rPr>
        <w:t>确保有关信息的真实、准确、完整、及时,保护基金份额持有人的合法权益。</w:t>
      </w:r>
    </w:p>
    <w:p w:rsidR="0020207F" w:rsidRDefault="000C59E2">
      <w:pPr>
        <w:snapToGrid w:val="0"/>
        <w:spacing w:line="360" w:lineRule="auto"/>
        <w:ind w:firstLine="540"/>
        <w:rPr>
          <w:rFonts w:ascii="宋体" w:hAnsi="宋体" w:cs="宋体"/>
          <w:sz w:val="24"/>
          <w:szCs w:val="24"/>
        </w:rPr>
      </w:pPr>
      <w:r>
        <w:rPr>
          <w:rFonts w:ascii="宋体" w:hAnsi="宋体" w:cs="宋体" w:hint="eastAsia"/>
          <w:sz w:val="24"/>
          <w:szCs w:val="24"/>
        </w:rPr>
        <w:lastRenderedPageBreak/>
        <w:t>2、内部控制组织结构</w:t>
      </w:r>
    </w:p>
    <w:p w:rsidR="0020207F" w:rsidRDefault="000C59E2">
      <w:pPr>
        <w:snapToGrid w:val="0"/>
        <w:spacing w:line="360" w:lineRule="auto"/>
        <w:ind w:firstLine="540"/>
        <w:rPr>
          <w:rFonts w:ascii="宋体" w:hAnsi="宋体" w:cs="宋体"/>
          <w:sz w:val="24"/>
          <w:szCs w:val="24"/>
        </w:rPr>
      </w:pPr>
      <w:r>
        <w:rPr>
          <w:rFonts w:ascii="宋体" w:hAnsi="宋体" w:cs="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20207F" w:rsidRDefault="000C59E2">
      <w:pPr>
        <w:snapToGrid w:val="0"/>
        <w:spacing w:line="360" w:lineRule="auto"/>
        <w:ind w:firstLine="540"/>
        <w:rPr>
          <w:rFonts w:ascii="宋体" w:hAnsi="宋体" w:cs="宋体"/>
          <w:sz w:val="24"/>
          <w:szCs w:val="24"/>
        </w:rPr>
      </w:pPr>
      <w:r>
        <w:rPr>
          <w:rFonts w:ascii="宋体" w:hAnsi="宋体" w:cs="宋体" w:hint="eastAsia"/>
          <w:sz w:val="24"/>
          <w:szCs w:val="24"/>
        </w:rPr>
        <w:t>3、内部控制制度及措施</w:t>
      </w:r>
    </w:p>
    <w:p w:rsidR="0020207F" w:rsidRDefault="000C59E2">
      <w:pPr>
        <w:snapToGrid w:val="0"/>
        <w:spacing w:line="360" w:lineRule="auto"/>
        <w:ind w:firstLine="540"/>
        <w:rPr>
          <w:rFonts w:ascii="宋体" w:hAnsi="宋体" w:cs="宋体"/>
          <w:sz w:val="24"/>
          <w:szCs w:val="24"/>
        </w:rPr>
      </w:pPr>
      <w:r>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Pr>
          <w:rFonts w:ascii="宋体" w:hAnsi="宋体" w:cs="宋体" w:hint="eastAsia"/>
          <w:sz w:val="24"/>
          <w:szCs w:val="24"/>
        </w:rPr>
        <w:t>操作区</w:t>
      </w:r>
      <w:proofErr w:type="gramEnd"/>
      <w:r>
        <w:rPr>
          <w:rFonts w:ascii="宋体" w:hAnsi="宋体" w:cs="宋体" w:hint="eastAsia"/>
          <w:sz w:val="24"/>
          <w:szCs w:val="24"/>
        </w:rPr>
        <w:t>专门设置，封闭管理,实施音像监控；业务信息由专职信息披露人负责,防止泄密；业务实现自动化操作，防止人为事故的发生，技术系统完整、独立。</w:t>
      </w:r>
    </w:p>
    <w:p w:rsidR="0020207F" w:rsidRDefault="000C59E2">
      <w:pPr>
        <w:widowControl/>
        <w:spacing w:line="360" w:lineRule="auto"/>
        <w:ind w:rightChars="-85" w:right="-178" w:firstLineChars="200" w:firstLine="482"/>
        <w:rPr>
          <w:rFonts w:ascii="宋体" w:hAnsi="宋体" w:cs="宋体"/>
          <w:b/>
          <w:kern w:val="0"/>
          <w:sz w:val="24"/>
          <w:szCs w:val="24"/>
        </w:rPr>
      </w:pPr>
      <w:r>
        <w:rPr>
          <w:rFonts w:ascii="宋体" w:hAnsi="宋体" w:cs="宋体" w:hint="eastAsia"/>
          <w:b/>
          <w:kern w:val="0"/>
          <w:sz w:val="24"/>
          <w:szCs w:val="24"/>
        </w:rPr>
        <w:t>（三）基金托管人对基金管理人运作基金进行监督的方法和程序</w:t>
      </w:r>
    </w:p>
    <w:p w:rsidR="0020207F" w:rsidRDefault="000C59E2">
      <w:pPr>
        <w:snapToGrid w:val="0"/>
        <w:spacing w:line="360" w:lineRule="auto"/>
        <w:ind w:firstLine="540"/>
        <w:rPr>
          <w:rFonts w:ascii="宋体" w:hAnsi="宋体" w:cs="宋体"/>
          <w:sz w:val="24"/>
          <w:szCs w:val="24"/>
        </w:rPr>
      </w:pPr>
      <w:r>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0207F" w:rsidRDefault="000C59E2">
      <w:pPr>
        <w:snapToGrid w:val="0"/>
        <w:spacing w:line="360" w:lineRule="auto"/>
        <w:ind w:firstLine="540"/>
        <w:rPr>
          <w:rFonts w:ascii="宋体" w:hAnsi="宋体" w:cs="宋体"/>
          <w:sz w:val="24"/>
          <w:szCs w:val="24"/>
        </w:rPr>
      </w:pPr>
      <w:r>
        <w:rPr>
          <w:rFonts w:ascii="宋体" w:hAnsi="宋体" w:cs="宋体" w:hint="eastAsia"/>
          <w:sz w:val="24"/>
          <w:szCs w:val="24"/>
        </w:rPr>
        <w:t>当基金出现异常交易行为时，基金托管人应当针对不同情况进行以下方式的处理：</w:t>
      </w:r>
    </w:p>
    <w:p w:rsidR="0020207F" w:rsidRDefault="000C59E2">
      <w:pPr>
        <w:snapToGrid w:val="0"/>
        <w:spacing w:line="360" w:lineRule="auto"/>
        <w:ind w:firstLine="540"/>
        <w:rPr>
          <w:rFonts w:ascii="宋体" w:hAnsi="宋体" w:cs="宋体"/>
          <w:sz w:val="24"/>
          <w:szCs w:val="24"/>
        </w:rPr>
      </w:pPr>
      <w:r>
        <w:rPr>
          <w:rFonts w:ascii="宋体" w:hAnsi="宋体" w:cs="宋体"/>
          <w:sz w:val="24"/>
          <w:szCs w:val="24"/>
        </w:rPr>
        <w:t>1、电话提示。对媒体和舆论反映集中的问题，电话提示基金管理人；</w:t>
      </w:r>
    </w:p>
    <w:p w:rsidR="0020207F" w:rsidRDefault="000C59E2">
      <w:pPr>
        <w:snapToGrid w:val="0"/>
        <w:spacing w:line="360" w:lineRule="auto"/>
        <w:ind w:firstLine="540"/>
        <w:rPr>
          <w:rFonts w:ascii="宋体" w:hAnsi="宋体" w:cs="宋体"/>
          <w:sz w:val="24"/>
          <w:szCs w:val="24"/>
        </w:rPr>
      </w:pPr>
      <w:r>
        <w:rPr>
          <w:rFonts w:ascii="宋体" w:hAnsi="宋体" w:cs="宋体"/>
          <w:sz w:val="24"/>
          <w:szCs w:val="24"/>
        </w:rPr>
        <w:t>2、书面警示。对本基金投资比例接近超标、资金头寸不足等问题，以书面方式对基金管理人进行提示；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Ansi="宋体"/>
          <w:kern w:val="0"/>
          <w:sz w:val="24"/>
          <w:szCs w:val="24"/>
        </w:rPr>
        <w:t>3</w:t>
      </w:r>
      <w:r>
        <w:rPr>
          <w:rFonts w:hAnsi="宋体" w:hint="eastAsia"/>
          <w:kern w:val="0"/>
          <w:sz w:val="24"/>
          <w:szCs w:val="24"/>
        </w:rPr>
        <w:t>、书面报告。对投资比例超标、清算资金透支以及其他涉嫌违规交易等行为，书面提示有关基金管理人并报中国证监会。</w:t>
      </w:r>
    </w:p>
    <w:p w:rsidR="0020207F" w:rsidRDefault="0020207F">
      <w:pPr>
        <w:autoSpaceDE w:val="0"/>
        <w:autoSpaceDN w:val="0"/>
        <w:adjustRightInd w:val="0"/>
        <w:snapToGrid w:val="0"/>
        <w:spacing w:line="360" w:lineRule="auto"/>
        <w:ind w:firstLineChars="200" w:firstLine="420"/>
        <w:jc w:val="left"/>
        <w:rPr>
          <w:rFonts w:ascii="宋体" w:hAnsi="宋体"/>
          <w:szCs w:val="24"/>
        </w:rPr>
      </w:pP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9" w:name="_Toc104564188"/>
      <w:r>
        <w:rPr>
          <w:rFonts w:ascii="Times New Roman" w:hAnsi="Times New Roman"/>
          <w:sz w:val="30"/>
        </w:rPr>
        <w:lastRenderedPageBreak/>
        <w:t>五、相关服务机构</w:t>
      </w:r>
      <w:bookmarkEnd w:id="9"/>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w:t>
      </w:r>
      <w:r>
        <w:rPr>
          <w:rFonts w:ascii="宋体" w:hAnsi="宋体" w:hint="eastAsia"/>
          <w:sz w:val="24"/>
        </w:rPr>
        <w:t>基金管理人</w:t>
      </w:r>
      <w:r>
        <w:rPr>
          <w:rFonts w:ascii="宋体" w:hAnsi="宋体"/>
          <w:sz w:val="24"/>
        </w:rPr>
        <w:t>直销柜台以及</w:t>
      </w:r>
      <w:r>
        <w:rPr>
          <w:rFonts w:ascii="宋体" w:hAnsi="宋体" w:hint="eastAsia"/>
          <w:sz w:val="24"/>
        </w:rPr>
        <w:t>基金管理人</w:t>
      </w:r>
      <w:r>
        <w:rPr>
          <w:rFonts w:ascii="宋体" w:hAnsi="宋体"/>
          <w:sz w:val="24"/>
        </w:rPr>
        <w:t>的网上直销交易平台（网站及APP，下同）。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张宏良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Pr>
          <w:rFonts w:ascii="宋体" w:hAnsi="宋体" w:hint="eastAsia"/>
          <w:sz w:val="24"/>
        </w:rPr>
        <w:t>认购、</w:t>
      </w:r>
      <w:r>
        <w:rPr>
          <w:rFonts w:ascii="宋体" w:hAnsi="宋体"/>
          <w:sz w:val="24"/>
        </w:rPr>
        <w:t>申购、赎回等业务，具体交易细则请参阅基金管理人网站。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Times New Roman" w:hAnsi="Times New Roman" w:hint="eastAsia"/>
          <w:sz w:val="24"/>
        </w:rPr>
        <w:t>除</w:t>
      </w:r>
      <w:r>
        <w:rPr>
          <w:rFonts w:ascii="Times New Roman" w:hAnsi="Times New Roman"/>
          <w:sz w:val="24"/>
        </w:rPr>
        <w:t>基金管理人之外的</w:t>
      </w:r>
      <w:r>
        <w:rPr>
          <w:rFonts w:ascii="宋体" w:hAnsi="宋体"/>
          <w:sz w:val="24"/>
        </w:rPr>
        <w:t>其他销售机构</w:t>
      </w:r>
    </w:p>
    <w:p w:rsidR="0020207F" w:rsidRDefault="000C59E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）中国农业银行股份有限公司</w:t>
      </w:r>
    </w:p>
    <w:p w:rsidR="0020207F" w:rsidRDefault="000C59E2">
      <w:pPr>
        <w:adjustRightInd w:val="0"/>
        <w:snapToGrid w:val="0"/>
        <w:spacing w:line="360" w:lineRule="auto"/>
        <w:ind w:firstLineChars="200" w:firstLine="480"/>
        <w:rPr>
          <w:rFonts w:hAnsi="宋体"/>
          <w:kern w:val="0"/>
          <w:sz w:val="24"/>
        </w:rPr>
      </w:pPr>
      <w:r>
        <w:rPr>
          <w:rFonts w:hAnsi="宋体" w:hint="eastAsia"/>
          <w:kern w:val="0"/>
          <w:sz w:val="24"/>
        </w:rPr>
        <w:t>住所：北京市东城区建国门内大街</w:t>
      </w:r>
      <w:r>
        <w:rPr>
          <w:rFonts w:hAnsi="宋体" w:hint="eastAsia"/>
          <w:kern w:val="0"/>
          <w:sz w:val="24"/>
        </w:rPr>
        <w:t>69</w:t>
      </w:r>
      <w:r>
        <w:rPr>
          <w:rFonts w:hAnsi="宋体" w:hint="eastAsia"/>
          <w:kern w:val="0"/>
          <w:sz w:val="24"/>
        </w:rPr>
        <w:t>号</w:t>
      </w:r>
    </w:p>
    <w:p w:rsidR="0020207F" w:rsidRDefault="000C59E2">
      <w:pPr>
        <w:adjustRightInd w:val="0"/>
        <w:snapToGrid w:val="0"/>
        <w:spacing w:line="360" w:lineRule="auto"/>
        <w:ind w:firstLineChars="200" w:firstLine="480"/>
        <w:rPr>
          <w:rFonts w:hAnsi="宋体"/>
          <w:kern w:val="0"/>
          <w:sz w:val="24"/>
        </w:rPr>
      </w:pPr>
      <w:r>
        <w:rPr>
          <w:rFonts w:hAnsi="宋体" w:hint="eastAsia"/>
          <w:kern w:val="0"/>
          <w:sz w:val="24"/>
        </w:rPr>
        <w:t>办公地址：北京市西城区复兴门内大街</w:t>
      </w:r>
      <w:r>
        <w:rPr>
          <w:rFonts w:hAnsi="宋体" w:hint="eastAsia"/>
          <w:kern w:val="0"/>
          <w:sz w:val="24"/>
        </w:rPr>
        <w:t>28</w:t>
      </w:r>
      <w:r>
        <w:rPr>
          <w:rFonts w:hAnsi="宋体" w:hint="eastAsia"/>
          <w:kern w:val="0"/>
          <w:sz w:val="24"/>
        </w:rPr>
        <w:t>号</w:t>
      </w:r>
      <w:proofErr w:type="gramStart"/>
      <w:r>
        <w:rPr>
          <w:rFonts w:hAnsi="宋体" w:hint="eastAsia"/>
          <w:kern w:val="0"/>
          <w:sz w:val="24"/>
        </w:rPr>
        <w:t>凯</w:t>
      </w:r>
      <w:proofErr w:type="gramEnd"/>
      <w:r>
        <w:rPr>
          <w:rFonts w:hAnsi="宋体" w:hint="eastAsia"/>
          <w:kern w:val="0"/>
          <w:sz w:val="24"/>
        </w:rPr>
        <w:t>晨世贸中心东座</w:t>
      </w:r>
    </w:p>
    <w:p w:rsidR="0020207F" w:rsidRDefault="000C59E2">
      <w:pPr>
        <w:adjustRightInd w:val="0"/>
        <w:snapToGrid w:val="0"/>
        <w:spacing w:line="360" w:lineRule="auto"/>
        <w:ind w:firstLineChars="200" w:firstLine="480"/>
        <w:rPr>
          <w:rFonts w:hAnsi="宋体"/>
          <w:kern w:val="0"/>
          <w:sz w:val="24"/>
        </w:rPr>
      </w:pPr>
      <w:r>
        <w:rPr>
          <w:rFonts w:hAnsi="宋体" w:hint="eastAsia"/>
          <w:kern w:val="0"/>
          <w:sz w:val="24"/>
        </w:rPr>
        <w:t>法定代表人：谷澍</w:t>
      </w:r>
    </w:p>
    <w:p w:rsidR="0030527D" w:rsidRPr="0030527D" w:rsidRDefault="0030527D" w:rsidP="0030527D">
      <w:pPr>
        <w:snapToGrid w:val="0"/>
        <w:spacing w:line="360" w:lineRule="auto"/>
        <w:ind w:firstLine="480"/>
        <w:rPr>
          <w:kern w:val="0"/>
          <w:sz w:val="24"/>
          <w:szCs w:val="24"/>
        </w:rPr>
      </w:pPr>
      <w:r w:rsidRPr="0030527D">
        <w:rPr>
          <w:rFonts w:hint="eastAsia"/>
          <w:sz w:val="24"/>
          <w:szCs w:val="24"/>
        </w:rPr>
        <w:t>联系电话：</w:t>
      </w:r>
      <w:r w:rsidRPr="0030527D">
        <w:rPr>
          <w:rFonts w:hint="eastAsia"/>
          <w:color w:val="000000"/>
          <w:sz w:val="24"/>
          <w:szCs w:val="24"/>
        </w:rPr>
        <w:t>010-68121512</w:t>
      </w:r>
    </w:p>
    <w:p w:rsidR="0020207F" w:rsidRPr="0030527D" w:rsidRDefault="000C59E2">
      <w:pPr>
        <w:adjustRightInd w:val="0"/>
        <w:snapToGrid w:val="0"/>
        <w:spacing w:line="360" w:lineRule="auto"/>
        <w:ind w:firstLineChars="200" w:firstLine="480"/>
        <w:rPr>
          <w:rFonts w:hAnsi="宋体"/>
          <w:kern w:val="0"/>
          <w:sz w:val="24"/>
        </w:rPr>
      </w:pPr>
      <w:r w:rsidRPr="0030527D">
        <w:rPr>
          <w:rFonts w:hAnsi="宋体" w:hint="eastAsia"/>
          <w:kern w:val="0"/>
          <w:sz w:val="24"/>
        </w:rPr>
        <w:t>传真：</w:t>
      </w:r>
      <w:r w:rsidRPr="0030527D">
        <w:rPr>
          <w:rFonts w:hAnsi="宋体" w:hint="eastAsia"/>
          <w:kern w:val="0"/>
          <w:sz w:val="24"/>
        </w:rPr>
        <w:t>010-68121816</w:t>
      </w:r>
    </w:p>
    <w:p w:rsidR="00C90F4C" w:rsidRDefault="0030527D">
      <w:pPr>
        <w:adjustRightInd w:val="0"/>
        <w:snapToGrid w:val="0"/>
        <w:spacing w:line="360" w:lineRule="auto"/>
        <w:ind w:firstLineChars="200" w:firstLine="480"/>
        <w:rPr>
          <w:sz w:val="24"/>
          <w:szCs w:val="24"/>
        </w:rPr>
      </w:pPr>
      <w:r w:rsidRPr="0030527D">
        <w:rPr>
          <w:rFonts w:hint="eastAsia"/>
          <w:sz w:val="24"/>
          <w:szCs w:val="24"/>
        </w:rPr>
        <w:t>联系人：任航</w:t>
      </w:r>
    </w:p>
    <w:p w:rsidR="0020207F" w:rsidRDefault="000C59E2">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95599</w:t>
      </w:r>
    </w:p>
    <w:p w:rsidR="0020207F" w:rsidRDefault="000C59E2">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www.abchina.com</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（2）名称：交通银行股份有限公司</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w:t>
      </w:r>
      <w:proofErr w:type="gramStart"/>
      <w:r>
        <w:rPr>
          <w:rFonts w:ascii="宋体" w:hAnsi="宋体"/>
          <w:sz w:val="24"/>
        </w:rPr>
        <w:t>新区银</w:t>
      </w:r>
      <w:proofErr w:type="gramEnd"/>
      <w:r>
        <w:rPr>
          <w:rFonts w:ascii="宋体" w:hAnsi="宋体"/>
          <w:sz w:val="24"/>
        </w:rPr>
        <w:t>城中路188号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20207F" w:rsidRDefault="000C59E2">
      <w:pPr>
        <w:adjustRightInd w:val="0"/>
        <w:snapToGrid w:val="0"/>
        <w:spacing w:line="360" w:lineRule="auto"/>
        <w:ind w:firstLineChars="200" w:firstLine="480"/>
        <w:rPr>
          <w:rFonts w:hAnsi="宋体"/>
          <w:kern w:val="0"/>
          <w:sz w:val="24"/>
        </w:rPr>
      </w:pPr>
      <w:r>
        <w:rPr>
          <w:rFonts w:ascii="宋体" w:hAnsi="宋体" w:hint="eastAsia"/>
          <w:sz w:val="24"/>
        </w:rPr>
        <w:t>基金管理人可根据有关法律法规的要求，选择其它符合要求的机构销售本基金，并在基金管理人网站公示。</w:t>
      </w:r>
    </w:p>
    <w:p w:rsidR="0020207F" w:rsidRDefault="000C59E2">
      <w:pPr>
        <w:adjustRightInd w:val="0"/>
        <w:snapToGrid w:val="0"/>
        <w:spacing w:line="360" w:lineRule="auto"/>
        <w:ind w:firstLineChars="200" w:firstLine="480"/>
        <w:rPr>
          <w:rFonts w:ascii="宋体" w:hAnsi="宋体"/>
          <w:szCs w:val="24"/>
        </w:rPr>
      </w:pPr>
      <w:r>
        <w:rPr>
          <w:rFonts w:ascii="宋体" w:hAnsi="宋体"/>
          <w:sz w:val="24"/>
        </w:rPr>
        <w:t>（二）登记机构</w:t>
      </w:r>
    </w:p>
    <w:p w:rsidR="0020207F" w:rsidRDefault="000C59E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r>
        <w:rPr>
          <w:rFonts w:hint="eastAsia"/>
          <w:kern w:val="0"/>
          <w:sz w:val="24"/>
        </w:rPr>
        <w:t xml:space="preserve"> </w:t>
      </w:r>
    </w:p>
    <w:p w:rsidR="0020207F" w:rsidRDefault="000C59E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rFonts w:hint="eastAsia"/>
          <w:kern w:val="0"/>
          <w:sz w:val="24"/>
        </w:rPr>
        <w:t>188</w:t>
      </w:r>
      <w:r>
        <w:rPr>
          <w:rFonts w:hint="eastAsia"/>
          <w:kern w:val="0"/>
          <w:sz w:val="24"/>
        </w:rPr>
        <w:t>号交通银行大楼二层（裙）</w:t>
      </w:r>
    </w:p>
    <w:p w:rsidR="0020207F" w:rsidRDefault="000C59E2">
      <w:pPr>
        <w:widowControl/>
        <w:adjustRightInd w:val="0"/>
        <w:snapToGrid w:val="0"/>
        <w:spacing w:line="360" w:lineRule="auto"/>
        <w:ind w:firstLineChars="200" w:firstLine="480"/>
        <w:rPr>
          <w:kern w:val="0"/>
          <w:sz w:val="24"/>
        </w:rPr>
      </w:pPr>
      <w:r>
        <w:rPr>
          <w:rFonts w:hint="eastAsia"/>
          <w:kern w:val="0"/>
          <w:sz w:val="24"/>
        </w:rPr>
        <w:t>办公地址：上海市浦东</w:t>
      </w:r>
      <w:proofErr w:type="gramStart"/>
      <w:r>
        <w:rPr>
          <w:rFonts w:hint="eastAsia"/>
          <w:kern w:val="0"/>
          <w:sz w:val="24"/>
        </w:rPr>
        <w:t>新区世纪</w:t>
      </w:r>
      <w:proofErr w:type="gramEnd"/>
      <w:r>
        <w:rPr>
          <w:rFonts w:hint="eastAsia"/>
          <w:kern w:val="0"/>
          <w:sz w:val="24"/>
        </w:rPr>
        <w:t>大道</w:t>
      </w:r>
      <w:r>
        <w:rPr>
          <w:rFonts w:hint="eastAsia"/>
          <w:kern w:val="0"/>
          <w:sz w:val="24"/>
        </w:rPr>
        <w:t>8</w:t>
      </w:r>
      <w:r>
        <w:rPr>
          <w:rFonts w:hint="eastAsia"/>
          <w:kern w:val="0"/>
          <w:sz w:val="24"/>
        </w:rPr>
        <w:t>号国</w:t>
      </w:r>
      <w:proofErr w:type="gramStart"/>
      <w:r>
        <w:rPr>
          <w:rFonts w:hint="eastAsia"/>
          <w:kern w:val="0"/>
          <w:sz w:val="24"/>
        </w:rPr>
        <w:t>金中心</w:t>
      </w:r>
      <w:proofErr w:type="gramEnd"/>
      <w:r>
        <w:rPr>
          <w:rFonts w:hint="eastAsia"/>
          <w:kern w:val="0"/>
          <w:sz w:val="24"/>
        </w:rPr>
        <w:t>二期</w:t>
      </w:r>
      <w:r>
        <w:rPr>
          <w:rFonts w:hint="eastAsia"/>
          <w:kern w:val="0"/>
          <w:sz w:val="24"/>
        </w:rPr>
        <w:t>21-22</w:t>
      </w:r>
      <w:r>
        <w:rPr>
          <w:rFonts w:hint="eastAsia"/>
          <w:kern w:val="0"/>
          <w:sz w:val="24"/>
        </w:rPr>
        <w:t>楼</w:t>
      </w:r>
    </w:p>
    <w:p w:rsidR="0020207F" w:rsidRDefault="000C59E2">
      <w:pPr>
        <w:widowControl/>
        <w:adjustRightInd w:val="0"/>
        <w:snapToGrid w:val="0"/>
        <w:spacing w:line="360" w:lineRule="auto"/>
        <w:ind w:firstLineChars="200" w:firstLine="480"/>
        <w:rPr>
          <w:kern w:val="0"/>
          <w:sz w:val="24"/>
        </w:rPr>
      </w:pPr>
      <w:r>
        <w:rPr>
          <w:rFonts w:hint="eastAsia"/>
          <w:kern w:val="0"/>
          <w:sz w:val="24"/>
        </w:rPr>
        <w:t>法定代表人：张宏良</w:t>
      </w:r>
      <w:r>
        <w:rPr>
          <w:rFonts w:hint="eastAsia"/>
          <w:sz w:val="24"/>
        </w:rPr>
        <w:t xml:space="preserve"> </w:t>
      </w:r>
    </w:p>
    <w:p w:rsidR="0020207F" w:rsidRDefault="000C59E2">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61055461</w:t>
      </w:r>
    </w:p>
    <w:p w:rsidR="0020207F" w:rsidRDefault="000C59E2">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61055064</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Ansi="宋体" w:hint="eastAsia"/>
          <w:kern w:val="0"/>
          <w:sz w:val="24"/>
        </w:rPr>
        <w:t>联系人：陈方强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办公地址：上海市银城中路68号时代金融中心18-20楼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20207F" w:rsidRDefault="000C59E2">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Ansi="宋体"/>
          <w:kern w:val="0"/>
          <w:sz w:val="24"/>
        </w:rPr>
        <w:t>经办律师：</w:t>
      </w:r>
      <w:r>
        <w:rPr>
          <w:rFonts w:hAnsi="宋体" w:hint="eastAsia"/>
          <w:kern w:val="0"/>
          <w:sz w:val="24"/>
        </w:rPr>
        <w:t>丁媛、李晓露</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名称：毕马威华</w:t>
      </w:r>
      <w:proofErr w:type="gramStart"/>
      <w:r>
        <w:rPr>
          <w:rFonts w:ascii="宋体" w:hAnsi="宋体" w:hint="eastAsia"/>
          <w:sz w:val="24"/>
        </w:rPr>
        <w:t>振</w:t>
      </w:r>
      <w:proofErr w:type="gramEnd"/>
      <w:r>
        <w:rPr>
          <w:rFonts w:ascii="宋体" w:hAnsi="宋体" w:hint="eastAsia"/>
          <w:sz w:val="24"/>
        </w:rPr>
        <w:t>会计师事务所(特殊普通合伙)</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住所：北京市东城区东长安街1 号东方广场 2 座办公楼 8 层</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办公地址：中国上海南京西路1266号恒</w:t>
      </w:r>
      <w:proofErr w:type="gramStart"/>
      <w:r>
        <w:rPr>
          <w:rFonts w:ascii="宋体" w:hAnsi="宋体" w:hint="eastAsia"/>
          <w:sz w:val="24"/>
        </w:rPr>
        <w:t>隆广场</w:t>
      </w:r>
      <w:proofErr w:type="gramEnd"/>
      <w:r>
        <w:rPr>
          <w:rFonts w:ascii="宋体" w:hAnsi="宋体" w:hint="eastAsia"/>
          <w:sz w:val="24"/>
        </w:rPr>
        <w:t>2期25楼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执行事务合伙人：邹俊</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电话：+86 (21) 2212 2888</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传真：+86 (21) 6288 1889</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联系人：侯雯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经办注册会计师：王国</w:t>
      </w:r>
      <w:proofErr w:type="gramStart"/>
      <w:r>
        <w:rPr>
          <w:rFonts w:ascii="宋体" w:hAnsi="宋体" w:hint="eastAsia"/>
          <w:sz w:val="24"/>
        </w:rPr>
        <w:t>蓓</w:t>
      </w:r>
      <w:proofErr w:type="gramEnd"/>
      <w:r>
        <w:rPr>
          <w:rFonts w:ascii="宋体" w:hAnsi="宋体" w:hint="eastAsia"/>
          <w:sz w:val="24"/>
        </w:rPr>
        <w:t>、侯雯</w:t>
      </w:r>
    </w:p>
    <w:p w:rsidR="0020207F" w:rsidRDefault="0020207F">
      <w:pPr>
        <w:autoSpaceDE w:val="0"/>
        <w:autoSpaceDN w:val="0"/>
        <w:adjustRightInd w:val="0"/>
        <w:snapToGrid w:val="0"/>
        <w:spacing w:line="360" w:lineRule="auto"/>
        <w:ind w:firstLineChars="200" w:firstLine="420"/>
        <w:jc w:val="left"/>
        <w:rPr>
          <w:rFonts w:ascii="宋体" w:hAnsi="宋体"/>
          <w:szCs w:val="24"/>
        </w:rPr>
      </w:pP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10" w:name="_Toc104564189"/>
      <w:r>
        <w:rPr>
          <w:rFonts w:ascii="Times New Roman" w:hAnsi="Times New Roman"/>
          <w:sz w:val="30"/>
        </w:rPr>
        <w:lastRenderedPageBreak/>
        <w:t>六、基金的募集</w:t>
      </w:r>
      <w:bookmarkEnd w:id="10"/>
    </w:p>
    <w:p w:rsidR="0020207F" w:rsidRDefault="000C59E2">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（一）基金募集的依据</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本基金由基金管理人依照《基金法》、《运作办法》、《销售办法》、基金合同及其他有关规定，并经中国证监</w:t>
      </w:r>
      <w:r>
        <w:rPr>
          <w:rFonts w:ascii="Times New Roman" w:hAnsi="Times New Roman" w:hint="eastAsia"/>
          <w:kern w:val="0"/>
          <w:sz w:val="24"/>
        </w:rPr>
        <w:t>会</w:t>
      </w:r>
      <w:r>
        <w:rPr>
          <w:rFonts w:ascii="Times New Roman" w:hAnsi="Times New Roman"/>
          <w:kern w:val="0"/>
          <w:sz w:val="24"/>
        </w:rPr>
        <w:t>2025</w:t>
      </w:r>
      <w:r>
        <w:rPr>
          <w:rFonts w:ascii="Times New Roman" w:hAnsi="Times New Roman" w:hint="eastAsia"/>
          <w:kern w:val="0"/>
          <w:sz w:val="24"/>
        </w:rPr>
        <w:t>年</w:t>
      </w:r>
      <w:r>
        <w:rPr>
          <w:rFonts w:ascii="Times New Roman" w:hAnsi="Times New Roman"/>
          <w:kern w:val="0"/>
          <w:sz w:val="24"/>
        </w:rPr>
        <w:t>2</w:t>
      </w:r>
      <w:r>
        <w:rPr>
          <w:rFonts w:ascii="Times New Roman" w:hAnsi="Times New Roman" w:hint="eastAsia"/>
          <w:kern w:val="0"/>
          <w:sz w:val="24"/>
        </w:rPr>
        <w:t>月</w:t>
      </w:r>
      <w:r>
        <w:rPr>
          <w:rFonts w:ascii="Times New Roman" w:hAnsi="Times New Roman"/>
          <w:kern w:val="0"/>
          <w:sz w:val="24"/>
        </w:rPr>
        <w:t>8</w:t>
      </w:r>
      <w:r>
        <w:rPr>
          <w:rFonts w:ascii="Times New Roman" w:hAnsi="Times New Roman" w:hint="eastAsia"/>
          <w:kern w:val="0"/>
          <w:sz w:val="24"/>
        </w:rPr>
        <w:t>日证监许可【</w:t>
      </w:r>
      <w:r>
        <w:rPr>
          <w:rFonts w:ascii="Times New Roman" w:hAnsi="Times New Roman"/>
          <w:kern w:val="0"/>
          <w:sz w:val="24"/>
        </w:rPr>
        <w:t>2025</w:t>
      </w:r>
      <w:r>
        <w:rPr>
          <w:rFonts w:ascii="Times New Roman" w:hAnsi="Times New Roman" w:hint="eastAsia"/>
          <w:kern w:val="0"/>
          <w:sz w:val="24"/>
        </w:rPr>
        <w:t>】</w:t>
      </w:r>
      <w:r>
        <w:rPr>
          <w:rFonts w:ascii="Times New Roman" w:hAnsi="Times New Roman"/>
          <w:kern w:val="0"/>
          <w:sz w:val="24"/>
        </w:rPr>
        <w:t>242</w:t>
      </w:r>
      <w:r>
        <w:rPr>
          <w:rFonts w:ascii="Times New Roman" w:hAnsi="Times New Roman" w:hint="eastAsia"/>
          <w:kern w:val="0"/>
          <w:sz w:val="24"/>
        </w:rPr>
        <w:t>号文准予募</w:t>
      </w:r>
      <w:r>
        <w:rPr>
          <w:rFonts w:ascii="Times New Roman" w:hAnsi="Times New Roman" w:hint="eastAsia"/>
          <w:color w:val="000000"/>
          <w:kern w:val="0"/>
          <w:sz w:val="24"/>
        </w:rPr>
        <w:t>集注册。</w:t>
      </w:r>
    </w:p>
    <w:p w:rsidR="0020207F" w:rsidRDefault="000C59E2">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（二）基金类别</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color w:val="000000"/>
          <w:kern w:val="0"/>
          <w:sz w:val="24"/>
        </w:rPr>
        <w:t>债券型证券投资基金</w:t>
      </w:r>
    </w:p>
    <w:p w:rsidR="0020207F" w:rsidRDefault="000C59E2">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（三）基金运作方式</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契约型开放式</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hint="eastAsia"/>
          <w:bCs/>
          <w:sz w:val="24"/>
          <w:szCs w:val="20"/>
        </w:rPr>
        <w:t>本基金每份基金份额的最短持有期限为</w:t>
      </w:r>
      <w:r>
        <w:rPr>
          <w:rFonts w:ascii="Times New Roman" w:hAnsi="Times New Roman"/>
          <w:kern w:val="0"/>
          <w:sz w:val="24"/>
        </w:rPr>
        <w:t>180</w:t>
      </w:r>
      <w:r>
        <w:rPr>
          <w:rFonts w:hint="eastAsia"/>
          <w:bCs/>
          <w:sz w:val="24"/>
          <w:szCs w:val="20"/>
        </w:rPr>
        <w:t>天，在最短持有期限内该份基金份额不可赎回，自最短持有期限届满日起（含该日）可赎回。即：自基金合同生效日（对认购份额而言）、基金份额申购确认日（对申购份额而言）起的第</w:t>
      </w:r>
      <w:r>
        <w:rPr>
          <w:rFonts w:ascii="Times New Roman" w:hAnsi="Times New Roman"/>
          <w:kern w:val="0"/>
          <w:sz w:val="24"/>
        </w:rPr>
        <w:t>180</w:t>
      </w:r>
      <w:r>
        <w:rPr>
          <w:rFonts w:hint="eastAsia"/>
          <w:bCs/>
          <w:sz w:val="24"/>
          <w:szCs w:val="20"/>
        </w:rPr>
        <w:t>天起（含该日，如为非工作日则顺延至下一工作日），投资者方可提出赎回申请。</w:t>
      </w:r>
    </w:p>
    <w:p w:rsidR="0020207F" w:rsidRDefault="000C59E2">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（四）基金存续期限</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不定期</w:t>
      </w:r>
    </w:p>
    <w:p w:rsidR="0020207F" w:rsidRDefault="000C59E2">
      <w:pPr>
        <w:adjustRightInd w:val="0"/>
        <w:snapToGrid w:val="0"/>
        <w:spacing w:line="360" w:lineRule="auto"/>
        <w:ind w:firstLineChars="200" w:firstLine="482"/>
        <w:rPr>
          <w:rFonts w:ascii="Times New Roman" w:hAnsi="Times New Roman"/>
          <w:b/>
          <w:kern w:val="0"/>
          <w:sz w:val="24"/>
          <w:szCs w:val="24"/>
        </w:rPr>
      </w:pPr>
      <w:r>
        <w:rPr>
          <w:rFonts w:ascii="Times New Roman" w:hAnsi="Times New Roman" w:hint="eastAsia"/>
          <w:b/>
          <w:kern w:val="0"/>
          <w:sz w:val="24"/>
          <w:szCs w:val="24"/>
        </w:rPr>
        <w:t>（五）基金份额类别</w:t>
      </w:r>
    </w:p>
    <w:p w:rsidR="0020207F" w:rsidRDefault="000C59E2">
      <w:pPr>
        <w:widowControl/>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本基金根据认购</w:t>
      </w:r>
      <w:r>
        <w:rPr>
          <w:rFonts w:ascii="Times New Roman" w:hAnsi="Times New Roman"/>
          <w:color w:val="000000"/>
          <w:sz w:val="24"/>
        </w:rPr>
        <w:t>/</w:t>
      </w:r>
      <w:r>
        <w:rPr>
          <w:rFonts w:ascii="Times New Roman" w:hAnsi="Times New Roman" w:hint="eastAsia"/>
          <w:color w:val="000000"/>
          <w:sz w:val="24"/>
        </w:rPr>
        <w:t>申购费用、销售服务费收取方式的不同，将基金份额分为不同的类别。在投资人认购</w:t>
      </w:r>
      <w:r>
        <w:rPr>
          <w:rFonts w:ascii="Times New Roman" w:hAnsi="Times New Roman"/>
          <w:color w:val="000000"/>
          <w:sz w:val="24"/>
        </w:rPr>
        <w:t>/</w:t>
      </w:r>
      <w:r>
        <w:rPr>
          <w:rFonts w:ascii="Times New Roman" w:hAnsi="Times New Roman" w:hint="eastAsia"/>
          <w:color w:val="000000"/>
          <w:sz w:val="24"/>
        </w:rPr>
        <w:t>申购时收取认购</w:t>
      </w:r>
      <w:r>
        <w:rPr>
          <w:rFonts w:ascii="Times New Roman" w:hAnsi="Times New Roman"/>
          <w:color w:val="000000"/>
          <w:sz w:val="24"/>
        </w:rPr>
        <w:t>/</w:t>
      </w:r>
      <w:r>
        <w:rPr>
          <w:rFonts w:ascii="Times New Roman" w:hAnsi="Times New Roman" w:hint="eastAsia"/>
          <w:color w:val="000000"/>
          <w:sz w:val="24"/>
        </w:rPr>
        <w:t>申购费用且不从本类别基金资产中计</w:t>
      </w:r>
      <w:proofErr w:type="gramStart"/>
      <w:r>
        <w:rPr>
          <w:rFonts w:ascii="Times New Roman" w:hAnsi="Times New Roman" w:hint="eastAsia"/>
          <w:color w:val="000000"/>
          <w:sz w:val="24"/>
        </w:rPr>
        <w:t>提销售</w:t>
      </w:r>
      <w:proofErr w:type="gramEnd"/>
      <w:r>
        <w:rPr>
          <w:rFonts w:ascii="Times New Roman" w:hAnsi="Times New Roman" w:hint="eastAsia"/>
          <w:color w:val="000000"/>
          <w:sz w:val="24"/>
        </w:rPr>
        <w:t>服务费的，称为</w:t>
      </w:r>
      <w:r>
        <w:rPr>
          <w:rFonts w:ascii="Times New Roman" w:hAnsi="Times New Roman"/>
          <w:color w:val="000000"/>
          <w:sz w:val="24"/>
        </w:rPr>
        <w:t>A</w:t>
      </w:r>
      <w:r>
        <w:rPr>
          <w:rFonts w:ascii="Times New Roman" w:hAnsi="Times New Roman" w:hint="eastAsia"/>
          <w:color w:val="000000"/>
          <w:sz w:val="24"/>
        </w:rPr>
        <w:t>类基金份额；在投资人认购</w:t>
      </w:r>
      <w:r>
        <w:rPr>
          <w:rFonts w:ascii="Times New Roman" w:hAnsi="Times New Roman"/>
          <w:color w:val="000000"/>
          <w:sz w:val="24"/>
        </w:rPr>
        <w:t>/</w:t>
      </w:r>
      <w:r>
        <w:rPr>
          <w:rFonts w:ascii="Times New Roman" w:hAnsi="Times New Roman" w:hint="eastAsia"/>
          <w:color w:val="000000"/>
          <w:sz w:val="24"/>
        </w:rPr>
        <w:t>申购时不收取认购</w:t>
      </w:r>
      <w:r>
        <w:rPr>
          <w:rFonts w:ascii="Times New Roman" w:hAnsi="Times New Roman"/>
          <w:color w:val="000000"/>
          <w:sz w:val="24"/>
        </w:rPr>
        <w:t>/</w:t>
      </w:r>
      <w:r>
        <w:rPr>
          <w:rFonts w:ascii="Times New Roman" w:hAnsi="Times New Roman" w:hint="eastAsia"/>
          <w:color w:val="000000"/>
          <w:sz w:val="24"/>
        </w:rPr>
        <w:t>申购费用，并从本类别基金资产中计</w:t>
      </w:r>
      <w:proofErr w:type="gramStart"/>
      <w:r>
        <w:rPr>
          <w:rFonts w:ascii="Times New Roman" w:hAnsi="Times New Roman" w:hint="eastAsia"/>
          <w:color w:val="000000"/>
          <w:sz w:val="24"/>
        </w:rPr>
        <w:t>提销售</w:t>
      </w:r>
      <w:proofErr w:type="gramEnd"/>
      <w:r>
        <w:rPr>
          <w:rFonts w:ascii="Times New Roman" w:hAnsi="Times New Roman" w:hint="eastAsia"/>
          <w:color w:val="000000"/>
          <w:sz w:val="24"/>
        </w:rPr>
        <w:t>服务费的，称为</w:t>
      </w:r>
      <w:r>
        <w:rPr>
          <w:rFonts w:ascii="Times New Roman" w:hAnsi="Times New Roman"/>
          <w:color w:val="000000"/>
          <w:sz w:val="24"/>
        </w:rPr>
        <w:t>C</w:t>
      </w:r>
      <w:r>
        <w:rPr>
          <w:rFonts w:ascii="Times New Roman" w:hAnsi="Times New Roman" w:hint="eastAsia"/>
          <w:color w:val="000000"/>
          <w:sz w:val="24"/>
        </w:rPr>
        <w:t>类基金份额。</w:t>
      </w:r>
    </w:p>
    <w:p w:rsidR="0020207F" w:rsidRDefault="000C59E2">
      <w:pPr>
        <w:widowControl/>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本基金</w:t>
      </w:r>
      <w:r>
        <w:rPr>
          <w:rFonts w:ascii="Times New Roman" w:hAnsi="Times New Roman"/>
          <w:color w:val="000000"/>
          <w:sz w:val="24"/>
        </w:rPr>
        <w:t>A</w:t>
      </w:r>
      <w:r>
        <w:rPr>
          <w:rFonts w:ascii="Times New Roman" w:hAnsi="Times New Roman" w:hint="eastAsia"/>
          <w:color w:val="000000"/>
          <w:sz w:val="24"/>
        </w:rPr>
        <w:t>类基金份额和</w:t>
      </w:r>
      <w:r>
        <w:rPr>
          <w:rFonts w:ascii="Times New Roman" w:hAnsi="Times New Roman"/>
          <w:color w:val="000000"/>
          <w:sz w:val="24"/>
        </w:rPr>
        <w:t>C</w:t>
      </w:r>
      <w:r>
        <w:rPr>
          <w:rFonts w:ascii="Times New Roman" w:hAnsi="Times New Roman" w:hint="eastAsia"/>
          <w:color w:val="000000"/>
          <w:sz w:val="24"/>
        </w:rPr>
        <w:t>类基金份额分别设置基金代码。由于基金费用的不同，本基金</w:t>
      </w:r>
      <w:r>
        <w:rPr>
          <w:rFonts w:ascii="Times New Roman" w:hAnsi="Times New Roman"/>
          <w:color w:val="000000"/>
          <w:sz w:val="24"/>
        </w:rPr>
        <w:t>A</w:t>
      </w:r>
      <w:r>
        <w:rPr>
          <w:rFonts w:ascii="Times New Roman" w:hAnsi="Times New Roman" w:hint="eastAsia"/>
          <w:color w:val="000000"/>
          <w:sz w:val="24"/>
        </w:rPr>
        <w:t>类基金份额和</w:t>
      </w:r>
      <w:r>
        <w:rPr>
          <w:rFonts w:ascii="Times New Roman" w:hAnsi="Times New Roman"/>
          <w:color w:val="000000"/>
          <w:sz w:val="24"/>
        </w:rPr>
        <w:t>C</w:t>
      </w:r>
      <w:r>
        <w:rPr>
          <w:rFonts w:ascii="Times New Roman" w:hAnsi="Times New Roman" w:hint="eastAsia"/>
          <w:color w:val="000000"/>
          <w:sz w:val="24"/>
        </w:rPr>
        <w:t>类基金份额将分别计算基金份额净值并单独公告。投资者可自行选择认购</w:t>
      </w:r>
      <w:r>
        <w:rPr>
          <w:rFonts w:ascii="Times New Roman" w:hAnsi="Times New Roman"/>
          <w:color w:val="000000"/>
          <w:sz w:val="24"/>
        </w:rPr>
        <w:t>/</w:t>
      </w:r>
      <w:r>
        <w:rPr>
          <w:rFonts w:ascii="Times New Roman" w:hAnsi="Times New Roman" w:hint="eastAsia"/>
          <w:color w:val="000000"/>
          <w:sz w:val="24"/>
        </w:rPr>
        <w:t>申购的基金份额类别。</w:t>
      </w:r>
      <w:r>
        <w:rPr>
          <w:rFonts w:hint="eastAsia"/>
          <w:bCs/>
          <w:sz w:val="24"/>
        </w:rPr>
        <w:t>本基金不同基金份额类别之间暂不开通互相转换业务。如后续开通此项业务的，无需召开基金份额持有人大会审议，但调整</w:t>
      </w:r>
      <w:proofErr w:type="gramStart"/>
      <w:r>
        <w:rPr>
          <w:rFonts w:hint="eastAsia"/>
          <w:bCs/>
          <w:sz w:val="24"/>
        </w:rPr>
        <w:t>前基金</w:t>
      </w:r>
      <w:proofErr w:type="gramEnd"/>
      <w:r>
        <w:rPr>
          <w:rFonts w:hint="eastAsia"/>
          <w:bCs/>
          <w:sz w:val="24"/>
        </w:rPr>
        <w:t>管理人需及时公告。</w:t>
      </w:r>
    </w:p>
    <w:p w:rsidR="0020207F" w:rsidRDefault="000C59E2">
      <w:pPr>
        <w:widowControl/>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在不违反法律法规、基金合同的约定以及对基金份额持有人利益无实质性不利影响的情况下，根据基金实际运作情况，基金管理人可增加或调整基金份额类别设置、停止现有基金份额的销售、对基金份额分类办法及规则进行调整并在调整实施</w:t>
      </w:r>
      <w:r>
        <w:rPr>
          <w:rFonts w:ascii="Times New Roman" w:hAnsi="Times New Roman" w:hint="eastAsia"/>
          <w:color w:val="000000"/>
          <w:sz w:val="24"/>
        </w:rPr>
        <w:lastRenderedPageBreak/>
        <w:t>前依照《信息披露办法》的有关规定在规定媒介上公告，而无需召开基金份额持有人大会。</w:t>
      </w:r>
    </w:p>
    <w:p w:rsidR="0020207F" w:rsidRDefault="000C59E2">
      <w:pPr>
        <w:widowControl/>
        <w:adjustRightInd w:val="0"/>
        <w:snapToGrid w:val="0"/>
        <w:spacing w:line="360" w:lineRule="auto"/>
        <w:ind w:firstLineChars="150" w:firstLine="361"/>
        <w:rPr>
          <w:rFonts w:ascii="Times New Roman" w:hAnsi="Times New Roman"/>
          <w:b/>
          <w:color w:val="000000"/>
          <w:kern w:val="0"/>
          <w:sz w:val="24"/>
        </w:rPr>
      </w:pPr>
      <w:r>
        <w:rPr>
          <w:rFonts w:ascii="Times New Roman" w:hAnsi="Times New Roman" w:hint="eastAsia"/>
          <w:b/>
          <w:color w:val="000000"/>
          <w:kern w:val="0"/>
          <w:sz w:val="24"/>
        </w:rPr>
        <w:t>（六）基金份额的认购</w:t>
      </w:r>
    </w:p>
    <w:p w:rsidR="0020207F" w:rsidRDefault="000C59E2">
      <w:pPr>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基金募集期内，基金份额通过各销售机构向投资人公开发售</w:t>
      </w:r>
      <w:r>
        <w:rPr>
          <w:rFonts w:ascii="Times New Roman" w:hAnsi="Times New Roman"/>
          <w:bCs/>
          <w:sz w:val="24"/>
        </w:rPr>
        <w:t>，各销售机构的具体名单</w:t>
      </w:r>
      <w:proofErr w:type="gramStart"/>
      <w:r>
        <w:rPr>
          <w:rFonts w:ascii="Times New Roman" w:hAnsi="Times New Roman"/>
          <w:bCs/>
          <w:sz w:val="24"/>
        </w:rPr>
        <w:t>见基金</w:t>
      </w:r>
      <w:proofErr w:type="gramEnd"/>
      <w:r>
        <w:rPr>
          <w:rFonts w:ascii="Times New Roman" w:hAnsi="Times New Roman"/>
          <w:bCs/>
          <w:sz w:val="24"/>
        </w:rPr>
        <w:t>份额发售公告以及基金管理人</w:t>
      </w:r>
      <w:r>
        <w:rPr>
          <w:rFonts w:ascii="Times New Roman" w:hAnsi="Times New Roman" w:hint="eastAsia"/>
          <w:bCs/>
          <w:sz w:val="24"/>
        </w:rPr>
        <w:t>网站</w:t>
      </w:r>
      <w:r>
        <w:rPr>
          <w:rFonts w:ascii="Times New Roman" w:hAnsi="Times New Roman" w:hint="eastAsia"/>
          <w:sz w:val="24"/>
        </w:rPr>
        <w:t>。募集期间个人投资者可以通过基金管理人网上直销交易平台办理开户和本基金的认购业务，</w:t>
      </w:r>
      <w:r>
        <w:rPr>
          <w:rFonts w:ascii="Times New Roman" w:hAnsi="Times New Roman"/>
          <w:sz w:val="24"/>
        </w:rPr>
        <w:t>具体</w:t>
      </w:r>
      <w:proofErr w:type="gramStart"/>
      <w:r>
        <w:rPr>
          <w:rFonts w:ascii="Times New Roman" w:hAnsi="Times New Roman"/>
          <w:bCs/>
          <w:sz w:val="24"/>
        </w:rPr>
        <w:t>见基金</w:t>
      </w:r>
      <w:proofErr w:type="gramEnd"/>
      <w:r>
        <w:rPr>
          <w:rFonts w:ascii="Times New Roman" w:hAnsi="Times New Roman"/>
          <w:bCs/>
          <w:sz w:val="24"/>
        </w:rPr>
        <w:t>份额发售公告以及基金管理人</w:t>
      </w:r>
      <w:r>
        <w:rPr>
          <w:rFonts w:ascii="Times New Roman" w:hAnsi="Times New Roman" w:hint="eastAsia"/>
          <w:bCs/>
          <w:sz w:val="24"/>
        </w:rPr>
        <w:t>网站</w:t>
      </w:r>
      <w:r>
        <w:rPr>
          <w:rFonts w:ascii="Times New Roman" w:hAnsi="Times New Roman" w:hint="eastAsia"/>
          <w:sz w:val="24"/>
        </w:rPr>
        <w:t>。</w:t>
      </w:r>
      <w:r>
        <w:rPr>
          <w:rFonts w:ascii="Times New Roman" w:hAnsi="Times New Roman" w:hint="eastAsia"/>
          <w:color w:val="000000"/>
          <w:sz w:val="24"/>
        </w:rPr>
        <w:t>除法律法规或中国证监会另有规定外，任何与基金份额发售有关的当事人不得预留和提前发售基金份额。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、基金份额的发售时间、方式和对象</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）募集期限：自基金份额发售之日起不超过</w:t>
      </w:r>
      <w:r>
        <w:rPr>
          <w:rFonts w:ascii="Times New Roman" w:hAnsi="Times New Roman"/>
          <w:color w:val="000000"/>
          <w:kern w:val="0"/>
          <w:sz w:val="24"/>
        </w:rPr>
        <w:t>3</w:t>
      </w:r>
      <w:r>
        <w:rPr>
          <w:rFonts w:ascii="Times New Roman" w:hAnsi="Times New Roman" w:hint="eastAsia"/>
          <w:color w:val="000000"/>
          <w:kern w:val="0"/>
          <w:sz w:val="24"/>
        </w:rPr>
        <w:t>个月。本</w:t>
      </w:r>
      <w:r>
        <w:rPr>
          <w:rFonts w:ascii="Times New Roman" w:hAnsi="Times New Roman"/>
          <w:color w:val="000000"/>
          <w:kern w:val="0"/>
          <w:sz w:val="24"/>
        </w:rPr>
        <w:t>基金自</w:t>
      </w:r>
      <w:r>
        <w:rPr>
          <w:rFonts w:ascii="Times New Roman" w:hAnsi="Times New Roman"/>
          <w:color w:val="000000"/>
          <w:kern w:val="0"/>
          <w:sz w:val="24"/>
        </w:rPr>
        <w:t>2025</w:t>
      </w:r>
      <w:r>
        <w:rPr>
          <w:rFonts w:ascii="Times New Roman" w:hAnsi="Times New Roman"/>
          <w:color w:val="000000"/>
          <w:kern w:val="0"/>
          <w:sz w:val="24"/>
        </w:rPr>
        <w:t>年</w:t>
      </w:r>
      <w:r>
        <w:rPr>
          <w:rFonts w:ascii="Times New Roman" w:hAnsi="Times New Roman"/>
          <w:color w:val="000000"/>
          <w:kern w:val="0"/>
          <w:sz w:val="24"/>
        </w:rPr>
        <w:t>7</w:t>
      </w:r>
      <w:r>
        <w:rPr>
          <w:rFonts w:ascii="Times New Roman" w:hAnsi="Times New Roman"/>
          <w:color w:val="000000"/>
          <w:kern w:val="0"/>
          <w:sz w:val="24"/>
        </w:rPr>
        <w:t>月</w:t>
      </w:r>
      <w:r>
        <w:rPr>
          <w:rFonts w:ascii="Times New Roman" w:hAnsi="Times New Roman"/>
          <w:color w:val="000000"/>
          <w:kern w:val="0"/>
          <w:sz w:val="24"/>
        </w:rPr>
        <w:t>1</w:t>
      </w:r>
      <w:r>
        <w:rPr>
          <w:rFonts w:ascii="Times New Roman" w:hAnsi="Times New Roman"/>
          <w:color w:val="000000"/>
          <w:kern w:val="0"/>
          <w:sz w:val="24"/>
        </w:rPr>
        <w:t>日起至</w:t>
      </w:r>
      <w:r w:rsidR="005E4E33">
        <w:rPr>
          <w:rFonts w:ascii="Times New Roman" w:hAnsi="Times New Roman"/>
          <w:color w:val="000000"/>
          <w:kern w:val="0"/>
          <w:sz w:val="24"/>
        </w:rPr>
        <w:t>2025</w:t>
      </w:r>
      <w:r w:rsidR="005E4E33">
        <w:rPr>
          <w:rFonts w:ascii="Times New Roman" w:hAnsi="Times New Roman"/>
          <w:color w:val="000000"/>
          <w:kern w:val="0"/>
          <w:sz w:val="24"/>
        </w:rPr>
        <w:t>年</w:t>
      </w:r>
      <w:r w:rsidR="005E4E33">
        <w:rPr>
          <w:rFonts w:ascii="Times New Roman" w:hAnsi="Times New Roman"/>
          <w:color w:val="000000"/>
          <w:kern w:val="0"/>
          <w:sz w:val="24"/>
        </w:rPr>
        <w:t>7</w:t>
      </w:r>
      <w:r w:rsidR="005E4E33">
        <w:rPr>
          <w:rFonts w:ascii="Times New Roman" w:hAnsi="Times New Roman"/>
          <w:color w:val="000000"/>
          <w:kern w:val="0"/>
          <w:sz w:val="24"/>
        </w:rPr>
        <w:t>月</w:t>
      </w:r>
      <w:r w:rsidR="005E4E33">
        <w:rPr>
          <w:rFonts w:ascii="Times New Roman" w:hAnsi="Times New Roman"/>
          <w:color w:val="000000"/>
          <w:kern w:val="0"/>
          <w:sz w:val="24"/>
        </w:rPr>
        <w:t>16</w:t>
      </w:r>
      <w:r>
        <w:rPr>
          <w:rFonts w:ascii="Times New Roman" w:hAnsi="Times New Roman"/>
          <w:color w:val="000000"/>
          <w:kern w:val="0"/>
          <w:sz w:val="24"/>
        </w:rPr>
        <w:t>日</w:t>
      </w:r>
      <w:proofErr w:type="gramStart"/>
      <w:r>
        <w:rPr>
          <w:rFonts w:ascii="Times New Roman" w:hAnsi="Times New Roman" w:hint="eastAsia"/>
          <w:color w:val="000000"/>
          <w:kern w:val="0"/>
          <w:sz w:val="24"/>
        </w:rPr>
        <w:t>止</w:t>
      </w:r>
      <w:proofErr w:type="gramEnd"/>
      <w:r>
        <w:rPr>
          <w:rFonts w:ascii="Times New Roman" w:hAnsi="Times New Roman" w:hint="eastAsia"/>
          <w:color w:val="000000"/>
          <w:kern w:val="0"/>
          <w:sz w:val="24"/>
        </w:rPr>
        <w:t>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rsidR="0020207F" w:rsidRDefault="000C59E2">
      <w:pPr>
        <w:widowControl/>
        <w:adjustRightInd w:val="0"/>
        <w:snapToGrid w:val="0"/>
        <w:spacing w:line="360" w:lineRule="auto"/>
        <w:ind w:firstLineChars="200" w:firstLine="480"/>
        <w:rPr>
          <w:rStyle w:val="af3"/>
          <w:rFonts w:ascii="Times New Roman" w:hAnsi="Times New Roman"/>
          <w:color w:val="FF0000"/>
          <w:kern w:val="0"/>
          <w:sz w:val="24"/>
        </w:rPr>
      </w:pPr>
      <w:r>
        <w:rPr>
          <w:rFonts w:ascii="Times New Roman" w:hAnsi="Times New Roman" w:hint="eastAsia"/>
          <w:color w:val="000000"/>
          <w:kern w:val="0"/>
          <w:sz w:val="24"/>
        </w:rPr>
        <w:t>（</w:t>
      </w:r>
      <w:r>
        <w:rPr>
          <w:rFonts w:ascii="Times New Roman" w:hAnsi="Times New Roman"/>
          <w:color w:val="000000"/>
          <w:kern w:val="0"/>
          <w:sz w:val="24"/>
        </w:rPr>
        <w:t>2</w:t>
      </w:r>
      <w:r>
        <w:rPr>
          <w:rFonts w:ascii="Times New Roman" w:hAnsi="Times New Roman" w:hint="eastAsia"/>
          <w:color w:val="000000"/>
          <w:kern w:val="0"/>
          <w:sz w:val="24"/>
        </w:rPr>
        <w:t>）销售渠道：</w:t>
      </w:r>
      <w:r>
        <w:rPr>
          <w:rFonts w:ascii="Times New Roman" w:hAnsi="Times New Roman" w:hint="eastAsia"/>
          <w:kern w:val="0"/>
          <w:sz w:val="24"/>
        </w:rPr>
        <w:t>销售机构</w:t>
      </w:r>
      <w:r>
        <w:rPr>
          <w:rFonts w:ascii="Times New Roman" w:hAnsi="Times New Roman" w:hint="eastAsia"/>
          <w:color w:val="000000"/>
          <w:kern w:val="0"/>
          <w:sz w:val="24"/>
        </w:rPr>
        <w:t>具体名单</w:t>
      </w:r>
      <w:proofErr w:type="gramStart"/>
      <w:r>
        <w:rPr>
          <w:rFonts w:ascii="Times New Roman" w:hAnsi="Times New Roman" w:hint="eastAsia"/>
          <w:color w:val="000000"/>
          <w:kern w:val="0"/>
          <w:sz w:val="24"/>
        </w:rPr>
        <w:t>见基金</w:t>
      </w:r>
      <w:proofErr w:type="gramEnd"/>
      <w:r>
        <w:rPr>
          <w:rFonts w:ascii="Times New Roman" w:hAnsi="Times New Roman" w:hint="eastAsia"/>
          <w:color w:val="000000"/>
          <w:kern w:val="0"/>
          <w:sz w:val="24"/>
        </w:rPr>
        <w:t>份额发售公告以及基金管理人网站</w:t>
      </w:r>
      <w:r>
        <w:rPr>
          <w:rStyle w:val="af3"/>
          <w:rFonts w:ascii="Times New Roman" w:hAnsi="Times New Roman" w:hint="eastAsia"/>
          <w:color w:val="auto"/>
          <w:kern w:val="0"/>
          <w:sz w:val="24"/>
          <w:u w:val="none"/>
        </w:rPr>
        <w:t>。</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3</w:t>
      </w:r>
      <w:r>
        <w:rPr>
          <w:rFonts w:ascii="Times New Roman" w:hAnsi="Times New Roman" w:hint="eastAsia"/>
          <w:color w:val="000000"/>
          <w:kern w:val="0"/>
          <w:sz w:val="24"/>
        </w:rPr>
        <w:t>）销售对象：符合法律法规规定的可投资于证券投资基金的个人投资者、机构投资者、合格境外投资者以及法律法规或中国证监会允许购买证券投资基金的其他投资人。</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w:t>
      </w:r>
    </w:p>
    <w:p w:rsidR="0020207F" w:rsidRDefault="000C59E2">
      <w:pPr>
        <w:adjustRightInd w:val="0"/>
        <w:snapToGrid w:val="0"/>
        <w:spacing w:line="360" w:lineRule="auto"/>
        <w:ind w:firstLineChars="200" w:firstLine="480"/>
        <w:rPr>
          <w:rFonts w:ascii="Times New Roman" w:hAnsi="Times New Roman"/>
          <w:kern w:val="0"/>
          <w:sz w:val="24"/>
          <w:szCs w:val="20"/>
        </w:rPr>
      </w:pPr>
      <w:r>
        <w:rPr>
          <w:rFonts w:ascii="Times New Roman" w:hAnsi="Times New Roman" w:hint="eastAsia"/>
          <w:color w:val="000000"/>
          <w:kern w:val="0"/>
          <w:sz w:val="24"/>
        </w:rPr>
        <w:t>本基金单一投资者单日认购金额不超过</w:t>
      </w:r>
      <w:r>
        <w:rPr>
          <w:rFonts w:ascii="Times New Roman" w:hAnsi="Times New Roman" w:hint="eastAsia"/>
          <w:color w:val="000000"/>
          <w:kern w:val="0"/>
          <w:sz w:val="24"/>
        </w:rPr>
        <w:t>1000</w:t>
      </w:r>
      <w:r>
        <w:rPr>
          <w:rFonts w:ascii="Times New Roman" w:hAnsi="Times New Roman" w:hint="eastAsia"/>
          <w:color w:val="000000"/>
          <w:kern w:val="0"/>
          <w:sz w:val="24"/>
        </w:rPr>
        <w:t>万元（个人投资者、公</w:t>
      </w:r>
      <w:proofErr w:type="gramStart"/>
      <w:r>
        <w:rPr>
          <w:rFonts w:ascii="Times New Roman" w:hAnsi="Times New Roman" w:hint="eastAsia"/>
          <w:color w:val="000000"/>
          <w:kern w:val="0"/>
          <w:sz w:val="24"/>
        </w:rPr>
        <w:t>募资产</w:t>
      </w:r>
      <w:proofErr w:type="gramEnd"/>
      <w:r>
        <w:rPr>
          <w:rFonts w:ascii="Times New Roman" w:hAnsi="Times New Roman" w:hint="eastAsia"/>
          <w:color w:val="000000"/>
          <w:kern w:val="0"/>
          <w:sz w:val="24"/>
        </w:rPr>
        <w:t>管理产品、职业年金计划、企业年金计划、养老金产品和基金管理人自有资金除外）。基金管理人可以调整单一投资者单日认购金额上限，具体规定请参见更新的招募说明书或相关公告</w:t>
      </w:r>
      <w:r>
        <w:rPr>
          <w:rFonts w:ascii="Times New Roman" w:hAnsi="Times New Roman" w:hint="eastAsia"/>
          <w:kern w:val="0"/>
          <w:sz w:val="24"/>
          <w:szCs w:val="20"/>
        </w:rPr>
        <w:t>。</w:t>
      </w:r>
    </w:p>
    <w:p w:rsidR="0020207F" w:rsidRDefault="000C59E2">
      <w:pPr>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、基金份额的认购和持有限制</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hint="eastAsia"/>
          <w:color w:val="000000"/>
          <w:sz w:val="24"/>
          <w:szCs w:val="21"/>
        </w:rPr>
        <w:t>基金份额的认购</w:t>
      </w:r>
      <w:r>
        <w:rPr>
          <w:rFonts w:ascii="Times New Roman" w:hAnsi="Times New Roman" w:hint="eastAsia"/>
          <w:color w:val="000000"/>
          <w:kern w:val="0"/>
          <w:sz w:val="24"/>
        </w:rPr>
        <w:t>采用金额认购方式。</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2</w:t>
      </w:r>
      <w:r>
        <w:rPr>
          <w:rFonts w:ascii="Times New Roman" w:hAnsi="Times New Roman" w:hint="eastAsia"/>
          <w:color w:val="000000"/>
          <w:kern w:val="0"/>
          <w:sz w:val="24"/>
        </w:rPr>
        <w:t>）投资人认购基金份额采用全额缴款的认购方式。</w:t>
      </w:r>
      <w:r>
        <w:rPr>
          <w:rFonts w:ascii="Times New Roman" w:hAnsi="Times New Roman" w:hint="eastAsia"/>
          <w:color w:val="000000"/>
          <w:sz w:val="24"/>
          <w:szCs w:val="21"/>
        </w:rPr>
        <w:t>投资人认购时，需按销售机构规定的方式备足认购的金额。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lastRenderedPageBreak/>
        <w:t>（</w:t>
      </w:r>
      <w:r>
        <w:rPr>
          <w:rFonts w:ascii="Times New Roman" w:hAnsi="Times New Roman"/>
          <w:color w:val="000000"/>
          <w:kern w:val="0"/>
          <w:sz w:val="24"/>
        </w:rPr>
        <w:t>3</w:t>
      </w:r>
      <w:r>
        <w:rPr>
          <w:rFonts w:ascii="Times New Roman" w:hAnsi="Times New Roman" w:hint="eastAsia"/>
          <w:color w:val="000000"/>
          <w:kern w:val="0"/>
          <w:sz w:val="24"/>
        </w:rPr>
        <w:t>）投资人在募集期内可以多次认购基金份额，认购申请一经登记机构受理不得撤销。</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4</w:t>
      </w:r>
      <w:r>
        <w:rPr>
          <w:rFonts w:ascii="Times New Roman" w:hAnsi="Times New Roman" w:hint="eastAsia"/>
          <w:color w:val="000000"/>
          <w:kern w:val="0"/>
          <w:sz w:val="24"/>
        </w:rPr>
        <w:t>）直销机构接受首次认购申请的最低金额为单笔</w:t>
      </w:r>
      <w:r>
        <w:rPr>
          <w:rFonts w:ascii="Times New Roman" w:hAnsi="Times New Roman"/>
          <w:color w:val="000000"/>
          <w:kern w:val="0"/>
          <w:sz w:val="24"/>
        </w:rPr>
        <w:t>100</w:t>
      </w:r>
      <w:r>
        <w:rPr>
          <w:rFonts w:ascii="Times New Roman" w:hAnsi="Times New Roman" w:hint="eastAsia"/>
          <w:color w:val="000000"/>
          <w:kern w:val="0"/>
          <w:sz w:val="24"/>
        </w:rPr>
        <w:t>万元，追加认购的最低金额为单笔</w:t>
      </w:r>
      <w:r>
        <w:rPr>
          <w:rFonts w:ascii="Times New Roman" w:hAnsi="Times New Roman"/>
          <w:color w:val="000000"/>
          <w:kern w:val="0"/>
          <w:sz w:val="24"/>
        </w:rPr>
        <w:t>10</w:t>
      </w:r>
      <w:r>
        <w:rPr>
          <w:rFonts w:ascii="Times New Roman" w:hAnsi="Times New Roman"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rFonts w:ascii="Times New Roman" w:hAnsi="Times New Roman"/>
          <w:color w:val="000000"/>
          <w:kern w:val="0"/>
          <w:sz w:val="24"/>
        </w:rPr>
        <w:t>1</w:t>
      </w:r>
      <w:r>
        <w:rPr>
          <w:rFonts w:ascii="Times New Roman" w:hAnsi="Times New Roman" w:hint="eastAsia"/>
          <w:color w:val="000000"/>
          <w:kern w:val="0"/>
          <w:sz w:val="24"/>
        </w:rPr>
        <w:t>元。本基金直销机构单笔认购最低金额可由基金管理人酌情调整。其他销售机构接受认购申请的最低金额为单笔</w:t>
      </w:r>
      <w:r>
        <w:rPr>
          <w:rFonts w:ascii="Times New Roman" w:hAnsi="Times New Roman"/>
          <w:color w:val="000000"/>
          <w:kern w:val="0"/>
          <w:sz w:val="24"/>
        </w:rPr>
        <w:t>1</w:t>
      </w:r>
      <w:r>
        <w:rPr>
          <w:rFonts w:ascii="Times New Roman" w:hAnsi="Times New Roman" w:hint="eastAsia"/>
          <w:color w:val="000000"/>
          <w:kern w:val="0"/>
          <w:sz w:val="24"/>
        </w:rPr>
        <w:t>元，如果销售机构业务规则规定的最低单笔认购金额高于</w:t>
      </w:r>
      <w:r>
        <w:rPr>
          <w:rFonts w:ascii="Times New Roman" w:hAnsi="Times New Roman"/>
          <w:color w:val="000000"/>
          <w:kern w:val="0"/>
          <w:sz w:val="24"/>
        </w:rPr>
        <w:t>1</w:t>
      </w:r>
      <w:r>
        <w:rPr>
          <w:rFonts w:ascii="Times New Roman" w:hAnsi="Times New Roman" w:hint="eastAsia"/>
          <w:color w:val="000000"/>
          <w:kern w:val="0"/>
          <w:sz w:val="24"/>
        </w:rPr>
        <w:t>元，以该销售机构的规定为准。</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hint="eastAsia"/>
          <w:color w:val="000000"/>
          <w:kern w:val="0"/>
          <w:sz w:val="24"/>
        </w:rPr>
        <w:t>5</w:t>
      </w:r>
      <w:r>
        <w:rPr>
          <w:rFonts w:ascii="Times New Roman" w:hAnsi="Times New Roman" w:hint="eastAsia"/>
          <w:color w:val="000000"/>
          <w:kern w:val="0"/>
          <w:sz w:val="24"/>
        </w:rPr>
        <w:t>）基金管理人可以对募集期间的单个投资人的累计认购金额进行限制，具体限制和处理方法请参看相关公告。</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6</w:t>
      </w:r>
      <w:r>
        <w:rPr>
          <w:rFonts w:ascii="Times New Roman" w:hAnsi="Times New Roman" w:hint="eastAsia"/>
          <w:color w:val="000000"/>
          <w:kern w:val="0"/>
          <w:sz w:val="24"/>
        </w:rPr>
        <w:t>）</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7</w:t>
      </w:r>
      <w:r>
        <w:rPr>
          <w:rFonts w:ascii="Times New Roman" w:hAnsi="Times New Roman" w:hint="eastAsia"/>
          <w:color w:val="000000"/>
          <w:kern w:val="0"/>
          <w:sz w:val="24"/>
        </w:rPr>
        <w:t>）如本基金单个投资人累计认购的基金份额数超过基金总份额的</w:t>
      </w:r>
      <w:r>
        <w:rPr>
          <w:rFonts w:ascii="Times New Roman" w:hAnsi="Times New Roman"/>
          <w:color w:val="000000"/>
          <w:kern w:val="0"/>
          <w:sz w:val="24"/>
        </w:rPr>
        <w:t>50%</w:t>
      </w:r>
      <w:r>
        <w:rPr>
          <w:rFonts w:ascii="Times New Roman" w:hAnsi="Times New Roman" w:hint="eastAsia"/>
          <w:color w:val="000000"/>
          <w:kern w:val="0"/>
          <w:sz w:val="24"/>
        </w:rPr>
        <w:t>，基金管理人可以采取比例确认等方式对该投资人的认购申请进行限制。基金管理人接受某笔或者某些认购申请有可能导致投资者变相规避前述</w:t>
      </w:r>
      <w:r>
        <w:rPr>
          <w:rFonts w:ascii="Times New Roman" w:hAnsi="Times New Roman"/>
          <w:color w:val="000000"/>
          <w:kern w:val="0"/>
          <w:sz w:val="24"/>
        </w:rPr>
        <w:t>50%</w:t>
      </w:r>
      <w:r>
        <w:rPr>
          <w:rFonts w:ascii="Times New Roman" w:hAnsi="Times New Roman" w:hint="eastAsia"/>
          <w:color w:val="000000"/>
          <w:kern w:val="0"/>
          <w:sz w:val="24"/>
        </w:rPr>
        <w:t>比例要求的，基金管理人有权拒绝该等全部或者部分认购申请。投资人认购的基金份额数以基金合同生效后登记机构的确认为准。</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3</w:t>
      </w:r>
      <w:r>
        <w:rPr>
          <w:rFonts w:ascii="Times New Roman" w:hAnsi="Times New Roman" w:hint="eastAsia"/>
          <w:color w:val="000000"/>
          <w:kern w:val="0"/>
          <w:sz w:val="24"/>
        </w:rPr>
        <w:t>、基金份额的面值、认购费用、认购价格及认购份额的计算公式</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）面值、认购价格：本</w:t>
      </w:r>
      <w:proofErr w:type="gramStart"/>
      <w:r>
        <w:rPr>
          <w:rFonts w:ascii="Times New Roman" w:hAnsi="Times New Roman" w:hint="eastAsia"/>
          <w:color w:val="000000"/>
          <w:kern w:val="0"/>
          <w:sz w:val="24"/>
        </w:rPr>
        <w:t>基金基金</w:t>
      </w:r>
      <w:proofErr w:type="gramEnd"/>
      <w:r>
        <w:rPr>
          <w:rFonts w:ascii="Times New Roman" w:hAnsi="Times New Roman" w:hint="eastAsia"/>
          <w:color w:val="000000"/>
          <w:kern w:val="0"/>
          <w:sz w:val="24"/>
        </w:rPr>
        <w:t>份额的初始面值、认购价</w:t>
      </w:r>
      <w:r>
        <w:rPr>
          <w:rFonts w:ascii="Times New Roman" w:hAnsi="Times New Roman" w:hint="eastAsia"/>
          <w:color w:val="000000"/>
          <w:sz w:val="24"/>
        </w:rPr>
        <w:t>格为</w:t>
      </w:r>
      <w:r>
        <w:rPr>
          <w:rFonts w:ascii="Times New Roman" w:hAnsi="Times New Roman"/>
          <w:color w:val="000000"/>
          <w:sz w:val="24"/>
        </w:rPr>
        <w:t>1.00</w:t>
      </w:r>
      <w:r>
        <w:rPr>
          <w:rFonts w:ascii="Times New Roman" w:hAnsi="Times New Roman" w:hint="eastAsia"/>
          <w:color w:val="000000"/>
          <w:sz w:val="24"/>
        </w:rPr>
        <w:t>元</w:t>
      </w:r>
      <w:r>
        <w:rPr>
          <w:rFonts w:ascii="Times New Roman" w:hAnsi="Times New Roman"/>
          <w:color w:val="000000"/>
          <w:sz w:val="24"/>
        </w:rPr>
        <w:t>/</w:t>
      </w:r>
      <w:r>
        <w:rPr>
          <w:rFonts w:ascii="Times New Roman" w:hAnsi="Times New Roman" w:hint="eastAsia"/>
          <w:color w:val="000000"/>
          <w:kern w:val="0"/>
          <w:sz w:val="24"/>
        </w:rPr>
        <w:t>份。</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2</w:t>
      </w:r>
      <w:r>
        <w:rPr>
          <w:rFonts w:ascii="Times New Roman" w:hAnsi="Times New Roman" w:hint="eastAsia"/>
          <w:color w:val="000000"/>
          <w:kern w:val="0"/>
          <w:sz w:val="24"/>
        </w:rPr>
        <w:t>）认购费率：</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募集期内投资人可以多次认购本基金，</w:t>
      </w:r>
      <w:r>
        <w:rPr>
          <w:rFonts w:ascii="Times New Roman" w:hAnsi="Times New Roman" w:hint="eastAsia"/>
          <w:color w:val="000000"/>
          <w:kern w:val="0"/>
          <w:sz w:val="24"/>
        </w:rPr>
        <w:t>A</w:t>
      </w:r>
      <w:r>
        <w:rPr>
          <w:rFonts w:ascii="Times New Roman" w:hAnsi="Times New Roman" w:hint="eastAsia"/>
          <w:color w:val="000000"/>
          <w:kern w:val="0"/>
          <w:sz w:val="24"/>
        </w:rPr>
        <w:t>类基金份额的认购费用按</w:t>
      </w:r>
      <w:r>
        <w:rPr>
          <w:rFonts w:ascii="Times New Roman" w:hAnsi="Times New Roman" w:hint="eastAsia"/>
          <w:color w:val="000000"/>
          <w:kern w:val="0"/>
          <w:sz w:val="24"/>
        </w:rPr>
        <w:t>A</w:t>
      </w:r>
      <w:r>
        <w:rPr>
          <w:rFonts w:ascii="Times New Roman" w:hAnsi="Times New Roman" w:hint="eastAsia"/>
          <w:color w:val="000000"/>
          <w:kern w:val="0"/>
          <w:sz w:val="24"/>
        </w:rPr>
        <w:t>类基金份额的每笔认购申请单独计算。基金投资者认购</w:t>
      </w:r>
      <w:r>
        <w:rPr>
          <w:rFonts w:ascii="Times New Roman" w:hAnsi="Times New Roman"/>
          <w:color w:val="000000"/>
          <w:kern w:val="0"/>
          <w:sz w:val="24"/>
        </w:rPr>
        <w:t>A</w:t>
      </w:r>
      <w:r>
        <w:rPr>
          <w:rFonts w:ascii="Times New Roman" w:hAnsi="Times New Roman" w:hint="eastAsia"/>
          <w:color w:val="000000"/>
          <w:kern w:val="0"/>
          <w:sz w:val="24"/>
        </w:rPr>
        <w:t>类基金份额收取认购费用，即在认购时支付认购费用。基金投资者认购</w:t>
      </w:r>
      <w:r>
        <w:rPr>
          <w:rFonts w:ascii="Times New Roman" w:hAnsi="Times New Roman"/>
          <w:color w:val="000000"/>
          <w:kern w:val="0"/>
          <w:sz w:val="24"/>
        </w:rPr>
        <w:t>C</w:t>
      </w:r>
      <w:r>
        <w:rPr>
          <w:rFonts w:ascii="Times New Roman" w:hAnsi="Times New Roman" w:hint="eastAsia"/>
          <w:color w:val="000000"/>
          <w:kern w:val="0"/>
          <w:sz w:val="24"/>
        </w:rPr>
        <w:t>类基金份额不收取认购费用，而是从该类别基金资产中计</w:t>
      </w:r>
      <w:proofErr w:type="gramStart"/>
      <w:r>
        <w:rPr>
          <w:rFonts w:ascii="Times New Roman" w:hAnsi="Times New Roman" w:hint="eastAsia"/>
          <w:color w:val="000000"/>
          <w:kern w:val="0"/>
          <w:sz w:val="24"/>
        </w:rPr>
        <w:t>提销售</w:t>
      </w:r>
      <w:proofErr w:type="gramEnd"/>
      <w:r>
        <w:rPr>
          <w:rFonts w:ascii="Times New Roman" w:hAnsi="Times New Roman" w:hint="eastAsia"/>
          <w:color w:val="000000"/>
          <w:kern w:val="0"/>
          <w:sz w:val="24"/>
        </w:rPr>
        <w:t>服务费。</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w:t>
      </w:r>
      <w:r>
        <w:rPr>
          <w:rFonts w:ascii="Times New Roman" w:hAnsi="Times New Roman"/>
          <w:color w:val="000000"/>
          <w:kern w:val="0"/>
          <w:sz w:val="24"/>
        </w:rPr>
        <w:t>A</w:t>
      </w:r>
      <w:r>
        <w:rPr>
          <w:rFonts w:ascii="Times New Roman" w:hAnsi="Times New Roman"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06"/>
        <w:gridCol w:w="3544"/>
      </w:tblGrid>
      <w:tr w:rsidR="0020207F">
        <w:trPr>
          <w:cantSplit/>
          <w:trHeight w:val="481"/>
        </w:trPr>
        <w:tc>
          <w:tcPr>
            <w:tcW w:w="4106" w:type="dxa"/>
            <w:shd w:val="clear" w:color="auto" w:fill="FFFFFF"/>
            <w:vAlign w:val="center"/>
          </w:tcPr>
          <w:p w:rsidR="0020207F" w:rsidRDefault="000C59E2">
            <w:pPr>
              <w:widowControl/>
              <w:adjustRightInd w:val="0"/>
              <w:snapToGrid w:val="0"/>
              <w:ind w:firstLineChars="200" w:firstLine="482"/>
              <w:rPr>
                <w:rFonts w:ascii="Times New Roman" w:hAnsi="Times New Roman"/>
                <w:b/>
                <w:color w:val="000000"/>
                <w:kern w:val="0"/>
                <w:sz w:val="24"/>
              </w:rPr>
            </w:pPr>
            <w:r>
              <w:rPr>
                <w:rFonts w:ascii="Times New Roman" w:hAnsi="Times New Roman" w:hint="eastAsia"/>
                <w:b/>
                <w:color w:val="000000"/>
                <w:kern w:val="0"/>
                <w:sz w:val="24"/>
              </w:rPr>
              <w:t>认购金额（含认购费）</w:t>
            </w:r>
          </w:p>
        </w:tc>
        <w:tc>
          <w:tcPr>
            <w:tcW w:w="3544" w:type="dxa"/>
            <w:shd w:val="clear" w:color="auto" w:fill="FFFFFF"/>
            <w:vAlign w:val="center"/>
          </w:tcPr>
          <w:p w:rsidR="0020207F" w:rsidRDefault="000C59E2">
            <w:pPr>
              <w:widowControl/>
              <w:adjustRightInd w:val="0"/>
              <w:snapToGrid w:val="0"/>
              <w:ind w:firstLineChars="200" w:firstLine="482"/>
              <w:jc w:val="center"/>
              <w:rPr>
                <w:rFonts w:ascii="Times New Roman" w:hAnsi="Times New Roman"/>
                <w:b/>
                <w:color w:val="000000"/>
                <w:kern w:val="0"/>
                <w:sz w:val="24"/>
              </w:rPr>
            </w:pPr>
            <w:r>
              <w:rPr>
                <w:rFonts w:ascii="Times New Roman" w:hAnsi="Times New Roman"/>
                <w:b/>
                <w:color w:val="000000"/>
                <w:kern w:val="0"/>
                <w:sz w:val="24"/>
              </w:rPr>
              <w:t>A</w:t>
            </w:r>
            <w:r>
              <w:rPr>
                <w:rFonts w:ascii="Times New Roman" w:hAnsi="Times New Roman" w:hint="eastAsia"/>
                <w:b/>
                <w:color w:val="000000"/>
                <w:kern w:val="0"/>
                <w:sz w:val="24"/>
              </w:rPr>
              <w:t>类基金份额认购费率</w:t>
            </w:r>
          </w:p>
        </w:tc>
      </w:tr>
      <w:tr w:rsidR="0020207F">
        <w:trPr>
          <w:cantSplit/>
          <w:trHeight w:val="275"/>
        </w:trPr>
        <w:tc>
          <w:tcPr>
            <w:tcW w:w="4106" w:type="dxa"/>
            <w:vAlign w:val="center"/>
          </w:tcPr>
          <w:p w:rsidR="0020207F" w:rsidRDefault="000C59E2">
            <w:pPr>
              <w:widowControl/>
              <w:adjustRightInd w:val="0"/>
              <w:snapToGrid w:val="0"/>
              <w:ind w:firstLineChars="200" w:firstLine="480"/>
              <w:rPr>
                <w:rFonts w:ascii="Times New Roman" w:hAnsi="Times New Roman"/>
                <w:kern w:val="0"/>
                <w:sz w:val="24"/>
                <w:szCs w:val="24"/>
              </w:rPr>
            </w:pPr>
            <w:r>
              <w:rPr>
                <w:rFonts w:ascii="Times New Roman" w:hAnsi="Times New Roman"/>
                <w:kern w:val="0"/>
                <w:sz w:val="24"/>
                <w:szCs w:val="24"/>
              </w:rPr>
              <w:t>100</w:t>
            </w:r>
            <w:r>
              <w:rPr>
                <w:rFonts w:ascii="Times New Roman" w:hAnsi="Times New Roman" w:hint="eastAsia"/>
                <w:kern w:val="0"/>
                <w:sz w:val="24"/>
                <w:szCs w:val="24"/>
              </w:rPr>
              <w:t>万元以下</w:t>
            </w:r>
          </w:p>
        </w:tc>
        <w:tc>
          <w:tcPr>
            <w:tcW w:w="3544" w:type="dxa"/>
            <w:vAlign w:val="center"/>
          </w:tcPr>
          <w:p w:rsidR="0020207F" w:rsidRDefault="000C59E2">
            <w:pPr>
              <w:widowControl/>
              <w:adjustRightInd w:val="0"/>
              <w:snapToGrid w:val="0"/>
              <w:ind w:firstLineChars="200" w:firstLine="480"/>
              <w:jc w:val="center"/>
              <w:rPr>
                <w:rFonts w:ascii="Times New Roman" w:hAnsi="Times New Roman"/>
                <w:kern w:val="0"/>
                <w:sz w:val="24"/>
                <w:szCs w:val="24"/>
              </w:rPr>
            </w:pPr>
            <w:r>
              <w:rPr>
                <w:rFonts w:ascii="Times New Roman" w:hAnsi="Times New Roman"/>
                <w:kern w:val="0"/>
                <w:sz w:val="24"/>
                <w:szCs w:val="24"/>
              </w:rPr>
              <w:t>0.3%</w:t>
            </w:r>
          </w:p>
        </w:tc>
      </w:tr>
      <w:tr w:rsidR="0020207F">
        <w:trPr>
          <w:cantSplit/>
          <w:trHeight w:val="317"/>
        </w:trPr>
        <w:tc>
          <w:tcPr>
            <w:tcW w:w="4106" w:type="dxa"/>
            <w:vAlign w:val="center"/>
          </w:tcPr>
          <w:p w:rsidR="0020207F" w:rsidRDefault="000C59E2">
            <w:pPr>
              <w:widowControl/>
              <w:adjustRightInd w:val="0"/>
              <w:snapToGrid w:val="0"/>
              <w:ind w:firstLineChars="200" w:firstLine="480"/>
              <w:rPr>
                <w:rFonts w:ascii="Times New Roman" w:hAnsi="Times New Roman"/>
                <w:kern w:val="0"/>
                <w:sz w:val="24"/>
                <w:szCs w:val="24"/>
              </w:rPr>
            </w:pPr>
            <w:r>
              <w:rPr>
                <w:rFonts w:ascii="Times New Roman" w:hAnsi="Times New Roman"/>
                <w:kern w:val="0"/>
                <w:sz w:val="24"/>
                <w:szCs w:val="24"/>
              </w:rPr>
              <w:t>100</w:t>
            </w:r>
            <w:r>
              <w:rPr>
                <w:rFonts w:ascii="Times New Roman" w:hAnsi="Times New Roman" w:hint="eastAsia"/>
                <w:kern w:val="0"/>
                <w:sz w:val="24"/>
                <w:szCs w:val="24"/>
              </w:rPr>
              <w:t>万元（含）至</w:t>
            </w:r>
            <w:r>
              <w:rPr>
                <w:rFonts w:ascii="Times New Roman" w:hAnsi="Times New Roman"/>
                <w:kern w:val="0"/>
                <w:sz w:val="24"/>
                <w:szCs w:val="24"/>
              </w:rPr>
              <w:t>500</w:t>
            </w:r>
            <w:r>
              <w:rPr>
                <w:rFonts w:ascii="Times New Roman" w:hAnsi="Times New Roman" w:hint="eastAsia"/>
                <w:kern w:val="0"/>
                <w:sz w:val="24"/>
                <w:szCs w:val="24"/>
              </w:rPr>
              <w:t>万元</w:t>
            </w:r>
          </w:p>
        </w:tc>
        <w:tc>
          <w:tcPr>
            <w:tcW w:w="3544" w:type="dxa"/>
            <w:vAlign w:val="center"/>
          </w:tcPr>
          <w:p w:rsidR="0020207F" w:rsidRDefault="000C59E2">
            <w:pPr>
              <w:widowControl/>
              <w:adjustRightInd w:val="0"/>
              <w:snapToGrid w:val="0"/>
              <w:ind w:firstLineChars="200" w:firstLine="480"/>
              <w:jc w:val="center"/>
              <w:rPr>
                <w:rFonts w:ascii="Times New Roman" w:hAnsi="Times New Roman"/>
                <w:kern w:val="0"/>
                <w:sz w:val="24"/>
                <w:szCs w:val="24"/>
              </w:rPr>
            </w:pPr>
            <w:r>
              <w:rPr>
                <w:rFonts w:ascii="Times New Roman" w:hAnsi="Times New Roman"/>
                <w:kern w:val="0"/>
                <w:sz w:val="24"/>
                <w:szCs w:val="24"/>
              </w:rPr>
              <w:t>0.1%</w:t>
            </w:r>
          </w:p>
        </w:tc>
      </w:tr>
      <w:tr w:rsidR="0020207F">
        <w:trPr>
          <w:cantSplit/>
          <w:trHeight w:val="317"/>
        </w:trPr>
        <w:tc>
          <w:tcPr>
            <w:tcW w:w="4106" w:type="dxa"/>
            <w:vAlign w:val="center"/>
          </w:tcPr>
          <w:p w:rsidR="0020207F" w:rsidRDefault="000C59E2">
            <w:pPr>
              <w:widowControl/>
              <w:adjustRightInd w:val="0"/>
              <w:snapToGrid w:val="0"/>
              <w:ind w:firstLineChars="200" w:firstLine="480"/>
              <w:rPr>
                <w:rFonts w:ascii="Times New Roman" w:hAnsi="Times New Roman"/>
                <w:kern w:val="0"/>
                <w:sz w:val="24"/>
                <w:szCs w:val="24"/>
              </w:rPr>
            </w:pPr>
            <w:r>
              <w:rPr>
                <w:rFonts w:ascii="Times New Roman" w:hAnsi="Times New Roman"/>
                <w:kern w:val="0"/>
                <w:sz w:val="24"/>
                <w:szCs w:val="24"/>
              </w:rPr>
              <w:t>500</w:t>
            </w:r>
            <w:r>
              <w:rPr>
                <w:rFonts w:ascii="Times New Roman" w:hAnsi="Times New Roman" w:hint="eastAsia"/>
                <w:kern w:val="0"/>
                <w:sz w:val="24"/>
                <w:szCs w:val="24"/>
              </w:rPr>
              <w:t>万元以上（含</w:t>
            </w:r>
            <w:r>
              <w:rPr>
                <w:rFonts w:ascii="Times New Roman" w:hAnsi="Times New Roman"/>
                <w:kern w:val="0"/>
                <w:sz w:val="24"/>
                <w:szCs w:val="24"/>
              </w:rPr>
              <w:t>500</w:t>
            </w:r>
            <w:r>
              <w:rPr>
                <w:rFonts w:ascii="Times New Roman" w:hAnsi="Times New Roman" w:hint="eastAsia"/>
                <w:kern w:val="0"/>
                <w:sz w:val="24"/>
                <w:szCs w:val="24"/>
              </w:rPr>
              <w:t>万元）</w:t>
            </w:r>
          </w:p>
        </w:tc>
        <w:tc>
          <w:tcPr>
            <w:tcW w:w="3544" w:type="dxa"/>
            <w:vAlign w:val="center"/>
          </w:tcPr>
          <w:p w:rsidR="0020207F" w:rsidRDefault="000C59E2">
            <w:pPr>
              <w:widowControl/>
              <w:adjustRightInd w:val="0"/>
              <w:snapToGrid w:val="0"/>
              <w:ind w:firstLineChars="200" w:firstLine="480"/>
              <w:jc w:val="center"/>
              <w:rPr>
                <w:rFonts w:ascii="Times New Roman" w:hAnsi="Times New Roman"/>
                <w:kern w:val="0"/>
                <w:sz w:val="24"/>
                <w:szCs w:val="24"/>
              </w:rPr>
            </w:pPr>
            <w:r>
              <w:rPr>
                <w:rFonts w:ascii="Times New Roman" w:hAnsi="Times New Roman" w:hint="eastAsia"/>
                <w:kern w:val="0"/>
                <w:sz w:val="24"/>
                <w:szCs w:val="24"/>
              </w:rPr>
              <w:t>每笔交易</w:t>
            </w:r>
            <w:r>
              <w:rPr>
                <w:rFonts w:ascii="Times New Roman" w:hAnsi="Times New Roman"/>
                <w:kern w:val="0"/>
                <w:sz w:val="24"/>
                <w:szCs w:val="24"/>
              </w:rPr>
              <w:t>1000</w:t>
            </w:r>
            <w:r>
              <w:rPr>
                <w:rFonts w:ascii="Times New Roman" w:hAnsi="Times New Roman" w:hint="eastAsia"/>
                <w:kern w:val="0"/>
                <w:sz w:val="24"/>
                <w:szCs w:val="24"/>
              </w:rPr>
              <w:t>元</w:t>
            </w:r>
          </w:p>
        </w:tc>
      </w:tr>
    </w:tbl>
    <w:p w:rsidR="0020207F" w:rsidRDefault="000C59E2">
      <w:pPr>
        <w:widowControl/>
        <w:adjustRightInd w:val="0"/>
        <w:snapToGrid w:val="0"/>
        <w:spacing w:beforeLines="50" w:before="120" w:line="360" w:lineRule="auto"/>
        <w:ind w:firstLineChars="200" w:firstLine="480"/>
        <w:rPr>
          <w:rFonts w:ascii="Times New Roman" w:hAnsi="Times New Roman"/>
          <w:kern w:val="0"/>
          <w:sz w:val="24"/>
          <w:szCs w:val="24"/>
        </w:rPr>
      </w:pPr>
      <w:r>
        <w:rPr>
          <w:rFonts w:ascii="Times New Roman" w:hAnsi="Times New Roman"/>
          <w:kern w:val="0"/>
          <w:sz w:val="24"/>
          <w:szCs w:val="24"/>
        </w:rPr>
        <w:lastRenderedPageBreak/>
        <w:t>本基金对通过基金管理人直销柜台</w:t>
      </w:r>
      <w:r>
        <w:rPr>
          <w:rFonts w:ascii="Times New Roman" w:hAnsi="Times New Roman" w:hint="eastAsia"/>
          <w:kern w:val="0"/>
          <w:sz w:val="24"/>
          <w:szCs w:val="24"/>
        </w:rPr>
        <w:t>认</w:t>
      </w:r>
      <w:r>
        <w:rPr>
          <w:rFonts w:ascii="Times New Roman" w:hAnsi="Times New Roman"/>
          <w:kern w:val="0"/>
          <w:sz w:val="24"/>
          <w:szCs w:val="24"/>
        </w:rPr>
        <w:t>购</w:t>
      </w:r>
      <w:r>
        <w:rPr>
          <w:rFonts w:ascii="Times New Roman" w:hAnsi="Times New Roman"/>
          <w:kern w:val="0"/>
          <w:sz w:val="24"/>
          <w:szCs w:val="24"/>
        </w:rPr>
        <w:t>A</w:t>
      </w:r>
      <w:r>
        <w:rPr>
          <w:rFonts w:ascii="Times New Roman" w:hAnsi="Times New Roman" w:hint="eastAsia"/>
          <w:kern w:val="0"/>
          <w:sz w:val="24"/>
          <w:szCs w:val="24"/>
        </w:rPr>
        <w:t>类基金份额</w:t>
      </w:r>
      <w:r>
        <w:rPr>
          <w:rFonts w:ascii="Times New Roman" w:hAnsi="Times New Roman"/>
          <w:kern w:val="0"/>
          <w:sz w:val="24"/>
          <w:szCs w:val="24"/>
        </w:rPr>
        <w:t>的养老金客户</w:t>
      </w:r>
      <w:r>
        <w:rPr>
          <w:rFonts w:ascii="Times New Roman" w:hAnsi="Times New Roman" w:hint="eastAsia"/>
          <w:kern w:val="0"/>
          <w:sz w:val="24"/>
          <w:szCs w:val="24"/>
        </w:rPr>
        <w:t>与除此之外的其他投资者</w:t>
      </w:r>
      <w:r>
        <w:rPr>
          <w:rFonts w:ascii="Times New Roman" w:hAnsi="Times New Roman"/>
          <w:kern w:val="0"/>
          <w:sz w:val="24"/>
          <w:szCs w:val="24"/>
        </w:rPr>
        <w:t>实施</w:t>
      </w:r>
      <w:r>
        <w:rPr>
          <w:rFonts w:ascii="Times New Roman" w:hAnsi="Times New Roman" w:hint="eastAsia"/>
          <w:kern w:val="0"/>
          <w:sz w:val="24"/>
          <w:szCs w:val="24"/>
        </w:rPr>
        <w:t>差别的认购费率</w:t>
      </w:r>
      <w:r>
        <w:rPr>
          <w:rFonts w:ascii="Times New Roman" w:hAnsi="Times New Roman" w:hint="eastAsia"/>
        </w:rPr>
        <w:t>。</w:t>
      </w:r>
      <w:r>
        <w:rPr>
          <w:rFonts w:ascii="Times New Roman" w:hAnsi="Times New Roman"/>
          <w:kern w:val="0"/>
          <w:sz w:val="24"/>
          <w:szCs w:val="24"/>
        </w:rPr>
        <w:t>养老金客户包括基本养老基金与依法成立的养老计划筹集的资金及其投资运营收益形成的补充养老基金等，具体包括：</w:t>
      </w:r>
    </w:p>
    <w:p w:rsidR="0020207F" w:rsidRDefault="000C59E2">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hint="eastAsia"/>
          <w:kern w:val="0"/>
          <w:sz w:val="24"/>
          <w:szCs w:val="24"/>
        </w:rPr>
        <w:t>）</w:t>
      </w:r>
      <w:r>
        <w:rPr>
          <w:rFonts w:ascii="Times New Roman" w:hAnsi="Times New Roman"/>
          <w:kern w:val="0"/>
          <w:sz w:val="24"/>
          <w:szCs w:val="24"/>
        </w:rPr>
        <w:t>全国社会保障基金；</w:t>
      </w:r>
    </w:p>
    <w:p w:rsidR="0020207F" w:rsidRDefault="000C59E2">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w:t>
      </w:r>
      <w:r>
        <w:rPr>
          <w:rFonts w:ascii="Times New Roman" w:hAnsi="Times New Roman"/>
          <w:kern w:val="0"/>
          <w:sz w:val="24"/>
          <w:szCs w:val="24"/>
        </w:rPr>
        <w:t>可以投资基金的地方社会保障基金；</w:t>
      </w:r>
    </w:p>
    <w:p w:rsidR="0020207F" w:rsidRDefault="000C59E2">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rPr>
        <w:t>3</w:t>
      </w:r>
      <w:r>
        <w:rPr>
          <w:rFonts w:ascii="Times New Roman" w:hAnsi="Times New Roman" w:hint="eastAsia"/>
          <w:kern w:val="0"/>
          <w:sz w:val="24"/>
        </w:rPr>
        <w:t>）</w:t>
      </w:r>
      <w:r>
        <w:rPr>
          <w:rFonts w:ascii="Times New Roman" w:hAnsi="Times New Roman"/>
          <w:kern w:val="0"/>
          <w:sz w:val="24"/>
          <w:szCs w:val="24"/>
        </w:rPr>
        <w:t>企业年金单一计划以及集合计划</w:t>
      </w:r>
      <w:r>
        <w:rPr>
          <w:rFonts w:ascii="Times New Roman" w:hAnsi="Times New Roman" w:hint="eastAsia"/>
          <w:kern w:val="0"/>
          <w:sz w:val="24"/>
          <w:szCs w:val="24"/>
        </w:rPr>
        <w:t>；</w:t>
      </w:r>
    </w:p>
    <w:p w:rsidR="0020207F" w:rsidRDefault="000C59E2">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hint="eastAsia"/>
          <w:kern w:val="0"/>
          <w:sz w:val="24"/>
          <w:szCs w:val="24"/>
        </w:rPr>
        <w:t>）企业年金理事会委托的特定客户资产管理计划；</w:t>
      </w:r>
    </w:p>
    <w:p w:rsidR="0020207F" w:rsidRDefault="000C59E2">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hint="eastAsia"/>
          <w:kern w:val="0"/>
          <w:sz w:val="24"/>
          <w:szCs w:val="24"/>
        </w:rPr>
        <w:t>）企业年金养老金产品。</w:t>
      </w:r>
    </w:p>
    <w:p w:rsidR="0020207F" w:rsidRDefault="000C59E2">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如将来出现经养老基金监管部门认可的新的养老基金类型，</w:t>
      </w:r>
      <w:r>
        <w:rPr>
          <w:rFonts w:ascii="Times New Roman" w:hAnsi="Times New Roman" w:hint="eastAsia"/>
          <w:kern w:val="0"/>
          <w:sz w:val="24"/>
          <w:szCs w:val="24"/>
        </w:rPr>
        <w:t>基金管理人可在招募说明书更新或</w:t>
      </w:r>
      <w:r>
        <w:rPr>
          <w:rFonts w:ascii="Times New Roman" w:hAnsi="Times New Roman"/>
          <w:kern w:val="0"/>
          <w:sz w:val="24"/>
          <w:szCs w:val="24"/>
        </w:rPr>
        <w:t>发布临时公告将其纳入养老金客户范围。</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通过基金管理人直销柜台认购本基金</w:t>
      </w:r>
      <w:r>
        <w:rPr>
          <w:rFonts w:ascii="Times New Roman" w:hAnsi="Times New Roman"/>
          <w:color w:val="000000"/>
          <w:kern w:val="0"/>
          <w:sz w:val="24"/>
        </w:rPr>
        <w:t>A</w:t>
      </w:r>
      <w:r>
        <w:rPr>
          <w:rFonts w:ascii="Times New Roman" w:hAnsi="Times New Roman"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106"/>
        <w:gridCol w:w="3646"/>
      </w:tblGrid>
      <w:tr w:rsidR="0020207F">
        <w:trPr>
          <w:cantSplit/>
          <w:trHeight w:val="614"/>
          <w:jc w:val="center"/>
        </w:trPr>
        <w:tc>
          <w:tcPr>
            <w:tcW w:w="4106" w:type="dxa"/>
            <w:shd w:val="clear" w:color="auto" w:fill="FFFFFF"/>
            <w:vAlign w:val="center"/>
          </w:tcPr>
          <w:p w:rsidR="0020207F" w:rsidRDefault="000C59E2">
            <w:pPr>
              <w:widowControl/>
              <w:adjustRightInd w:val="0"/>
              <w:snapToGrid w:val="0"/>
              <w:ind w:firstLineChars="200" w:firstLine="482"/>
              <w:jc w:val="left"/>
              <w:rPr>
                <w:rFonts w:ascii="Times New Roman" w:hAnsi="Times New Roman"/>
                <w:b/>
                <w:color w:val="000000"/>
                <w:kern w:val="0"/>
                <w:sz w:val="24"/>
              </w:rPr>
            </w:pPr>
            <w:r>
              <w:rPr>
                <w:rFonts w:ascii="Times New Roman" w:hAnsi="Times New Roman" w:hint="eastAsia"/>
                <w:b/>
                <w:color w:val="000000"/>
                <w:kern w:val="0"/>
                <w:sz w:val="24"/>
              </w:rPr>
              <w:t>认购金额（含认购费）</w:t>
            </w:r>
          </w:p>
        </w:tc>
        <w:tc>
          <w:tcPr>
            <w:tcW w:w="3646" w:type="dxa"/>
            <w:shd w:val="clear" w:color="auto" w:fill="FFFFFF"/>
            <w:vAlign w:val="center"/>
          </w:tcPr>
          <w:p w:rsidR="0020207F" w:rsidRDefault="000C59E2">
            <w:pPr>
              <w:widowControl/>
              <w:adjustRightInd w:val="0"/>
              <w:snapToGrid w:val="0"/>
              <w:ind w:firstLineChars="200" w:firstLine="482"/>
              <w:jc w:val="center"/>
              <w:rPr>
                <w:rFonts w:ascii="Times New Roman" w:hAnsi="Times New Roman"/>
                <w:b/>
                <w:color w:val="000000"/>
                <w:kern w:val="0"/>
                <w:sz w:val="24"/>
              </w:rPr>
            </w:pPr>
            <w:r>
              <w:rPr>
                <w:rFonts w:ascii="Times New Roman" w:hAnsi="Times New Roman"/>
                <w:b/>
                <w:color w:val="000000"/>
                <w:kern w:val="0"/>
                <w:sz w:val="24"/>
              </w:rPr>
              <w:t>A</w:t>
            </w:r>
            <w:r>
              <w:rPr>
                <w:rFonts w:ascii="Times New Roman" w:hAnsi="Times New Roman" w:hint="eastAsia"/>
                <w:b/>
                <w:color w:val="000000"/>
                <w:kern w:val="0"/>
                <w:sz w:val="24"/>
              </w:rPr>
              <w:t>类基金份额特定认购费率</w:t>
            </w:r>
          </w:p>
        </w:tc>
      </w:tr>
      <w:tr w:rsidR="0020207F">
        <w:trPr>
          <w:cantSplit/>
          <w:trHeight w:val="131"/>
          <w:jc w:val="center"/>
        </w:trPr>
        <w:tc>
          <w:tcPr>
            <w:tcW w:w="4106" w:type="dxa"/>
            <w:vAlign w:val="center"/>
          </w:tcPr>
          <w:p w:rsidR="0020207F" w:rsidRDefault="000C59E2">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hint="eastAsia"/>
                <w:kern w:val="0"/>
                <w:sz w:val="24"/>
                <w:szCs w:val="24"/>
              </w:rPr>
              <w:t>100</w:t>
            </w:r>
            <w:r>
              <w:rPr>
                <w:rFonts w:ascii="Times New Roman" w:hAnsi="Times New Roman" w:hint="eastAsia"/>
                <w:kern w:val="0"/>
                <w:sz w:val="24"/>
                <w:szCs w:val="24"/>
              </w:rPr>
              <w:t>万元以下</w:t>
            </w:r>
          </w:p>
        </w:tc>
        <w:tc>
          <w:tcPr>
            <w:tcW w:w="3646" w:type="dxa"/>
            <w:vAlign w:val="center"/>
          </w:tcPr>
          <w:p w:rsidR="0020207F" w:rsidRDefault="000C59E2">
            <w:pPr>
              <w:widowControl/>
              <w:adjustRightInd w:val="0"/>
              <w:snapToGrid w:val="0"/>
              <w:ind w:firstLineChars="200" w:firstLine="480"/>
              <w:jc w:val="center"/>
              <w:rPr>
                <w:rFonts w:ascii="Times New Roman" w:hAnsi="Times New Roman"/>
                <w:color w:val="000000"/>
                <w:kern w:val="0"/>
                <w:sz w:val="24"/>
              </w:rPr>
            </w:pPr>
            <w:r>
              <w:rPr>
                <w:rFonts w:ascii="Times New Roman" w:hAnsi="Times New Roman"/>
                <w:color w:val="000000"/>
                <w:kern w:val="0"/>
                <w:sz w:val="24"/>
              </w:rPr>
              <w:t>0.12%</w:t>
            </w:r>
          </w:p>
        </w:tc>
      </w:tr>
      <w:tr w:rsidR="0020207F">
        <w:trPr>
          <w:cantSplit/>
          <w:trHeight w:val="131"/>
          <w:jc w:val="center"/>
        </w:trPr>
        <w:tc>
          <w:tcPr>
            <w:tcW w:w="4106" w:type="dxa"/>
            <w:vAlign w:val="center"/>
          </w:tcPr>
          <w:p w:rsidR="0020207F" w:rsidRDefault="000C59E2">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kern w:val="0"/>
                <w:sz w:val="24"/>
                <w:szCs w:val="24"/>
              </w:rPr>
              <w:t>1</w:t>
            </w:r>
            <w:r>
              <w:rPr>
                <w:rFonts w:ascii="Times New Roman" w:hAnsi="Times New Roman" w:hint="eastAsia"/>
                <w:kern w:val="0"/>
                <w:sz w:val="24"/>
                <w:szCs w:val="24"/>
              </w:rPr>
              <w:t>00</w:t>
            </w:r>
            <w:r>
              <w:rPr>
                <w:rFonts w:ascii="Times New Roman" w:hAnsi="Times New Roman" w:hint="eastAsia"/>
                <w:kern w:val="0"/>
                <w:sz w:val="24"/>
                <w:szCs w:val="24"/>
              </w:rPr>
              <w:t>万元（含）至</w:t>
            </w:r>
            <w:r>
              <w:rPr>
                <w:rFonts w:ascii="Times New Roman" w:hAnsi="Times New Roman" w:hint="eastAsia"/>
                <w:kern w:val="0"/>
                <w:sz w:val="24"/>
                <w:szCs w:val="24"/>
              </w:rPr>
              <w:t>500</w:t>
            </w:r>
            <w:r>
              <w:rPr>
                <w:rFonts w:ascii="Times New Roman" w:hAnsi="Times New Roman" w:hint="eastAsia"/>
                <w:kern w:val="0"/>
                <w:sz w:val="24"/>
                <w:szCs w:val="24"/>
              </w:rPr>
              <w:t>万元</w:t>
            </w:r>
          </w:p>
        </w:tc>
        <w:tc>
          <w:tcPr>
            <w:tcW w:w="3646" w:type="dxa"/>
            <w:vAlign w:val="center"/>
          </w:tcPr>
          <w:p w:rsidR="0020207F" w:rsidRDefault="000C59E2">
            <w:pPr>
              <w:widowControl/>
              <w:adjustRightInd w:val="0"/>
              <w:snapToGrid w:val="0"/>
              <w:ind w:firstLineChars="200" w:firstLine="480"/>
              <w:jc w:val="center"/>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.02</w:t>
            </w:r>
            <w:r>
              <w:rPr>
                <w:rFonts w:ascii="Times New Roman" w:hAnsi="Times New Roman" w:hint="eastAsia"/>
                <w:color w:val="000000"/>
                <w:kern w:val="0"/>
                <w:sz w:val="24"/>
              </w:rPr>
              <w:t>%</w:t>
            </w:r>
          </w:p>
        </w:tc>
      </w:tr>
      <w:tr w:rsidR="0020207F">
        <w:trPr>
          <w:cantSplit/>
          <w:trHeight w:val="187"/>
          <w:jc w:val="center"/>
        </w:trPr>
        <w:tc>
          <w:tcPr>
            <w:tcW w:w="4106" w:type="dxa"/>
            <w:vAlign w:val="center"/>
          </w:tcPr>
          <w:p w:rsidR="0020207F" w:rsidRDefault="000C59E2">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hint="eastAsia"/>
                <w:kern w:val="0"/>
                <w:sz w:val="24"/>
                <w:szCs w:val="24"/>
              </w:rPr>
              <w:t>500</w:t>
            </w:r>
            <w:r>
              <w:rPr>
                <w:rFonts w:ascii="Times New Roman" w:hAnsi="Times New Roman" w:hint="eastAsia"/>
                <w:kern w:val="0"/>
                <w:sz w:val="24"/>
                <w:szCs w:val="24"/>
              </w:rPr>
              <w:t>万元以上（含</w:t>
            </w:r>
            <w:r>
              <w:rPr>
                <w:rFonts w:ascii="Times New Roman" w:hAnsi="Times New Roman" w:hint="eastAsia"/>
                <w:kern w:val="0"/>
                <w:sz w:val="24"/>
                <w:szCs w:val="24"/>
              </w:rPr>
              <w:t>500</w:t>
            </w:r>
            <w:r>
              <w:rPr>
                <w:rFonts w:ascii="Times New Roman" w:hAnsi="Times New Roman" w:hint="eastAsia"/>
                <w:kern w:val="0"/>
                <w:sz w:val="24"/>
                <w:szCs w:val="24"/>
              </w:rPr>
              <w:t>万元）</w:t>
            </w:r>
          </w:p>
        </w:tc>
        <w:tc>
          <w:tcPr>
            <w:tcW w:w="3646" w:type="dxa"/>
            <w:vAlign w:val="center"/>
          </w:tcPr>
          <w:p w:rsidR="0020207F" w:rsidRDefault="000C59E2">
            <w:pPr>
              <w:widowControl/>
              <w:adjustRightInd w:val="0"/>
              <w:snapToGrid w:val="0"/>
              <w:ind w:firstLineChars="200" w:firstLine="480"/>
              <w:jc w:val="center"/>
              <w:rPr>
                <w:rFonts w:ascii="Times New Roman" w:hAnsi="Times New Roman"/>
                <w:color w:val="000000"/>
                <w:kern w:val="0"/>
                <w:sz w:val="24"/>
              </w:rPr>
            </w:pPr>
            <w:r>
              <w:rPr>
                <w:rFonts w:ascii="Times New Roman" w:hAnsi="Times New Roman" w:hint="eastAsia"/>
                <w:color w:val="000000"/>
                <w:kern w:val="0"/>
                <w:sz w:val="24"/>
              </w:rPr>
              <w:t>每笔交易</w:t>
            </w:r>
            <w:r>
              <w:rPr>
                <w:rFonts w:ascii="Times New Roman" w:hAnsi="Times New Roman"/>
                <w:color w:val="000000"/>
                <w:kern w:val="0"/>
                <w:sz w:val="24"/>
              </w:rPr>
              <w:t>1000</w:t>
            </w:r>
            <w:r>
              <w:rPr>
                <w:rFonts w:ascii="Times New Roman" w:hAnsi="Times New Roman" w:hint="eastAsia"/>
                <w:color w:val="000000"/>
                <w:kern w:val="0"/>
                <w:sz w:val="24"/>
              </w:rPr>
              <w:t>元</w:t>
            </w:r>
          </w:p>
        </w:tc>
      </w:tr>
    </w:tbl>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w:t>
      </w:r>
      <w:r>
        <w:rPr>
          <w:rFonts w:ascii="Times New Roman" w:hAnsi="Times New Roman"/>
          <w:color w:val="000000"/>
          <w:kern w:val="0"/>
          <w:sz w:val="24"/>
        </w:rPr>
        <w:t>A</w:t>
      </w:r>
      <w:r>
        <w:rPr>
          <w:rFonts w:ascii="Times New Roman" w:hAnsi="Times New Roman" w:hint="eastAsia"/>
          <w:color w:val="000000"/>
          <w:kern w:val="0"/>
          <w:sz w:val="24"/>
        </w:rPr>
        <w:t>类基金份额的认购费用由认购</w:t>
      </w:r>
      <w:r>
        <w:rPr>
          <w:rFonts w:ascii="Times New Roman" w:hAnsi="Times New Roman"/>
          <w:color w:val="000000"/>
          <w:kern w:val="0"/>
          <w:sz w:val="24"/>
        </w:rPr>
        <w:t>A</w:t>
      </w:r>
      <w:r>
        <w:rPr>
          <w:rFonts w:ascii="Times New Roman" w:hAnsi="Times New Roman" w:hint="eastAsia"/>
          <w:color w:val="000000"/>
          <w:kern w:val="0"/>
          <w:sz w:val="24"/>
        </w:rPr>
        <w:t>类基金份额的投资人承担，认购费用不列入基金财产，主要用于基金的市场推广、销售、登记等募集期间发生的各项费用。</w:t>
      </w:r>
    </w:p>
    <w:p w:rsidR="0020207F" w:rsidRDefault="000C59E2">
      <w:pPr>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3</w:t>
      </w:r>
      <w:r>
        <w:rPr>
          <w:rFonts w:ascii="Times New Roman" w:hAnsi="Times New Roman" w:hint="eastAsia"/>
          <w:color w:val="000000"/>
          <w:kern w:val="0"/>
          <w:sz w:val="24"/>
        </w:rPr>
        <w:t>）认购份额的计算</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基金认购采用金额认购的方式。</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color w:val="000000"/>
          <w:kern w:val="0"/>
          <w:sz w:val="24"/>
        </w:rPr>
        <w:t>A</w:t>
      </w:r>
      <w:r>
        <w:rPr>
          <w:rFonts w:ascii="Times New Roman" w:hAnsi="Times New Roman" w:hint="eastAsia"/>
          <w:color w:val="000000"/>
          <w:kern w:val="0"/>
          <w:sz w:val="24"/>
        </w:rPr>
        <w:t>类基金份额的认购</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基金的认购金额包括认购费用和净认购金额。计算公式为：</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proofErr w:type="gramStart"/>
      <w:r>
        <w:rPr>
          <w:rFonts w:ascii="Times New Roman" w:hAnsi="Times New Roman" w:hint="eastAsia"/>
          <w:color w:val="000000"/>
          <w:kern w:val="0"/>
          <w:sz w:val="24"/>
        </w:rPr>
        <w:t>认购总</w:t>
      </w:r>
      <w:proofErr w:type="gramEnd"/>
      <w:r>
        <w:rPr>
          <w:rFonts w:ascii="Times New Roman" w:hAnsi="Times New Roman" w:hint="eastAsia"/>
          <w:color w:val="000000"/>
          <w:kern w:val="0"/>
          <w:sz w:val="24"/>
        </w:rPr>
        <w:t>金额</w:t>
      </w:r>
      <w:r>
        <w:rPr>
          <w:rFonts w:ascii="Times New Roman" w:hAnsi="Times New Roman"/>
          <w:color w:val="000000"/>
          <w:kern w:val="0"/>
          <w:sz w:val="24"/>
        </w:rPr>
        <w:t>=</w:t>
      </w:r>
      <w:proofErr w:type="gramStart"/>
      <w:r>
        <w:rPr>
          <w:rFonts w:ascii="Times New Roman" w:hAnsi="Times New Roman" w:hint="eastAsia"/>
          <w:color w:val="000000"/>
          <w:kern w:val="0"/>
          <w:sz w:val="24"/>
        </w:rPr>
        <w:t>申请总</w:t>
      </w:r>
      <w:proofErr w:type="gramEnd"/>
      <w:r>
        <w:rPr>
          <w:rFonts w:ascii="Times New Roman" w:hAnsi="Times New Roman" w:hint="eastAsia"/>
          <w:color w:val="000000"/>
          <w:kern w:val="0"/>
          <w:sz w:val="24"/>
        </w:rPr>
        <w:t>金额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净认购金额</w:t>
      </w:r>
      <w:r>
        <w:rPr>
          <w:rFonts w:ascii="Times New Roman" w:hAnsi="Times New Roman"/>
          <w:color w:val="000000"/>
          <w:kern w:val="0"/>
          <w:sz w:val="24"/>
        </w:rPr>
        <w:t>=</w:t>
      </w:r>
      <w:proofErr w:type="gramStart"/>
      <w:r>
        <w:rPr>
          <w:rFonts w:ascii="Times New Roman" w:hAnsi="Times New Roman" w:hint="eastAsia"/>
          <w:color w:val="000000"/>
          <w:kern w:val="0"/>
          <w:sz w:val="24"/>
        </w:rPr>
        <w:t>认购总</w:t>
      </w:r>
      <w:proofErr w:type="gramEnd"/>
      <w:r>
        <w:rPr>
          <w:rFonts w:ascii="Times New Roman" w:hAnsi="Times New Roman" w:hint="eastAsia"/>
          <w:color w:val="000000"/>
          <w:kern w:val="0"/>
          <w:sz w:val="24"/>
        </w:rPr>
        <w:t>金额</w:t>
      </w:r>
      <w:r>
        <w:rPr>
          <w:rFonts w:ascii="Times New Roman" w:hAnsi="Times New Roman"/>
          <w:color w:val="000000"/>
          <w:kern w:val="0"/>
          <w:sz w:val="24"/>
        </w:rPr>
        <w:t>/</w:t>
      </w: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＋认购费率）</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（注：对于适用固定金额认购费用的认购，净认购金额＝</w:t>
      </w:r>
      <w:proofErr w:type="gramStart"/>
      <w:r>
        <w:rPr>
          <w:rFonts w:ascii="Times New Roman" w:hAnsi="Times New Roman" w:hint="eastAsia"/>
          <w:color w:val="000000"/>
          <w:kern w:val="0"/>
          <w:sz w:val="24"/>
        </w:rPr>
        <w:t>认购总</w:t>
      </w:r>
      <w:proofErr w:type="gramEnd"/>
      <w:r>
        <w:rPr>
          <w:rFonts w:ascii="Times New Roman" w:hAnsi="Times New Roman" w:hint="eastAsia"/>
          <w:color w:val="000000"/>
          <w:kern w:val="0"/>
          <w:sz w:val="24"/>
        </w:rPr>
        <w:t>金额－固定认购费用金额）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认购费用</w:t>
      </w:r>
      <w:r>
        <w:rPr>
          <w:rFonts w:ascii="Times New Roman" w:hAnsi="Times New Roman"/>
          <w:color w:val="000000"/>
          <w:kern w:val="0"/>
          <w:sz w:val="24"/>
        </w:rPr>
        <w:t>=</w:t>
      </w:r>
      <w:proofErr w:type="gramStart"/>
      <w:r>
        <w:rPr>
          <w:rFonts w:ascii="Times New Roman" w:hAnsi="Times New Roman" w:hint="eastAsia"/>
          <w:color w:val="000000"/>
          <w:kern w:val="0"/>
          <w:sz w:val="24"/>
        </w:rPr>
        <w:t>认购总</w:t>
      </w:r>
      <w:proofErr w:type="gramEnd"/>
      <w:r>
        <w:rPr>
          <w:rFonts w:ascii="Times New Roman" w:hAnsi="Times New Roman" w:hint="eastAsia"/>
          <w:color w:val="000000"/>
          <w:kern w:val="0"/>
          <w:sz w:val="24"/>
        </w:rPr>
        <w:t>金额</w:t>
      </w:r>
      <w:r>
        <w:rPr>
          <w:rFonts w:ascii="Times New Roman" w:hAnsi="Times New Roman"/>
          <w:color w:val="000000"/>
          <w:kern w:val="0"/>
          <w:sz w:val="24"/>
        </w:rPr>
        <w:t>-</w:t>
      </w:r>
      <w:r>
        <w:rPr>
          <w:rFonts w:ascii="Times New Roman" w:hAnsi="Times New Roman" w:hint="eastAsia"/>
          <w:color w:val="000000"/>
          <w:kern w:val="0"/>
          <w:sz w:val="24"/>
        </w:rPr>
        <w:t>净认购金额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（注：对于适用固定金额认购费用的认购，认购费用＝固定认购费用金额）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认购份额</w:t>
      </w:r>
      <w:r>
        <w:rPr>
          <w:rFonts w:ascii="Times New Roman" w:hAnsi="Times New Roman"/>
          <w:color w:val="000000"/>
          <w:kern w:val="0"/>
          <w:sz w:val="24"/>
        </w:rPr>
        <w:t>=</w:t>
      </w:r>
      <w:r>
        <w:rPr>
          <w:rFonts w:ascii="Times New Roman" w:hAnsi="Times New Roman" w:hint="eastAsia"/>
          <w:color w:val="000000"/>
          <w:kern w:val="0"/>
          <w:sz w:val="24"/>
        </w:rPr>
        <w:t>净认购金额</w:t>
      </w:r>
      <w:r>
        <w:rPr>
          <w:rFonts w:ascii="Times New Roman" w:hAnsi="Times New Roman"/>
          <w:color w:val="000000"/>
          <w:kern w:val="0"/>
          <w:sz w:val="24"/>
        </w:rPr>
        <w:t>/</w:t>
      </w:r>
      <w:r>
        <w:rPr>
          <w:rFonts w:ascii="Times New Roman" w:hAnsi="Times New Roman" w:hint="eastAsia"/>
          <w:color w:val="000000"/>
          <w:kern w:val="0"/>
          <w:sz w:val="24"/>
        </w:rPr>
        <w:t>基金份额初始面值＋认购利息</w:t>
      </w:r>
      <w:r>
        <w:rPr>
          <w:rFonts w:ascii="Times New Roman" w:hAnsi="Times New Roman"/>
          <w:color w:val="000000"/>
          <w:kern w:val="0"/>
          <w:sz w:val="24"/>
        </w:rPr>
        <w:t>/</w:t>
      </w:r>
      <w:r>
        <w:rPr>
          <w:rFonts w:ascii="Times New Roman" w:hAnsi="Times New Roman" w:hint="eastAsia"/>
          <w:color w:val="000000"/>
          <w:kern w:val="0"/>
          <w:sz w:val="24"/>
        </w:rPr>
        <w:t>基金份额初始面值</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lastRenderedPageBreak/>
        <w:t>认购份额计算结果保留到小数点后</w:t>
      </w:r>
      <w:r>
        <w:rPr>
          <w:rFonts w:ascii="Times New Roman" w:hAnsi="Times New Roman"/>
          <w:color w:val="000000"/>
          <w:kern w:val="0"/>
          <w:sz w:val="24"/>
        </w:rPr>
        <w:t>2</w:t>
      </w:r>
      <w:r>
        <w:rPr>
          <w:rFonts w:ascii="Times New Roman" w:hAnsi="Times New Roman" w:hint="eastAsia"/>
          <w:color w:val="000000"/>
          <w:kern w:val="0"/>
          <w:sz w:val="24"/>
        </w:rPr>
        <w:t>位，小数点</w:t>
      </w:r>
      <w:r>
        <w:rPr>
          <w:rFonts w:ascii="Times New Roman" w:hAnsi="Times New Roman"/>
          <w:color w:val="000000"/>
          <w:kern w:val="0"/>
          <w:sz w:val="24"/>
        </w:rPr>
        <w:t>2</w:t>
      </w:r>
      <w:r>
        <w:rPr>
          <w:rFonts w:ascii="Times New Roman" w:hAnsi="Times New Roman" w:hint="eastAsia"/>
          <w:color w:val="000000"/>
          <w:kern w:val="0"/>
          <w:sz w:val="24"/>
        </w:rPr>
        <w:t>位以后的部分四舍五入，由此误差产生的损失由基金财产承担，产生的收益</w:t>
      </w:r>
      <w:proofErr w:type="gramStart"/>
      <w:r>
        <w:rPr>
          <w:rFonts w:ascii="Times New Roman" w:hAnsi="Times New Roman" w:hint="eastAsia"/>
          <w:color w:val="000000"/>
          <w:kern w:val="0"/>
          <w:sz w:val="24"/>
        </w:rPr>
        <w:t>归基金</w:t>
      </w:r>
      <w:proofErr w:type="gramEnd"/>
      <w:r>
        <w:rPr>
          <w:rFonts w:ascii="Times New Roman" w:hAnsi="Times New Roman" w:hint="eastAsia"/>
          <w:color w:val="000000"/>
          <w:kern w:val="0"/>
          <w:sz w:val="24"/>
        </w:rPr>
        <w:t>财产所有。</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例</w:t>
      </w:r>
      <w:proofErr w:type="gramStart"/>
      <w:r>
        <w:rPr>
          <w:rFonts w:ascii="Times New Roman" w:hAnsi="Times New Roman" w:hint="eastAsia"/>
          <w:color w:val="000000"/>
          <w:kern w:val="0"/>
          <w:sz w:val="24"/>
        </w:rPr>
        <w:t>一</w:t>
      </w:r>
      <w:proofErr w:type="gramEnd"/>
      <w:r>
        <w:rPr>
          <w:rFonts w:ascii="Times New Roman" w:hAnsi="Times New Roman" w:hint="eastAsia"/>
          <w:color w:val="000000"/>
          <w:kern w:val="0"/>
          <w:sz w:val="24"/>
        </w:rPr>
        <w:t>：某投资者（非养老金客户）认购本基金</w:t>
      </w:r>
      <w:r>
        <w:rPr>
          <w:rFonts w:ascii="Times New Roman" w:hAnsi="Times New Roman"/>
          <w:color w:val="000000"/>
          <w:kern w:val="0"/>
          <w:sz w:val="24"/>
        </w:rPr>
        <w:t>A</w:t>
      </w:r>
      <w:r>
        <w:rPr>
          <w:rFonts w:ascii="Times New Roman" w:hAnsi="Times New Roman" w:hint="eastAsia"/>
          <w:color w:val="000000"/>
          <w:kern w:val="0"/>
          <w:sz w:val="24"/>
        </w:rPr>
        <w:t>类基金份额</w:t>
      </w:r>
      <w:r>
        <w:rPr>
          <w:rFonts w:ascii="Times New Roman" w:hAnsi="Times New Roman"/>
          <w:color w:val="000000"/>
          <w:kern w:val="0"/>
          <w:sz w:val="24"/>
        </w:rPr>
        <w:t>100,000.00</w:t>
      </w:r>
      <w:r>
        <w:rPr>
          <w:rFonts w:ascii="Times New Roman" w:hAnsi="Times New Roman" w:hint="eastAsia"/>
          <w:color w:val="000000"/>
          <w:kern w:val="0"/>
          <w:sz w:val="24"/>
        </w:rPr>
        <w:t>元，且该认购申请被全额确认，所对应的认购费率为</w:t>
      </w:r>
      <w:r>
        <w:rPr>
          <w:rFonts w:ascii="Times New Roman" w:hAnsi="Times New Roman"/>
          <w:color w:val="000000"/>
          <w:kern w:val="0"/>
          <w:sz w:val="24"/>
        </w:rPr>
        <w:t>0.3%</w:t>
      </w:r>
      <w:r>
        <w:rPr>
          <w:rFonts w:ascii="Times New Roman" w:hAnsi="Times New Roman" w:hint="eastAsia"/>
          <w:color w:val="000000"/>
          <w:kern w:val="0"/>
          <w:sz w:val="24"/>
        </w:rPr>
        <w:t>。假定该笔认购金额产生利息</w:t>
      </w:r>
      <w:r>
        <w:rPr>
          <w:rFonts w:ascii="Times New Roman" w:hAnsi="Times New Roman"/>
          <w:color w:val="000000"/>
          <w:kern w:val="0"/>
          <w:sz w:val="24"/>
        </w:rPr>
        <w:t>50.00</w:t>
      </w:r>
      <w:r>
        <w:rPr>
          <w:rFonts w:ascii="Times New Roman" w:hAnsi="Times New Roman" w:hint="eastAsia"/>
          <w:color w:val="000000"/>
          <w:kern w:val="0"/>
          <w:sz w:val="24"/>
        </w:rPr>
        <w:t>元。则认购份额为：</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proofErr w:type="gramStart"/>
      <w:r>
        <w:rPr>
          <w:rFonts w:ascii="Times New Roman" w:hAnsi="Times New Roman" w:hint="eastAsia"/>
          <w:color w:val="000000"/>
          <w:kern w:val="0"/>
          <w:sz w:val="24"/>
        </w:rPr>
        <w:t>认购总</w:t>
      </w:r>
      <w:proofErr w:type="gramEnd"/>
      <w:r>
        <w:rPr>
          <w:rFonts w:ascii="Times New Roman" w:hAnsi="Times New Roman" w:hint="eastAsia"/>
          <w:color w:val="000000"/>
          <w:kern w:val="0"/>
          <w:sz w:val="24"/>
        </w:rPr>
        <w:t>金额＝</w:t>
      </w:r>
      <w:r>
        <w:rPr>
          <w:rFonts w:ascii="Times New Roman" w:hAnsi="Times New Roman"/>
          <w:color w:val="000000"/>
          <w:kern w:val="0"/>
          <w:sz w:val="24"/>
        </w:rPr>
        <w:t>100,000.00</w:t>
      </w:r>
      <w:r>
        <w:rPr>
          <w:rFonts w:ascii="Times New Roman" w:hAnsi="Times New Roman" w:hint="eastAsia"/>
          <w:color w:val="000000"/>
          <w:kern w:val="0"/>
          <w:sz w:val="24"/>
        </w:rPr>
        <w:t>元</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净认购金额＝</w:t>
      </w:r>
      <w:r>
        <w:rPr>
          <w:rFonts w:ascii="Times New Roman" w:hAnsi="Times New Roman"/>
          <w:color w:val="000000"/>
          <w:kern w:val="0"/>
          <w:sz w:val="24"/>
        </w:rPr>
        <w:t>100,000.00/</w:t>
      </w: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color w:val="000000"/>
          <w:kern w:val="0"/>
          <w:sz w:val="24"/>
        </w:rPr>
        <w:t>0.3%</w:t>
      </w:r>
      <w:r>
        <w:rPr>
          <w:rFonts w:ascii="Times New Roman" w:hAnsi="Times New Roman" w:hint="eastAsia"/>
          <w:color w:val="000000"/>
          <w:kern w:val="0"/>
          <w:sz w:val="24"/>
        </w:rPr>
        <w:t>）＝</w:t>
      </w:r>
      <w:r>
        <w:rPr>
          <w:rFonts w:ascii="Times New Roman" w:hAnsi="Times New Roman"/>
          <w:color w:val="000000"/>
          <w:kern w:val="0"/>
          <w:sz w:val="24"/>
        </w:rPr>
        <w:t>99</w:t>
      </w:r>
      <w:r>
        <w:rPr>
          <w:rFonts w:ascii="Times New Roman" w:hAnsi="Times New Roman" w:hint="eastAsia"/>
          <w:color w:val="000000"/>
          <w:kern w:val="0"/>
          <w:sz w:val="24"/>
        </w:rPr>
        <w:t>,</w:t>
      </w:r>
      <w:r>
        <w:rPr>
          <w:rFonts w:ascii="Times New Roman" w:hAnsi="Times New Roman"/>
          <w:color w:val="000000"/>
          <w:kern w:val="0"/>
          <w:sz w:val="24"/>
        </w:rPr>
        <w:t>700.90</w:t>
      </w:r>
      <w:r>
        <w:rPr>
          <w:rFonts w:ascii="Times New Roman" w:hAnsi="Times New Roman" w:hint="eastAsia"/>
          <w:color w:val="000000"/>
          <w:kern w:val="0"/>
          <w:sz w:val="24"/>
        </w:rPr>
        <w:t>元</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认购费用＝</w:t>
      </w:r>
      <w:r>
        <w:rPr>
          <w:rFonts w:ascii="Times New Roman" w:hAnsi="Times New Roman"/>
          <w:color w:val="000000"/>
          <w:kern w:val="0"/>
          <w:sz w:val="24"/>
        </w:rPr>
        <w:t>100,000.00</w:t>
      </w:r>
      <w:r>
        <w:rPr>
          <w:rFonts w:ascii="Times New Roman" w:hAnsi="Times New Roman" w:hint="eastAsia"/>
          <w:color w:val="000000"/>
          <w:kern w:val="0"/>
          <w:sz w:val="24"/>
        </w:rPr>
        <w:t>－</w:t>
      </w:r>
      <w:r>
        <w:rPr>
          <w:rFonts w:ascii="Times New Roman" w:hAnsi="Times New Roman"/>
          <w:color w:val="000000"/>
          <w:kern w:val="0"/>
          <w:sz w:val="24"/>
        </w:rPr>
        <w:t>99</w:t>
      </w:r>
      <w:r>
        <w:rPr>
          <w:rFonts w:ascii="Times New Roman" w:hAnsi="Times New Roman" w:hint="eastAsia"/>
          <w:color w:val="000000"/>
          <w:kern w:val="0"/>
          <w:sz w:val="24"/>
        </w:rPr>
        <w:t>,</w:t>
      </w:r>
      <w:r>
        <w:rPr>
          <w:rFonts w:ascii="Times New Roman" w:hAnsi="Times New Roman"/>
          <w:color w:val="000000"/>
          <w:kern w:val="0"/>
          <w:sz w:val="24"/>
        </w:rPr>
        <w:t>700.90</w:t>
      </w:r>
      <w:r>
        <w:rPr>
          <w:rFonts w:ascii="Times New Roman" w:hAnsi="Times New Roman" w:hint="eastAsia"/>
          <w:color w:val="000000"/>
          <w:kern w:val="0"/>
          <w:sz w:val="24"/>
        </w:rPr>
        <w:t>＝</w:t>
      </w:r>
      <w:r>
        <w:rPr>
          <w:rFonts w:ascii="Times New Roman" w:hAnsi="Times New Roman"/>
          <w:color w:val="000000"/>
          <w:kern w:val="0"/>
          <w:sz w:val="24"/>
        </w:rPr>
        <w:t>299.10</w:t>
      </w:r>
      <w:r>
        <w:rPr>
          <w:rFonts w:ascii="Times New Roman" w:hAnsi="Times New Roman" w:hint="eastAsia"/>
          <w:color w:val="000000"/>
          <w:kern w:val="0"/>
          <w:sz w:val="24"/>
        </w:rPr>
        <w:t>元</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认购份额＝</w:t>
      </w:r>
      <w:r>
        <w:rPr>
          <w:rFonts w:ascii="Times New Roman" w:hAnsi="Times New Roman"/>
          <w:color w:val="000000"/>
          <w:kern w:val="0"/>
          <w:sz w:val="24"/>
        </w:rPr>
        <w:t>99</w:t>
      </w:r>
      <w:r>
        <w:rPr>
          <w:rFonts w:ascii="Times New Roman" w:hAnsi="Times New Roman" w:hint="eastAsia"/>
          <w:color w:val="000000"/>
          <w:kern w:val="0"/>
          <w:sz w:val="24"/>
        </w:rPr>
        <w:t>,</w:t>
      </w:r>
      <w:r>
        <w:rPr>
          <w:rFonts w:ascii="Times New Roman" w:hAnsi="Times New Roman"/>
          <w:color w:val="000000"/>
          <w:kern w:val="0"/>
          <w:sz w:val="24"/>
        </w:rPr>
        <w:t>700.90/1.00</w:t>
      </w:r>
      <w:r>
        <w:rPr>
          <w:rFonts w:ascii="Times New Roman" w:hAnsi="Times New Roman" w:hint="eastAsia"/>
          <w:color w:val="000000"/>
          <w:kern w:val="0"/>
          <w:sz w:val="24"/>
        </w:rPr>
        <w:t>＋</w:t>
      </w:r>
      <w:r>
        <w:rPr>
          <w:rFonts w:ascii="Times New Roman" w:hAnsi="Times New Roman"/>
          <w:color w:val="000000"/>
          <w:kern w:val="0"/>
          <w:sz w:val="24"/>
        </w:rPr>
        <w:t>50.00/1.00</w:t>
      </w:r>
      <w:r>
        <w:rPr>
          <w:rFonts w:ascii="Times New Roman" w:hAnsi="Times New Roman" w:hint="eastAsia"/>
          <w:color w:val="000000"/>
          <w:kern w:val="0"/>
          <w:sz w:val="24"/>
        </w:rPr>
        <w:t>＝</w:t>
      </w:r>
      <w:r>
        <w:rPr>
          <w:rFonts w:ascii="Times New Roman" w:hAnsi="Times New Roman"/>
          <w:color w:val="000000"/>
          <w:kern w:val="0"/>
          <w:sz w:val="24"/>
        </w:rPr>
        <w:t>99,750.90</w:t>
      </w:r>
      <w:r>
        <w:rPr>
          <w:rFonts w:ascii="Times New Roman" w:hAnsi="Times New Roman" w:hint="eastAsia"/>
          <w:color w:val="000000"/>
          <w:kern w:val="0"/>
          <w:sz w:val="24"/>
        </w:rPr>
        <w:t>份</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即：若该投资者（非养老金客户）选择投资</w:t>
      </w:r>
      <w:r>
        <w:rPr>
          <w:rFonts w:ascii="Times New Roman" w:hAnsi="Times New Roman"/>
          <w:color w:val="000000"/>
          <w:kern w:val="0"/>
          <w:sz w:val="24"/>
        </w:rPr>
        <w:t>100,000.00</w:t>
      </w:r>
      <w:r>
        <w:rPr>
          <w:rFonts w:ascii="Times New Roman" w:hAnsi="Times New Roman" w:hint="eastAsia"/>
          <w:color w:val="000000"/>
          <w:kern w:val="0"/>
          <w:sz w:val="24"/>
        </w:rPr>
        <w:t>元认购本基金</w:t>
      </w:r>
      <w:r>
        <w:rPr>
          <w:rFonts w:ascii="Times New Roman" w:hAnsi="Times New Roman"/>
          <w:color w:val="000000"/>
          <w:kern w:val="0"/>
          <w:sz w:val="24"/>
        </w:rPr>
        <w:t>A</w:t>
      </w:r>
      <w:r>
        <w:rPr>
          <w:rFonts w:ascii="Times New Roman" w:hAnsi="Times New Roman" w:hint="eastAsia"/>
          <w:color w:val="000000"/>
          <w:kern w:val="0"/>
          <w:sz w:val="24"/>
        </w:rPr>
        <w:t>类基金份额，且该认购申请被全额确认，假定该笔认购金额产生利息</w:t>
      </w:r>
      <w:r>
        <w:rPr>
          <w:rFonts w:ascii="Times New Roman" w:hAnsi="Times New Roman"/>
          <w:color w:val="000000"/>
          <w:kern w:val="0"/>
          <w:sz w:val="24"/>
        </w:rPr>
        <w:t>50.00</w:t>
      </w:r>
      <w:r>
        <w:rPr>
          <w:rFonts w:ascii="Times New Roman" w:hAnsi="Times New Roman" w:hint="eastAsia"/>
          <w:color w:val="000000"/>
          <w:kern w:val="0"/>
          <w:sz w:val="24"/>
        </w:rPr>
        <w:t>元，可得到</w:t>
      </w:r>
      <w:r>
        <w:rPr>
          <w:rFonts w:ascii="Times New Roman" w:hAnsi="Times New Roman"/>
          <w:color w:val="000000"/>
          <w:kern w:val="0"/>
          <w:sz w:val="24"/>
        </w:rPr>
        <w:t>99,750.90</w:t>
      </w:r>
      <w:r>
        <w:rPr>
          <w:rFonts w:ascii="Times New Roman" w:hAnsi="Times New Roman" w:hint="eastAsia"/>
          <w:color w:val="000000"/>
          <w:kern w:val="0"/>
          <w:sz w:val="24"/>
        </w:rPr>
        <w:t>份</w:t>
      </w:r>
      <w:r>
        <w:rPr>
          <w:rFonts w:ascii="Times New Roman" w:hAnsi="Times New Roman"/>
          <w:color w:val="000000"/>
          <w:kern w:val="0"/>
          <w:sz w:val="24"/>
        </w:rPr>
        <w:t>A</w:t>
      </w:r>
      <w:r>
        <w:rPr>
          <w:rFonts w:ascii="Times New Roman" w:hAnsi="Times New Roman" w:hint="eastAsia"/>
          <w:color w:val="000000"/>
          <w:kern w:val="0"/>
          <w:sz w:val="24"/>
        </w:rPr>
        <w:t>类基金份额。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例二：某养老金客户通过基金管理人的直销柜台认购本基金</w:t>
      </w:r>
      <w:r>
        <w:rPr>
          <w:rFonts w:ascii="Times New Roman" w:hAnsi="Times New Roman"/>
          <w:color w:val="000000"/>
          <w:kern w:val="0"/>
          <w:sz w:val="24"/>
        </w:rPr>
        <w:t>A</w:t>
      </w:r>
      <w:r>
        <w:rPr>
          <w:rFonts w:ascii="Times New Roman" w:hAnsi="Times New Roman" w:hint="eastAsia"/>
          <w:color w:val="000000"/>
          <w:kern w:val="0"/>
          <w:sz w:val="24"/>
        </w:rPr>
        <w:t>类基金份额</w:t>
      </w: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color w:val="000000"/>
          <w:kern w:val="0"/>
          <w:sz w:val="24"/>
        </w:rPr>
        <w:t>000,000.00</w:t>
      </w:r>
      <w:r>
        <w:rPr>
          <w:rFonts w:ascii="Times New Roman" w:hAnsi="Times New Roman" w:hint="eastAsia"/>
          <w:color w:val="000000"/>
          <w:kern w:val="0"/>
          <w:sz w:val="24"/>
        </w:rPr>
        <w:t>元，且该认购申请被全额确认，所对应的认购费率为</w:t>
      </w:r>
      <w:r>
        <w:rPr>
          <w:rFonts w:ascii="Times New Roman" w:hAnsi="Times New Roman"/>
          <w:color w:val="000000"/>
          <w:kern w:val="0"/>
          <w:sz w:val="24"/>
        </w:rPr>
        <w:t>0.02%</w:t>
      </w:r>
      <w:r>
        <w:rPr>
          <w:rFonts w:ascii="Times New Roman" w:hAnsi="Times New Roman" w:hint="eastAsia"/>
          <w:color w:val="000000"/>
          <w:kern w:val="0"/>
          <w:sz w:val="24"/>
        </w:rPr>
        <w:t>。假定该笔认购金额产生利息</w:t>
      </w:r>
      <w:r>
        <w:rPr>
          <w:rFonts w:ascii="Times New Roman" w:hAnsi="Times New Roman"/>
          <w:color w:val="000000"/>
          <w:kern w:val="0"/>
          <w:sz w:val="24"/>
        </w:rPr>
        <w:t>50.00</w:t>
      </w:r>
      <w:r>
        <w:rPr>
          <w:rFonts w:ascii="Times New Roman" w:hAnsi="Times New Roman" w:hint="eastAsia"/>
          <w:color w:val="000000"/>
          <w:kern w:val="0"/>
          <w:sz w:val="24"/>
        </w:rPr>
        <w:t>元。则认购份额为：</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proofErr w:type="gramStart"/>
      <w:r>
        <w:rPr>
          <w:rFonts w:ascii="Times New Roman" w:hAnsi="Times New Roman" w:hint="eastAsia"/>
          <w:color w:val="000000"/>
          <w:kern w:val="0"/>
          <w:sz w:val="24"/>
        </w:rPr>
        <w:t>认购总</w:t>
      </w:r>
      <w:proofErr w:type="gramEnd"/>
      <w:r>
        <w:rPr>
          <w:rFonts w:ascii="Times New Roman" w:hAnsi="Times New Roman" w:hint="eastAsia"/>
          <w:color w:val="000000"/>
          <w:kern w:val="0"/>
          <w:sz w:val="24"/>
        </w:rPr>
        <w:t>金额＝</w:t>
      </w:r>
      <w:r>
        <w:rPr>
          <w:rFonts w:ascii="Times New Roman" w:hAnsi="Times New Roman"/>
          <w:color w:val="000000"/>
          <w:kern w:val="0"/>
          <w:sz w:val="24"/>
        </w:rPr>
        <w:t>1,000,000.00</w:t>
      </w:r>
      <w:r>
        <w:rPr>
          <w:rFonts w:ascii="Times New Roman" w:hAnsi="Times New Roman" w:hint="eastAsia"/>
          <w:color w:val="000000"/>
          <w:kern w:val="0"/>
          <w:sz w:val="24"/>
        </w:rPr>
        <w:t>元</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净认购金额＝</w:t>
      </w:r>
      <w:r>
        <w:rPr>
          <w:rFonts w:ascii="Times New Roman" w:hAnsi="Times New Roman"/>
          <w:color w:val="000000"/>
          <w:kern w:val="0"/>
          <w:sz w:val="24"/>
        </w:rPr>
        <w:t>1,000,000.00/</w:t>
      </w:r>
      <w:r>
        <w:rPr>
          <w:rFonts w:ascii="Times New Roman" w:hAnsi="Times New Roman" w:hint="eastAsia"/>
          <w:color w:val="000000"/>
          <w:kern w:val="0"/>
          <w:sz w:val="24"/>
        </w:rPr>
        <w:t>（</w:t>
      </w:r>
      <w:r>
        <w:rPr>
          <w:rFonts w:ascii="Times New Roman" w:hAnsi="Times New Roman"/>
          <w:color w:val="000000"/>
          <w:kern w:val="0"/>
          <w:sz w:val="24"/>
        </w:rPr>
        <w:t>1</w:t>
      </w:r>
      <w:r>
        <w:rPr>
          <w:rFonts w:ascii="Times New Roman" w:hAnsi="Times New Roman" w:hint="eastAsia"/>
          <w:color w:val="000000"/>
          <w:kern w:val="0"/>
          <w:sz w:val="24"/>
        </w:rPr>
        <w:t>＋</w:t>
      </w:r>
      <w:r>
        <w:rPr>
          <w:rFonts w:ascii="Times New Roman" w:hAnsi="Times New Roman"/>
          <w:color w:val="000000"/>
          <w:kern w:val="0"/>
          <w:sz w:val="24"/>
        </w:rPr>
        <w:t>0.02%</w:t>
      </w:r>
      <w:r>
        <w:rPr>
          <w:rFonts w:ascii="Times New Roman" w:hAnsi="Times New Roman" w:hint="eastAsia"/>
          <w:color w:val="000000"/>
          <w:kern w:val="0"/>
          <w:sz w:val="24"/>
        </w:rPr>
        <w:t>）＝</w:t>
      </w:r>
      <w:r>
        <w:rPr>
          <w:rFonts w:ascii="Times New Roman" w:hAnsi="Times New Roman"/>
          <w:color w:val="000000"/>
          <w:kern w:val="0"/>
          <w:sz w:val="24"/>
        </w:rPr>
        <w:t>999,800.04</w:t>
      </w:r>
      <w:r>
        <w:rPr>
          <w:rFonts w:ascii="Times New Roman" w:hAnsi="Times New Roman" w:hint="eastAsia"/>
          <w:color w:val="000000"/>
          <w:kern w:val="0"/>
          <w:sz w:val="24"/>
        </w:rPr>
        <w:t>元</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认购费用＝</w:t>
      </w:r>
      <w:r>
        <w:rPr>
          <w:rFonts w:ascii="Times New Roman" w:hAnsi="Times New Roman"/>
          <w:color w:val="000000"/>
          <w:kern w:val="0"/>
          <w:sz w:val="24"/>
        </w:rPr>
        <w:t>1,000,000</w:t>
      </w:r>
      <w:r>
        <w:rPr>
          <w:rFonts w:ascii="Times New Roman" w:hAnsi="Times New Roman" w:hint="eastAsia"/>
          <w:color w:val="000000"/>
          <w:kern w:val="0"/>
          <w:sz w:val="24"/>
        </w:rPr>
        <w:t>.</w:t>
      </w:r>
      <w:r>
        <w:rPr>
          <w:rFonts w:ascii="Times New Roman" w:hAnsi="Times New Roman"/>
          <w:color w:val="000000"/>
          <w:kern w:val="0"/>
          <w:sz w:val="24"/>
        </w:rPr>
        <w:t>00</w:t>
      </w:r>
      <w:r>
        <w:rPr>
          <w:rFonts w:ascii="Times New Roman" w:hAnsi="Times New Roman" w:hint="eastAsia"/>
          <w:color w:val="000000"/>
          <w:kern w:val="0"/>
          <w:sz w:val="24"/>
        </w:rPr>
        <w:t>－</w:t>
      </w:r>
      <w:r>
        <w:rPr>
          <w:rFonts w:ascii="Times New Roman" w:hAnsi="Times New Roman"/>
          <w:color w:val="000000"/>
          <w:kern w:val="0"/>
          <w:sz w:val="24"/>
        </w:rPr>
        <w:t>999,800.04</w:t>
      </w:r>
      <w:r>
        <w:rPr>
          <w:rFonts w:ascii="Times New Roman" w:hAnsi="Times New Roman" w:hint="eastAsia"/>
          <w:color w:val="000000"/>
          <w:kern w:val="0"/>
          <w:sz w:val="24"/>
        </w:rPr>
        <w:t>＝</w:t>
      </w:r>
      <w:r>
        <w:rPr>
          <w:rFonts w:ascii="Times New Roman" w:hAnsi="Times New Roman"/>
          <w:color w:val="000000"/>
          <w:kern w:val="0"/>
          <w:sz w:val="24"/>
        </w:rPr>
        <w:t>199.96</w:t>
      </w:r>
      <w:r>
        <w:rPr>
          <w:rFonts w:ascii="Times New Roman" w:hAnsi="Times New Roman" w:hint="eastAsia"/>
          <w:color w:val="000000"/>
          <w:kern w:val="0"/>
          <w:sz w:val="24"/>
        </w:rPr>
        <w:t>元</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认购份额＝</w:t>
      </w:r>
      <w:r>
        <w:rPr>
          <w:rFonts w:ascii="Times New Roman" w:hAnsi="Times New Roman"/>
          <w:color w:val="000000"/>
          <w:kern w:val="0"/>
          <w:sz w:val="24"/>
        </w:rPr>
        <w:t>999,800.04/1.00</w:t>
      </w:r>
      <w:r>
        <w:rPr>
          <w:rFonts w:ascii="Times New Roman" w:hAnsi="Times New Roman" w:hint="eastAsia"/>
          <w:color w:val="000000"/>
          <w:kern w:val="0"/>
          <w:sz w:val="24"/>
        </w:rPr>
        <w:t>＋</w:t>
      </w:r>
      <w:r>
        <w:rPr>
          <w:rFonts w:ascii="Times New Roman" w:hAnsi="Times New Roman"/>
          <w:color w:val="000000"/>
          <w:kern w:val="0"/>
          <w:sz w:val="24"/>
        </w:rPr>
        <w:t>50.00/1.00</w:t>
      </w:r>
      <w:r>
        <w:rPr>
          <w:rFonts w:ascii="Times New Roman" w:hAnsi="Times New Roman" w:hint="eastAsia"/>
          <w:color w:val="000000"/>
          <w:kern w:val="0"/>
          <w:sz w:val="24"/>
        </w:rPr>
        <w:t>＝</w:t>
      </w:r>
      <w:r>
        <w:rPr>
          <w:rFonts w:ascii="Times New Roman" w:hAnsi="Times New Roman"/>
          <w:color w:val="000000"/>
          <w:kern w:val="0"/>
          <w:sz w:val="24"/>
        </w:rPr>
        <w:t>999,850.04</w:t>
      </w:r>
      <w:r>
        <w:rPr>
          <w:rFonts w:ascii="Times New Roman" w:hAnsi="Times New Roman" w:hint="eastAsia"/>
          <w:color w:val="000000"/>
          <w:kern w:val="0"/>
          <w:sz w:val="24"/>
        </w:rPr>
        <w:t>份</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即：若该养老金客户投资</w:t>
      </w:r>
      <w:r>
        <w:rPr>
          <w:rFonts w:ascii="Times New Roman" w:hAnsi="Times New Roman"/>
          <w:color w:val="000000"/>
          <w:kern w:val="0"/>
          <w:sz w:val="24"/>
        </w:rPr>
        <w:t>1,000,000.00</w:t>
      </w:r>
      <w:r>
        <w:rPr>
          <w:rFonts w:ascii="Times New Roman" w:hAnsi="Times New Roman" w:hint="eastAsia"/>
          <w:color w:val="000000"/>
          <w:kern w:val="0"/>
          <w:sz w:val="24"/>
        </w:rPr>
        <w:t>元通过基金管理人的直销柜台认购本基金</w:t>
      </w:r>
      <w:r>
        <w:rPr>
          <w:rFonts w:ascii="Times New Roman" w:hAnsi="Times New Roman"/>
          <w:color w:val="000000"/>
          <w:kern w:val="0"/>
          <w:sz w:val="24"/>
        </w:rPr>
        <w:t>A</w:t>
      </w:r>
      <w:r>
        <w:rPr>
          <w:rFonts w:ascii="Times New Roman" w:hAnsi="Times New Roman" w:hint="eastAsia"/>
          <w:color w:val="000000"/>
          <w:kern w:val="0"/>
          <w:sz w:val="24"/>
        </w:rPr>
        <w:t>类基金份额，且该认购申请被全额确认，假定该笔认购金额产生的利息为</w:t>
      </w:r>
      <w:r>
        <w:rPr>
          <w:rFonts w:ascii="Times New Roman" w:hAnsi="Times New Roman"/>
          <w:color w:val="000000"/>
          <w:kern w:val="0"/>
          <w:sz w:val="24"/>
        </w:rPr>
        <w:t>50.00</w:t>
      </w:r>
      <w:r>
        <w:rPr>
          <w:rFonts w:ascii="Times New Roman" w:hAnsi="Times New Roman" w:hint="eastAsia"/>
          <w:color w:val="000000"/>
          <w:kern w:val="0"/>
          <w:sz w:val="24"/>
        </w:rPr>
        <w:t>元，可得到</w:t>
      </w:r>
      <w:r>
        <w:rPr>
          <w:rFonts w:ascii="Times New Roman" w:hAnsi="Times New Roman"/>
          <w:color w:val="000000"/>
          <w:kern w:val="0"/>
          <w:sz w:val="24"/>
        </w:rPr>
        <w:t>999,850.04</w:t>
      </w:r>
      <w:r>
        <w:rPr>
          <w:rFonts w:ascii="Times New Roman" w:hAnsi="Times New Roman" w:hint="eastAsia"/>
          <w:color w:val="000000"/>
          <w:kern w:val="0"/>
          <w:sz w:val="24"/>
        </w:rPr>
        <w:t>份</w:t>
      </w:r>
      <w:r>
        <w:rPr>
          <w:rFonts w:ascii="Times New Roman" w:hAnsi="Times New Roman"/>
          <w:color w:val="000000"/>
          <w:kern w:val="0"/>
          <w:sz w:val="24"/>
        </w:rPr>
        <w:t>A</w:t>
      </w:r>
      <w:r>
        <w:rPr>
          <w:rFonts w:ascii="Times New Roman" w:hAnsi="Times New Roman" w:hint="eastAsia"/>
          <w:color w:val="000000"/>
          <w:kern w:val="0"/>
          <w:sz w:val="24"/>
        </w:rPr>
        <w:t>类基金份额。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color w:val="000000"/>
          <w:kern w:val="0"/>
          <w:sz w:val="24"/>
        </w:rPr>
        <w:t>2</w:t>
      </w:r>
      <w:r>
        <w:rPr>
          <w:rFonts w:ascii="Times New Roman" w:hAnsi="Times New Roman" w:hint="eastAsia"/>
          <w:color w:val="000000"/>
          <w:kern w:val="0"/>
          <w:sz w:val="24"/>
        </w:rPr>
        <w:t>）</w:t>
      </w:r>
      <w:r>
        <w:rPr>
          <w:rFonts w:ascii="Times New Roman" w:hAnsi="Times New Roman"/>
          <w:color w:val="000000"/>
          <w:kern w:val="0"/>
          <w:sz w:val="24"/>
        </w:rPr>
        <w:t>C</w:t>
      </w:r>
      <w:r>
        <w:rPr>
          <w:rFonts w:ascii="Times New Roman" w:hAnsi="Times New Roman" w:hint="eastAsia"/>
          <w:color w:val="000000"/>
          <w:kern w:val="0"/>
          <w:sz w:val="24"/>
        </w:rPr>
        <w:t>类基金份额的认购</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如果投资者选择认购本基金的</w:t>
      </w:r>
      <w:r>
        <w:rPr>
          <w:rFonts w:ascii="Times New Roman" w:hAnsi="Times New Roman"/>
          <w:color w:val="000000"/>
          <w:kern w:val="0"/>
          <w:sz w:val="24"/>
        </w:rPr>
        <w:t>C</w:t>
      </w:r>
      <w:r>
        <w:rPr>
          <w:rFonts w:ascii="Times New Roman" w:hAnsi="Times New Roman" w:hint="eastAsia"/>
          <w:color w:val="000000"/>
          <w:kern w:val="0"/>
          <w:sz w:val="24"/>
        </w:rPr>
        <w:t>类基金份额，则认购份额的计算方式如下：</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proofErr w:type="gramStart"/>
      <w:r>
        <w:rPr>
          <w:rFonts w:ascii="Times New Roman" w:hAnsi="Times New Roman" w:hint="eastAsia"/>
          <w:color w:val="000000"/>
          <w:kern w:val="0"/>
          <w:sz w:val="24"/>
        </w:rPr>
        <w:t>认购总</w:t>
      </w:r>
      <w:proofErr w:type="gramEnd"/>
      <w:r>
        <w:rPr>
          <w:rFonts w:ascii="Times New Roman" w:hAnsi="Times New Roman" w:hint="eastAsia"/>
          <w:color w:val="000000"/>
          <w:kern w:val="0"/>
          <w:sz w:val="24"/>
        </w:rPr>
        <w:t>金额</w:t>
      </w:r>
      <w:r>
        <w:rPr>
          <w:rFonts w:ascii="Times New Roman" w:hAnsi="Times New Roman"/>
          <w:color w:val="000000"/>
          <w:kern w:val="0"/>
          <w:sz w:val="24"/>
        </w:rPr>
        <w:t>=</w:t>
      </w:r>
      <w:proofErr w:type="gramStart"/>
      <w:r>
        <w:rPr>
          <w:rFonts w:ascii="Times New Roman" w:hAnsi="Times New Roman" w:hint="eastAsia"/>
          <w:color w:val="000000"/>
          <w:kern w:val="0"/>
          <w:sz w:val="24"/>
        </w:rPr>
        <w:t>申请总</w:t>
      </w:r>
      <w:proofErr w:type="gramEnd"/>
      <w:r>
        <w:rPr>
          <w:rFonts w:ascii="Times New Roman" w:hAnsi="Times New Roman" w:hint="eastAsia"/>
          <w:color w:val="000000"/>
          <w:kern w:val="0"/>
          <w:sz w:val="24"/>
        </w:rPr>
        <w:t>金额</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认购份额</w:t>
      </w:r>
      <w:r>
        <w:rPr>
          <w:rFonts w:ascii="Times New Roman" w:hAnsi="Times New Roman"/>
          <w:color w:val="000000"/>
          <w:kern w:val="0"/>
          <w:sz w:val="24"/>
        </w:rPr>
        <w:t>=</w:t>
      </w:r>
      <w:proofErr w:type="gramStart"/>
      <w:r>
        <w:rPr>
          <w:rFonts w:ascii="Times New Roman" w:hAnsi="Times New Roman" w:hint="eastAsia"/>
          <w:color w:val="000000"/>
          <w:kern w:val="0"/>
          <w:sz w:val="24"/>
        </w:rPr>
        <w:t>认购总</w:t>
      </w:r>
      <w:proofErr w:type="gramEnd"/>
      <w:r>
        <w:rPr>
          <w:rFonts w:ascii="Times New Roman" w:hAnsi="Times New Roman" w:hint="eastAsia"/>
          <w:color w:val="000000"/>
          <w:kern w:val="0"/>
          <w:sz w:val="24"/>
        </w:rPr>
        <w:t>金额</w:t>
      </w:r>
      <w:r>
        <w:rPr>
          <w:rFonts w:ascii="Times New Roman" w:hAnsi="Times New Roman"/>
          <w:color w:val="000000"/>
          <w:kern w:val="0"/>
          <w:sz w:val="24"/>
        </w:rPr>
        <w:t>/</w:t>
      </w:r>
      <w:r>
        <w:rPr>
          <w:rFonts w:ascii="Times New Roman" w:hAnsi="Times New Roman" w:hint="eastAsia"/>
          <w:color w:val="000000"/>
          <w:kern w:val="0"/>
          <w:sz w:val="24"/>
        </w:rPr>
        <w:t>基金份额初始面值＋认购利息</w:t>
      </w:r>
      <w:r>
        <w:rPr>
          <w:rFonts w:ascii="Times New Roman" w:hAnsi="Times New Roman"/>
          <w:color w:val="000000"/>
          <w:kern w:val="0"/>
          <w:sz w:val="24"/>
        </w:rPr>
        <w:t>/</w:t>
      </w:r>
      <w:r>
        <w:rPr>
          <w:rFonts w:ascii="Times New Roman" w:hAnsi="Times New Roman" w:hint="eastAsia"/>
          <w:color w:val="000000"/>
          <w:kern w:val="0"/>
          <w:sz w:val="24"/>
        </w:rPr>
        <w:t>基金份额初始面值。</w:t>
      </w:r>
    </w:p>
    <w:p w:rsidR="0020207F" w:rsidRDefault="000C59E2">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认购份额计算结果保留到小数点后</w:t>
      </w:r>
      <w:r>
        <w:rPr>
          <w:rFonts w:ascii="Times New Roman" w:hAnsi="Times New Roman"/>
          <w:sz w:val="24"/>
        </w:rPr>
        <w:t>2</w:t>
      </w:r>
      <w:r>
        <w:rPr>
          <w:rFonts w:ascii="Times New Roman" w:hAnsi="Times New Roman" w:hint="eastAsia"/>
          <w:sz w:val="24"/>
        </w:rPr>
        <w:t>位，小数点</w:t>
      </w:r>
      <w:r>
        <w:rPr>
          <w:rFonts w:ascii="Times New Roman" w:hAnsi="Times New Roman"/>
          <w:sz w:val="24"/>
        </w:rPr>
        <w:t>2</w:t>
      </w:r>
      <w:r>
        <w:rPr>
          <w:rFonts w:ascii="Times New Roman" w:hAnsi="Times New Roman" w:hint="eastAsia"/>
          <w:sz w:val="24"/>
        </w:rPr>
        <w:t>位以后的部分四舍五入，由此误差产生的损失由基金财产承担，产生的收益</w:t>
      </w:r>
      <w:proofErr w:type="gramStart"/>
      <w:r>
        <w:rPr>
          <w:rFonts w:ascii="Times New Roman" w:hAnsi="Times New Roman" w:hint="eastAsia"/>
          <w:sz w:val="24"/>
        </w:rPr>
        <w:t>归基金</w:t>
      </w:r>
      <w:proofErr w:type="gramEnd"/>
      <w:r>
        <w:rPr>
          <w:rFonts w:ascii="Times New Roman" w:hAnsi="Times New Roman" w:hint="eastAsia"/>
          <w:sz w:val="24"/>
        </w:rPr>
        <w:t>财产所有。</w:t>
      </w:r>
    </w:p>
    <w:p w:rsidR="0020207F" w:rsidRDefault="000C59E2">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例三：某投资者认购本基金</w:t>
      </w:r>
      <w:r>
        <w:rPr>
          <w:rFonts w:ascii="Times New Roman" w:hAnsi="Times New Roman"/>
          <w:sz w:val="24"/>
        </w:rPr>
        <w:t>C</w:t>
      </w:r>
      <w:r>
        <w:rPr>
          <w:rFonts w:ascii="Times New Roman" w:hAnsi="Times New Roman" w:hint="eastAsia"/>
          <w:sz w:val="24"/>
        </w:rPr>
        <w:t>类基金份额</w:t>
      </w:r>
      <w:r>
        <w:rPr>
          <w:rFonts w:ascii="Times New Roman" w:hAnsi="Times New Roman"/>
          <w:sz w:val="24"/>
        </w:rPr>
        <w:t>100,000.00</w:t>
      </w:r>
      <w:r>
        <w:rPr>
          <w:rFonts w:ascii="Times New Roman" w:hAnsi="Times New Roman" w:hint="eastAsia"/>
          <w:sz w:val="24"/>
        </w:rPr>
        <w:t>元，且该认购申请被全额确认。假定该笔认购金额产生利息</w:t>
      </w:r>
      <w:r>
        <w:rPr>
          <w:rFonts w:ascii="Times New Roman" w:hAnsi="Times New Roman"/>
          <w:sz w:val="24"/>
        </w:rPr>
        <w:t>50.00</w:t>
      </w:r>
      <w:r>
        <w:rPr>
          <w:rFonts w:ascii="Times New Roman" w:hAnsi="Times New Roman" w:hint="eastAsia"/>
          <w:sz w:val="24"/>
        </w:rPr>
        <w:t>元。则认购份额为：</w:t>
      </w:r>
    </w:p>
    <w:p w:rsidR="0020207F" w:rsidRDefault="000C59E2">
      <w:pPr>
        <w:widowControl/>
        <w:adjustRightInd w:val="0"/>
        <w:snapToGrid w:val="0"/>
        <w:spacing w:line="360" w:lineRule="auto"/>
        <w:ind w:firstLineChars="200" w:firstLine="480"/>
        <w:rPr>
          <w:rFonts w:ascii="Times New Roman" w:hAnsi="Times New Roman"/>
          <w:sz w:val="24"/>
        </w:rPr>
      </w:pPr>
      <w:proofErr w:type="gramStart"/>
      <w:r>
        <w:rPr>
          <w:rFonts w:ascii="Times New Roman" w:hAnsi="Times New Roman" w:hint="eastAsia"/>
          <w:sz w:val="24"/>
        </w:rPr>
        <w:lastRenderedPageBreak/>
        <w:t>认购总</w:t>
      </w:r>
      <w:proofErr w:type="gramEnd"/>
      <w:r>
        <w:rPr>
          <w:rFonts w:ascii="Times New Roman" w:hAnsi="Times New Roman" w:hint="eastAsia"/>
          <w:sz w:val="24"/>
        </w:rPr>
        <w:t>金额</w:t>
      </w:r>
      <w:r>
        <w:rPr>
          <w:rFonts w:ascii="Times New Roman" w:hAnsi="Times New Roman" w:hint="eastAsia"/>
          <w:sz w:val="24"/>
        </w:rPr>
        <w:t>=</w:t>
      </w:r>
      <w:r>
        <w:rPr>
          <w:rFonts w:ascii="Times New Roman" w:hAnsi="Times New Roman"/>
          <w:sz w:val="24"/>
        </w:rPr>
        <w:t>100</w:t>
      </w:r>
      <w:r>
        <w:rPr>
          <w:rFonts w:ascii="Times New Roman" w:hAnsi="Times New Roman" w:hint="eastAsia"/>
          <w:sz w:val="24"/>
        </w:rPr>
        <w:t>,</w:t>
      </w:r>
      <w:r>
        <w:rPr>
          <w:rFonts w:ascii="Times New Roman" w:hAnsi="Times New Roman"/>
          <w:sz w:val="24"/>
        </w:rPr>
        <w:t>000.00</w:t>
      </w:r>
      <w:r>
        <w:rPr>
          <w:rFonts w:ascii="Times New Roman" w:hAnsi="Times New Roman" w:hint="eastAsia"/>
          <w:sz w:val="24"/>
        </w:rPr>
        <w:t>元</w:t>
      </w:r>
    </w:p>
    <w:p w:rsidR="0020207F" w:rsidRDefault="000C59E2">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100,000.00/1.00</w:t>
      </w:r>
      <w:r>
        <w:rPr>
          <w:rFonts w:ascii="Times New Roman" w:hAnsi="Times New Roman" w:hint="eastAsia"/>
          <w:sz w:val="24"/>
        </w:rPr>
        <w:t>＋</w:t>
      </w:r>
      <w:r>
        <w:rPr>
          <w:rFonts w:ascii="Times New Roman" w:hAnsi="Times New Roman"/>
          <w:sz w:val="24"/>
        </w:rPr>
        <w:t>50.00/1.00</w:t>
      </w:r>
      <w:r>
        <w:rPr>
          <w:rFonts w:ascii="Times New Roman" w:hAnsi="Times New Roman" w:hint="eastAsia"/>
          <w:sz w:val="24"/>
        </w:rPr>
        <w:t>＝</w:t>
      </w:r>
      <w:r>
        <w:rPr>
          <w:rFonts w:ascii="Times New Roman" w:hAnsi="Times New Roman"/>
          <w:sz w:val="24"/>
        </w:rPr>
        <w:t>100,050.00</w:t>
      </w:r>
      <w:r>
        <w:rPr>
          <w:rFonts w:ascii="Times New Roman" w:hAnsi="Times New Roman" w:hint="eastAsia"/>
          <w:sz w:val="24"/>
        </w:rPr>
        <w:t>份</w:t>
      </w:r>
    </w:p>
    <w:p w:rsidR="0020207F" w:rsidRDefault="000C59E2">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即：若该投资者投资</w:t>
      </w:r>
      <w:r>
        <w:rPr>
          <w:rFonts w:ascii="Times New Roman" w:hAnsi="Times New Roman"/>
          <w:sz w:val="24"/>
        </w:rPr>
        <w:t>100,000.00</w:t>
      </w:r>
      <w:r>
        <w:rPr>
          <w:rFonts w:ascii="Times New Roman" w:hAnsi="Times New Roman" w:hint="eastAsia"/>
          <w:sz w:val="24"/>
        </w:rPr>
        <w:t>元认购本基金</w:t>
      </w:r>
      <w:r>
        <w:rPr>
          <w:rFonts w:ascii="Times New Roman" w:hAnsi="Times New Roman"/>
          <w:sz w:val="24"/>
        </w:rPr>
        <w:t>C</w:t>
      </w:r>
      <w:r>
        <w:rPr>
          <w:rFonts w:ascii="Times New Roman" w:hAnsi="Times New Roman" w:hint="eastAsia"/>
          <w:sz w:val="24"/>
        </w:rPr>
        <w:t>类基金份额，且该认购申请被全额确认，假定该笔认购金额产生利息</w:t>
      </w:r>
      <w:r>
        <w:rPr>
          <w:rFonts w:ascii="Times New Roman" w:hAnsi="Times New Roman"/>
          <w:sz w:val="24"/>
        </w:rPr>
        <w:t>50.00</w:t>
      </w:r>
      <w:r>
        <w:rPr>
          <w:rFonts w:ascii="Times New Roman" w:hAnsi="Times New Roman" w:hint="eastAsia"/>
          <w:sz w:val="24"/>
        </w:rPr>
        <w:t>元，可得到</w:t>
      </w:r>
      <w:r>
        <w:rPr>
          <w:rFonts w:ascii="Times New Roman" w:hAnsi="Times New Roman"/>
          <w:sz w:val="24"/>
        </w:rPr>
        <w:t>100,050.00</w:t>
      </w:r>
      <w:r>
        <w:rPr>
          <w:rFonts w:ascii="Times New Roman" w:hAnsi="Times New Roman" w:hint="eastAsia"/>
          <w:sz w:val="24"/>
        </w:rPr>
        <w:t>份</w:t>
      </w:r>
      <w:r>
        <w:rPr>
          <w:rFonts w:ascii="Times New Roman" w:hAnsi="Times New Roman"/>
          <w:sz w:val="24"/>
        </w:rPr>
        <w:t>C</w:t>
      </w:r>
      <w:r>
        <w:rPr>
          <w:rFonts w:ascii="Times New Roman" w:hAnsi="Times New Roman" w:hint="eastAsia"/>
          <w:sz w:val="24"/>
        </w:rPr>
        <w:t>类基金份额。</w:t>
      </w:r>
    </w:p>
    <w:p w:rsidR="0020207F" w:rsidRDefault="000C59E2">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color w:val="000000"/>
          <w:sz w:val="24"/>
          <w:szCs w:val="21"/>
        </w:rPr>
        <w:t>4</w:t>
      </w:r>
      <w:r>
        <w:rPr>
          <w:rFonts w:ascii="Times New Roman" w:hAnsi="Times New Roman" w:hint="eastAsia"/>
          <w:color w:val="000000"/>
          <w:sz w:val="24"/>
          <w:szCs w:val="21"/>
        </w:rPr>
        <w:t>、认购的程序</w:t>
      </w:r>
    </w:p>
    <w:p w:rsidR="0020207F" w:rsidRDefault="000C59E2">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w:t>
      </w:r>
      <w:r>
        <w:rPr>
          <w:rFonts w:ascii="Times New Roman" w:hAnsi="Times New Roman"/>
          <w:color w:val="000000"/>
          <w:sz w:val="24"/>
          <w:szCs w:val="21"/>
        </w:rPr>
        <w:t>1</w:t>
      </w:r>
      <w:r>
        <w:rPr>
          <w:rFonts w:ascii="Times New Roman" w:hAnsi="Times New Roman" w:hint="eastAsia"/>
          <w:color w:val="000000"/>
          <w:sz w:val="24"/>
          <w:szCs w:val="21"/>
        </w:rPr>
        <w:t>）申请方式：书面申请或基金管理人公告的其他方式。</w:t>
      </w:r>
    </w:p>
    <w:p w:rsidR="0020207F" w:rsidRDefault="000C59E2">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w:t>
      </w:r>
      <w:r>
        <w:rPr>
          <w:rFonts w:ascii="Times New Roman" w:hAnsi="Times New Roman"/>
          <w:color w:val="000000"/>
          <w:sz w:val="24"/>
          <w:szCs w:val="21"/>
        </w:rPr>
        <w:t>2</w:t>
      </w:r>
      <w:r>
        <w:rPr>
          <w:rFonts w:ascii="Times New Roman" w:hAnsi="Times New Roman" w:hint="eastAsia"/>
          <w:color w:val="000000"/>
          <w:sz w:val="24"/>
          <w:szCs w:val="21"/>
        </w:rPr>
        <w:t>）认购款项支付：投资人认购时，采用全额缴款方式。</w:t>
      </w:r>
    </w:p>
    <w:p w:rsidR="0020207F" w:rsidRDefault="000C59E2">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color w:val="000000"/>
          <w:sz w:val="24"/>
          <w:szCs w:val="21"/>
        </w:rPr>
        <w:t>5</w:t>
      </w:r>
      <w:r>
        <w:rPr>
          <w:rFonts w:ascii="Times New Roman" w:hAnsi="Times New Roman" w:hint="eastAsia"/>
          <w:color w:val="000000"/>
          <w:sz w:val="24"/>
          <w:szCs w:val="21"/>
        </w:rPr>
        <w:t>、认购的确认</w:t>
      </w:r>
    </w:p>
    <w:p w:rsidR="0020207F" w:rsidRDefault="000C59E2">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当日（</w:t>
      </w:r>
      <w:r>
        <w:rPr>
          <w:rFonts w:ascii="Times New Roman" w:hAnsi="Times New Roman"/>
          <w:color w:val="000000"/>
          <w:sz w:val="24"/>
          <w:szCs w:val="21"/>
        </w:rPr>
        <w:t>T</w:t>
      </w:r>
      <w:r>
        <w:rPr>
          <w:rFonts w:ascii="Times New Roman" w:hAnsi="Times New Roman" w:hint="eastAsia"/>
          <w:color w:val="000000"/>
          <w:sz w:val="24"/>
          <w:szCs w:val="21"/>
        </w:rPr>
        <w:t>日）在规定时间内提交的申请，投资人通常可在</w:t>
      </w:r>
      <w:r>
        <w:rPr>
          <w:rFonts w:ascii="Times New Roman" w:hAnsi="Times New Roman"/>
          <w:color w:val="000000"/>
          <w:sz w:val="24"/>
          <w:szCs w:val="21"/>
        </w:rPr>
        <w:t>T+2</w:t>
      </w:r>
      <w:r>
        <w:rPr>
          <w:rFonts w:ascii="Times New Roman" w:hAnsi="Times New Roman" w:hint="eastAsia"/>
          <w:color w:val="000000"/>
          <w:sz w:val="24"/>
          <w:szCs w:val="21"/>
        </w:rPr>
        <w:t>日后（包括该日）到销售网点查询交易情况。销售机构对认购申请的受理并不代表该申请一定成功，而仅代表销售机构确实接收到认购申请。申请的成功确认应以基金合同生效后、登记机构的确认登记为准。</w:t>
      </w:r>
      <w:r>
        <w:rPr>
          <w:rFonts w:ascii="Times New Roman" w:hAnsi="Times New Roman"/>
          <w:sz w:val="24"/>
        </w:rPr>
        <w:t>对于认购申请及认购份额的确认情况，投资人应及时查询。</w:t>
      </w:r>
      <w:r>
        <w:rPr>
          <w:rFonts w:ascii="Times New Roman" w:hAnsi="Times New Roman" w:hint="eastAsia"/>
          <w:color w:val="000000"/>
          <w:sz w:val="24"/>
          <w:szCs w:val="21"/>
        </w:rPr>
        <w:t>投资人可以在基金合同生效后到原认购网点打印认购成交确认凭证。</w:t>
      </w:r>
    </w:p>
    <w:p w:rsidR="0020207F" w:rsidRDefault="000C59E2">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投资人开户和认购所需提交的文件和办理的具体程序，请参阅基金份额发售公告。</w:t>
      </w:r>
    </w:p>
    <w:p w:rsidR="0020207F" w:rsidRDefault="000C59E2">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color w:val="000000"/>
          <w:sz w:val="24"/>
          <w:szCs w:val="21"/>
        </w:rPr>
        <w:t>6</w:t>
      </w:r>
      <w:r>
        <w:rPr>
          <w:rFonts w:ascii="Times New Roman" w:hAnsi="Times New Roman" w:hint="eastAsia"/>
          <w:color w:val="000000"/>
          <w:sz w:val="24"/>
          <w:szCs w:val="21"/>
        </w:rPr>
        <w:t>、募集期利息的处理方式</w:t>
      </w:r>
    </w:p>
    <w:p w:rsidR="0020207F" w:rsidRDefault="000C59E2">
      <w:pPr>
        <w:widowControl/>
        <w:adjustRightInd w:val="0"/>
        <w:snapToGrid w:val="0"/>
        <w:spacing w:line="360" w:lineRule="auto"/>
        <w:ind w:firstLineChars="200" w:firstLine="480"/>
        <w:rPr>
          <w:rFonts w:ascii="Times New Roman" w:hAnsi="Times New Roman"/>
          <w:color w:val="000000"/>
          <w:sz w:val="24"/>
          <w:szCs w:val="21"/>
        </w:rPr>
      </w:pPr>
      <w:r>
        <w:rPr>
          <w:rFonts w:ascii="Times New Roman" w:hAnsi="Times New Roman" w:hint="eastAsia"/>
          <w:color w:val="000000"/>
          <w:sz w:val="24"/>
          <w:szCs w:val="21"/>
        </w:rPr>
        <w:t>本</w:t>
      </w:r>
      <w:proofErr w:type="gramStart"/>
      <w:r>
        <w:rPr>
          <w:rFonts w:ascii="Times New Roman" w:hAnsi="Times New Roman" w:hint="eastAsia"/>
          <w:color w:val="000000"/>
          <w:sz w:val="24"/>
          <w:szCs w:val="21"/>
        </w:rPr>
        <w:t>基金基金</w:t>
      </w:r>
      <w:proofErr w:type="gramEnd"/>
      <w:r>
        <w:rPr>
          <w:rFonts w:ascii="Times New Roman" w:hAnsi="Times New Roman" w:hint="eastAsia"/>
          <w:color w:val="000000"/>
          <w:sz w:val="24"/>
          <w:szCs w:val="21"/>
        </w:rPr>
        <w:t>合同生效前，投资人的有效认购款项只能存入专门账户，任何人不得动用。有效认购款项在募集期间产生的利息将折算为相应类别的基金份额</w:t>
      </w:r>
      <w:proofErr w:type="gramStart"/>
      <w:r>
        <w:rPr>
          <w:rFonts w:ascii="Times New Roman" w:hAnsi="Times New Roman" w:hint="eastAsia"/>
          <w:color w:val="000000"/>
          <w:sz w:val="24"/>
          <w:szCs w:val="21"/>
        </w:rPr>
        <w:t>归基金</w:t>
      </w:r>
      <w:proofErr w:type="gramEnd"/>
      <w:r>
        <w:rPr>
          <w:rFonts w:ascii="Times New Roman" w:hAnsi="Times New Roman" w:hint="eastAsia"/>
          <w:color w:val="000000"/>
          <w:sz w:val="24"/>
          <w:szCs w:val="21"/>
        </w:rPr>
        <w:t>份额持有人所有。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1" w:name="_Hlt91148053"/>
      <w:bookmarkStart w:id="12" w:name="_Hlt91264042"/>
      <w:bookmarkStart w:id="13" w:name="_Hlt91264078"/>
      <w:bookmarkStart w:id="14" w:name="_Hlt90455312"/>
      <w:bookmarkStart w:id="15" w:name="_Hlt90801570"/>
      <w:bookmarkEnd w:id="11"/>
      <w:bookmarkEnd w:id="12"/>
      <w:bookmarkEnd w:id="13"/>
      <w:bookmarkEnd w:id="14"/>
      <w:bookmarkEnd w:id="15"/>
      <w:r>
        <w:rPr>
          <w:rFonts w:ascii="Times New Roman" w:hAnsi="Times New Roman" w:hint="eastAsia"/>
          <w:sz w:val="24"/>
          <w:szCs w:val="21"/>
        </w:rPr>
        <w:t>。</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16" w:name="_Toc104564190"/>
      <w:r>
        <w:rPr>
          <w:rFonts w:ascii="Times New Roman" w:hAnsi="Times New Roman"/>
          <w:sz w:val="30"/>
        </w:rPr>
        <w:lastRenderedPageBreak/>
        <w:t>七、基金合同的生效</w:t>
      </w:r>
      <w:bookmarkEnd w:id="16"/>
    </w:p>
    <w:p w:rsidR="0020207F" w:rsidRDefault="000C59E2">
      <w:pPr>
        <w:pStyle w:val="a3"/>
        <w:autoSpaceDE w:val="0"/>
        <w:autoSpaceDN w:val="0"/>
        <w:adjustRightInd w:val="0"/>
        <w:snapToGrid w:val="0"/>
        <w:spacing w:line="360" w:lineRule="auto"/>
        <w:ind w:firstLine="482"/>
        <w:rPr>
          <w:b/>
          <w:sz w:val="24"/>
        </w:rPr>
      </w:pPr>
      <w:bookmarkStart w:id="17" w:name="_Toc15118260"/>
      <w:bookmarkStart w:id="18" w:name="_Toc57530272"/>
      <w:bookmarkStart w:id="19" w:name="_Toc79392603"/>
      <w:r>
        <w:rPr>
          <w:rFonts w:hAnsi="宋体"/>
          <w:b/>
          <w:sz w:val="24"/>
        </w:rPr>
        <w:t>（一）基金备案的条件</w:t>
      </w:r>
    </w:p>
    <w:p w:rsidR="0020207F" w:rsidRDefault="000C59E2">
      <w:pPr>
        <w:pStyle w:val="a3"/>
        <w:autoSpaceDE w:val="0"/>
        <w:autoSpaceDN w:val="0"/>
        <w:adjustRightInd w:val="0"/>
        <w:snapToGrid w:val="0"/>
        <w:spacing w:line="360" w:lineRule="auto"/>
        <w:ind w:firstLine="480"/>
        <w:rPr>
          <w:color w:val="000000"/>
          <w:sz w:val="24"/>
          <w:szCs w:val="21"/>
        </w:rPr>
      </w:pPr>
      <w:r>
        <w:rPr>
          <w:rFonts w:hint="eastAsia"/>
          <w:color w:val="000000"/>
          <w:sz w:val="24"/>
          <w:szCs w:val="21"/>
        </w:rPr>
        <w:t>本基金自基金份额发售之日起</w:t>
      </w:r>
      <w:r>
        <w:rPr>
          <w:rFonts w:hint="eastAsia"/>
          <w:color w:val="000000"/>
          <w:sz w:val="24"/>
          <w:szCs w:val="21"/>
        </w:rPr>
        <w:t>3</w:t>
      </w:r>
      <w:r>
        <w:rPr>
          <w:rFonts w:hint="eastAsia"/>
          <w:color w:val="000000"/>
          <w:sz w:val="24"/>
          <w:szCs w:val="21"/>
        </w:rPr>
        <w:t>个月内，在基金募集份额总额不少于</w:t>
      </w:r>
      <w:r>
        <w:rPr>
          <w:rFonts w:hint="eastAsia"/>
          <w:color w:val="000000"/>
          <w:sz w:val="24"/>
          <w:szCs w:val="21"/>
        </w:rPr>
        <w:t>2</w:t>
      </w:r>
      <w:r>
        <w:rPr>
          <w:rFonts w:hint="eastAsia"/>
          <w:color w:val="000000"/>
          <w:sz w:val="24"/>
          <w:szCs w:val="21"/>
        </w:rPr>
        <w:t>亿份，基金募集金额不少于</w:t>
      </w:r>
      <w:r>
        <w:rPr>
          <w:rFonts w:hint="eastAsia"/>
          <w:color w:val="000000"/>
          <w:sz w:val="24"/>
          <w:szCs w:val="21"/>
        </w:rPr>
        <w:t>2</w:t>
      </w:r>
      <w:r>
        <w:rPr>
          <w:rFonts w:hint="eastAsia"/>
          <w:color w:val="000000"/>
          <w:sz w:val="24"/>
          <w:szCs w:val="21"/>
        </w:rPr>
        <w:t>亿元人民币</w:t>
      </w:r>
      <w:proofErr w:type="gramStart"/>
      <w:r>
        <w:rPr>
          <w:rFonts w:hint="eastAsia"/>
          <w:color w:val="000000"/>
          <w:sz w:val="24"/>
          <w:szCs w:val="21"/>
        </w:rPr>
        <w:t>且基金</w:t>
      </w:r>
      <w:proofErr w:type="gramEnd"/>
      <w:r>
        <w:rPr>
          <w:rFonts w:hint="eastAsia"/>
          <w:color w:val="000000"/>
          <w:sz w:val="24"/>
          <w:szCs w:val="21"/>
        </w:rPr>
        <w:t>认购人数不少于</w:t>
      </w:r>
      <w:r>
        <w:rPr>
          <w:rFonts w:hint="eastAsia"/>
          <w:color w:val="000000"/>
          <w:sz w:val="24"/>
          <w:szCs w:val="21"/>
        </w:rPr>
        <w:t>200</w:t>
      </w:r>
      <w:r>
        <w:rPr>
          <w:rFonts w:hint="eastAsia"/>
          <w:color w:val="000000"/>
          <w:sz w:val="24"/>
          <w:szCs w:val="21"/>
        </w:rPr>
        <w:t>人的条件下，基金募集期届满或基金管理人依据法律法规及招募说明书可以决定停止基金发售，并在</w:t>
      </w:r>
      <w:r>
        <w:rPr>
          <w:rFonts w:hint="eastAsia"/>
          <w:color w:val="000000"/>
          <w:sz w:val="24"/>
          <w:szCs w:val="21"/>
        </w:rPr>
        <w:t>10</w:t>
      </w:r>
      <w:r>
        <w:rPr>
          <w:rFonts w:hint="eastAsia"/>
          <w:color w:val="000000"/>
          <w:sz w:val="24"/>
          <w:szCs w:val="21"/>
        </w:rPr>
        <w:t>日内聘请法定验资机构验资，自收到验资报告之日起</w:t>
      </w:r>
      <w:r>
        <w:rPr>
          <w:rFonts w:hint="eastAsia"/>
          <w:color w:val="000000"/>
          <w:sz w:val="24"/>
          <w:szCs w:val="21"/>
        </w:rPr>
        <w:t>10</w:t>
      </w:r>
      <w:r>
        <w:rPr>
          <w:rFonts w:hint="eastAsia"/>
          <w:color w:val="000000"/>
          <w:sz w:val="24"/>
          <w:szCs w:val="21"/>
        </w:rPr>
        <w:t>日内，向中国证监会办理基金备案手续。</w:t>
      </w:r>
    </w:p>
    <w:p w:rsidR="0020207F" w:rsidRDefault="000C59E2">
      <w:pPr>
        <w:widowControl/>
        <w:adjustRightInd w:val="0"/>
        <w:snapToGrid w:val="0"/>
        <w:spacing w:line="360" w:lineRule="auto"/>
        <w:ind w:firstLineChars="200" w:firstLine="480"/>
        <w:rPr>
          <w:color w:val="000000"/>
          <w:sz w:val="24"/>
          <w:szCs w:val="21"/>
        </w:rPr>
      </w:pPr>
      <w:r>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0207F" w:rsidRDefault="000C59E2">
      <w:pPr>
        <w:adjustRightInd w:val="0"/>
        <w:snapToGrid w:val="0"/>
        <w:spacing w:line="360" w:lineRule="auto"/>
        <w:ind w:firstLineChars="200" w:firstLine="482"/>
        <w:rPr>
          <w:bCs/>
          <w:sz w:val="24"/>
        </w:rPr>
      </w:pPr>
      <w:r>
        <w:rPr>
          <w:rFonts w:hAnsi="宋体"/>
          <w:b/>
          <w:sz w:val="24"/>
        </w:rPr>
        <w:t>（二）</w:t>
      </w:r>
      <w:r>
        <w:rPr>
          <w:b/>
          <w:bCs/>
          <w:sz w:val="24"/>
        </w:rPr>
        <w:t>基金合同不能生效时募集资金的处理方式</w:t>
      </w:r>
    </w:p>
    <w:p w:rsidR="0020207F" w:rsidRDefault="000C59E2">
      <w:pPr>
        <w:adjustRightInd w:val="0"/>
        <w:snapToGrid w:val="0"/>
        <w:spacing w:line="360" w:lineRule="auto"/>
        <w:ind w:firstLineChars="200" w:firstLine="480"/>
        <w:rPr>
          <w:color w:val="000000"/>
          <w:sz w:val="24"/>
          <w:szCs w:val="21"/>
        </w:rPr>
      </w:pPr>
      <w:r>
        <w:rPr>
          <w:rFonts w:hint="eastAsia"/>
          <w:color w:val="000000"/>
          <w:sz w:val="24"/>
          <w:szCs w:val="21"/>
        </w:rPr>
        <w:t>如果募集期限届满，未满足基金备案条件，基金管理人应当承担下列责任：</w:t>
      </w:r>
    </w:p>
    <w:p w:rsidR="0020207F" w:rsidRDefault="000C59E2">
      <w:pPr>
        <w:adjustRightInd w:val="0"/>
        <w:snapToGrid w:val="0"/>
        <w:spacing w:line="360" w:lineRule="auto"/>
        <w:ind w:firstLineChars="200" w:firstLine="480"/>
        <w:rPr>
          <w:color w:val="000000"/>
          <w:sz w:val="24"/>
          <w:szCs w:val="21"/>
        </w:rPr>
      </w:pPr>
      <w:r>
        <w:rPr>
          <w:rFonts w:hint="eastAsia"/>
          <w:color w:val="000000"/>
          <w:sz w:val="24"/>
          <w:szCs w:val="21"/>
        </w:rPr>
        <w:t>1</w:t>
      </w:r>
      <w:r>
        <w:rPr>
          <w:rFonts w:hint="eastAsia"/>
          <w:color w:val="000000"/>
          <w:sz w:val="24"/>
          <w:szCs w:val="21"/>
        </w:rPr>
        <w:t>、以其固有财产承担因募集行为而产生的债务和费用；</w:t>
      </w:r>
    </w:p>
    <w:p w:rsidR="0020207F" w:rsidRDefault="000C59E2">
      <w:pPr>
        <w:adjustRightInd w:val="0"/>
        <w:snapToGrid w:val="0"/>
        <w:spacing w:line="360" w:lineRule="auto"/>
        <w:ind w:firstLineChars="200" w:firstLine="480"/>
        <w:rPr>
          <w:color w:val="000000"/>
          <w:sz w:val="24"/>
          <w:szCs w:val="21"/>
        </w:rPr>
      </w:pPr>
      <w:r>
        <w:rPr>
          <w:rFonts w:hint="eastAsia"/>
          <w:color w:val="000000"/>
          <w:sz w:val="24"/>
          <w:szCs w:val="21"/>
        </w:rPr>
        <w:t>2</w:t>
      </w:r>
      <w:r>
        <w:rPr>
          <w:rFonts w:hint="eastAsia"/>
          <w:color w:val="000000"/>
          <w:sz w:val="24"/>
          <w:szCs w:val="21"/>
        </w:rPr>
        <w:t>、在基金募集期限届满后</w:t>
      </w:r>
      <w:r>
        <w:rPr>
          <w:rFonts w:ascii="Times New Roman" w:hAnsi="Times New Roman"/>
          <w:color w:val="000000"/>
          <w:sz w:val="24"/>
          <w:szCs w:val="21"/>
        </w:rPr>
        <w:t>30</w:t>
      </w:r>
      <w:r>
        <w:rPr>
          <w:rFonts w:hint="eastAsia"/>
          <w:color w:val="000000"/>
          <w:sz w:val="24"/>
          <w:szCs w:val="21"/>
        </w:rPr>
        <w:t>日内返还投资者已缴纳的款项，并加计银行同期活期存款利息；</w:t>
      </w:r>
    </w:p>
    <w:p w:rsidR="0020207F" w:rsidRDefault="000C59E2">
      <w:pPr>
        <w:adjustRightInd w:val="0"/>
        <w:snapToGrid w:val="0"/>
        <w:spacing w:line="360" w:lineRule="auto"/>
        <w:ind w:firstLineChars="200" w:firstLine="480"/>
        <w:rPr>
          <w:color w:val="000000"/>
          <w:sz w:val="24"/>
          <w:szCs w:val="21"/>
        </w:rPr>
      </w:pPr>
      <w:r>
        <w:rPr>
          <w:rFonts w:hint="eastAsia"/>
          <w:color w:val="000000"/>
          <w:sz w:val="24"/>
          <w:szCs w:val="21"/>
        </w:rPr>
        <w:t>3</w:t>
      </w:r>
      <w:r>
        <w:rPr>
          <w:rFonts w:hint="eastAsia"/>
          <w:color w:val="000000"/>
          <w:sz w:val="24"/>
          <w:szCs w:val="21"/>
        </w:rPr>
        <w:t>、如基金募集失败，基金管理人、基金托管人及销售机构不得请求报酬。基金管理人、基金托管人和销售机构为基金募集支付之一切费用应由各方各自承担。</w:t>
      </w:r>
    </w:p>
    <w:p w:rsidR="0020207F" w:rsidRDefault="000C59E2">
      <w:pPr>
        <w:adjustRightInd w:val="0"/>
        <w:snapToGrid w:val="0"/>
        <w:spacing w:line="360" w:lineRule="auto"/>
        <w:ind w:firstLineChars="200" w:firstLine="482"/>
        <w:rPr>
          <w:rFonts w:hAnsi="宋体"/>
          <w:b/>
          <w:sz w:val="24"/>
        </w:rPr>
      </w:pPr>
      <w:r>
        <w:rPr>
          <w:rFonts w:hAnsi="宋体"/>
          <w:b/>
          <w:sz w:val="24"/>
        </w:rPr>
        <w:t>（三）基金存续期内的基金份额持有人数量和资产规模</w:t>
      </w:r>
    </w:p>
    <w:bookmarkEnd w:id="17"/>
    <w:bookmarkEnd w:id="18"/>
    <w:bookmarkEnd w:id="19"/>
    <w:p w:rsidR="0020207F" w:rsidRDefault="000C59E2">
      <w:pPr>
        <w:adjustRightInd w:val="0"/>
        <w:snapToGrid w:val="0"/>
        <w:spacing w:line="360" w:lineRule="auto"/>
        <w:ind w:firstLineChars="200" w:firstLine="480"/>
        <w:rPr>
          <w:bCs/>
          <w:color w:val="000000"/>
          <w:sz w:val="24"/>
          <w:szCs w:val="21"/>
        </w:rPr>
      </w:pPr>
      <w:r>
        <w:rPr>
          <w:rFonts w:hint="eastAsia"/>
          <w:bCs/>
          <w:color w:val="000000"/>
          <w:sz w:val="24"/>
          <w:szCs w:val="21"/>
        </w:rPr>
        <w:t>《基金合同》生效后，连续</w:t>
      </w:r>
      <w:r>
        <w:rPr>
          <w:rFonts w:ascii="Times New Roman" w:hAnsi="Times New Roman"/>
          <w:bCs/>
          <w:color w:val="000000"/>
          <w:sz w:val="24"/>
          <w:szCs w:val="21"/>
        </w:rPr>
        <w:t>20</w:t>
      </w:r>
      <w:r>
        <w:rPr>
          <w:rFonts w:ascii="Times New Roman" w:hAnsi="Times New Roman"/>
          <w:bCs/>
          <w:color w:val="000000"/>
          <w:sz w:val="24"/>
          <w:szCs w:val="21"/>
        </w:rPr>
        <w:t>个工作日出现基金份额持有人数量不满</w:t>
      </w:r>
      <w:r>
        <w:rPr>
          <w:rFonts w:ascii="Times New Roman" w:hAnsi="Times New Roman"/>
          <w:bCs/>
          <w:color w:val="000000"/>
          <w:sz w:val="24"/>
          <w:szCs w:val="21"/>
        </w:rPr>
        <w:t>200</w:t>
      </w:r>
      <w:r>
        <w:rPr>
          <w:rFonts w:ascii="Times New Roman" w:hAnsi="Times New Roman"/>
          <w:bCs/>
          <w:color w:val="000000"/>
          <w:sz w:val="24"/>
          <w:szCs w:val="21"/>
        </w:rPr>
        <w:t>人或者基金资产净值低于</w:t>
      </w:r>
      <w:r>
        <w:rPr>
          <w:rFonts w:ascii="Times New Roman" w:hAnsi="Times New Roman"/>
          <w:bCs/>
          <w:color w:val="000000"/>
          <w:sz w:val="24"/>
          <w:szCs w:val="21"/>
        </w:rPr>
        <w:t>5000</w:t>
      </w:r>
      <w:r>
        <w:rPr>
          <w:rFonts w:ascii="Times New Roman" w:hAnsi="Times New Roman"/>
          <w:bCs/>
          <w:color w:val="000000"/>
          <w:sz w:val="24"/>
          <w:szCs w:val="21"/>
        </w:rPr>
        <w:t>万元情形的，基金管理人应当在定期报告中予以披露；连续</w:t>
      </w:r>
      <w:r>
        <w:rPr>
          <w:rFonts w:ascii="Times New Roman" w:hAnsi="Times New Roman"/>
          <w:bCs/>
          <w:color w:val="000000"/>
          <w:sz w:val="24"/>
          <w:szCs w:val="21"/>
        </w:rPr>
        <w:t>50</w:t>
      </w:r>
      <w:r>
        <w:rPr>
          <w:rFonts w:hint="eastAsia"/>
          <w:bCs/>
          <w:color w:val="000000"/>
          <w:sz w:val="24"/>
          <w:szCs w:val="21"/>
        </w:rPr>
        <w:t>个工作日出现前述情形的，基金合同终止，不需召开基金份额持有人大会。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color w:val="000000"/>
          <w:sz w:val="24"/>
          <w:szCs w:val="21"/>
        </w:rPr>
        <w:t>法律法规或中国证监会另有规定时，从其规定。</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20" w:name="_Toc104564191"/>
      <w:r>
        <w:rPr>
          <w:rFonts w:ascii="Times New Roman" w:hAnsi="Times New Roman"/>
          <w:sz w:val="30"/>
        </w:rPr>
        <w:lastRenderedPageBreak/>
        <w:t>八、基金份额的申购与赎回</w:t>
      </w:r>
      <w:bookmarkEnd w:id="20"/>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Pr>
          <w:rFonts w:ascii="宋体" w:hAnsi="宋体" w:hint="eastAsia"/>
          <w:sz w:val="24"/>
        </w:rPr>
        <w:t>基金管理</w:t>
      </w:r>
      <w:proofErr w:type="gramStart"/>
      <w:r>
        <w:rPr>
          <w:rFonts w:ascii="宋体" w:hAnsi="宋体" w:hint="eastAsia"/>
          <w:sz w:val="24"/>
        </w:rPr>
        <w:t>人</w:t>
      </w:r>
      <w:r>
        <w:rPr>
          <w:rFonts w:ascii="宋体" w:hAnsi="宋体"/>
          <w:sz w:val="24"/>
        </w:rPr>
        <w:t>客户</w:t>
      </w:r>
      <w:proofErr w:type="gramEnd"/>
      <w:r>
        <w:rPr>
          <w:rFonts w:ascii="宋体" w:hAnsi="宋体"/>
          <w:sz w:val="24"/>
        </w:rPr>
        <w:t>服务电话进行咨询。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Pr>
          <w:rFonts w:ascii="宋体" w:hAnsi="宋体" w:hint="eastAsia"/>
          <w:sz w:val="24"/>
        </w:rPr>
        <w:t>基金</w:t>
      </w:r>
      <w:r>
        <w:rPr>
          <w:rFonts w:ascii="宋体" w:hAnsi="宋体"/>
          <w:sz w:val="24"/>
        </w:rPr>
        <w:t>管理人网站公示。</w:t>
      </w:r>
    </w:p>
    <w:p w:rsidR="0020207F" w:rsidRDefault="000C59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r>
        <w:rPr>
          <w:rFonts w:hint="eastAsia"/>
          <w:bCs/>
          <w:sz w:val="24"/>
        </w:rPr>
        <w:t>但对于每份基金份额，基金份额持有人仅可在该基金份额最短持有期限届满日起（含该日）申请赎回，</w:t>
      </w:r>
      <w:r>
        <w:rPr>
          <w:rFonts w:ascii="宋体" w:hAnsi="宋体"/>
          <w:sz w:val="24"/>
        </w:rPr>
        <w:t>具体办理时间为上海证券交易所、深圳证券交易所的正常交易日的交易时间，但基金管理人根</w:t>
      </w:r>
      <w:r>
        <w:rPr>
          <w:rFonts w:ascii="宋体" w:hAnsi="宋体"/>
          <w:sz w:val="24"/>
        </w:rPr>
        <w:lastRenderedPageBreak/>
        <w:t>据法律法规、中国证监会的要求或基金合同的规定公告暂停申购、赎回时除外。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w:t>
      </w:r>
      <w:r>
        <w:rPr>
          <w:rFonts w:hint="eastAsia"/>
          <w:bCs/>
          <w:sz w:val="24"/>
        </w:rPr>
        <w:t>/</w:t>
      </w:r>
      <w:r>
        <w:rPr>
          <w:rFonts w:hint="eastAsia"/>
          <w:bCs/>
          <w:sz w:val="24"/>
        </w:rPr>
        <w:t>期货</w:t>
      </w:r>
      <w:r>
        <w:rPr>
          <w:rFonts w:ascii="宋体" w:hAnsi="宋体"/>
          <w:sz w:val="24"/>
        </w:rPr>
        <w:t>交易市场、证券</w:t>
      </w:r>
      <w:r>
        <w:rPr>
          <w:rFonts w:hint="eastAsia"/>
          <w:bCs/>
          <w:sz w:val="24"/>
        </w:rPr>
        <w:t>/</w:t>
      </w:r>
      <w:r>
        <w:rPr>
          <w:rFonts w:hint="eastAsia"/>
          <w:bCs/>
          <w:sz w:val="24"/>
        </w:rPr>
        <w:t>期货</w:t>
      </w:r>
      <w:r>
        <w:rPr>
          <w:rFonts w:ascii="宋体" w:hAnsi="宋体"/>
          <w:sz w:val="24"/>
        </w:rPr>
        <w:t>交易所交易时间变更或其他特殊情况，基金管理人将视情况对前述开放日及开放时间进行相应的调整，但应在实施日前依照《信息披露办法》的有关规定在规定媒介上公告。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20207F" w:rsidRDefault="000C59E2">
      <w:pPr>
        <w:spacing w:line="360" w:lineRule="auto"/>
        <w:ind w:firstLineChars="200" w:firstLine="480"/>
        <w:rPr>
          <w:bCs/>
          <w:sz w:val="24"/>
        </w:rPr>
      </w:pPr>
      <w:r>
        <w:rPr>
          <w:bCs/>
          <w:sz w:val="24"/>
        </w:rPr>
        <w:t>基金管理人</w:t>
      </w:r>
      <w:r>
        <w:rPr>
          <w:rFonts w:hint="eastAsia"/>
          <w:bCs/>
          <w:sz w:val="24"/>
        </w:rPr>
        <w:t>可</w:t>
      </w:r>
      <w:r>
        <w:rPr>
          <w:bCs/>
          <w:sz w:val="24"/>
        </w:rPr>
        <w:t>根据实际情况依法决定本基金开始办理申购的具体日期，具体业务办理时间在申购开始公告中规定。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基金管理人自基金合同生效之日起的第</w:t>
      </w:r>
      <w:r>
        <w:rPr>
          <w:rFonts w:ascii="Times New Roman" w:hAnsi="Times New Roman"/>
          <w:bCs/>
          <w:sz w:val="24"/>
        </w:rPr>
        <w:t>180</w:t>
      </w:r>
      <w:r>
        <w:rPr>
          <w:rFonts w:ascii="Times New Roman" w:hAnsi="Times New Roman"/>
          <w:bCs/>
          <w:sz w:val="24"/>
        </w:rPr>
        <w:t>天</w:t>
      </w:r>
      <w:r>
        <w:rPr>
          <w:rFonts w:hint="eastAsia"/>
          <w:bCs/>
          <w:sz w:val="24"/>
        </w:rPr>
        <w:t>（含该日，如为非工作日则顺延</w:t>
      </w:r>
      <w:r>
        <w:rPr>
          <w:bCs/>
          <w:sz w:val="24"/>
        </w:rPr>
        <w:t>至</w:t>
      </w:r>
      <w:r>
        <w:rPr>
          <w:rFonts w:hint="eastAsia"/>
          <w:bCs/>
          <w:sz w:val="24"/>
        </w:rPr>
        <w:t>下一工作日）开始办理赎回，具体业务办理时间在赎回开始公告中规定。</w:t>
      </w:r>
      <w:r>
        <w:rPr>
          <w:rFonts w:hint="eastAsia"/>
          <w:sz w:val="24"/>
          <w:szCs w:val="24"/>
        </w:rPr>
        <w:t>对于每份基金份额，自其最短持有期限届满日起（含该日），基金份额持有人方可就该基金份额提出赎回申请。</w:t>
      </w:r>
      <w:r>
        <w:rPr>
          <w:rFonts w:ascii="宋体" w:hAnsi="宋体"/>
          <w:sz w:val="24"/>
        </w:rPr>
        <w:t>在确定申购开始与赎回开始时间后，基金管理人应在申购、赎回开放日前依照《信息披露办法》的有关规定在规定媒介上公告申购与赎回的开始时间。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机构确认接受的，其基金份额申购、赎回价格为下一开放日基金份额申购、赎回的价格。</w:t>
      </w:r>
      <w:r>
        <w:rPr>
          <w:rFonts w:hint="eastAsia"/>
          <w:sz w:val="24"/>
          <w:szCs w:val="24"/>
        </w:rPr>
        <w:t>投资人在最短持有期限内提出的赎回或转换申请，视为无效申请。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hint="eastAsia"/>
          <w:bCs/>
          <w:sz w:val="24"/>
        </w:rPr>
        <w:t>赎回遵循“先进先出”原则，即按照投资人认购、申购的先后次序进行顺序赎回；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1、申购金额的限制</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直销机构首次申购的最低金额为单笔100</w:t>
      </w:r>
      <w:r>
        <w:rPr>
          <w:rFonts w:ascii="宋体" w:hAnsi="宋体" w:hint="eastAsia"/>
          <w:sz w:val="24"/>
        </w:rPr>
        <w:t>万</w:t>
      </w:r>
      <w:r>
        <w:rPr>
          <w:rFonts w:ascii="宋体" w:hAnsi="宋体"/>
          <w:sz w:val="24"/>
        </w:rPr>
        <w:t>元，追加申购的最低金额为单笔10</w:t>
      </w:r>
      <w:r>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rsidR="0020207F" w:rsidRDefault="000C59E2">
      <w:pPr>
        <w:widowControl/>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hint="eastAsia"/>
          <w:color w:val="000000"/>
          <w:kern w:val="0"/>
          <w:sz w:val="24"/>
        </w:rPr>
        <w:t>本基金单一投资者单日申购金额不超过</w:t>
      </w:r>
      <w:r>
        <w:rPr>
          <w:rFonts w:ascii="Times New Roman" w:hAnsi="Times New Roman" w:hint="eastAsia"/>
          <w:color w:val="000000"/>
          <w:kern w:val="0"/>
          <w:sz w:val="24"/>
        </w:rPr>
        <w:t>1000</w:t>
      </w:r>
      <w:r>
        <w:rPr>
          <w:rFonts w:ascii="Times New Roman" w:hAnsi="Times New Roman" w:hint="eastAsia"/>
          <w:color w:val="000000"/>
          <w:kern w:val="0"/>
          <w:sz w:val="24"/>
        </w:rPr>
        <w:t>万元（个人投资者、公</w:t>
      </w:r>
      <w:proofErr w:type="gramStart"/>
      <w:r>
        <w:rPr>
          <w:rFonts w:ascii="Times New Roman" w:hAnsi="Times New Roman" w:hint="eastAsia"/>
          <w:color w:val="000000"/>
          <w:kern w:val="0"/>
          <w:sz w:val="24"/>
        </w:rPr>
        <w:t>募资产</w:t>
      </w:r>
      <w:proofErr w:type="gramEnd"/>
      <w:r>
        <w:rPr>
          <w:rFonts w:ascii="Times New Roman" w:hAnsi="Times New Roman" w:hint="eastAsia"/>
          <w:color w:val="000000"/>
          <w:kern w:val="0"/>
          <w:sz w:val="24"/>
        </w:rPr>
        <w:t>管理产品、职业年金计划、企业年金计划、养老金产品和基金管理人自有资金除外）。基金管理人可以调整单一投资者单日申购金额上限，具体规定请参见更新的招募说明书或相关公告</w:t>
      </w:r>
      <w:r>
        <w:rPr>
          <w:rFonts w:ascii="Times New Roman" w:hAnsi="Times New Roman" w:hint="eastAsia"/>
          <w:kern w:val="0"/>
          <w:sz w:val="24"/>
          <w:szCs w:val="20"/>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rsidR="0020207F" w:rsidRDefault="000C59E2">
      <w:pPr>
        <w:autoSpaceDE w:val="0"/>
        <w:autoSpaceDN w:val="0"/>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本基金暂无最低保留余额限制。</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4、基金管理人可以规定基金总规模上限、单个投资人累计持有的基金份额上限，具体规定请参见相关公告。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基金管理人届时发布的相关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6、基金管理人可在法律法规允许的情况下，调整</w:t>
      </w:r>
      <w:r>
        <w:rPr>
          <w:rFonts w:ascii="宋体" w:hAnsi="宋体" w:hint="eastAsia"/>
          <w:sz w:val="24"/>
        </w:rPr>
        <w:t>上述规定</w:t>
      </w:r>
      <w:r>
        <w:rPr>
          <w:rFonts w:ascii="宋体" w:hAnsi="宋体"/>
          <w:sz w:val="24"/>
        </w:rPr>
        <w:t>申购金额和赎回份额的数量限制。基金管理人必须在调整实施前依照《信息披露办法》的有关规定在规定媒介上公告。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（五）申购和赎回的程序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份额分为A类基金份额和C类基金份额。投资人申购A类基金份额在申购时支付申购费用；申购C类基金份额不支付申购费用，并从该类别基金资产中</w:t>
      </w:r>
      <w:r>
        <w:rPr>
          <w:rFonts w:ascii="宋体" w:hAnsi="宋体"/>
          <w:sz w:val="24"/>
        </w:rPr>
        <w:lastRenderedPageBreak/>
        <w:t>计</w:t>
      </w:r>
      <w:proofErr w:type="gramStart"/>
      <w:r>
        <w:rPr>
          <w:rFonts w:ascii="宋体" w:hAnsi="宋体"/>
          <w:sz w:val="24"/>
        </w:rPr>
        <w:t>提销售</w:t>
      </w:r>
      <w:proofErr w:type="gramEnd"/>
      <w:r>
        <w:rPr>
          <w:rFonts w:ascii="宋体" w:hAnsi="宋体"/>
          <w:sz w:val="24"/>
        </w:rPr>
        <w:t>服务费。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Pr>
          <w:rFonts w:ascii="宋体" w:hAnsi="宋体" w:hint="eastAsia"/>
          <w:sz w:val="24"/>
        </w:rPr>
        <w:t>A类基金份额的</w:t>
      </w:r>
      <w:r>
        <w:rPr>
          <w:rFonts w:ascii="宋体" w:hAnsi="宋体"/>
          <w:sz w:val="24"/>
        </w:rPr>
        <w:t>申购费用按</w:t>
      </w:r>
      <w:r>
        <w:rPr>
          <w:rFonts w:ascii="宋体" w:hAnsi="宋体" w:hint="eastAsia"/>
          <w:sz w:val="24"/>
        </w:rPr>
        <w:t>A类基金份额</w:t>
      </w:r>
      <w:r>
        <w:rPr>
          <w:rFonts w:ascii="宋体" w:hAnsi="宋体"/>
          <w:sz w:val="24"/>
        </w:rPr>
        <w:t>每笔申购申请单独计算。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4A0" w:firstRow="1" w:lastRow="0" w:firstColumn="1" w:lastColumn="0" w:noHBand="0" w:noVBand="1"/>
      </w:tblPr>
      <w:tblGrid>
        <w:gridCol w:w="4325"/>
        <w:gridCol w:w="4325"/>
      </w:tblGrid>
      <w:tr w:rsidR="0020207F">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20207F">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hint="eastAsia"/>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0.3%</w:t>
            </w:r>
          </w:p>
        </w:tc>
      </w:tr>
      <w:tr w:rsidR="0020207F">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hint="eastAsia"/>
                <w:color w:val="000000"/>
                <w:kern w:val="0"/>
                <w:sz w:val="25"/>
                <w:szCs w:val="24"/>
              </w:rPr>
              <w:t>万元（含）至</w:t>
            </w:r>
            <w:r>
              <w:rPr>
                <w:rFonts w:ascii="Times New Roman" w:hAnsi="Times New Roman"/>
                <w:color w:val="000000"/>
                <w:kern w:val="0"/>
                <w:sz w:val="25"/>
                <w:szCs w:val="24"/>
              </w:rPr>
              <w:t>500</w:t>
            </w:r>
            <w:r>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0.1%</w:t>
            </w:r>
          </w:p>
        </w:tc>
      </w:tr>
      <w:tr w:rsidR="0020207F">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500</w:t>
            </w:r>
            <w:r>
              <w:rPr>
                <w:rFonts w:ascii="Times New Roman" w:hAnsi="Times New Roman" w:hint="eastAsia"/>
                <w:color w:val="000000"/>
                <w:kern w:val="0"/>
                <w:sz w:val="25"/>
                <w:szCs w:val="24"/>
              </w:rPr>
              <w:t>万元以上（含</w:t>
            </w:r>
            <w:r>
              <w:rPr>
                <w:rFonts w:ascii="Times New Roman" w:hAnsi="Times New Roman"/>
                <w:color w:val="000000"/>
                <w:kern w:val="0"/>
                <w:sz w:val="25"/>
                <w:szCs w:val="24"/>
              </w:rPr>
              <w:t>500</w:t>
            </w:r>
            <w:r>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Times New Roman" w:hAnsi="Times New Roman"/>
                <w:color w:val="000000"/>
                <w:kern w:val="0"/>
                <w:sz w:val="25"/>
                <w:szCs w:val="24"/>
              </w:rPr>
            </w:pPr>
            <w:r>
              <w:rPr>
                <w:rFonts w:ascii="Times New Roman" w:hAnsi="Times New Roman" w:hint="eastAsia"/>
                <w:color w:val="000000"/>
                <w:kern w:val="0"/>
                <w:sz w:val="25"/>
                <w:szCs w:val="24"/>
              </w:rPr>
              <w:t>每笔交易</w:t>
            </w:r>
            <w:r>
              <w:rPr>
                <w:rFonts w:ascii="Times New Roman" w:hAnsi="Times New Roman"/>
                <w:color w:val="000000"/>
                <w:kern w:val="0"/>
                <w:sz w:val="25"/>
                <w:szCs w:val="24"/>
              </w:rPr>
              <w:t>1000</w:t>
            </w:r>
            <w:r>
              <w:rPr>
                <w:rFonts w:ascii="Times New Roman" w:hAnsi="Times New Roman" w:hint="eastAsia"/>
                <w:color w:val="000000"/>
                <w:kern w:val="0"/>
                <w:sz w:val="25"/>
                <w:szCs w:val="24"/>
              </w:rPr>
              <w:t>元</w:t>
            </w:r>
          </w:p>
        </w:tc>
      </w:tr>
    </w:tbl>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4A0" w:firstRow="1" w:lastRow="0" w:firstColumn="1" w:lastColumn="0" w:noHBand="0" w:noVBand="1"/>
      </w:tblPr>
      <w:tblGrid>
        <w:gridCol w:w="4325"/>
        <w:gridCol w:w="4325"/>
      </w:tblGrid>
      <w:tr w:rsidR="0020207F">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20207F">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left"/>
              <w:rPr>
                <w:rFonts w:ascii="宋体" w:hAnsi="宋体"/>
                <w:color w:val="000000"/>
                <w:kern w:val="0"/>
                <w:sz w:val="25"/>
                <w:szCs w:val="24"/>
              </w:rPr>
            </w:pPr>
            <w:r>
              <w:rPr>
                <w:rFonts w:ascii="Times New Roman" w:hAnsi="Times New Roman" w:hint="eastAsia"/>
                <w:kern w:val="0"/>
                <w:sz w:val="24"/>
                <w:szCs w:val="24"/>
              </w:rPr>
              <w:t>100</w:t>
            </w:r>
            <w:r>
              <w:rPr>
                <w:rFonts w:ascii="Times New Roman" w:hAnsi="Times New Roman" w:hint="eastAsia"/>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Times New Roman" w:hAnsi="Times New Roman"/>
                <w:color w:val="000000"/>
                <w:kern w:val="0"/>
                <w:sz w:val="25"/>
                <w:szCs w:val="24"/>
              </w:rPr>
            </w:pPr>
            <w:r>
              <w:rPr>
                <w:rFonts w:ascii="Times New Roman" w:hAnsi="Times New Roman"/>
                <w:color w:val="000000"/>
                <w:kern w:val="0"/>
                <w:sz w:val="24"/>
              </w:rPr>
              <w:t>0.12%</w:t>
            </w:r>
          </w:p>
        </w:tc>
      </w:tr>
      <w:tr w:rsidR="0020207F">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left"/>
              <w:rPr>
                <w:rFonts w:ascii="Times New Roman" w:hAnsi="Times New Roman"/>
                <w:color w:val="000000"/>
                <w:kern w:val="0"/>
                <w:sz w:val="25"/>
                <w:szCs w:val="24"/>
              </w:rPr>
            </w:pPr>
            <w:r>
              <w:rPr>
                <w:rFonts w:ascii="Times New Roman" w:hAnsi="Times New Roman"/>
                <w:kern w:val="0"/>
                <w:sz w:val="24"/>
                <w:szCs w:val="24"/>
              </w:rPr>
              <w:t>1</w:t>
            </w:r>
            <w:r>
              <w:rPr>
                <w:rFonts w:ascii="Times New Roman" w:hAnsi="Times New Roman" w:hint="eastAsia"/>
                <w:kern w:val="0"/>
                <w:sz w:val="24"/>
                <w:szCs w:val="24"/>
              </w:rPr>
              <w:t>00</w:t>
            </w:r>
            <w:r>
              <w:rPr>
                <w:rFonts w:ascii="Times New Roman" w:hAnsi="Times New Roman" w:hint="eastAsia"/>
                <w:kern w:val="0"/>
                <w:sz w:val="24"/>
                <w:szCs w:val="24"/>
              </w:rPr>
              <w:t>万元（含）至</w:t>
            </w:r>
            <w:r>
              <w:rPr>
                <w:rFonts w:ascii="Times New Roman" w:hAnsi="Times New Roman" w:hint="eastAsia"/>
                <w:kern w:val="0"/>
                <w:sz w:val="24"/>
                <w:szCs w:val="24"/>
              </w:rPr>
              <w:t>500</w:t>
            </w:r>
            <w:r>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Times New Roman" w:hAnsi="Times New Roman"/>
                <w:color w:val="000000"/>
                <w:kern w:val="0"/>
                <w:sz w:val="25"/>
                <w:szCs w:val="24"/>
              </w:rPr>
            </w:pPr>
            <w:r>
              <w:rPr>
                <w:rFonts w:ascii="Times New Roman" w:hAnsi="Times New Roman"/>
                <w:color w:val="000000"/>
                <w:kern w:val="0"/>
                <w:sz w:val="24"/>
              </w:rPr>
              <w:t>0.02%</w:t>
            </w:r>
          </w:p>
        </w:tc>
      </w:tr>
      <w:tr w:rsidR="0020207F">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left"/>
              <w:rPr>
                <w:rFonts w:ascii="宋体" w:hAnsi="宋体"/>
                <w:color w:val="000000"/>
                <w:kern w:val="0"/>
                <w:sz w:val="25"/>
                <w:szCs w:val="24"/>
              </w:rPr>
            </w:pPr>
            <w:r>
              <w:rPr>
                <w:rFonts w:ascii="Times New Roman" w:hAnsi="Times New Roman" w:hint="eastAsia"/>
                <w:kern w:val="0"/>
                <w:sz w:val="24"/>
                <w:szCs w:val="24"/>
              </w:rPr>
              <w:t>500</w:t>
            </w:r>
            <w:r>
              <w:rPr>
                <w:rFonts w:ascii="Times New Roman" w:hAnsi="Times New Roman" w:hint="eastAsia"/>
                <w:kern w:val="0"/>
                <w:sz w:val="24"/>
                <w:szCs w:val="24"/>
              </w:rPr>
              <w:t>万元以上（含</w:t>
            </w:r>
            <w:r>
              <w:rPr>
                <w:rFonts w:ascii="Times New Roman" w:hAnsi="Times New Roman" w:hint="eastAsia"/>
                <w:kern w:val="0"/>
                <w:sz w:val="24"/>
                <w:szCs w:val="24"/>
              </w:rPr>
              <w:t>500</w:t>
            </w:r>
            <w:r>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rsidR="0020207F" w:rsidRDefault="000C59E2">
            <w:pPr>
              <w:widowControl/>
              <w:snapToGrid w:val="0"/>
              <w:jc w:val="center"/>
              <w:rPr>
                <w:rFonts w:ascii="Times New Roman" w:hAnsi="Times New Roman"/>
                <w:color w:val="000000"/>
                <w:kern w:val="0"/>
                <w:sz w:val="25"/>
                <w:szCs w:val="24"/>
              </w:rPr>
            </w:pPr>
            <w:r>
              <w:rPr>
                <w:rFonts w:ascii="Times New Roman" w:hAnsi="Times New Roman" w:hint="eastAsia"/>
                <w:color w:val="000000"/>
                <w:kern w:val="0"/>
                <w:sz w:val="24"/>
              </w:rPr>
              <w:t>每笔交易</w:t>
            </w:r>
            <w:r>
              <w:rPr>
                <w:rFonts w:ascii="Times New Roman" w:hAnsi="Times New Roman"/>
                <w:color w:val="000000"/>
                <w:kern w:val="0"/>
                <w:sz w:val="24"/>
              </w:rPr>
              <w:t>1000</w:t>
            </w:r>
            <w:r>
              <w:rPr>
                <w:rFonts w:ascii="Times New Roman" w:hAnsi="Times New Roman" w:hint="eastAsia"/>
                <w:color w:val="000000"/>
                <w:kern w:val="0"/>
                <w:sz w:val="24"/>
              </w:rPr>
              <w:t>元</w:t>
            </w:r>
          </w:p>
        </w:tc>
      </w:tr>
    </w:tbl>
    <w:p w:rsidR="0020207F" w:rsidRDefault="0020207F">
      <w:pPr>
        <w:autoSpaceDE w:val="0"/>
        <w:autoSpaceDN w:val="0"/>
        <w:adjustRightInd w:val="0"/>
        <w:snapToGrid w:val="0"/>
        <w:spacing w:line="360" w:lineRule="auto"/>
        <w:ind w:firstLineChars="200" w:firstLine="420"/>
        <w:jc w:val="left"/>
        <w:rPr>
          <w:rFonts w:ascii="宋体" w:hAnsi="宋体"/>
          <w:szCs w:val="24"/>
        </w:rPr>
      </w:pP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基金份额持有人持有的每份基金份额最短持有期限为</w:t>
      </w:r>
      <w:r>
        <w:rPr>
          <w:rFonts w:ascii="Times New Roman" w:hAnsi="Times New Roman"/>
          <w:sz w:val="24"/>
        </w:rPr>
        <w:t>180</w:t>
      </w:r>
      <w:r>
        <w:rPr>
          <w:rFonts w:ascii="Times New Roman" w:hAnsi="Times New Roman" w:hint="eastAsia"/>
          <w:sz w:val="24"/>
        </w:rPr>
        <w:t>天，最短持有期限届</w:t>
      </w:r>
      <w:r>
        <w:rPr>
          <w:rFonts w:ascii="Times New Roman" w:hAnsi="Times New Roman" w:hint="eastAsia"/>
          <w:sz w:val="24"/>
        </w:rPr>
        <w:lastRenderedPageBreak/>
        <w:t>满后，本基金不收取赎回费。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w:t>
      </w:r>
      <w:r>
        <w:rPr>
          <w:rFonts w:ascii="宋体" w:hAnsi="宋体" w:hint="eastAsia"/>
          <w:sz w:val="24"/>
        </w:rPr>
        <w:t>并扣除相应的费用（如有）</w:t>
      </w:r>
      <w:r>
        <w:rPr>
          <w:rFonts w:ascii="宋体" w:hAnsi="宋体"/>
          <w:sz w:val="24"/>
        </w:rPr>
        <w:t>，赎回金额单位为元。赎回金额计算结果按四舍五入方法，保留到小数点后2位，由此产生的收益或损失由基金财产承担。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本基金采用金额申购的方式。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Pr>
          <w:rFonts w:ascii="宋体" w:hAnsi="宋体" w:hint="eastAsia"/>
          <w:sz w:val="24"/>
        </w:rPr>
        <w:t>净申购金额</w:t>
      </w:r>
      <w:r>
        <w:rPr>
          <w:rFonts w:ascii="宋体" w:hAnsi="宋体"/>
          <w:sz w:val="24"/>
        </w:rPr>
        <w:t>/T日A类基金份额净值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例四：某投资者（非养老金客户）投资100,000.00元申购本基金的A类基金份额，假设申购当日A类基金份额净值为1.0400元，申购费率为0.3%，则其可得到的申购份额为：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申购总金额＝100,000.00元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净申购金额=100,000.00/（1+0.3%）=99,700.90元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申购费用=100,000.00-99,700.90=299.10元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申购份额=99,700.90/1.0400=95,866.25份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即：某投资者（非养老金客户）投资100,000.00元申购本基金的A类基金份额，假设申购当日A类基金份额净值为1.0400元，则其可得到95,866.25份A类基金份额。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例五：某养老金客户投资1,000,000.00元通过基金管理人的直销柜台申购本基金的A类基金份额，假设申购当日A类基金份额净值为1.0400元，申购费率为0.02%，则其可得到的申购份额为：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申购总金额＝1,000,000.00元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净申购金额=1,000,000.00/（1+0.02%）=999,800.04元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Pr>
          <w:rFonts w:ascii="宋体" w:hAnsi="宋体" w:hint="eastAsia"/>
          <w:sz w:val="24"/>
        </w:rPr>
        <w:t>,0</w:t>
      </w:r>
      <w:r>
        <w:rPr>
          <w:rFonts w:ascii="宋体" w:hAnsi="宋体"/>
          <w:sz w:val="24"/>
        </w:rPr>
        <w:t>00,000.00-999,800.04=199.96元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申购份额=（1,000,000.00-199.96）/1.0400=961,346.19份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即：该养老金客户投资1,000,000.00元通过基金管理人的直销柜台申购本基金的A类基金份额，假设申购当日A类基金份额净值为1.0400元，则其可得到961,346.19份A类基金份额。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例六：某投资者投资100,000.00元申购本基金的C类基金份额，假设申购当日C类基金份额净值为1.0400元，则其可得到的申购份额为：</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申购总金额=100,000.00元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Pr>
          <w:rFonts w:ascii="宋体" w:hAnsi="宋体" w:hint="eastAsia"/>
          <w:sz w:val="24"/>
        </w:rPr>
        <w:t>.0</w:t>
      </w:r>
      <w:r>
        <w:rPr>
          <w:rFonts w:ascii="宋体" w:hAnsi="宋体"/>
          <w:sz w:val="24"/>
        </w:rPr>
        <w:t>0/1.0400＝96,153.85份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即：投资者投资100,000.00元申购本基金的C类基金份额，假设申购当日C类基金份额净值为1.0400元，则其可得到96,153.85份C类基金份额。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3、赎回金额的计算</w:t>
      </w:r>
    </w:p>
    <w:p w:rsidR="0020207F" w:rsidRDefault="000C59E2">
      <w:pPr>
        <w:autoSpaceDE w:val="0"/>
        <w:autoSpaceDN w:val="0"/>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本基金采用份额赎回的方式。</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hAnsi="宋体" w:hint="eastAsia"/>
          <w:kern w:val="0"/>
          <w:sz w:val="24"/>
          <w:szCs w:val="24"/>
        </w:rPr>
        <w:t>赎回</w:t>
      </w:r>
      <w:r>
        <w:rPr>
          <w:rFonts w:hAnsi="宋体"/>
          <w:kern w:val="0"/>
          <w:sz w:val="24"/>
          <w:szCs w:val="24"/>
        </w:rPr>
        <w:t>费用</w:t>
      </w:r>
      <w:r>
        <w:rPr>
          <w:rFonts w:hAnsi="宋体" w:hint="eastAsia"/>
          <w:kern w:val="0"/>
          <w:sz w:val="24"/>
          <w:szCs w:val="24"/>
        </w:rPr>
        <w:t>=</w:t>
      </w:r>
      <w:r>
        <w:rPr>
          <w:rFonts w:hAnsi="宋体" w:hint="eastAsia"/>
          <w:kern w:val="0"/>
          <w:sz w:val="24"/>
          <w:szCs w:val="24"/>
        </w:rPr>
        <w:t>赎回份额×</w:t>
      </w:r>
      <w:r>
        <w:rPr>
          <w:rFonts w:ascii="宋体" w:hAnsi="宋体" w:hint="eastAsia"/>
          <w:sz w:val="24"/>
        </w:rPr>
        <w:t>T日该类基金份额净值×赎回费率</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赎回金额=赎回份额×T日该类基金份额净值-赎回费用</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例七：某投资者赎回持有</w:t>
      </w:r>
      <w:r>
        <w:rPr>
          <w:rFonts w:ascii="宋体" w:hAnsi="宋体"/>
          <w:sz w:val="24"/>
        </w:rPr>
        <w:t>200天</w:t>
      </w:r>
      <w:r>
        <w:rPr>
          <w:rFonts w:ascii="宋体" w:hAnsi="宋体" w:hint="eastAsia"/>
          <w:sz w:val="24"/>
        </w:rPr>
        <w:t>的10,000</w:t>
      </w:r>
      <w:r>
        <w:rPr>
          <w:rFonts w:ascii="宋体" w:hAnsi="宋体"/>
          <w:sz w:val="24"/>
        </w:rPr>
        <w:t>.00</w:t>
      </w:r>
      <w:r>
        <w:rPr>
          <w:rFonts w:hAnsi="宋体" w:hint="eastAsia"/>
          <w:kern w:val="0"/>
          <w:sz w:val="24"/>
          <w:szCs w:val="24"/>
        </w:rPr>
        <w:t>份本基金</w:t>
      </w:r>
      <w:r>
        <w:rPr>
          <w:rFonts w:hAnsi="宋体" w:hint="eastAsia"/>
          <w:kern w:val="0"/>
          <w:sz w:val="24"/>
          <w:szCs w:val="24"/>
        </w:rPr>
        <w:t>A</w:t>
      </w:r>
      <w:r>
        <w:rPr>
          <w:rFonts w:hAnsi="宋体" w:hint="eastAsia"/>
          <w:kern w:val="0"/>
          <w:sz w:val="24"/>
          <w:szCs w:val="24"/>
        </w:rPr>
        <w:t>类基金份额，对应的赎回费率为</w:t>
      </w:r>
      <w:r>
        <w:rPr>
          <w:rFonts w:ascii="宋体" w:hAnsi="宋体" w:hint="eastAsia"/>
          <w:sz w:val="24"/>
        </w:rPr>
        <w:t>0，假设赎回当日</w:t>
      </w:r>
      <w:r>
        <w:rPr>
          <w:rFonts w:ascii="宋体" w:hAnsi="宋体"/>
          <w:sz w:val="24"/>
        </w:rPr>
        <w:t>A</w:t>
      </w:r>
      <w:r>
        <w:rPr>
          <w:rFonts w:ascii="宋体" w:hAnsi="宋体" w:hint="eastAsia"/>
          <w:sz w:val="24"/>
        </w:rPr>
        <w:t>类基金份额净值是</w:t>
      </w:r>
      <w:r>
        <w:rPr>
          <w:rFonts w:ascii="宋体" w:hAnsi="宋体"/>
          <w:sz w:val="24"/>
        </w:rPr>
        <w:t>1.0025</w:t>
      </w:r>
      <w:r>
        <w:rPr>
          <w:rFonts w:ascii="宋体" w:hAnsi="宋体" w:hint="eastAsia"/>
          <w:sz w:val="24"/>
        </w:rPr>
        <w:t>元，则其可得到的赎回金额为：</w:t>
      </w:r>
    </w:p>
    <w:p w:rsidR="0020207F" w:rsidRDefault="000C59E2">
      <w:pPr>
        <w:autoSpaceDE w:val="0"/>
        <w:autoSpaceDN w:val="0"/>
        <w:adjustRightInd w:val="0"/>
        <w:snapToGrid w:val="0"/>
        <w:spacing w:line="360" w:lineRule="auto"/>
        <w:ind w:firstLineChars="200" w:firstLine="480"/>
        <w:jc w:val="left"/>
        <w:rPr>
          <w:rFonts w:ascii="Times New Roman" w:hAnsi="Times New Roman"/>
          <w:sz w:val="24"/>
        </w:rPr>
      </w:pPr>
      <w:r>
        <w:rPr>
          <w:rFonts w:ascii="宋体" w:hAnsi="宋体" w:hint="eastAsia"/>
          <w:sz w:val="24"/>
        </w:rPr>
        <w:t>赎回</w:t>
      </w:r>
      <w:r>
        <w:rPr>
          <w:rFonts w:ascii="宋体" w:hAnsi="宋体"/>
          <w:sz w:val="24"/>
        </w:rPr>
        <w:t>费用</w:t>
      </w:r>
      <w:r>
        <w:rPr>
          <w:rFonts w:ascii="宋体" w:hAnsi="宋体" w:hint="eastAsia"/>
          <w:sz w:val="24"/>
        </w:rPr>
        <w:t>=</w:t>
      </w:r>
      <w:r>
        <w:rPr>
          <w:rFonts w:ascii="宋体" w:hAnsi="宋体"/>
          <w:sz w:val="24"/>
        </w:rPr>
        <w:t>0</w:t>
      </w:r>
      <w:r>
        <w:rPr>
          <w:rFonts w:hAnsi="宋体"/>
          <w:kern w:val="0"/>
          <w:sz w:val="24"/>
          <w:szCs w:val="24"/>
        </w:rPr>
        <w:t>元</w:t>
      </w:r>
    </w:p>
    <w:p w:rsidR="0020207F" w:rsidRDefault="000C59E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赎回金额</w:t>
      </w:r>
      <w:r>
        <w:rPr>
          <w:rFonts w:ascii="Times New Roman" w:hAnsi="Times New Roman"/>
          <w:sz w:val="24"/>
        </w:rPr>
        <w:t>=10,000.00</w:t>
      </w:r>
      <w:r>
        <w:rPr>
          <w:rFonts w:ascii="Times New Roman" w:hAnsi="Times New Roman" w:hint="eastAsia"/>
          <w:sz w:val="24"/>
        </w:rPr>
        <w:t>×</w:t>
      </w:r>
      <w:r>
        <w:rPr>
          <w:rFonts w:ascii="Times New Roman" w:hAnsi="Times New Roman"/>
          <w:sz w:val="24"/>
        </w:rPr>
        <w:t>1.0025</w:t>
      </w:r>
      <w:r>
        <w:rPr>
          <w:rFonts w:ascii="Times New Roman" w:hAnsi="Times New Roman" w:hint="eastAsia"/>
          <w:sz w:val="24"/>
        </w:rPr>
        <w:t>-</w:t>
      </w:r>
      <w:r>
        <w:rPr>
          <w:rFonts w:ascii="Times New Roman" w:hAnsi="Times New Roman"/>
          <w:sz w:val="24"/>
        </w:rPr>
        <w:t>0</w:t>
      </w:r>
      <w:r>
        <w:rPr>
          <w:rFonts w:ascii="Times New Roman" w:hAnsi="Times New Roman" w:hint="eastAsia"/>
          <w:sz w:val="24"/>
        </w:rPr>
        <w:t>＝</w:t>
      </w:r>
      <w:r>
        <w:rPr>
          <w:rFonts w:ascii="Times New Roman" w:hAnsi="Times New Roman"/>
          <w:sz w:val="24"/>
        </w:rPr>
        <w:t>10,025.00</w:t>
      </w:r>
      <w:r>
        <w:rPr>
          <w:rFonts w:ascii="Times New Roman" w:hAnsi="Times New Roman" w:hint="eastAsia"/>
          <w:sz w:val="24"/>
        </w:rPr>
        <w:t>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hint="eastAsia"/>
          <w:sz w:val="24"/>
        </w:rPr>
        <w:t>即：</w:t>
      </w:r>
      <w:r>
        <w:rPr>
          <w:rFonts w:hAnsi="宋体" w:hint="eastAsia"/>
          <w:kern w:val="0"/>
          <w:sz w:val="24"/>
          <w:szCs w:val="24"/>
        </w:rPr>
        <w:t>投资者赎回持有</w:t>
      </w:r>
      <w:r>
        <w:rPr>
          <w:rFonts w:ascii="宋体" w:hAnsi="宋体"/>
          <w:sz w:val="24"/>
        </w:rPr>
        <w:t>200</w:t>
      </w:r>
      <w:r>
        <w:rPr>
          <w:rFonts w:hAnsi="宋体"/>
          <w:kern w:val="0"/>
          <w:sz w:val="24"/>
          <w:szCs w:val="24"/>
        </w:rPr>
        <w:t>天</w:t>
      </w:r>
      <w:r>
        <w:rPr>
          <w:rFonts w:hAnsi="宋体" w:hint="eastAsia"/>
          <w:kern w:val="0"/>
          <w:sz w:val="24"/>
          <w:szCs w:val="24"/>
        </w:rPr>
        <w:t>的本基金</w:t>
      </w:r>
      <w:r>
        <w:rPr>
          <w:rFonts w:ascii="宋体" w:hAnsi="宋体" w:hint="eastAsia"/>
          <w:sz w:val="24"/>
        </w:rPr>
        <w:t>10,000</w:t>
      </w:r>
      <w:r>
        <w:rPr>
          <w:rFonts w:ascii="宋体" w:hAnsi="宋体"/>
          <w:sz w:val="24"/>
        </w:rPr>
        <w:t>.00</w:t>
      </w:r>
      <w:r>
        <w:rPr>
          <w:rFonts w:ascii="宋体" w:hAnsi="宋体" w:hint="eastAsia"/>
          <w:sz w:val="24"/>
        </w:rPr>
        <w:t>份A类基金份额，对应的赎回费率为0，假设赎回当日</w:t>
      </w:r>
      <w:r>
        <w:rPr>
          <w:rFonts w:ascii="宋体" w:hAnsi="宋体"/>
          <w:sz w:val="24"/>
        </w:rPr>
        <w:t>A</w:t>
      </w:r>
      <w:r>
        <w:rPr>
          <w:rFonts w:ascii="宋体" w:hAnsi="宋体" w:hint="eastAsia"/>
          <w:sz w:val="24"/>
        </w:rPr>
        <w:t>类基金份额净值是</w:t>
      </w:r>
      <w:r>
        <w:rPr>
          <w:rFonts w:ascii="宋体" w:hAnsi="宋体"/>
          <w:sz w:val="24"/>
        </w:rPr>
        <w:t>1.0025</w:t>
      </w:r>
      <w:r>
        <w:rPr>
          <w:rFonts w:ascii="宋体" w:hAnsi="宋体" w:hint="eastAsia"/>
          <w:sz w:val="24"/>
        </w:rPr>
        <w:t>元，则其可得到的赎回金额为</w:t>
      </w:r>
      <w:r>
        <w:rPr>
          <w:rFonts w:ascii="宋体" w:hAnsi="宋体"/>
          <w:sz w:val="24"/>
        </w:rPr>
        <w:t>10,025.00</w:t>
      </w:r>
      <w:r>
        <w:rPr>
          <w:rFonts w:ascii="宋体" w:hAnsi="宋体" w:hint="eastAsia"/>
          <w:sz w:val="24"/>
        </w:rPr>
        <w:t>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w:t>
      </w:r>
      <w:r>
        <w:rPr>
          <w:rFonts w:ascii="宋体" w:hAnsi="宋体" w:hint="eastAsia"/>
          <w:sz w:val="24"/>
        </w:rPr>
        <w:t>基金</w:t>
      </w:r>
      <w:r>
        <w:rPr>
          <w:rFonts w:ascii="宋体" w:hAnsi="宋体"/>
          <w:sz w:val="24"/>
        </w:rPr>
        <w:t>份额净值的计算，</w:t>
      </w:r>
      <w:r>
        <w:rPr>
          <w:rFonts w:ascii="宋体" w:hAnsi="宋体" w:hint="eastAsia"/>
          <w:sz w:val="24"/>
        </w:rPr>
        <w:t>均</w:t>
      </w:r>
      <w:r>
        <w:rPr>
          <w:rFonts w:ascii="宋体" w:hAnsi="宋体"/>
          <w:sz w:val="24"/>
        </w:rPr>
        <w:t>保留到小数点后4位，小数点后第5位四舍五入，由此产生的收益或损失由基金财产承担。T日的基金份额净值在当天收市后计算，并在T+1日（包括该日）内公告。遇特殊情况，经履行适当程序，可以适当延迟计算或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Pr>
          <w:rFonts w:hint="eastAsia"/>
          <w:bCs/>
          <w:sz w:val="24"/>
        </w:rPr>
        <w:t>/</w:t>
      </w:r>
      <w:r>
        <w:rPr>
          <w:rFonts w:hint="eastAsia"/>
          <w:bCs/>
          <w:sz w:val="24"/>
        </w:rPr>
        <w:t>期货</w:t>
      </w:r>
      <w:r>
        <w:rPr>
          <w:rFonts w:ascii="宋体" w:hAnsi="宋体"/>
          <w:sz w:val="24"/>
        </w:rPr>
        <w:t>交易所交易时间非正常停市，导致基金管理人无法计算当日基金资产净值。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w:t>
      </w:r>
      <w:r>
        <w:rPr>
          <w:rFonts w:ascii="宋体" w:hAnsi="宋体"/>
          <w:sz w:val="24"/>
        </w:rPr>
        <w:lastRenderedPageBreak/>
        <w:t>对基金业绩产生负面影响，或发生其他损害现有基金份额持有人利益的情形。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6、基金销售机构、基金销售支付结算机构或登记机构的异常情况导致基金销售系统、基金销售支付结算系统、基金注册登记系统或基金会计系统无法正常运行。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hint="eastAsia"/>
          <w:bCs/>
          <w:sz w:val="24"/>
        </w:rPr>
        <w:t>法律法规规定、中国证监会认定或基金合同约定的其他情形</w:t>
      </w:r>
      <w:r>
        <w:rPr>
          <w:bCs/>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w:t>
      </w:r>
      <w:proofErr w:type="gramStart"/>
      <w:r>
        <w:rPr>
          <w:rFonts w:ascii="宋体" w:hAnsi="宋体"/>
          <w:sz w:val="24"/>
        </w:rPr>
        <w:t>且基金</w:t>
      </w:r>
      <w:proofErr w:type="gramEnd"/>
      <w:r>
        <w:rPr>
          <w:rFonts w:ascii="宋体" w:hAnsi="宋体"/>
          <w:sz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Pr>
          <w:rFonts w:hint="eastAsia"/>
          <w:bCs/>
          <w:sz w:val="24"/>
        </w:rPr>
        <w:t>/</w:t>
      </w:r>
      <w:r>
        <w:rPr>
          <w:rFonts w:hint="eastAsia"/>
          <w:bCs/>
          <w:sz w:val="24"/>
        </w:rPr>
        <w:t>期货</w:t>
      </w:r>
      <w:r>
        <w:rPr>
          <w:rFonts w:ascii="宋体" w:hAnsi="宋体"/>
          <w:sz w:val="24"/>
        </w:rPr>
        <w:t>交易所交易时间非正常停市，导致基金管理人无法计算当日基金资产净值。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w:t>
      </w:r>
      <w:r>
        <w:rPr>
          <w:rFonts w:ascii="宋体" w:hAnsi="宋体"/>
          <w:sz w:val="24"/>
        </w:rPr>
        <w:lastRenderedPageBreak/>
        <w:t>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公允价值存在重大不确定性时，经与基金托管人协商确认后，基金管理人应当延缓支付赎回款项或暂停接受基金赎回申请。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hint="eastAsia"/>
          <w:bCs/>
          <w:sz w:val="24"/>
        </w:rPr>
        <w:t>法律法规规定、中国证监会认定或基金合同约定的其他情形</w:t>
      </w:r>
      <w:r>
        <w:rPr>
          <w:bCs/>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管理人决定暂停接受基金份额持有人的赎回申请或延缓支付赎回款项时，基金管理人应</w:t>
      </w:r>
      <w:r>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w:t>
      </w:r>
      <w:r>
        <w:rPr>
          <w:rFonts w:ascii="宋体" w:hAnsi="宋体"/>
          <w:sz w:val="24"/>
        </w:rPr>
        <w:lastRenderedPageBreak/>
        <w:t>自动延期赎回处理。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Pr>
          <w:rFonts w:hint="eastAsia"/>
          <w:bCs/>
          <w:sz w:val="24"/>
        </w:rPr>
        <w:t>该类基金份额</w:t>
      </w:r>
      <w:r>
        <w:rPr>
          <w:rFonts w:ascii="宋体" w:hAnsi="宋体"/>
          <w:sz w:val="24"/>
        </w:rPr>
        <w:t>的基金份额净值为基础计算赎回金额，以此类推，直到全部赎回为止。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w:t>
      </w:r>
      <w:r>
        <w:rPr>
          <w:rFonts w:ascii="宋体" w:hAnsi="宋体" w:hint="eastAsia"/>
          <w:sz w:val="24"/>
        </w:rPr>
        <w:t>前述</w:t>
      </w:r>
      <w:r>
        <w:rPr>
          <w:rFonts w:ascii="宋体" w:hAnsi="宋体"/>
          <w:sz w:val="24"/>
        </w:rPr>
        <w:t>“（1）全额赎回”或“（2）部分延期赎回”的约定方式与其他基金份额持有人的赎回申请一并办理。但是，如基金份额持有人在当日选择取消赎回，则其当日未获受理的部分赎回申请将被撤销。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当发生上述巨额赎回并延期办理时，基金管理人应当通过邮寄、传真、刊登公告或者通知销售机构代为告知等方式在3个交易日内通知基金份额持有人，说明有关处理方法，并在两日内在规定媒介上刊登公告。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2、如发生暂停的时间为1日，基金管理人应于重新开放日，在规定媒介上刊登基金重新开放申购或赎回公告，并公布最近1个开放日的各类基金份额</w:t>
      </w:r>
      <w:r>
        <w:rPr>
          <w:rFonts w:ascii="宋体" w:hAnsi="宋体" w:hint="eastAsia"/>
          <w:sz w:val="24"/>
        </w:rPr>
        <w:t>的基金份额</w:t>
      </w:r>
      <w:r>
        <w:rPr>
          <w:rFonts w:ascii="宋体" w:hAnsi="宋体"/>
          <w:sz w:val="24"/>
        </w:rPr>
        <w:t>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w:t>
      </w:r>
      <w:r>
        <w:rPr>
          <w:rFonts w:ascii="宋体" w:hAnsi="宋体"/>
          <w:sz w:val="24"/>
        </w:rPr>
        <w:lastRenderedPageBreak/>
        <w:t>时间，届时不再另行发布重新开放的公告。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w:t>
      </w:r>
      <w:proofErr w:type="gramStart"/>
      <w:r>
        <w:rPr>
          <w:rFonts w:ascii="宋体" w:hAnsi="宋体"/>
          <w:sz w:val="24"/>
        </w:rPr>
        <w:t>非交易</w:t>
      </w:r>
      <w:proofErr w:type="gramEnd"/>
      <w:r>
        <w:rPr>
          <w:rFonts w:ascii="宋体" w:hAnsi="宋体"/>
          <w:sz w:val="24"/>
        </w:rPr>
        <w:t>过户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w:t>
      </w:r>
      <w:r>
        <w:rPr>
          <w:rFonts w:ascii="宋体" w:hAnsi="宋体" w:hint="eastAsia"/>
          <w:sz w:val="24"/>
        </w:rPr>
        <w:t>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十</w:t>
      </w:r>
      <w:r>
        <w:rPr>
          <w:rFonts w:ascii="宋体" w:hAnsi="宋体" w:hint="eastAsia"/>
          <w:sz w:val="24"/>
        </w:rPr>
        <w:t>五）定期定额投资计划</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六</w:t>
      </w:r>
      <w:r>
        <w:rPr>
          <w:rFonts w:ascii="宋体" w:hAnsi="宋体"/>
          <w:sz w:val="24"/>
        </w:rPr>
        <w:t>）基金份额的冻结和解冻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七</w:t>
      </w:r>
      <w:r>
        <w:rPr>
          <w:rFonts w:ascii="宋体" w:hAnsi="宋体"/>
          <w:sz w:val="24"/>
        </w:rPr>
        <w:t>）基金份额的转让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w:t>
      </w:r>
      <w:r>
        <w:rPr>
          <w:rFonts w:ascii="宋体" w:hAnsi="宋体"/>
          <w:sz w:val="24"/>
        </w:rPr>
        <w:lastRenderedPageBreak/>
        <w:t>金份额的过户登记。基金管理人拟受理基金份额转让业务的，将提前公告，基金份额持有人应根据基金管理人公告的业务规则办理基金份额转让业务。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八</w:t>
      </w:r>
      <w:r>
        <w:rPr>
          <w:rFonts w:ascii="宋体" w:hAnsi="宋体"/>
          <w:sz w:val="24"/>
        </w:rPr>
        <w:t>）实施</w:t>
      </w:r>
      <w:proofErr w:type="gramStart"/>
      <w:r>
        <w:rPr>
          <w:rFonts w:ascii="宋体" w:hAnsi="宋体"/>
          <w:sz w:val="24"/>
        </w:rPr>
        <w:t>侧袋机制</w:t>
      </w:r>
      <w:proofErr w:type="gramEnd"/>
      <w:r>
        <w:rPr>
          <w:rFonts w:ascii="宋体" w:hAnsi="宋体"/>
          <w:sz w:val="24"/>
        </w:rPr>
        <w:t>期间本基金的申购与赎回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的，本基金的申购和赎回安排详见本招募说明书“侧袋机制”部分的规定或相关公告。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Pr>
          <w:rFonts w:ascii="宋体" w:hAnsi="宋体" w:hint="eastAsia"/>
          <w:sz w:val="24"/>
        </w:rPr>
        <w:t>九</w:t>
      </w:r>
      <w:r>
        <w:rPr>
          <w:rFonts w:ascii="宋体" w:hAnsi="宋体"/>
          <w:sz w:val="24"/>
        </w:rPr>
        <w:t>）其他业务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21" w:name="_Toc104564192"/>
      <w:bookmarkStart w:id="22" w:name="_Hlk101008065"/>
      <w:r>
        <w:rPr>
          <w:rFonts w:ascii="Times New Roman" w:hAnsi="Times New Roman"/>
          <w:sz w:val="30"/>
        </w:rPr>
        <w:lastRenderedPageBreak/>
        <w:t>九、基金的投资</w:t>
      </w:r>
      <w:bookmarkEnd w:id="21"/>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w:t>
      </w:r>
      <w:r>
        <w:rPr>
          <w:rFonts w:hint="eastAsia"/>
          <w:bCs/>
          <w:sz w:val="24"/>
        </w:rPr>
        <w:t>可转换债券（</w:t>
      </w:r>
      <w:proofErr w:type="gramStart"/>
      <w:r>
        <w:rPr>
          <w:rFonts w:hint="eastAsia"/>
          <w:bCs/>
          <w:sz w:val="24"/>
        </w:rPr>
        <w:t>含可分离</w:t>
      </w:r>
      <w:proofErr w:type="gramEnd"/>
      <w:r>
        <w:rPr>
          <w:rFonts w:hint="eastAsia"/>
          <w:bCs/>
          <w:sz w:val="24"/>
        </w:rPr>
        <w:t>交易可转换债券）、可交换公司债券、</w:t>
      </w:r>
      <w:r>
        <w:rPr>
          <w:rFonts w:ascii="宋体" w:hAnsi="宋体"/>
          <w:sz w:val="24"/>
        </w:rPr>
        <w:t>公开发行的次级债、短期融资</w:t>
      </w:r>
      <w:proofErr w:type="gramStart"/>
      <w:r>
        <w:rPr>
          <w:rFonts w:ascii="宋体" w:hAnsi="宋体"/>
          <w:sz w:val="24"/>
        </w:rPr>
        <w:t>券</w:t>
      </w:r>
      <w:proofErr w:type="gramEnd"/>
      <w:r>
        <w:rPr>
          <w:rFonts w:ascii="宋体" w:hAnsi="宋体"/>
          <w:sz w:val="24"/>
        </w:rPr>
        <w:t>、超短期融资</w:t>
      </w:r>
      <w:proofErr w:type="gramStart"/>
      <w:r>
        <w:rPr>
          <w:rFonts w:ascii="宋体" w:hAnsi="宋体"/>
          <w:sz w:val="24"/>
        </w:rPr>
        <w:t>券</w:t>
      </w:r>
      <w:proofErr w:type="gramEnd"/>
      <w:r>
        <w:rPr>
          <w:rFonts w:ascii="宋体" w:hAnsi="宋体"/>
          <w:sz w:val="24"/>
        </w:rPr>
        <w:t>、中期票据）、资产支持证券、债券回购、银行存款（包括定期存款、协议存款、通知存款等）、同业存单、货币市场工具</w:t>
      </w:r>
      <w:r>
        <w:rPr>
          <w:rFonts w:hint="eastAsia"/>
          <w:bCs/>
          <w:sz w:val="24"/>
        </w:rPr>
        <w:t>、国债期货</w:t>
      </w:r>
      <w:r>
        <w:rPr>
          <w:rFonts w:hint="eastAsia"/>
          <w:sz w:val="24"/>
        </w:rPr>
        <w:t>、信用衍生品</w:t>
      </w:r>
      <w:r>
        <w:rPr>
          <w:rFonts w:ascii="宋体" w:hAnsi="宋体"/>
          <w:sz w:val="24"/>
        </w:rPr>
        <w:t>以及法律法规</w:t>
      </w:r>
      <w:r>
        <w:rPr>
          <w:bCs/>
          <w:sz w:val="24"/>
        </w:rPr>
        <w:t>或中国证监会</w:t>
      </w:r>
      <w:r>
        <w:rPr>
          <w:rFonts w:ascii="宋体" w:hAnsi="宋体"/>
          <w:sz w:val="24"/>
        </w:rPr>
        <w:t>允许</w:t>
      </w:r>
      <w:r>
        <w:rPr>
          <w:rFonts w:ascii="宋体" w:hAnsi="宋体" w:hint="eastAsia"/>
          <w:sz w:val="24"/>
        </w:rPr>
        <w:t>基金</w:t>
      </w:r>
      <w:r>
        <w:rPr>
          <w:rFonts w:ascii="宋体" w:hAnsi="宋体"/>
          <w:sz w:val="24"/>
        </w:rPr>
        <w:t>投资的其他金融工具</w:t>
      </w:r>
      <w:r>
        <w:rPr>
          <w:rFonts w:hint="eastAsia"/>
          <w:bCs/>
          <w:sz w:val="24"/>
        </w:rPr>
        <w:t>（</w:t>
      </w:r>
      <w:r>
        <w:rPr>
          <w:bCs/>
          <w:sz w:val="24"/>
        </w:rPr>
        <w:t>但须符合中国证监会相关规定</w:t>
      </w:r>
      <w:r>
        <w:rPr>
          <w:rFonts w:hint="eastAsia"/>
          <w:bCs/>
          <w:sz w:val="24"/>
        </w:rPr>
        <w:t>）</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hint="eastAsia"/>
          <w:bCs/>
          <w:sz w:val="24"/>
        </w:rPr>
        <w:t>本基金不直接投资于股票等权益类资产，但可参与可转换债券（</w:t>
      </w:r>
      <w:proofErr w:type="gramStart"/>
      <w:r>
        <w:rPr>
          <w:rFonts w:hint="eastAsia"/>
          <w:bCs/>
          <w:sz w:val="24"/>
        </w:rPr>
        <w:t>含可分离</w:t>
      </w:r>
      <w:proofErr w:type="gramEnd"/>
      <w:r>
        <w:rPr>
          <w:rFonts w:hint="eastAsia"/>
          <w:bCs/>
          <w:sz w:val="24"/>
        </w:rPr>
        <w:t>交易可转换债券）、可交换公司债券的投资。因所持可转换债券转股、可交换公司债券换股所形成的股票，本基金将在其可交易之日起的</w:t>
      </w:r>
      <w:r>
        <w:rPr>
          <w:rFonts w:ascii="宋体" w:hAnsi="宋体" w:hint="eastAsia"/>
          <w:sz w:val="24"/>
        </w:rPr>
        <w:t>10</w:t>
      </w:r>
      <w:r>
        <w:rPr>
          <w:rFonts w:hint="eastAsia"/>
          <w:bCs/>
          <w:sz w:val="24"/>
        </w:rPr>
        <w:t>个交易日内卖出。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Pr>
          <w:rFonts w:ascii="宋体" w:hAnsi="宋体"/>
          <w:sz w:val="24"/>
        </w:rPr>
        <w:t>基金的投资组合比例为：本基金投资于债券资产的比例不低于基金资产的80%</w:t>
      </w:r>
      <w:r>
        <w:rPr>
          <w:rFonts w:hint="eastAsia"/>
          <w:bCs/>
          <w:sz w:val="24"/>
        </w:rPr>
        <w:t>，投资于可转换债券（</w:t>
      </w:r>
      <w:proofErr w:type="gramStart"/>
      <w:r>
        <w:rPr>
          <w:rFonts w:hint="eastAsia"/>
          <w:bCs/>
          <w:sz w:val="24"/>
        </w:rPr>
        <w:t>含可分离</w:t>
      </w:r>
      <w:proofErr w:type="gramEnd"/>
      <w:r>
        <w:rPr>
          <w:rFonts w:hint="eastAsia"/>
          <w:bCs/>
          <w:sz w:val="24"/>
        </w:rPr>
        <w:t>交易可转换债券）、可交换公司债券的比例合计不超过基金资产的</w:t>
      </w:r>
      <w:r>
        <w:rPr>
          <w:rFonts w:ascii="宋体" w:hAnsi="宋体"/>
          <w:sz w:val="24"/>
        </w:rPr>
        <w:t>20</w:t>
      </w:r>
      <w:r>
        <w:rPr>
          <w:rFonts w:ascii="宋体" w:hAnsi="宋体" w:hint="eastAsia"/>
          <w:sz w:val="24"/>
        </w:rPr>
        <w:t>%；</w:t>
      </w:r>
      <w:r>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Pr>
          <w:rFonts w:ascii="宋体" w:hAnsi="宋体"/>
          <w:sz w:val="24"/>
        </w:rPr>
        <w:t>考量</w:t>
      </w:r>
      <w:proofErr w:type="gramEnd"/>
      <w:r>
        <w:rPr>
          <w:rFonts w:ascii="宋体" w:hAnsi="宋体"/>
          <w:sz w:val="24"/>
        </w:rPr>
        <w:t>信用债券的信用评级，以及各类债券的流动</w:t>
      </w:r>
      <w:r>
        <w:rPr>
          <w:rFonts w:ascii="宋体" w:hAnsi="宋体"/>
          <w:sz w:val="24"/>
        </w:rPr>
        <w:lastRenderedPageBreak/>
        <w:t>性、供求关系和收益率水平等，自下而上精选投资标的。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1</w:t>
      </w:r>
      <w:r>
        <w:rPr>
          <w:rFonts w:hint="eastAsia"/>
          <w:bCs/>
          <w:sz w:val="24"/>
        </w:rPr>
        <w:t>、债券投资策略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proofErr w:type="gramStart"/>
      <w:r>
        <w:rPr>
          <w:rFonts w:ascii="宋体" w:hAnsi="宋体"/>
          <w:sz w:val="24"/>
        </w:rPr>
        <w:t>久期调整</w:t>
      </w:r>
      <w:proofErr w:type="gramEnd"/>
      <w:r>
        <w:rPr>
          <w:rFonts w:ascii="宋体" w:hAnsi="宋体"/>
          <w:sz w:val="24"/>
        </w:rPr>
        <w:t>策略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w:t>
      </w:r>
      <w:r>
        <w:rPr>
          <w:rFonts w:ascii="宋体" w:hAnsi="宋体" w:hint="eastAsia"/>
          <w:sz w:val="24"/>
        </w:rPr>
        <w:t>的</w:t>
      </w:r>
      <w:r>
        <w:rPr>
          <w:rFonts w:ascii="宋体" w:hAnsi="宋体"/>
          <w:sz w:val="24"/>
        </w:rPr>
        <w:t>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w:t>
      </w:r>
      <w:proofErr w:type="gramStart"/>
      <w:r>
        <w:rPr>
          <w:rFonts w:ascii="宋体" w:hAnsi="宋体"/>
          <w:sz w:val="24"/>
        </w:rPr>
        <w:t>不</w:t>
      </w:r>
      <w:proofErr w:type="gramEnd"/>
      <w:r>
        <w:rPr>
          <w:rFonts w:ascii="宋体" w:hAnsi="宋体"/>
          <w:sz w:val="24"/>
        </w:rPr>
        <w:t>同类属债券类资产的信用风险、流动性风险、市场风险等因素及其经风险调整后的收益率水平或盈利能力，通过比较并合理预期</w:t>
      </w:r>
      <w:proofErr w:type="gramStart"/>
      <w:r>
        <w:rPr>
          <w:rFonts w:ascii="宋体" w:hAnsi="宋体"/>
          <w:sz w:val="24"/>
        </w:rPr>
        <w:t>不</w:t>
      </w:r>
      <w:proofErr w:type="gramEnd"/>
      <w:r>
        <w:rPr>
          <w:rFonts w:ascii="宋体" w:hAnsi="宋体"/>
          <w:sz w:val="24"/>
        </w:rPr>
        <w:t>同类属债券类资产的风险与收益率变化，确定</w:t>
      </w:r>
      <w:proofErr w:type="gramStart"/>
      <w:r>
        <w:rPr>
          <w:rFonts w:ascii="宋体" w:hAnsi="宋体"/>
          <w:sz w:val="24"/>
        </w:rPr>
        <w:t>不</w:t>
      </w:r>
      <w:proofErr w:type="gramEnd"/>
      <w:r>
        <w:rPr>
          <w:rFonts w:ascii="宋体" w:hAnsi="宋体"/>
          <w:sz w:val="24"/>
        </w:rPr>
        <w:t>同类属债券类资产间的配置。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w:t>
      </w:r>
      <w:proofErr w:type="gramStart"/>
      <w:r>
        <w:rPr>
          <w:rFonts w:ascii="宋体" w:hAnsi="宋体"/>
          <w:sz w:val="24"/>
        </w:rPr>
        <w:t>段品种</w:t>
      </w:r>
      <w:proofErr w:type="gramEnd"/>
      <w:r>
        <w:rPr>
          <w:rFonts w:ascii="宋体" w:hAnsi="宋体"/>
          <w:sz w:val="24"/>
        </w:rPr>
        <w:t>收益率变动、结合短期资金利率水平与变动趋势，分析预测收益率曲线的变化，测算子弹、哑铃或梯形等不同期限结构配置策略的风险收益，形成具体的期限结构配置策略。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Pr>
          <w:rFonts w:hint="eastAsia"/>
          <w:bCs/>
          <w:sz w:val="24"/>
        </w:rPr>
        <w:t>（含资产支持证券，下同）</w:t>
      </w:r>
      <w:r>
        <w:rPr>
          <w:rFonts w:ascii="宋体" w:hAnsi="宋体"/>
          <w:sz w:val="24"/>
        </w:rPr>
        <w:t>投资策略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w:t>
      </w:r>
      <w:proofErr w:type="gramStart"/>
      <w:r>
        <w:rPr>
          <w:rFonts w:ascii="宋体" w:hAnsi="宋体"/>
          <w:sz w:val="24"/>
        </w:rPr>
        <w:t>考量</w:t>
      </w:r>
      <w:proofErr w:type="gramEnd"/>
      <w:r>
        <w:rPr>
          <w:rFonts w:ascii="宋体" w:hAnsi="宋体"/>
          <w:sz w:val="24"/>
        </w:rPr>
        <w:t>对信用债券进行信用评级，并在信用评级的基础上，建立信用债券池；然后基于既定的目标久期、信用利差精选个</w:t>
      </w:r>
      <w:proofErr w:type="gramStart"/>
      <w:r>
        <w:rPr>
          <w:rFonts w:ascii="宋体" w:hAnsi="宋体"/>
          <w:sz w:val="24"/>
        </w:rPr>
        <w:t>券</w:t>
      </w:r>
      <w:proofErr w:type="gramEnd"/>
      <w:r>
        <w:rPr>
          <w:rFonts w:ascii="宋体" w:hAnsi="宋体"/>
          <w:sz w:val="24"/>
        </w:rPr>
        <w:t>进行投资。具体而言，本基金信用债券的投资遵循以下流程：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w:t>
      </w:r>
      <w:r>
        <w:rPr>
          <w:rFonts w:ascii="宋体" w:hAnsi="宋体" w:hint="eastAsia"/>
          <w:sz w:val="24"/>
        </w:rPr>
        <w:t>基金管理人</w:t>
      </w:r>
      <w:r>
        <w:rPr>
          <w:rFonts w:ascii="宋体" w:hAnsi="宋体"/>
          <w:sz w:val="24"/>
        </w:rPr>
        <w:t>的信用债券信用评级指标体系，对信用债券进行信用评级，并在信用评级的基础上，建立本基金的信用债券池。</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②信用债券筛选</w:t>
      </w:r>
    </w:p>
    <w:p w:rsidR="0020207F" w:rsidRDefault="000C59E2">
      <w:pPr>
        <w:spacing w:line="360" w:lineRule="auto"/>
        <w:ind w:firstLineChars="200" w:firstLine="480"/>
        <w:rPr>
          <w:bCs/>
          <w:sz w:val="24"/>
        </w:rPr>
      </w:pPr>
      <w:r>
        <w:rPr>
          <w:rFonts w:ascii="宋体" w:hAnsi="宋体"/>
          <w:sz w:val="24"/>
        </w:rPr>
        <w:t>本基金从信用债券池中精选债券构建信用债券投资组合</w:t>
      </w:r>
      <w:r>
        <w:rPr>
          <w:rFonts w:ascii="宋体" w:hAnsi="宋体" w:hint="eastAsia"/>
          <w:sz w:val="24"/>
        </w:rPr>
        <w:t>。</w:t>
      </w:r>
    </w:p>
    <w:p w:rsidR="0020207F" w:rsidRDefault="000C59E2">
      <w:pPr>
        <w:spacing w:line="360" w:lineRule="auto"/>
        <w:ind w:firstLineChars="200" w:firstLine="480"/>
        <w:rPr>
          <w:bCs/>
          <w:sz w:val="24"/>
        </w:rPr>
      </w:pPr>
      <w:r>
        <w:rPr>
          <w:rFonts w:hint="eastAsia"/>
          <w:bCs/>
          <w:sz w:val="24"/>
        </w:rPr>
        <w:t>本基金主动投资的信用债（含资产支持证券，下同）为信用评级在</w:t>
      </w:r>
      <w:r>
        <w:rPr>
          <w:rFonts w:ascii="Times New Roman" w:hAnsi="Times New Roman"/>
          <w:bCs/>
          <w:sz w:val="24"/>
        </w:rPr>
        <w:t>AA+</w:t>
      </w:r>
      <w:r>
        <w:rPr>
          <w:rFonts w:ascii="Times New Roman" w:hAnsi="Times New Roman" w:hint="eastAsia"/>
          <w:bCs/>
          <w:sz w:val="24"/>
        </w:rPr>
        <w:t>级（含）以上的信用债，对信用评级的认定参照基金管理人选定的评级机构出具的信用评级，其中，信用债的信用评级依照评级机构出具的债项信用评级，若无债项信用评级的，依照其主体信用评级</w:t>
      </w:r>
      <w:r>
        <w:rPr>
          <w:rFonts w:hint="eastAsia"/>
          <w:bCs/>
          <w:sz w:val="24"/>
        </w:rPr>
        <w:t>，其中本基金投资的短期融资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、短期公司债券等短期信用债的信用评级依照评级机构出具的主体信用评级</w:t>
      </w:r>
      <w:r>
        <w:rPr>
          <w:rFonts w:ascii="Times New Roman" w:hAnsi="Times New Roman" w:hint="eastAsia"/>
          <w:bCs/>
          <w:sz w:val="24"/>
        </w:rPr>
        <w:t>。本基金投资于评级</w:t>
      </w:r>
      <w:r>
        <w:rPr>
          <w:rFonts w:ascii="Times New Roman" w:hAnsi="Times New Roman"/>
          <w:bCs/>
          <w:sz w:val="24"/>
        </w:rPr>
        <w:t>AA+</w:t>
      </w:r>
      <w:r>
        <w:rPr>
          <w:rFonts w:ascii="Times New Roman" w:hAnsi="Times New Roman" w:hint="eastAsia"/>
          <w:bCs/>
          <w:sz w:val="24"/>
        </w:rPr>
        <w:t>的信用</w:t>
      </w:r>
      <w:proofErr w:type="gramStart"/>
      <w:r>
        <w:rPr>
          <w:rFonts w:ascii="Times New Roman" w:hAnsi="Times New Roman" w:hint="eastAsia"/>
          <w:bCs/>
          <w:sz w:val="24"/>
        </w:rPr>
        <w:t>债比例</w:t>
      </w:r>
      <w:proofErr w:type="gramEnd"/>
      <w:r>
        <w:rPr>
          <w:rFonts w:ascii="Times New Roman" w:hAnsi="Times New Roman" w:hint="eastAsia"/>
          <w:bCs/>
          <w:sz w:val="24"/>
        </w:rPr>
        <w:t>不高于信用</w:t>
      </w:r>
      <w:proofErr w:type="gramStart"/>
      <w:r>
        <w:rPr>
          <w:rFonts w:ascii="Times New Roman" w:hAnsi="Times New Roman" w:hint="eastAsia"/>
          <w:bCs/>
          <w:sz w:val="24"/>
        </w:rPr>
        <w:t>债资产</w:t>
      </w:r>
      <w:proofErr w:type="gramEnd"/>
      <w:r>
        <w:rPr>
          <w:rFonts w:ascii="Times New Roman" w:hAnsi="Times New Roman" w:hint="eastAsia"/>
          <w:bCs/>
          <w:sz w:val="24"/>
        </w:rPr>
        <w:t>的</w:t>
      </w:r>
      <w:r>
        <w:rPr>
          <w:rFonts w:ascii="Times New Roman" w:hAnsi="Times New Roman"/>
          <w:bCs/>
          <w:sz w:val="24"/>
        </w:rPr>
        <w:t>50%</w:t>
      </w:r>
      <w:r>
        <w:rPr>
          <w:rFonts w:ascii="Times New Roman" w:hAnsi="Times New Roman" w:hint="eastAsia"/>
          <w:bCs/>
          <w:sz w:val="24"/>
        </w:rPr>
        <w:t>，投资于评级</w:t>
      </w:r>
      <w:r>
        <w:rPr>
          <w:rFonts w:ascii="Times New Roman" w:hAnsi="Times New Roman"/>
          <w:bCs/>
          <w:sz w:val="24"/>
        </w:rPr>
        <w:t>AAA</w:t>
      </w:r>
      <w:r>
        <w:rPr>
          <w:rFonts w:ascii="Times New Roman" w:hAnsi="Times New Roman" w:hint="eastAsia"/>
          <w:bCs/>
          <w:sz w:val="24"/>
        </w:rPr>
        <w:t>的信用</w:t>
      </w:r>
      <w:proofErr w:type="gramStart"/>
      <w:r>
        <w:rPr>
          <w:rFonts w:ascii="Times New Roman" w:hAnsi="Times New Roman" w:hint="eastAsia"/>
          <w:bCs/>
          <w:sz w:val="24"/>
        </w:rPr>
        <w:t>债比例</w:t>
      </w:r>
      <w:proofErr w:type="gramEnd"/>
      <w:r>
        <w:rPr>
          <w:rFonts w:ascii="Times New Roman" w:hAnsi="Times New Roman" w:hint="eastAsia"/>
          <w:bCs/>
          <w:sz w:val="24"/>
        </w:rPr>
        <w:t>不低于信用</w:t>
      </w:r>
      <w:proofErr w:type="gramStart"/>
      <w:r>
        <w:rPr>
          <w:rFonts w:ascii="Times New Roman" w:hAnsi="Times New Roman" w:hint="eastAsia"/>
          <w:bCs/>
          <w:sz w:val="24"/>
        </w:rPr>
        <w:t>债资产</w:t>
      </w:r>
      <w:proofErr w:type="gramEnd"/>
      <w:r>
        <w:rPr>
          <w:rFonts w:ascii="Times New Roman" w:hAnsi="Times New Roman" w:hint="eastAsia"/>
          <w:bCs/>
          <w:sz w:val="24"/>
        </w:rPr>
        <w:t>的</w:t>
      </w:r>
      <w:r>
        <w:rPr>
          <w:rFonts w:ascii="Times New Roman" w:hAnsi="Times New Roman"/>
          <w:bCs/>
          <w:sz w:val="24"/>
        </w:rPr>
        <w:t>50%</w:t>
      </w:r>
      <w:r>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Pr>
          <w:rFonts w:ascii="Times New Roman" w:hAnsi="Times New Roman"/>
          <w:bCs/>
          <w:sz w:val="24"/>
        </w:rPr>
        <w:t>3</w:t>
      </w:r>
      <w:r>
        <w:rPr>
          <w:rFonts w:hint="eastAsia"/>
          <w:bCs/>
          <w:sz w:val="24"/>
        </w:rPr>
        <w:t>个月内调整至符合规定。上述</w:t>
      </w:r>
      <w:proofErr w:type="gramStart"/>
      <w:r>
        <w:rPr>
          <w:rFonts w:hint="eastAsia"/>
          <w:bCs/>
          <w:sz w:val="24"/>
        </w:rPr>
        <w:t>信用债不包括</w:t>
      </w:r>
      <w:proofErr w:type="gramEnd"/>
      <w:r>
        <w:rPr>
          <w:rFonts w:hint="eastAsia"/>
          <w:bCs/>
          <w:sz w:val="24"/>
        </w:rPr>
        <w:t>可转换债券（</w:t>
      </w:r>
      <w:proofErr w:type="gramStart"/>
      <w:r>
        <w:rPr>
          <w:rFonts w:hint="eastAsia"/>
          <w:bCs/>
          <w:sz w:val="24"/>
        </w:rPr>
        <w:t>含可分离</w:t>
      </w:r>
      <w:proofErr w:type="gramEnd"/>
      <w:r>
        <w:rPr>
          <w:rFonts w:hint="eastAsia"/>
          <w:bCs/>
          <w:sz w:val="24"/>
        </w:rPr>
        <w:t>交易可转换债券）、可交换公司债券。</w:t>
      </w:r>
    </w:p>
    <w:p w:rsidR="0020207F" w:rsidRDefault="000C59E2">
      <w:pPr>
        <w:autoSpaceDE w:val="0"/>
        <w:autoSpaceDN w:val="0"/>
        <w:adjustRightInd w:val="0"/>
        <w:snapToGrid w:val="0"/>
        <w:spacing w:line="360" w:lineRule="auto"/>
        <w:ind w:firstLineChars="200" w:firstLine="480"/>
        <w:jc w:val="left"/>
        <w:rPr>
          <w:bCs/>
          <w:sz w:val="24"/>
        </w:rPr>
      </w:pPr>
      <w:r>
        <w:rPr>
          <w:rFonts w:hint="eastAsia"/>
          <w:bCs/>
          <w:sz w:val="24"/>
        </w:rPr>
        <w:t>本基金构建和管理信用债券投资组合时主要考虑以下因素：</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Pr>
          <w:rFonts w:ascii="宋体" w:hAnsi="宋体"/>
          <w:sz w:val="24"/>
        </w:rPr>
        <w:t>券</w:t>
      </w:r>
      <w:proofErr w:type="gramEnd"/>
      <w:r>
        <w:rPr>
          <w:rFonts w:ascii="宋体" w:hAnsi="宋体"/>
          <w:sz w:val="24"/>
        </w:rPr>
        <w:t>进行有效的信用利差交易。</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6</w:t>
      </w:r>
      <w:r>
        <w:rPr>
          <w:rFonts w:ascii="Times New Roman" w:hAnsi="Times New Roman" w:hint="eastAsia"/>
          <w:bCs/>
          <w:sz w:val="24"/>
        </w:rPr>
        <w:t>）可转换债券（</w:t>
      </w:r>
      <w:proofErr w:type="gramStart"/>
      <w:r>
        <w:rPr>
          <w:rFonts w:ascii="Times New Roman" w:hAnsi="Times New Roman" w:hint="eastAsia"/>
          <w:bCs/>
          <w:sz w:val="24"/>
        </w:rPr>
        <w:t>含可分离</w:t>
      </w:r>
      <w:proofErr w:type="gramEnd"/>
      <w:r>
        <w:rPr>
          <w:rFonts w:ascii="Times New Roman" w:hAnsi="Times New Roman" w:hint="eastAsia"/>
          <w:bCs/>
          <w:sz w:val="24"/>
        </w:rPr>
        <w:t>交易可转换债券）与</w:t>
      </w:r>
      <w:r>
        <w:rPr>
          <w:rFonts w:ascii="Times New Roman" w:hAnsi="Times New Roman"/>
          <w:bCs/>
          <w:sz w:val="24"/>
        </w:rPr>
        <w:t>可交换</w:t>
      </w:r>
      <w:r>
        <w:rPr>
          <w:rFonts w:ascii="Times New Roman" w:hAnsi="Times New Roman" w:hint="eastAsia"/>
          <w:bCs/>
          <w:sz w:val="24"/>
        </w:rPr>
        <w:t>公司</w:t>
      </w:r>
      <w:r>
        <w:rPr>
          <w:rFonts w:ascii="Times New Roman" w:hAnsi="Times New Roman"/>
          <w:bCs/>
          <w:sz w:val="24"/>
        </w:rPr>
        <w:t>债券</w:t>
      </w:r>
      <w:r>
        <w:rPr>
          <w:rFonts w:ascii="Times New Roman" w:hAnsi="Times New Roman" w:hint="eastAsia"/>
          <w:bCs/>
          <w:sz w:val="24"/>
        </w:rPr>
        <w:t>投资策略</w:t>
      </w:r>
    </w:p>
    <w:p w:rsidR="0020207F" w:rsidRDefault="000C59E2">
      <w:pPr>
        <w:spacing w:line="360" w:lineRule="auto"/>
        <w:ind w:firstLineChars="200" w:firstLine="480"/>
        <w:rPr>
          <w:bCs/>
          <w:sz w:val="24"/>
        </w:rPr>
      </w:pPr>
      <w:r>
        <w:rPr>
          <w:rFonts w:ascii="Times New Roman" w:hAnsi="Times New Roman" w:hint="eastAsia"/>
          <w:bCs/>
          <w:sz w:val="24"/>
        </w:rPr>
        <w:t>本基金投资于可转换债券（</w:t>
      </w:r>
      <w:proofErr w:type="gramStart"/>
      <w:r>
        <w:rPr>
          <w:rFonts w:ascii="Times New Roman" w:hAnsi="Times New Roman" w:hint="eastAsia"/>
          <w:bCs/>
          <w:sz w:val="24"/>
        </w:rPr>
        <w:t>含可分离</w:t>
      </w:r>
      <w:proofErr w:type="gramEnd"/>
      <w:r>
        <w:rPr>
          <w:rFonts w:ascii="Times New Roman" w:hAnsi="Times New Roman" w:hint="eastAsia"/>
          <w:bCs/>
          <w:sz w:val="24"/>
        </w:rPr>
        <w:t>交易可转换债券）、可交换公司债券的比例合计不超过基金资产的</w:t>
      </w:r>
      <w:r>
        <w:rPr>
          <w:rFonts w:ascii="Times New Roman" w:hAnsi="Times New Roman"/>
          <w:bCs/>
          <w:sz w:val="24"/>
        </w:rPr>
        <w:t>20</w:t>
      </w:r>
      <w:r>
        <w:rPr>
          <w:rFonts w:ascii="Times New Roman" w:hAnsi="Times New Roman" w:hint="eastAsia"/>
          <w:bCs/>
          <w:sz w:val="24"/>
        </w:rPr>
        <w:t>%</w:t>
      </w:r>
      <w:r>
        <w:rPr>
          <w:rFonts w:ascii="Times New Roman" w:hAnsi="Times New Roman" w:hint="eastAsia"/>
          <w:bCs/>
          <w:sz w:val="24"/>
        </w:rPr>
        <w:t>。</w:t>
      </w:r>
      <w:r>
        <w:rPr>
          <w:rFonts w:hint="eastAsia"/>
          <w:bCs/>
          <w:sz w:val="24"/>
        </w:rPr>
        <w:t>本基金对于可转换债券（</w:t>
      </w:r>
      <w:proofErr w:type="gramStart"/>
      <w:r>
        <w:rPr>
          <w:rFonts w:hint="eastAsia"/>
          <w:bCs/>
          <w:sz w:val="24"/>
        </w:rPr>
        <w:t>含可分离</w:t>
      </w:r>
      <w:proofErr w:type="gramEnd"/>
      <w:r>
        <w:rPr>
          <w:rFonts w:hint="eastAsia"/>
          <w:bCs/>
          <w:sz w:val="24"/>
        </w:rPr>
        <w:t>交易可转换债券）与可交换公司债券股性的研究将完全依托于基金管理人投</w:t>
      </w:r>
      <w:proofErr w:type="gramStart"/>
      <w:r>
        <w:rPr>
          <w:rFonts w:hint="eastAsia"/>
          <w:bCs/>
          <w:sz w:val="24"/>
        </w:rPr>
        <w:t>研</w:t>
      </w:r>
      <w:proofErr w:type="gramEnd"/>
      <w:r>
        <w:rPr>
          <w:rFonts w:hint="eastAsia"/>
          <w:bCs/>
          <w:sz w:val="24"/>
        </w:rPr>
        <w:t>团队对标的股票的研究，在此基础上利用可转换债券（</w:t>
      </w:r>
      <w:proofErr w:type="gramStart"/>
      <w:r>
        <w:rPr>
          <w:rFonts w:hint="eastAsia"/>
          <w:bCs/>
          <w:sz w:val="24"/>
        </w:rPr>
        <w:t>含可分离</w:t>
      </w:r>
      <w:proofErr w:type="gramEnd"/>
      <w:r>
        <w:rPr>
          <w:rFonts w:hint="eastAsia"/>
          <w:bCs/>
          <w:sz w:val="24"/>
        </w:rPr>
        <w:t>交易可转换债券）与</w:t>
      </w:r>
      <w:r>
        <w:rPr>
          <w:bCs/>
          <w:sz w:val="24"/>
        </w:rPr>
        <w:t>可交换</w:t>
      </w:r>
      <w:r>
        <w:rPr>
          <w:rFonts w:hint="eastAsia"/>
          <w:bCs/>
          <w:sz w:val="24"/>
        </w:rPr>
        <w:t>公司</w:t>
      </w:r>
      <w:r>
        <w:rPr>
          <w:bCs/>
          <w:sz w:val="24"/>
        </w:rPr>
        <w:t>债券</w:t>
      </w:r>
      <w:r>
        <w:rPr>
          <w:rFonts w:hint="eastAsia"/>
          <w:bCs/>
          <w:sz w:val="24"/>
        </w:rPr>
        <w:t>定价模型，充分考虑转债发行</w:t>
      </w:r>
      <w:proofErr w:type="gramStart"/>
      <w:r>
        <w:rPr>
          <w:rFonts w:hint="eastAsia"/>
          <w:bCs/>
          <w:sz w:val="24"/>
        </w:rPr>
        <w:t>后目标转</w:t>
      </w:r>
      <w:proofErr w:type="gramEnd"/>
      <w:r>
        <w:rPr>
          <w:rFonts w:hint="eastAsia"/>
          <w:bCs/>
          <w:sz w:val="24"/>
        </w:rPr>
        <w:t>债标的股票股价波动率可能出现的变化，对目标转债的股性进行合理定价。通过对目标转</w:t>
      </w:r>
      <w:proofErr w:type="gramStart"/>
      <w:r>
        <w:rPr>
          <w:rFonts w:hint="eastAsia"/>
          <w:bCs/>
          <w:sz w:val="24"/>
        </w:rPr>
        <w:t>债股性与债性</w:t>
      </w:r>
      <w:proofErr w:type="gramEnd"/>
      <w:r>
        <w:rPr>
          <w:rFonts w:hint="eastAsia"/>
          <w:bCs/>
          <w:sz w:val="24"/>
        </w:rPr>
        <w:t>的合理定价，力求寻找出被市场低估的品种，构建本基金可转换债券（</w:t>
      </w:r>
      <w:proofErr w:type="gramStart"/>
      <w:r>
        <w:rPr>
          <w:rFonts w:hint="eastAsia"/>
          <w:bCs/>
          <w:sz w:val="24"/>
        </w:rPr>
        <w:t>含可分离</w:t>
      </w:r>
      <w:proofErr w:type="gramEnd"/>
      <w:r>
        <w:rPr>
          <w:rFonts w:hint="eastAsia"/>
          <w:bCs/>
          <w:sz w:val="24"/>
        </w:rPr>
        <w:t>交易可转换债券）与</w:t>
      </w:r>
      <w:r>
        <w:rPr>
          <w:bCs/>
          <w:sz w:val="24"/>
        </w:rPr>
        <w:t>可交换</w:t>
      </w:r>
      <w:r>
        <w:rPr>
          <w:rFonts w:hint="eastAsia"/>
          <w:bCs/>
          <w:sz w:val="24"/>
        </w:rPr>
        <w:t>公司</w:t>
      </w:r>
      <w:r>
        <w:rPr>
          <w:bCs/>
          <w:sz w:val="24"/>
        </w:rPr>
        <w:t>债券</w:t>
      </w:r>
      <w:r>
        <w:rPr>
          <w:rFonts w:hint="eastAsia"/>
          <w:bCs/>
          <w:sz w:val="24"/>
        </w:rPr>
        <w:t>的投资组合。</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）行业配置策略</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本基金将综合考虑各种宏观因素，以宏观经济走势、经济周期特征和阶段性市场投资主题的研究为基础，综合</w:t>
      </w:r>
      <w:proofErr w:type="gramStart"/>
      <w:r>
        <w:rPr>
          <w:rFonts w:ascii="Times New Roman" w:hAnsi="Times New Roman" w:hint="eastAsia"/>
          <w:bCs/>
          <w:sz w:val="24"/>
        </w:rPr>
        <w:t>考量</w:t>
      </w:r>
      <w:proofErr w:type="gramEnd"/>
      <w:r>
        <w:rPr>
          <w:rFonts w:ascii="Times New Roman" w:hAnsi="Times New Roman" w:hint="eastAsia"/>
          <w:bCs/>
          <w:sz w:val="24"/>
        </w:rPr>
        <w:t>可转债市场的供给和需求情况，追求最优行业配置。同时，结合经济和市场阶段性特征，动态调整不同行业的可转换债券（</w:t>
      </w:r>
      <w:proofErr w:type="gramStart"/>
      <w:r>
        <w:rPr>
          <w:rFonts w:ascii="Times New Roman" w:hAnsi="Times New Roman" w:hint="eastAsia"/>
          <w:bCs/>
          <w:sz w:val="24"/>
        </w:rPr>
        <w:t>含可</w:t>
      </w:r>
      <w:r>
        <w:rPr>
          <w:rFonts w:ascii="Times New Roman" w:hAnsi="Times New Roman" w:hint="eastAsia"/>
          <w:bCs/>
          <w:sz w:val="24"/>
        </w:rPr>
        <w:lastRenderedPageBreak/>
        <w:t>分离</w:t>
      </w:r>
      <w:proofErr w:type="gramEnd"/>
      <w:r>
        <w:rPr>
          <w:rFonts w:ascii="Times New Roman" w:hAnsi="Times New Roman" w:hint="eastAsia"/>
          <w:bCs/>
          <w:sz w:val="24"/>
        </w:rPr>
        <w:t>交易可转换债券）与</w:t>
      </w:r>
      <w:r>
        <w:rPr>
          <w:rFonts w:ascii="Times New Roman" w:hAnsi="Times New Roman"/>
          <w:bCs/>
          <w:sz w:val="24"/>
        </w:rPr>
        <w:t>可交换</w:t>
      </w:r>
      <w:r>
        <w:rPr>
          <w:rFonts w:ascii="Times New Roman" w:hAnsi="Times New Roman" w:hint="eastAsia"/>
          <w:bCs/>
          <w:sz w:val="24"/>
        </w:rPr>
        <w:t>公司</w:t>
      </w:r>
      <w:r>
        <w:rPr>
          <w:rFonts w:ascii="Times New Roman" w:hAnsi="Times New Roman"/>
          <w:bCs/>
          <w:sz w:val="24"/>
        </w:rPr>
        <w:t>债券</w:t>
      </w:r>
      <w:r>
        <w:rPr>
          <w:rFonts w:ascii="Times New Roman" w:hAnsi="Times New Roman" w:hint="eastAsia"/>
          <w:bCs/>
          <w:sz w:val="24"/>
        </w:rPr>
        <w:t>进行投资。</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w:t>
      </w:r>
      <w:proofErr w:type="gramStart"/>
      <w:r>
        <w:rPr>
          <w:rFonts w:ascii="Times New Roman" w:hAnsi="Times New Roman" w:hint="eastAsia"/>
          <w:bCs/>
          <w:sz w:val="24"/>
        </w:rPr>
        <w:t>个券</w:t>
      </w:r>
      <w:proofErr w:type="gramEnd"/>
      <w:r>
        <w:rPr>
          <w:rFonts w:ascii="Times New Roman" w:hAnsi="Times New Roman" w:hint="eastAsia"/>
          <w:bCs/>
          <w:sz w:val="24"/>
        </w:rPr>
        <w:t>精选策略</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本基金将借鉴信用债的基本面研究，从行业基本面、公司的信用资质、行业地位、财务状况等方面进行定性分析，精选财务稳健、信用违约风险小的</w:t>
      </w:r>
      <w:proofErr w:type="gramStart"/>
      <w:r>
        <w:rPr>
          <w:rFonts w:ascii="Times New Roman" w:hAnsi="Times New Roman" w:hint="eastAsia"/>
          <w:bCs/>
          <w:sz w:val="24"/>
        </w:rPr>
        <w:t>个券</w:t>
      </w:r>
      <w:proofErr w:type="gramEnd"/>
      <w:r>
        <w:rPr>
          <w:rFonts w:ascii="Times New Roman" w:hAnsi="Times New Roman" w:hint="eastAsia"/>
          <w:bCs/>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w:t>
      </w:r>
      <w:proofErr w:type="gramStart"/>
      <w:r>
        <w:rPr>
          <w:rFonts w:ascii="Times New Roman" w:hAnsi="Times New Roman" w:hint="eastAsia"/>
          <w:bCs/>
          <w:sz w:val="24"/>
        </w:rPr>
        <w:t>含可分离</w:t>
      </w:r>
      <w:proofErr w:type="gramEnd"/>
      <w:r>
        <w:rPr>
          <w:rFonts w:ascii="Times New Roman" w:hAnsi="Times New Roman" w:hint="eastAsia"/>
          <w:bCs/>
          <w:sz w:val="24"/>
        </w:rPr>
        <w:t>交易可转换债券）与</w:t>
      </w:r>
      <w:r>
        <w:rPr>
          <w:rFonts w:ascii="Times New Roman" w:hAnsi="Times New Roman"/>
          <w:bCs/>
          <w:sz w:val="24"/>
        </w:rPr>
        <w:t>可交换</w:t>
      </w:r>
      <w:r>
        <w:rPr>
          <w:rFonts w:ascii="Times New Roman" w:hAnsi="Times New Roman" w:hint="eastAsia"/>
          <w:bCs/>
          <w:sz w:val="24"/>
        </w:rPr>
        <w:t>公司</w:t>
      </w:r>
      <w:r>
        <w:rPr>
          <w:rFonts w:ascii="Times New Roman" w:hAnsi="Times New Roman"/>
          <w:bCs/>
          <w:sz w:val="24"/>
        </w:rPr>
        <w:t>债券</w:t>
      </w:r>
      <w:r>
        <w:rPr>
          <w:rFonts w:ascii="Times New Roman" w:hAnsi="Times New Roman" w:hint="eastAsia"/>
          <w:bCs/>
          <w:sz w:val="24"/>
        </w:rPr>
        <w:t>自身的信用评估和其正股的价值分析来进行个</w:t>
      </w:r>
      <w:proofErr w:type="gramStart"/>
      <w:r>
        <w:rPr>
          <w:rFonts w:ascii="Times New Roman" w:hAnsi="Times New Roman" w:hint="eastAsia"/>
          <w:bCs/>
          <w:sz w:val="24"/>
        </w:rPr>
        <w:t>券</w:t>
      </w:r>
      <w:proofErr w:type="gramEnd"/>
      <w:r>
        <w:rPr>
          <w:rFonts w:ascii="Times New Roman" w:hAnsi="Times New Roman" w:hint="eastAsia"/>
          <w:bCs/>
          <w:sz w:val="24"/>
        </w:rPr>
        <w:t>的筛选。</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、国债期货投资策略</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3</w:t>
      </w:r>
      <w:r>
        <w:rPr>
          <w:rFonts w:ascii="Times New Roman" w:hAnsi="Times New Roman" w:hint="eastAsia"/>
          <w:bCs/>
          <w:sz w:val="24"/>
        </w:rPr>
        <w:t>、信用衍生</w:t>
      </w:r>
      <w:proofErr w:type="gramStart"/>
      <w:r>
        <w:rPr>
          <w:rFonts w:ascii="Times New Roman" w:hAnsi="Times New Roman" w:hint="eastAsia"/>
          <w:bCs/>
          <w:sz w:val="24"/>
        </w:rPr>
        <w:t>品投资</w:t>
      </w:r>
      <w:proofErr w:type="gramEnd"/>
      <w:r>
        <w:rPr>
          <w:rFonts w:ascii="Times New Roman" w:hAnsi="Times New Roman" w:hint="eastAsia"/>
          <w:bCs/>
          <w:sz w:val="24"/>
        </w:rPr>
        <w:t>策略</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rsidR="0020207F" w:rsidRDefault="000C59E2">
      <w:pPr>
        <w:spacing w:line="360" w:lineRule="auto"/>
        <w:ind w:firstLineChars="200" w:firstLine="480"/>
        <w:rPr>
          <w:rFonts w:ascii="宋体" w:hAnsi="宋体"/>
          <w:szCs w:val="24"/>
        </w:rPr>
      </w:pPr>
      <w:r>
        <w:rPr>
          <w:rFonts w:ascii="Times New Roman" w:hAnsi="Times New Roman"/>
          <w:bCs/>
          <w:sz w:val="24"/>
        </w:rPr>
        <w:t>未来，随着投资工具的发展和丰富，基金管理人可以在不改变投资目标的前提下，</w:t>
      </w:r>
      <w:r>
        <w:rPr>
          <w:rFonts w:ascii="Times New Roman" w:hAnsi="Times New Roman" w:hint="eastAsia"/>
          <w:bCs/>
          <w:sz w:val="24"/>
        </w:rPr>
        <w:t>在履行适当程序之后，</w:t>
      </w:r>
      <w:r>
        <w:rPr>
          <w:rFonts w:ascii="Times New Roman" w:hAnsi="Times New Roman"/>
          <w:bCs/>
          <w:sz w:val="24"/>
        </w:rPr>
        <w:t>相应调整和更新相关投资策略，并在招募说明书中更新，而无需召开基金份额持有人大会。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r>
        <w:rPr>
          <w:rFonts w:hint="eastAsia"/>
          <w:bCs/>
          <w:sz w:val="24"/>
        </w:rPr>
        <w:t>，</w:t>
      </w:r>
      <w:r>
        <w:rPr>
          <w:rFonts w:hint="eastAsia"/>
          <w:sz w:val="24"/>
          <w:szCs w:val="24"/>
        </w:rPr>
        <w:t>投资于</w:t>
      </w:r>
      <w:r>
        <w:rPr>
          <w:rFonts w:hint="eastAsia"/>
          <w:bCs/>
          <w:sz w:val="24"/>
        </w:rPr>
        <w:t>可转换债券</w:t>
      </w:r>
      <w:r>
        <w:rPr>
          <w:rFonts w:hint="eastAsia"/>
          <w:bCs/>
          <w:sz w:val="24"/>
        </w:rPr>
        <w:lastRenderedPageBreak/>
        <w:t>（</w:t>
      </w:r>
      <w:proofErr w:type="gramStart"/>
      <w:r>
        <w:rPr>
          <w:rFonts w:hint="eastAsia"/>
          <w:bCs/>
          <w:sz w:val="24"/>
        </w:rPr>
        <w:t>含可分离</w:t>
      </w:r>
      <w:proofErr w:type="gramEnd"/>
      <w:r>
        <w:rPr>
          <w:rFonts w:hint="eastAsia"/>
          <w:bCs/>
          <w:sz w:val="24"/>
        </w:rPr>
        <w:t>交易可转换债券）、可交换公司债券的比例合计不超过基金资产的</w:t>
      </w:r>
      <w:r>
        <w:rPr>
          <w:rFonts w:ascii="宋体" w:hAnsi="宋体"/>
          <w:sz w:val="24"/>
        </w:rPr>
        <w:t>20%；</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（8）本基金管理人管理的全部基金投资于同一原始权益人的各类资产支持证券，不得超过其各类资产支持证券合计规模的10％；</w:t>
      </w:r>
    </w:p>
    <w:p w:rsidR="0020207F" w:rsidRDefault="000C59E2">
      <w:pPr>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bCs/>
          <w:sz w:val="24"/>
        </w:rPr>
        <w:t>9</w:t>
      </w:r>
      <w:r>
        <w:rPr>
          <w:rFonts w:ascii="Times New Roman" w:hAnsi="Times New Roman" w:hint="eastAsia"/>
          <w:bCs/>
          <w:sz w:val="24"/>
        </w:rPr>
        <w:t>）本基金参与国债期货交易，需遵守下列投资比例限制：</w:t>
      </w:r>
    </w:p>
    <w:p w:rsidR="0020207F" w:rsidRDefault="000C59E2">
      <w:pPr>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hint="eastAsia"/>
          <w:bCs/>
          <w:sz w:val="24"/>
        </w:rPr>
        <w:t>）在任何交易日日终，持有的买入国债期货合约价值，不得超过基金资产净值的</w:t>
      </w:r>
      <w:r>
        <w:rPr>
          <w:rFonts w:ascii="Times New Roman" w:hAnsi="Times New Roman"/>
          <w:bCs/>
          <w:sz w:val="24"/>
        </w:rPr>
        <w:t>15%</w:t>
      </w:r>
      <w:r>
        <w:rPr>
          <w:rFonts w:ascii="Times New Roman" w:hAnsi="Times New Roman" w:hint="eastAsia"/>
          <w:bCs/>
          <w:sz w:val="24"/>
        </w:rPr>
        <w:t>；</w:t>
      </w:r>
    </w:p>
    <w:p w:rsidR="0020207F" w:rsidRDefault="000C59E2">
      <w:pPr>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hint="eastAsia"/>
          <w:bCs/>
          <w:sz w:val="24"/>
        </w:rPr>
        <w:t>）在任何交易日日终，持有的卖出国债期货合约价值不得超过基金持有的债券总市值的</w:t>
      </w:r>
      <w:r>
        <w:rPr>
          <w:rFonts w:ascii="Times New Roman" w:hAnsi="Times New Roman"/>
          <w:bCs/>
          <w:sz w:val="24"/>
        </w:rPr>
        <w:t>30%</w:t>
      </w:r>
      <w:r>
        <w:rPr>
          <w:rFonts w:ascii="Times New Roman" w:hAnsi="Times New Roman" w:hint="eastAsia"/>
          <w:bCs/>
          <w:sz w:val="24"/>
        </w:rPr>
        <w:t>；</w:t>
      </w:r>
    </w:p>
    <w:p w:rsidR="0020207F" w:rsidRDefault="000C59E2">
      <w:pPr>
        <w:spacing w:line="360"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hint="eastAsia"/>
          <w:bCs/>
          <w:sz w:val="24"/>
        </w:rPr>
        <w:t>）基金在任何交易日内交易（不包括平仓）的国债期货合约的成交金额不得超过上一交易日基金资产净值的</w:t>
      </w:r>
      <w:r>
        <w:rPr>
          <w:rFonts w:ascii="Times New Roman" w:hAnsi="Times New Roman"/>
          <w:bCs/>
          <w:sz w:val="24"/>
        </w:rPr>
        <w:t>30%</w:t>
      </w:r>
      <w:r>
        <w:rPr>
          <w:rFonts w:ascii="Times New Roman" w:hAnsi="Times New Roman" w:hint="eastAsia"/>
          <w:bCs/>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4</w:t>
      </w:r>
      <w:r>
        <w:rPr>
          <w:rFonts w:ascii="Times New Roman" w:hAnsi="Times New Roman" w:hint="eastAsia"/>
          <w:bCs/>
          <w:sz w:val="24"/>
        </w:rPr>
        <w:t>）本基金所持有的债券（不含到期日在一年以内的政府债券）市值和买入、卖出国债期货合约价值，合计（轧差计算）应当符合基金合同关于债券投资比例的有关约定；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（10）本基金</w:t>
      </w:r>
      <w:proofErr w:type="gramStart"/>
      <w:r>
        <w:rPr>
          <w:rFonts w:ascii="宋体" w:hAnsi="宋体" w:hint="eastAsia"/>
          <w:sz w:val="24"/>
        </w:rPr>
        <w:t>不</w:t>
      </w:r>
      <w:proofErr w:type="gramEnd"/>
      <w:r>
        <w:rPr>
          <w:rFonts w:ascii="宋体" w:hAnsi="宋体" w:hint="eastAsia"/>
          <w:sz w:val="24"/>
        </w:rPr>
        <w:t>持有具有信用保护卖方属性的信用衍生品，</w:t>
      </w:r>
      <w:proofErr w:type="gramStart"/>
      <w:r>
        <w:rPr>
          <w:rFonts w:ascii="宋体" w:hAnsi="宋体" w:hint="eastAsia"/>
          <w:sz w:val="24"/>
        </w:rPr>
        <w:t>不</w:t>
      </w:r>
      <w:proofErr w:type="gramEnd"/>
      <w:r>
        <w:rPr>
          <w:rFonts w:ascii="宋体" w:hAnsi="宋体" w:hint="eastAsia"/>
          <w:sz w:val="24"/>
        </w:rPr>
        <w:t>持有合约类信用衍生品；本基金投资的信用衍生品名义本金不得超过本基金中对应受保护债券面值的100%；本基金投资于同一信用保护卖方的各类信用衍生品名义本金合计不得超过基金资产净值的10%；因证券/期货市场波动、证券发行人合并、基金规模变动等基</w:t>
      </w:r>
      <w:r>
        <w:rPr>
          <w:rFonts w:ascii="宋体" w:hAnsi="宋体" w:hint="eastAsia"/>
          <w:sz w:val="24"/>
        </w:rPr>
        <w:lastRenderedPageBreak/>
        <w:t>金管理人之外的因素致使基金不符合前述所规定比例限制的，基金管理人应在3个月之内进行调整；</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（12）本基金与私募类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20207F" w:rsidRDefault="000C59E2">
      <w:pPr>
        <w:autoSpaceDE w:val="0"/>
        <w:autoSpaceDN w:val="0"/>
        <w:adjustRightInd w:val="0"/>
        <w:snapToGrid w:val="0"/>
        <w:spacing w:line="360" w:lineRule="auto"/>
        <w:ind w:firstLineChars="200" w:firstLine="480"/>
        <w:jc w:val="left"/>
        <w:rPr>
          <w:bCs/>
          <w:sz w:val="24"/>
        </w:rPr>
      </w:pPr>
      <w:r>
        <w:rPr>
          <w:rFonts w:ascii="宋体" w:hAnsi="宋体"/>
          <w:sz w:val="24"/>
        </w:rPr>
        <w:t>（13）本基金</w:t>
      </w:r>
      <w:r>
        <w:rPr>
          <w:rFonts w:ascii="宋体" w:hAnsi="宋体" w:hint="eastAsia"/>
          <w:sz w:val="24"/>
        </w:rPr>
        <w:t>管理人管理的全部开放式基金（包括开放式基金以及处于开放期的定期开放基</w:t>
      </w:r>
      <w:r>
        <w:rPr>
          <w:rFonts w:hint="eastAsia"/>
          <w:bCs/>
          <w:sz w:val="24"/>
        </w:rPr>
        <w:t>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（14）本基金资产总值不超过基金资产净值的140%；</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除上述（2）、（10）、（11）、（12）情形之外，因证券</w:t>
      </w:r>
      <w:r>
        <w:rPr>
          <w:rFonts w:hint="eastAsia"/>
          <w:bCs/>
          <w:sz w:val="24"/>
        </w:rPr>
        <w:t>/</w:t>
      </w:r>
      <w:r>
        <w:rPr>
          <w:rFonts w:hint="eastAsia"/>
          <w:bCs/>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法律法规或监管部门取消或变更上述限制，如适用于本基金，基金管理人在履行适当程序后，则本基金投资不再受相关限制或以变更后的规定为准。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（4）买卖其他基金份额，但是中国证监会另有规定的除外；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rsidR="0020207F" w:rsidRDefault="000C59E2">
      <w:pPr>
        <w:spacing w:line="360" w:lineRule="auto"/>
        <w:ind w:firstLineChars="200" w:firstLine="480"/>
        <w:rPr>
          <w:rFonts w:ascii="宋体" w:hAnsi="宋体"/>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收益率×</w:t>
      </w:r>
      <w:r>
        <w:rPr>
          <w:rFonts w:ascii="宋体" w:hAnsi="宋体"/>
          <w:sz w:val="24"/>
        </w:rPr>
        <w:t>90</w:t>
      </w:r>
      <w:r>
        <w:rPr>
          <w:rFonts w:ascii="宋体" w:hAnsi="宋体" w:hint="eastAsia"/>
          <w:sz w:val="24"/>
        </w:rPr>
        <w:t>%+人民币活期存款利率(税后)×</w:t>
      </w:r>
      <w:r>
        <w:rPr>
          <w:rFonts w:ascii="宋体" w:hAnsi="宋体"/>
          <w:sz w:val="24"/>
        </w:rPr>
        <w:t>10</w:t>
      </w:r>
      <w:r>
        <w:rPr>
          <w:rFonts w:ascii="宋体" w:hAnsi="宋体" w:hint="eastAsia"/>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rPr>
        <w:t>券</w:t>
      </w:r>
      <w:proofErr w:type="gramEnd"/>
      <w:r>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债券部分比较基准较为合适。</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w:t>
      </w:r>
      <w:r>
        <w:rPr>
          <w:rFonts w:hint="eastAsia"/>
          <w:bCs/>
          <w:sz w:val="24"/>
        </w:rPr>
        <w:t>在按照监管部门要求履行适当程序后</w:t>
      </w:r>
      <w:r>
        <w:rPr>
          <w:rFonts w:ascii="宋体" w:hAnsi="宋体"/>
          <w:sz w:val="24"/>
        </w:rPr>
        <w:t>调整或变更本基金的业绩比较基准并及时</w:t>
      </w:r>
      <w:r>
        <w:rPr>
          <w:rFonts w:hint="eastAsia"/>
          <w:bCs/>
          <w:sz w:val="24"/>
        </w:rPr>
        <w:t>在规定媒介上</w:t>
      </w:r>
      <w:r>
        <w:rPr>
          <w:rFonts w:ascii="宋体" w:hAnsi="宋体"/>
          <w:sz w:val="24"/>
        </w:rPr>
        <w:t>公告，而无需召开基金份额持有人大会。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Pr>
          <w:rFonts w:ascii="宋体" w:hAnsi="宋体" w:hint="eastAsia"/>
          <w:sz w:val="24"/>
        </w:rPr>
        <w:t>理论上</w:t>
      </w:r>
      <w:r>
        <w:rPr>
          <w:rFonts w:ascii="宋体" w:hAnsi="宋体"/>
          <w:sz w:val="24"/>
        </w:rPr>
        <w:t>高于货币市场基金，低于混合型基金和股票型基金。</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w:t>
      </w:r>
      <w:r>
        <w:rPr>
          <w:bCs/>
          <w:sz w:val="24"/>
        </w:rPr>
        <w:t>股东或</w:t>
      </w:r>
      <w:r>
        <w:rPr>
          <w:rFonts w:ascii="宋体" w:hAnsi="宋体"/>
          <w:sz w:val="24"/>
        </w:rPr>
        <w:t>债权人权利的处理原则及方法</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w:t>
      </w:r>
      <w:r>
        <w:rPr>
          <w:bCs/>
          <w:sz w:val="24"/>
        </w:rPr>
        <w:t>股东或</w:t>
      </w:r>
      <w:r>
        <w:rPr>
          <w:rFonts w:ascii="宋体" w:hAnsi="宋体"/>
          <w:sz w:val="24"/>
        </w:rPr>
        <w:t>债权人权利，保护</w:t>
      </w:r>
      <w:r>
        <w:rPr>
          <w:rFonts w:ascii="宋体" w:hAnsi="宋体"/>
          <w:sz w:val="24"/>
        </w:rPr>
        <w:lastRenderedPageBreak/>
        <w:t>基金份额持有人的利益；</w:t>
      </w:r>
    </w:p>
    <w:p w:rsidR="0020207F" w:rsidRDefault="000C59E2">
      <w:pPr>
        <w:autoSpaceDE w:val="0"/>
        <w:autoSpaceDN w:val="0"/>
        <w:adjustRightInd w:val="0"/>
        <w:snapToGrid w:val="0"/>
        <w:spacing w:line="360" w:lineRule="auto"/>
        <w:ind w:firstLineChars="200" w:firstLine="480"/>
        <w:jc w:val="left"/>
        <w:rPr>
          <w:bCs/>
          <w:sz w:val="24"/>
        </w:rPr>
      </w:pPr>
      <w:r>
        <w:rPr>
          <w:rFonts w:ascii="宋体" w:hAnsi="宋体"/>
          <w:sz w:val="24"/>
        </w:rPr>
        <w:t>2、</w:t>
      </w:r>
      <w:r>
        <w:rPr>
          <w:bCs/>
          <w:sz w:val="24"/>
        </w:rPr>
        <w:t>不谋求对上市公司的控股</w:t>
      </w:r>
      <w:r>
        <w:rPr>
          <w:rFonts w:hint="eastAsia"/>
          <w:bCs/>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hint="eastAsia"/>
          <w:sz w:val="24"/>
        </w:rPr>
        <w:t>、</w:t>
      </w:r>
      <w:r>
        <w:rPr>
          <w:rFonts w:ascii="宋体" w:hAnsi="宋体"/>
          <w:sz w:val="24"/>
        </w:rPr>
        <w:t>有利于基金财产的安全与增值；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proofErr w:type="gramStart"/>
      <w:r>
        <w:rPr>
          <w:rFonts w:ascii="宋体" w:hAnsi="宋体"/>
          <w:sz w:val="24"/>
        </w:rPr>
        <w:t>侧袋机制</w:t>
      </w:r>
      <w:proofErr w:type="gramEnd"/>
      <w:r>
        <w:rPr>
          <w:rFonts w:ascii="宋体" w:hAnsi="宋体"/>
          <w:sz w:val="24"/>
        </w:rPr>
        <w:t>的实施和投资运作安排</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的实施条件、实施程序、运作安排、投资安排、特定资产的处置变现和支付等对投资者权益有重大影响的事项详见本招募说明书“侧袋机制”部分的规定。</w:t>
      </w:r>
    </w:p>
    <w:p w:rsidR="0020207F" w:rsidRDefault="0020207F">
      <w:pPr>
        <w:autoSpaceDE w:val="0"/>
        <w:autoSpaceDN w:val="0"/>
        <w:adjustRightInd w:val="0"/>
        <w:snapToGrid w:val="0"/>
        <w:spacing w:line="360" w:lineRule="auto"/>
        <w:ind w:firstLineChars="200" w:firstLine="420"/>
        <w:jc w:val="left"/>
        <w:rPr>
          <w:rFonts w:ascii="宋体" w:hAnsi="宋体"/>
          <w:szCs w:val="24"/>
        </w:rPr>
      </w:pPr>
    </w:p>
    <w:p w:rsidR="0020207F" w:rsidRDefault="0020207F">
      <w:pPr>
        <w:autoSpaceDE w:val="0"/>
        <w:autoSpaceDN w:val="0"/>
        <w:adjustRightInd w:val="0"/>
        <w:snapToGrid w:val="0"/>
        <w:spacing w:line="360" w:lineRule="auto"/>
        <w:ind w:firstLineChars="200" w:firstLine="420"/>
        <w:jc w:val="left"/>
        <w:rPr>
          <w:rFonts w:ascii="宋体" w:hAnsi="宋体"/>
          <w:szCs w:val="24"/>
        </w:rPr>
      </w:pP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23" w:name="_Toc104564193"/>
      <w:bookmarkStart w:id="24" w:name="_Hlk101008077"/>
      <w:bookmarkEnd w:id="22"/>
      <w:r>
        <w:rPr>
          <w:rFonts w:ascii="Times New Roman" w:hAnsi="Times New Roman"/>
          <w:sz w:val="30"/>
        </w:rPr>
        <w:lastRenderedPageBreak/>
        <w:t>十、基金的财产</w:t>
      </w:r>
      <w:bookmarkEnd w:id="23"/>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w:t>
      </w:r>
      <w:r>
        <w:rPr>
          <w:rFonts w:hint="eastAsia"/>
          <w:bCs/>
          <w:sz w:val="24"/>
        </w:rPr>
        <w:t>国债期货合约、</w:t>
      </w:r>
      <w:r>
        <w:rPr>
          <w:rFonts w:ascii="宋体" w:hAnsi="宋体"/>
          <w:sz w:val="24"/>
        </w:rPr>
        <w:t>银行存款本息、基金应收款</w:t>
      </w:r>
      <w:r>
        <w:rPr>
          <w:rFonts w:ascii="宋体" w:hAnsi="宋体" w:hint="eastAsia"/>
          <w:sz w:val="24"/>
        </w:rPr>
        <w:t>项</w:t>
      </w:r>
      <w:r>
        <w:rPr>
          <w:rFonts w:ascii="宋体" w:hAnsi="宋体"/>
          <w:sz w:val="24"/>
        </w:rPr>
        <w:t>及其他资产的价值总和。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。非因基金财产本身承担的债务，不得对基金财产强制执行。</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25" w:name="_Toc104564194"/>
      <w:bookmarkStart w:id="26" w:name="_Hlk101008085"/>
      <w:bookmarkEnd w:id="24"/>
      <w:r>
        <w:rPr>
          <w:rFonts w:ascii="Times New Roman" w:hAnsi="Times New Roman"/>
          <w:sz w:val="30"/>
        </w:rPr>
        <w:lastRenderedPageBreak/>
        <w:t>十</w:t>
      </w:r>
      <w:r>
        <w:rPr>
          <w:rFonts w:ascii="Times New Roman" w:hAnsi="Times New Roman" w:hint="eastAsia"/>
          <w:sz w:val="30"/>
        </w:rPr>
        <w:t>一</w:t>
      </w:r>
      <w:r>
        <w:rPr>
          <w:rFonts w:ascii="Times New Roman" w:hAnsi="Times New Roman"/>
          <w:sz w:val="30"/>
        </w:rPr>
        <w:t>、基金资产的估值</w:t>
      </w:r>
      <w:bookmarkEnd w:id="25"/>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Pr>
          <w:rFonts w:hint="eastAsia"/>
          <w:bCs/>
          <w:sz w:val="24"/>
        </w:rPr>
        <w:t>、国债期货合约、</w:t>
      </w:r>
      <w:r>
        <w:rPr>
          <w:bCs/>
          <w:sz w:val="24"/>
        </w:rPr>
        <w:t>资产支持证券</w:t>
      </w:r>
      <w:r>
        <w:rPr>
          <w:rFonts w:hint="eastAsia"/>
          <w:bCs/>
          <w:sz w:val="24"/>
        </w:rPr>
        <w:t>、信用衍生品</w:t>
      </w:r>
      <w:r>
        <w:rPr>
          <w:rFonts w:ascii="宋体" w:hAnsi="宋体"/>
          <w:sz w:val="24"/>
        </w:rPr>
        <w:t>和其他投资等持续以公允价值计量的金融资产及负债。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rsidR="0020207F" w:rsidRDefault="000C59E2">
      <w:pPr>
        <w:spacing w:line="360" w:lineRule="auto"/>
        <w:ind w:firstLineChars="200" w:firstLine="480"/>
        <w:rPr>
          <w:bCs/>
          <w:sz w:val="24"/>
        </w:rPr>
      </w:pPr>
      <w:r>
        <w:rPr>
          <w:rFonts w:ascii="宋体" w:hAnsi="宋体"/>
          <w:sz w:val="24"/>
        </w:rPr>
        <w:t>1、</w:t>
      </w:r>
      <w:r>
        <w:rPr>
          <w:bCs/>
          <w:sz w:val="24"/>
        </w:rPr>
        <w:t>证券交易所上市的有价证券的估值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（1）交易所上市的有价证券，以其估值日在证券交易所挂牌的市价（收盘价）估值；估值日无交易的，且最近交易日后经济环境未发生重大变化</w:t>
      </w:r>
      <w:r>
        <w:rPr>
          <w:rFonts w:ascii="宋体" w:hAnsi="宋体" w:hint="eastAsia"/>
          <w:sz w:val="24"/>
        </w:rPr>
        <w:t>或</w:t>
      </w:r>
      <w:r>
        <w:rPr>
          <w:rFonts w:ascii="宋体" w:hAnsi="宋体"/>
          <w:sz w:val="24"/>
        </w:rPr>
        <w:t>证券发行机构未发生影响证券价格的重大事件的，以最近交易日的市价（收盘价）估值；如最近交易日后经济环境发生了重大变化</w:t>
      </w:r>
      <w:r>
        <w:rPr>
          <w:rFonts w:ascii="宋体" w:hAnsi="宋体" w:hint="eastAsia"/>
          <w:sz w:val="24"/>
        </w:rPr>
        <w:t>或</w:t>
      </w:r>
      <w:r>
        <w:rPr>
          <w:rFonts w:ascii="宋体" w:hAnsi="宋体"/>
          <w:sz w:val="24"/>
        </w:rPr>
        <w:t>证券发行机构发生影响证券价格的重大事件的，可参考类似投资品种的现行市价及重大变化因素，调整最近交易市价，确定公允价格</w:t>
      </w:r>
      <w:r>
        <w:rPr>
          <w:rFonts w:ascii="宋体" w:hAnsi="宋体" w:hint="eastAsia"/>
          <w:sz w:val="24"/>
        </w:rPr>
        <w:t>；</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（2）交易所上市交易或挂牌转让的固定收益品种</w:t>
      </w:r>
      <w:r>
        <w:rPr>
          <w:rFonts w:ascii="宋体" w:hAnsi="宋体" w:hint="eastAsia"/>
          <w:sz w:val="24"/>
        </w:rPr>
        <w:t>（另有规定的除外）</w:t>
      </w:r>
      <w:r>
        <w:rPr>
          <w:rFonts w:ascii="宋体" w:hAnsi="宋体"/>
          <w:sz w:val="24"/>
        </w:rPr>
        <w:t>，选取估值日第三方估值机构提供的相应品种当日的估值净价进行估值；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交易所上市实行全价交易的债券（可转债除外），选取第三方估值机构提供的估值全价减去估值全价中所含的债券（税后）应收利息得到的净价进行估值；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Pr>
          <w:rFonts w:ascii="宋体" w:hAnsi="宋体"/>
          <w:sz w:val="24"/>
        </w:rPr>
        <w:t>交易所上市不存在活跃市场的有价证券，采用估值技术确定公允价值。</w:t>
      </w:r>
      <w:r>
        <w:rPr>
          <w:rFonts w:ascii="宋体" w:hAnsi="宋体" w:hint="eastAsia"/>
          <w:sz w:val="24"/>
        </w:rPr>
        <w:t>交易所市场挂牌转让</w:t>
      </w:r>
      <w:r>
        <w:rPr>
          <w:rFonts w:ascii="宋体" w:hAnsi="宋体"/>
          <w:sz w:val="24"/>
        </w:rPr>
        <w:t>的资产支持证券，采用估值技术确定公允价值</w:t>
      </w:r>
      <w:r>
        <w:rPr>
          <w:rFonts w:ascii="宋体" w:hAnsi="宋体" w:hint="eastAsia"/>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hint="eastAsia"/>
          <w:sz w:val="24"/>
        </w:rPr>
        <w:t>6</w:t>
      </w:r>
      <w:r>
        <w:rPr>
          <w:rFonts w:ascii="宋体" w:hAnsi="宋体"/>
          <w:sz w:val="24"/>
        </w:rPr>
        <w:t>）</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w:t>
      </w:r>
      <w:r>
        <w:rPr>
          <w:bCs/>
          <w:sz w:val="24"/>
        </w:rPr>
        <w:t>对银行间市场未上市，且第三方估值机构未提供估值价格的债券，在发行利率与二级市场利率不存在明显差异，未上市期间市场利率没</w:t>
      </w:r>
      <w:r>
        <w:rPr>
          <w:bCs/>
          <w:sz w:val="24"/>
        </w:rPr>
        <w:lastRenderedPageBreak/>
        <w:t>有发生大的变动的情况下，按成本估值。</w:t>
      </w:r>
    </w:p>
    <w:p w:rsidR="0020207F" w:rsidRDefault="000C59E2">
      <w:pPr>
        <w:autoSpaceDE w:val="0"/>
        <w:autoSpaceDN w:val="0"/>
        <w:adjustRightInd w:val="0"/>
        <w:snapToGrid w:val="0"/>
        <w:spacing w:line="360" w:lineRule="auto"/>
        <w:ind w:firstLineChars="200" w:firstLine="480"/>
        <w:jc w:val="left"/>
        <w:rPr>
          <w:bCs/>
          <w:sz w:val="24"/>
        </w:rPr>
      </w:pPr>
      <w:r>
        <w:rPr>
          <w:rFonts w:ascii="宋体" w:hAnsi="宋体" w:hint="eastAsia"/>
          <w:sz w:val="24"/>
        </w:rPr>
        <w:t>4、</w:t>
      </w:r>
      <w:r>
        <w:rPr>
          <w:rFonts w:hint="eastAsia"/>
          <w:bCs/>
          <w:sz w:val="24"/>
        </w:rPr>
        <w:t>同一证券同时在两个或两个以上市场交易的，按证券所处的市场分别估值。</w:t>
      </w:r>
    </w:p>
    <w:p w:rsidR="0020207F" w:rsidRDefault="000C59E2">
      <w:pPr>
        <w:autoSpaceDE w:val="0"/>
        <w:autoSpaceDN w:val="0"/>
        <w:adjustRightInd w:val="0"/>
        <w:snapToGrid w:val="0"/>
        <w:spacing w:line="360" w:lineRule="auto"/>
        <w:ind w:firstLineChars="200" w:firstLine="480"/>
        <w:jc w:val="left"/>
        <w:rPr>
          <w:bCs/>
          <w:sz w:val="24"/>
        </w:rPr>
      </w:pPr>
      <w:r>
        <w:rPr>
          <w:rFonts w:ascii="Times New Roman" w:hAnsi="Times New Roman"/>
          <w:bCs/>
          <w:sz w:val="24"/>
        </w:rPr>
        <w:t>5</w:t>
      </w:r>
      <w:r>
        <w:rPr>
          <w:rFonts w:ascii="Times New Roman" w:hAnsi="Times New Roman" w:hint="eastAsia"/>
          <w:bCs/>
          <w:sz w:val="24"/>
        </w:rPr>
        <w:t>、</w:t>
      </w:r>
      <w:r>
        <w:rPr>
          <w:rFonts w:hint="eastAsia"/>
          <w:bCs/>
          <w:sz w:val="24"/>
        </w:rPr>
        <w:t>本基金投资国债期货合约，一般以估值当日结算价进行估值，估值当日无结算价的，且最近交易日后经济环境未发生重大变化的，采用最近交易日结算价估值。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6</w:t>
      </w:r>
      <w:r>
        <w:rPr>
          <w:rFonts w:ascii="Times New Roman" w:hAnsi="Times New Roman" w:hint="eastAsia"/>
          <w:bCs/>
          <w:sz w:val="24"/>
        </w:rPr>
        <w:t>、</w:t>
      </w:r>
      <w:r>
        <w:rPr>
          <w:rFonts w:hint="eastAsia"/>
          <w:bCs/>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7、如有确凿证据表明按上述方法进行估值不能客观反映其公允价值的，基金管理人可根据具体情况与基金托管人商定后，按最能反映公允价值的价格估值。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8、当发生大额申购或赎回情形时，基金管理人可以采用摆动定价机制，以确保基金估值的公平性。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9</w:t>
      </w:r>
      <w:r>
        <w:rPr>
          <w:rFonts w:ascii="Times New Roman" w:hAnsi="Times New Roman" w:hint="eastAsia"/>
          <w:bCs/>
          <w:sz w:val="24"/>
        </w:rPr>
        <w:t>、</w:t>
      </w:r>
      <w:r>
        <w:rPr>
          <w:rFonts w:hint="eastAsia"/>
          <w:bCs/>
          <w:sz w:val="24"/>
        </w:rPr>
        <w:t>对于因税收规定调整或其他原因导致产品实际交纳税金与估算的应交税金有差异的，产品将在相关税金调整日或实际支付日进行相应的会计处理。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10、相关法律法规以及监管部门有强制规定的，从其规定。如有新增事项，按国家最新规定估值。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ascii="宋体" w:hAnsi="宋体" w:hint="eastAsia"/>
          <w:sz w:val="24"/>
        </w:rPr>
        <w:t>信息</w:t>
      </w:r>
      <w:r>
        <w:rPr>
          <w:rFonts w:ascii="宋体" w:hAnsi="宋体"/>
          <w:sz w:val="24"/>
        </w:rPr>
        <w:t>的计算结果对外予以公布。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基金管理人于每个工作日计算各类基金份额的基金资产净值及基金份额净值，并按规定公告。如遇特殊情况，经履行适当程序，可以适当延迟计算或公告。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w:t>
      </w:r>
      <w:r>
        <w:rPr>
          <w:rFonts w:ascii="宋体" w:hAnsi="宋体" w:hint="eastAsia"/>
          <w:sz w:val="24"/>
        </w:rPr>
        <w:t>，</w:t>
      </w:r>
      <w:r>
        <w:rPr>
          <w:rFonts w:ascii="宋体" w:hAnsi="宋体"/>
          <w:sz w:val="24"/>
        </w:rPr>
        <w:t>但基金管理人根据法律法规或基金合同的规定暂停估值时除外。基金管理人每个工作日对基金资产估值后，将</w:t>
      </w:r>
      <w:r>
        <w:rPr>
          <w:rFonts w:hint="eastAsia"/>
          <w:bCs/>
          <w:sz w:val="24"/>
        </w:rPr>
        <w:t>基金资产净值、</w:t>
      </w:r>
      <w:r>
        <w:rPr>
          <w:rFonts w:ascii="宋体" w:hAnsi="宋体"/>
          <w:sz w:val="24"/>
        </w:rPr>
        <w:t>各类基金份额净值结果发送基金托管人，经基金托管人复核无误后，由基金管理人依据基金合同和相关法律法规的规定对外公布。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（2）估值错误的责任方对有关当事人的直接损失负责，不对间接损失负责，并且仅对估值错误的有关直接当事人负责，不对第三方负责。</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（2）错误偏差达到</w:t>
      </w:r>
      <w:r>
        <w:rPr>
          <w:rFonts w:hint="eastAsia"/>
          <w:bCs/>
          <w:sz w:val="24"/>
        </w:rPr>
        <w:t>该类</w:t>
      </w:r>
      <w:r>
        <w:rPr>
          <w:rFonts w:ascii="宋体" w:hAnsi="宋体"/>
          <w:sz w:val="24"/>
        </w:rPr>
        <w:t>基金份额净值的0.25%时，基金管理人应当通报基金托管人并报中国证监会备案；错误偏差达到</w:t>
      </w:r>
      <w:r>
        <w:rPr>
          <w:rFonts w:hint="eastAsia"/>
          <w:bCs/>
          <w:sz w:val="24"/>
        </w:rPr>
        <w:t>该类</w:t>
      </w:r>
      <w:r>
        <w:rPr>
          <w:rFonts w:ascii="宋体" w:hAnsi="宋体"/>
          <w:sz w:val="24"/>
        </w:rPr>
        <w:t>基金份额净值的0.5%时，基金管理人应当公告，并报中国证监会备案。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w:t>
      </w:r>
      <w:r>
        <w:rPr>
          <w:rFonts w:hint="eastAsia"/>
          <w:bCs/>
          <w:sz w:val="24"/>
        </w:rPr>
        <w:t>/</w:t>
      </w:r>
      <w:r>
        <w:rPr>
          <w:rFonts w:hint="eastAsia"/>
          <w:bCs/>
          <w:sz w:val="24"/>
        </w:rPr>
        <w:t>期货</w:t>
      </w:r>
      <w:r>
        <w:rPr>
          <w:rFonts w:ascii="宋体" w:hAnsi="宋体"/>
          <w:sz w:val="24"/>
        </w:rPr>
        <w:t>交易市场遇法定节假日或因其他原因暂停营业</w:t>
      </w:r>
      <w:r>
        <w:rPr>
          <w:rFonts w:ascii="宋体" w:hAnsi="宋体"/>
          <w:sz w:val="24"/>
        </w:rPr>
        <w:lastRenderedPageBreak/>
        <w:t>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1、基金管理人或基金托管人按估值方法的第7项进行估值时，所造成的误差不作为基金资产估值错误处理。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w:t>
      </w:r>
      <w:r>
        <w:rPr>
          <w:rFonts w:hint="eastAsia"/>
          <w:bCs/>
          <w:sz w:val="24"/>
        </w:rPr>
        <w:t>/</w:t>
      </w:r>
      <w:r>
        <w:rPr>
          <w:rFonts w:hint="eastAsia"/>
          <w:bCs/>
          <w:sz w:val="24"/>
        </w:rPr>
        <w:t>期货</w:t>
      </w:r>
      <w:r>
        <w:rPr>
          <w:rFonts w:ascii="宋体" w:hAnsi="宋体"/>
          <w:sz w:val="24"/>
        </w:rPr>
        <w:t>交易所、证券经纪机构</w:t>
      </w:r>
      <w:r>
        <w:rPr>
          <w:rFonts w:ascii="宋体" w:hAnsi="宋体" w:hint="eastAsia"/>
          <w:sz w:val="24"/>
        </w:rPr>
        <w:t>、期货公司</w:t>
      </w:r>
      <w:r>
        <w:rPr>
          <w:rFonts w:ascii="宋体" w:hAnsi="宋体"/>
          <w:sz w:val="24"/>
        </w:rPr>
        <w:t>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w:t>
      </w:r>
      <w:proofErr w:type="gramStart"/>
      <w:r>
        <w:rPr>
          <w:rFonts w:ascii="宋体" w:hAnsi="宋体"/>
          <w:sz w:val="24"/>
        </w:rPr>
        <w:t>侧袋机制</w:t>
      </w:r>
      <w:proofErr w:type="gramEnd"/>
      <w:r>
        <w:rPr>
          <w:rFonts w:ascii="宋体" w:hAnsi="宋体"/>
          <w:sz w:val="24"/>
        </w:rPr>
        <w:t>期间的基金资产估值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的，应根据本部分的约定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27" w:name="_Toc104564195"/>
      <w:bookmarkStart w:id="28" w:name="_Hlk101008090"/>
      <w:bookmarkEnd w:id="26"/>
      <w:r>
        <w:rPr>
          <w:rFonts w:ascii="Times New Roman" w:hAnsi="Times New Roman"/>
          <w:sz w:val="30"/>
        </w:rPr>
        <w:lastRenderedPageBreak/>
        <w:t>十</w:t>
      </w:r>
      <w:r>
        <w:rPr>
          <w:rFonts w:ascii="Times New Roman" w:hAnsi="Times New Roman" w:hint="eastAsia"/>
          <w:sz w:val="30"/>
        </w:rPr>
        <w:t>二</w:t>
      </w:r>
      <w:r>
        <w:rPr>
          <w:rFonts w:ascii="Times New Roman" w:hAnsi="Times New Roman"/>
          <w:sz w:val="30"/>
        </w:rPr>
        <w:t>、基金收益与分配</w:t>
      </w:r>
      <w:bookmarkEnd w:id="27"/>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w:t>
      </w:r>
      <w:proofErr w:type="gramStart"/>
      <w:r>
        <w:rPr>
          <w:rFonts w:ascii="宋体" w:hAnsi="宋体"/>
          <w:sz w:val="24"/>
        </w:rPr>
        <w:t>若基金</w:t>
      </w:r>
      <w:proofErr w:type="gramEnd"/>
      <w:r>
        <w:rPr>
          <w:rFonts w:ascii="宋体" w:hAnsi="宋体"/>
          <w:sz w:val="24"/>
        </w:rPr>
        <w:t>合同生效不满3个月可不进行收益分配；</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20207F" w:rsidRDefault="000C59E2">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bCs/>
          <w:sz w:val="24"/>
        </w:rPr>
        <w:t>4</w:t>
      </w:r>
      <w:r>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5、本基金同一基金份额类别的每一基金份额享有同等分配权；</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、对于收益分配方式为红利再投资的基金份额，每份基金份额（原份额）所获得的红利再投资份额的最短持有期到期日，</w:t>
      </w:r>
      <w:proofErr w:type="gramStart"/>
      <w:r>
        <w:rPr>
          <w:rFonts w:ascii="宋体" w:hAnsi="宋体" w:hint="eastAsia"/>
          <w:sz w:val="24"/>
        </w:rPr>
        <w:t>与该原份额</w:t>
      </w:r>
      <w:proofErr w:type="gramEnd"/>
      <w:r>
        <w:rPr>
          <w:rFonts w:ascii="宋体" w:hAnsi="宋体" w:hint="eastAsia"/>
          <w:sz w:val="24"/>
        </w:rPr>
        <w:t>的最短持有期到期日一致；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7、法律法规或监管机关另有规定的，从其规定。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w:t>
      </w:r>
      <w:r>
        <w:rPr>
          <w:rFonts w:ascii="宋体" w:hAnsi="宋体"/>
          <w:sz w:val="24"/>
        </w:rPr>
        <w:lastRenderedPageBreak/>
        <w:t>露办法》的规定在规定媒介公告。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w:t>
      </w:r>
      <w:proofErr w:type="gramStart"/>
      <w:r>
        <w:rPr>
          <w:rFonts w:ascii="宋体" w:hAnsi="宋体"/>
          <w:sz w:val="24"/>
        </w:rPr>
        <w:t>侧袋机制</w:t>
      </w:r>
      <w:proofErr w:type="gramEnd"/>
      <w:r>
        <w:rPr>
          <w:rFonts w:ascii="宋体" w:hAnsi="宋体"/>
          <w:sz w:val="24"/>
        </w:rPr>
        <w:t>期间的收益分配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侧袋账户</w:t>
      </w:r>
      <w:proofErr w:type="gramEnd"/>
      <w:r>
        <w:rPr>
          <w:rFonts w:ascii="宋体" w:hAnsi="宋体"/>
          <w:sz w:val="24"/>
        </w:rPr>
        <w:t>不进行收益分配。</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29" w:name="_Toc104564196"/>
      <w:bookmarkStart w:id="30" w:name="_Hlk101008094"/>
      <w:bookmarkEnd w:id="28"/>
      <w:r>
        <w:rPr>
          <w:rFonts w:ascii="Times New Roman" w:hAnsi="Times New Roman"/>
          <w:sz w:val="30"/>
        </w:rPr>
        <w:lastRenderedPageBreak/>
        <w:t>十</w:t>
      </w:r>
      <w:r>
        <w:rPr>
          <w:rFonts w:ascii="Times New Roman" w:hAnsi="Times New Roman" w:hint="eastAsia"/>
          <w:sz w:val="30"/>
        </w:rPr>
        <w:t>三</w:t>
      </w:r>
      <w:r>
        <w:rPr>
          <w:rFonts w:ascii="Times New Roman" w:hAnsi="Times New Roman"/>
          <w:sz w:val="30"/>
        </w:rPr>
        <w:t>、基金的费用与税收</w:t>
      </w:r>
      <w:bookmarkEnd w:id="29"/>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w:t>
      </w:r>
      <w:r>
        <w:rPr>
          <w:rFonts w:hint="eastAsia"/>
          <w:bCs/>
          <w:sz w:val="24"/>
        </w:rPr>
        <w:t>、期货</w:t>
      </w:r>
      <w:r>
        <w:rPr>
          <w:rFonts w:ascii="宋体" w:hAnsi="宋体"/>
          <w:sz w:val="24"/>
        </w:rPr>
        <w:t>交易</w:t>
      </w:r>
      <w:r>
        <w:rPr>
          <w:rFonts w:ascii="宋体" w:hAnsi="宋体" w:hint="eastAsia"/>
          <w:sz w:val="24"/>
        </w:rPr>
        <w:t>/</w:t>
      </w:r>
      <w:r>
        <w:rPr>
          <w:rFonts w:hint="eastAsia"/>
          <w:bCs/>
          <w:sz w:val="24"/>
        </w:rPr>
        <w:t>结算</w:t>
      </w:r>
      <w:r>
        <w:rPr>
          <w:rFonts w:ascii="宋体" w:hAnsi="宋体"/>
          <w:sz w:val="24"/>
        </w:rPr>
        <w:t>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本基金的管理费按前一日基金资产净值的0.20%年费率计提。管理费的计算方法如下：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H＝E×0.20%÷当年天数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基金管理费每日计提，逐日累计至每月月末，按月支付。由基金管理人根据双方核对一致的数据向基金托管人发送划付指令，基金托管人于次月首日起</w:t>
      </w:r>
      <w:r>
        <w:rPr>
          <w:rFonts w:hint="eastAsia"/>
          <w:bCs/>
          <w:sz w:val="24"/>
        </w:rPr>
        <w:t>3</w:t>
      </w:r>
      <w:r>
        <w:rPr>
          <w:rFonts w:hint="eastAsia"/>
          <w:bCs/>
          <w:sz w:val="24"/>
        </w:rPr>
        <w:t>个工作日内从基金财产中一次性支付给基金管理人。若遇法定节假日、休息日或不可抗力致使无法按时支付的，顺延至最近可支付日支付。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基金托管费每日计提，逐日累计至每月月末，按月支付。由基金管理人根据双方核对一致的数据向基金托管人发送划付指令，基金托管人于次月首日起</w:t>
      </w:r>
      <w:r>
        <w:rPr>
          <w:rFonts w:hint="eastAsia"/>
          <w:bCs/>
          <w:sz w:val="24"/>
        </w:rPr>
        <w:t>3</w:t>
      </w:r>
      <w:r>
        <w:rPr>
          <w:rFonts w:hint="eastAsia"/>
          <w:bCs/>
          <w:sz w:val="24"/>
        </w:rPr>
        <w:t>个工作日内从基金财产中一次性支取。若遇法定节假日、休息日或不可抗力致使无法按时支付的，顺延至最近可支付日支付。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本基金A类基金份额不收取销售服务费，C类基金份额的销售服务费按前一日C类基金资产净值的0.15%年费率计提。计算方法如下：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C</w:t>
      </w:r>
      <w:r>
        <w:rPr>
          <w:rFonts w:hint="eastAsia"/>
          <w:bCs/>
          <w:sz w:val="24"/>
        </w:rPr>
        <w:t>类基金份额销售服务费每日计提，逐日累计至每月月末，按月支付。由基金管理人根据双方核对一致的数据向基金托管人发送销售服务费划付指令，基金托管人于次月首日起</w:t>
      </w:r>
      <w:r>
        <w:rPr>
          <w:rFonts w:hint="eastAsia"/>
          <w:bCs/>
          <w:sz w:val="24"/>
        </w:rPr>
        <w:t>3</w:t>
      </w:r>
      <w:r>
        <w:rPr>
          <w:rFonts w:hint="eastAsia"/>
          <w:bCs/>
          <w:sz w:val="24"/>
        </w:rPr>
        <w:t>个工作日内从基金财产中一次性支付给基金管理人，由基金管理人代付给销售机构。若遇法定节假日、休息日或不可抗力致使无法按时支付的，顺延至最近可支付日支付。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w:t>
      </w:r>
      <w:proofErr w:type="gramStart"/>
      <w:r>
        <w:rPr>
          <w:rFonts w:ascii="宋体" w:hAnsi="宋体"/>
          <w:sz w:val="24"/>
        </w:rPr>
        <w:t>侧袋机制</w:t>
      </w:r>
      <w:proofErr w:type="gramEnd"/>
      <w:r>
        <w:rPr>
          <w:rFonts w:ascii="宋体" w:hAnsi="宋体"/>
          <w:sz w:val="24"/>
        </w:rPr>
        <w:t>期间的基金费用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与侧袋账户</w:t>
      </w:r>
      <w:proofErr w:type="gramEnd"/>
      <w:r>
        <w:rPr>
          <w:rFonts w:ascii="宋体" w:hAnsi="宋体"/>
          <w:sz w:val="24"/>
        </w:rPr>
        <w:t>有关的费用可以</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账户资产变现后方可列支，有关费用可酌情收取或减免，但不得收取管理费，详见本招募说明书“侧袋机制”部分的规定。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31" w:name="_Toc104564197"/>
      <w:bookmarkStart w:id="32" w:name="_Hlk101008100"/>
      <w:bookmarkEnd w:id="30"/>
      <w:r>
        <w:rPr>
          <w:rFonts w:ascii="Times New Roman" w:hAnsi="Times New Roman"/>
          <w:sz w:val="30"/>
        </w:rPr>
        <w:lastRenderedPageBreak/>
        <w:t>十</w:t>
      </w:r>
      <w:r>
        <w:rPr>
          <w:rFonts w:ascii="Times New Roman" w:hAnsi="Times New Roman" w:hint="eastAsia"/>
          <w:sz w:val="30"/>
        </w:rPr>
        <w:t>四</w:t>
      </w:r>
      <w:r>
        <w:rPr>
          <w:rFonts w:ascii="Times New Roman" w:hAnsi="Times New Roman"/>
          <w:sz w:val="30"/>
        </w:rPr>
        <w:t>、基金的会计与审计</w:t>
      </w:r>
      <w:bookmarkEnd w:id="31"/>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Pr>
          <w:rFonts w:hint="eastAsia"/>
          <w:bCs/>
          <w:sz w:val="24"/>
        </w:rPr>
        <w:t>符合《中华人民共和国证券法》规定</w:t>
      </w:r>
      <w:r>
        <w:rPr>
          <w:rFonts w:ascii="宋体" w:hAnsi="宋体"/>
          <w:sz w:val="24"/>
        </w:rPr>
        <w:t>的会计师事务所及其注册会计师对本基金的年度财务报表进行审计。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33" w:name="_Toc104564198"/>
      <w:bookmarkStart w:id="34" w:name="_Hlk101008104"/>
      <w:bookmarkEnd w:id="32"/>
      <w:r>
        <w:rPr>
          <w:rFonts w:ascii="Times New Roman" w:hAnsi="Times New Roman"/>
          <w:sz w:val="30"/>
        </w:rPr>
        <w:lastRenderedPageBreak/>
        <w:t>十</w:t>
      </w:r>
      <w:r>
        <w:rPr>
          <w:rFonts w:ascii="Times New Roman" w:hAnsi="Times New Roman" w:hint="eastAsia"/>
          <w:sz w:val="30"/>
        </w:rPr>
        <w:t>五</w:t>
      </w:r>
      <w:r>
        <w:rPr>
          <w:rFonts w:ascii="Times New Roman" w:hAnsi="Times New Roman"/>
          <w:sz w:val="30"/>
        </w:rPr>
        <w:t>、基金的信息披露</w:t>
      </w:r>
      <w:bookmarkEnd w:id="33"/>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r>
        <w:rPr>
          <w:rFonts w:hint="eastAsia"/>
          <w:bCs/>
          <w:sz w:val="24"/>
        </w:rPr>
        <w:t>相关法律法规关于信息披露的规定发生变化时，本基金从其最新规定。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Pr>
          <w:bCs/>
          <w:sz w:val="24"/>
        </w:rPr>
        <w:t>符合中国证监会</w:t>
      </w:r>
      <w:r>
        <w:rPr>
          <w:rFonts w:hint="eastAsia"/>
          <w:bCs/>
          <w:sz w:val="24"/>
        </w:rPr>
        <w:t>规定条件</w:t>
      </w:r>
      <w:r>
        <w:rPr>
          <w:bCs/>
          <w:sz w:val="24"/>
        </w:rPr>
        <w:t>的</w:t>
      </w:r>
      <w:r>
        <w:rPr>
          <w:rFonts w:hint="eastAsia"/>
          <w:bCs/>
          <w:sz w:val="24"/>
        </w:rPr>
        <w:t>全国性报刊</w:t>
      </w:r>
      <w:r>
        <w:rPr>
          <w:rFonts w:ascii="Times New Roman" w:hAnsi="Times New Roman" w:hint="eastAsia"/>
          <w:bCs/>
          <w:sz w:val="24"/>
        </w:rPr>
        <w:t>（以下简称“规定报刊”）及《信息披露办法》规定的互联网网站（以下简称</w:t>
      </w:r>
      <w:r>
        <w:rPr>
          <w:rFonts w:ascii="Times New Roman" w:hAnsi="Times New Roman"/>
          <w:bCs/>
          <w:sz w:val="24"/>
        </w:rPr>
        <w:t>“</w:t>
      </w:r>
      <w:r>
        <w:rPr>
          <w:rFonts w:ascii="Times New Roman" w:hAnsi="Times New Roman" w:hint="eastAsia"/>
          <w:bCs/>
          <w:sz w:val="24"/>
        </w:rPr>
        <w:t>规定网站</w:t>
      </w:r>
      <w:r>
        <w:rPr>
          <w:rFonts w:ascii="Times New Roman" w:hAnsi="Times New Roman"/>
          <w:bCs/>
          <w:sz w:val="24"/>
        </w:rPr>
        <w:t>”</w:t>
      </w:r>
      <w:r>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1、基金招募说明书、《基金合同》、基金托管协议、基金产品资料概要</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Pr>
          <w:rFonts w:hint="eastAsia"/>
          <w:bCs/>
          <w:sz w:val="24"/>
        </w:rPr>
        <w:t>规定网站</w:t>
      </w:r>
      <w:r>
        <w:rPr>
          <w:rFonts w:ascii="宋体" w:hAnsi="宋体"/>
          <w:sz w:val="24"/>
        </w:rPr>
        <w:t>上；基金招募说明书其他信息发生变更的，基金管理人至少每年更新一次。</w:t>
      </w:r>
      <w:r>
        <w:rPr>
          <w:rFonts w:ascii="宋体" w:hAnsi="宋体" w:hint="eastAsia"/>
          <w:sz w:val="24"/>
        </w:rPr>
        <w:t>基金终止运作的</w:t>
      </w:r>
      <w:r>
        <w:rPr>
          <w:rFonts w:ascii="宋体" w:hAnsi="宋体"/>
          <w:sz w:val="24"/>
        </w:rPr>
        <w:t>，基金管理人不再更新基金招募说明书。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Pr>
          <w:rFonts w:ascii="宋体" w:hAnsi="宋体" w:hint="eastAsia"/>
          <w:sz w:val="24"/>
        </w:rPr>
        <w:t>运作</w:t>
      </w:r>
      <w:r>
        <w:rPr>
          <w:rFonts w:ascii="宋体" w:hAnsi="宋体"/>
          <w:sz w:val="24"/>
        </w:rPr>
        <w:t>的，基金管理人不再更新基金产品资料概要。</w:t>
      </w:r>
    </w:p>
    <w:p w:rsidR="0020207F" w:rsidRDefault="000C59E2">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Pr>
          <w:bCs/>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4、基金净值信息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w:t>
      </w:r>
      <w:r>
        <w:rPr>
          <w:rFonts w:hint="eastAsia"/>
          <w:bCs/>
          <w:sz w:val="24"/>
        </w:rPr>
        <w:t>规定网站</w:t>
      </w:r>
      <w:r>
        <w:rPr>
          <w:rFonts w:ascii="宋体" w:hAnsi="宋体"/>
          <w:sz w:val="24"/>
        </w:rPr>
        <w:t>分别披露一次A类基金份额和C类基金份额所对应的基金份额净值和基金份额累计净值</w:t>
      </w:r>
      <w:r>
        <w:rPr>
          <w:rFonts w:ascii="宋体" w:hAnsi="宋体" w:hint="eastAsia"/>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Pr>
          <w:rFonts w:hint="eastAsia"/>
          <w:bCs/>
          <w:sz w:val="24"/>
        </w:rPr>
        <w:t>规定网站</w:t>
      </w:r>
      <w:r>
        <w:rPr>
          <w:rFonts w:ascii="宋体" w:hAnsi="宋体"/>
          <w:sz w:val="24"/>
        </w:rPr>
        <w:t>披露半年度和年度最后一日A类基金份额和C类基金份额所对应的基金份额净值和基金份额累计净值。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Pr>
          <w:rFonts w:hint="eastAsia"/>
          <w:bCs/>
          <w:sz w:val="24"/>
        </w:rPr>
        <w:t>规定网站</w:t>
      </w:r>
      <w:r>
        <w:rPr>
          <w:rFonts w:ascii="宋体" w:hAnsi="宋体"/>
          <w:sz w:val="24"/>
        </w:rPr>
        <w:t>上，并将年度报告提示性公告登载在</w:t>
      </w:r>
      <w:r>
        <w:rPr>
          <w:rFonts w:hint="eastAsia"/>
          <w:bCs/>
          <w:sz w:val="24"/>
        </w:rPr>
        <w:t>规定报刊</w:t>
      </w:r>
      <w:r>
        <w:rPr>
          <w:rFonts w:ascii="宋体" w:hAnsi="宋体"/>
          <w:sz w:val="24"/>
        </w:rPr>
        <w:t>上。基金年度报告中的财务会计报告应当经过</w:t>
      </w:r>
      <w:r>
        <w:rPr>
          <w:rFonts w:hint="eastAsia"/>
          <w:bCs/>
          <w:sz w:val="24"/>
        </w:rPr>
        <w:t>符合《中华人民共和国证券法》规定</w:t>
      </w:r>
      <w:r>
        <w:rPr>
          <w:rFonts w:ascii="宋体" w:hAnsi="宋体"/>
          <w:sz w:val="24"/>
        </w:rPr>
        <w:t>的会计师事务所审计。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Pr>
          <w:rFonts w:hint="eastAsia"/>
          <w:bCs/>
          <w:sz w:val="24"/>
        </w:rPr>
        <w:t>规定网站</w:t>
      </w:r>
      <w:r>
        <w:rPr>
          <w:rFonts w:ascii="宋体" w:hAnsi="宋体"/>
          <w:sz w:val="24"/>
        </w:rPr>
        <w:t>上，并将中期报告提示性公告登载在</w:t>
      </w:r>
      <w:r>
        <w:rPr>
          <w:rFonts w:hint="eastAsia"/>
          <w:bCs/>
          <w:sz w:val="24"/>
        </w:rPr>
        <w:t>规定报刊</w:t>
      </w:r>
      <w:r>
        <w:rPr>
          <w:rFonts w:ascii="宋体" w:hAnsi="宋体"/>
          <w:sz w:val="24"/>
        </w:rPr>
        <w:t>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Pr>
          <w:rFonts w:hint="eastAsia"/>
          <w:bCs/>
          <w:sz w:val="24"/>
        </w:rPr>
        <w:t>规定网站</w:t>
      </w:r>
      <w:r>
        <w:rPr>
          <w:rFonts w:ascii="宋体" w:hAnsi="宋体"/>
          <w:sz w:val="24"/>
        </w:rPr>
        <w:t>上，并将季度报告提示性公告登载在</w:t>
      </w:r>
      <w:r>
        <w:rPr>
          <w:rFonts w:hint="eastAsia"/>
          <w:bCs/>
          <w:sz w:val="24"/>
        </w:rPr>
        <w:t>规定报刊</w:t>
      </w:r>
      <w:r>
        <w:rPr>
          <w:rFonts w:ascii="宋体" w:hAnsi="宋体"/>
          <w:sz w:val="24"/>
        </w:rPr>
        <w:t>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w:t>
      </w:r>
      <w:r>
        <w:rPr>
          <w:rFonts w:ascii="宋体" w:hAnsi="宋体"/>
          <w:sz w:val="24"/>
        </w:rPr>
        <w:lastRenderedPageBreak/>
        <w:t>性风险分析等。</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Pr>
          <w:rFonts w:hint="eastAsia"/>
          <w:bCs/>
          <w:sz w:val="24"/>
        </w:rPr>
        <w:t>规定报刊</w:t>
      </w:r>
      <w:r>
        <w:rPr>
          <w:rFonts w:ascii="宋体" w:hAnsi="宋体"/>
          <w:sz w:val="24"/>
        </w:rPr>
        <w:t>和</w:t>
      </w:r>
      <w:r>
        <w:rPr>
          <w:rFonts w:hint="eastAsia"/>
          <w:bCs/>
          <w:sz w:val="24"/>
        </w:rPr>
        <w:t>规定网站</w:t>
      </w:r>
      <w:r>
        <w:rPr>
          <w:rFonts w:ascii="宋体" w:hAnsi="宋体"/>
          <w:sz w:val="24"/>
        </w:rPr>
        <w:t>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（15）管理费、托管费、销售服务费、申购费、赎回费等费用计提标准、计提方式和费率发生变更；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20207F" w:rsidRDefault="000C59E2">
      <w:pPr>
        <w:spacing w:line="360" w:lineRule="auto"/>
        <w:ind w:firstLineChars="200" w:firstLine="480"/>
        <w:rPr>
          <w:bCs/>
          <w:sz w:val="24"/>
        </w:rPr>
      </w:pPr>
      <w:r>
        <w:rPr>
          <w:rFonts w:ascii="Times New Roman" w:hAnsi="Times New Roman"/>
          <w:bCs/>
          <w:sz w:val="24"/>
        </w:rPr>
        <w:t>10</w:t>
      </w:r>
      <w:r>
        <w:rPr>
          <w:rFonts w:ascii="Times New Roman" w:hAnsi="Times New Roman" w:hint="eastAsia"/>
          <w:bCs/>
          <w:sz w:val="24"/>
        </w:rPr>
        <w:t>、</w:t>
      </w:r>
      <w:r>
        <w:rPr>
          <w:rFonts w:hint="eastAsia"/>
          <w:bCs/>
          <w:sz w:val="24"/>
        </w:rPr>
        <w:t>清算报告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基金合同终止的，基金管理人应当依法组织清算小组对基金财产进行清算并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清算报告。清算报告应当经过符合《中华人民共和国证券法》规定的会计师事务所审计，并由律师事务所出具法律意见书。清算小组应当将清算报告登载在规定网</w:t>
      </w:r>
      <w:r>
        <w:rPr>
          <w:rFonts w:hint="eastAsia"/>
          <w:bCs/>
          <w:sz w:val="24"/>
        </w:rPr>
        <w:lastRenderedPageBreak/>
        <w:t>站上，并将清算报告提示性公告登载在规定报刊上。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11、基金投资资产支持证券情况</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20207F" w:rsidRDefault="000C59E2">
      <w:pPr>
        <w:spacing w:line="360" w:lineRule="auto"/>
        <w:ind w:firstLineChars="200" w:firstLine="480"/>
        <w:rPr>
          <w:bCs/>
          <w:sz w:val="24"/>
        </w:rPr>
      </w:pPr>
      <w:r>
        <w:rPr>
          <w:rFonts w:ascii="Times New Roman" w:hAnsi="Times New Roman"/>
          <w:bCs/>
          <w:sz w:val="24"/>
        </w:rPr>
        <w:t>12</w:t>
      </w:r>
      <w:r>
        <w:rPr>
          <w:rFonts w:ascii="Times New Roman" w:hAnsi="Times New Roman" w:hint="eastAsia"/>
          <w:bCs/>
          <w:sz w:val="24"/>
        </w:rPr>
        <w:t>、基金</w:t>
      </w:r>
      <w:r>
        <w:rPr>
          <w:rFonts w:hint="eastAsia"/>
          <w:bCs/>
          <w:sz w:val="24"/>
        </w:rPr>
        <w:t>投资国债期货的情况</w:t>
      </w:r>
    </w:p>
    <w:p w:rsidR="0020207F" w:rsidRDefault="000C59E2">
      <w:pPr>
        <w:autoSpaceDE w:val="0"/>
        <w:autoSpaceDN w:val="0"/>
        <w:adjustRightInd w:val="0"/>
        <w:snapToGrid w:val="0"/>
        <w:spacing w:line="360" w:lineRule="auto"/>
        <w:ind w:firstLineChars="200" w:firstLine="480"/>
        <w:jc w:val="left"/>
        <w:rPr>
          <w:bCs/>
          <w:sz w:val="24"/>
        </w:rPr>
      </w:pPr>
      <w:r>
        <w:rPr>
          <w:rFonts w:hint="eastAsia"/>
          <w:bCs/>
          <w:sz w:val="24"/>
        </w:rPr>
        <w:t>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投资政策和投资目标。</w:t>
      </w:r>
    </w:p>
    <w:p w:rsidR="0020207F" w:rsidRDefault="000C59E2">
      <w:pPr>
        <w:spacing w:line="360" w:lineRule="auto"/>
        <w:ind w:firstLineChars="200" w:firstLine="480"/>
        <w:rPr>
          <w:bCs/>
          <w:sz w:val="24"/>
        </w:rPr>
      </w:pPr>
      <w:r>
        <w:rPr>
          <w:bCs/>
          <w:sz w:val="24"/>
        </w:rPr>
        <w:t>13</w:t>
      </w:r>
      <w:r>
        <w:rPr>
          <w:rFonts w:hint="eastAsia"/>
          <w:bCs/>
          <w:sz w:val="24"/>
        </w:rPr>
        <w:t>、基金投资信用衍生品的情况</w:t>
      </w:r>
    </w:p>
    <w:p w:rsidR="0020207F" w:rsidRDefault="000C59E2">
      <w:pPr>
        <w:spacing w:line="360" w:lineRule="auto"/>
        <w:ind w:firstLineChars="200" w:firstLine="480"/>
        <w:rPr>
          <w:bCs/>
          <w:sz w:val="24"/>
        </w:rPr>
      </w:pPr>
      <w:r>
        <w:rPr>
          <w:rFonts w:hint="eastAsia"/>
          <w:bCs/>
          <w:sz w:val="24"/>
        </w:rPr>
        <w:t>基金管理人应在定期报告及招募说明书（更新）等文件中详细披露信用衍生品的投资情况，包括投资策略、持仓情况等，并充分揭示投资信用衍生品对基金总体风险的影响以及是否符合既定的投资目标及策略。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14、实施</w:t>
      </w:r>
      <w:proofErr w:type="gramStart"/>
      <w:r>
        <w:rPr>
          <w:rFonts w:ascii="宋体" w:hAnsi="宋体"/>
          <w:sz w:val="24"/>
        </w:rPr>
        <w:t>侧袋机制</w:t>
      </w:r>
      <w:proofErr w:type="gramEnd"/>
      <w:r>
        <w:rPr>
          <w:rFonts w:ascii="宋体" w:hAnsi="宋体"/>
          <w:sz w:val="24"/>
        </w:rPr>
        <w:t>期间的信息披露</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的，相关信息披露义务人应当根据法律法规、基金合同和招募说明书的规定进行信息披露，详见本招募说明书“侧袋机制”部分的规定。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15、中国证监会规定的其他信息。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Pr>
          <w:rFonts w:hint="eastAsia"/>
          <w:bCs/>
          <w:sz w:val="24"/>
        </w:rPr>
        <w:t>各类基金份额的</w:t>
      </w:r>
      <w:r>
        <w:rPr>
          <w:rFonts w:ascii="宋体" w:hAnsi="宋体"/>
          <w:sz w:val="24"/>
        </w:rPr>
        <w:t>基金份额净值、基金份额申购赎回价格、基金定期报告、更新的招募说明书、基金产品资料概要、基金清算报告等相关基金信息进行复核、审查，并向基金管理人进行书面或电子确认。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Pr>
          <w:bCs/>
          <w:sz w:val="24"/>
        </w:rPr>
        <w:t>规定报刊</w:t>
      </w:r>
      <w:r>
        <w:rPr>
          <w:rFonts w:ascii="宋体" w:hAnsi="宋体"/>
          <w:sz w:val="24"/>
        </w:rPr>
        <w:t>中选择披露信息的报刊。基金管理</w:t>
      </w:r>
      <w:r>
        <w:rPr>
          <w:rFonts w:ascii="宋体" w:hAnsi="宋体"/>
          <w:sz w:val="24"/>
        </w:rPr>
        <w:lastRenderedPageBreak/>
        <w:t>人、基金托管人应当向中国证监会基金电子披露网站报送拟披露的基金信息，并保证相关报送信息的真实、准确、完整、及时。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35" w:name="_Toc104564199"/>
      <w:bookmarkEnd w:id="34"/>
      <w:r>
        <w:rPr>
          <w:rFonts w:ascii="Times New Roman" w:hAnsi="Times New Roman"/>
          <w:sz w:val="30"/>
        </w:rPr>
        <w:lastRenderedPageBreak/>
        <w:t>十</w:t>
      </w:r>
      <w:r>
        <w:rPr>
          <w:rFonts w:ascii="Times New Roman" w:hAnsi="Times New Roman" w:hint="eastAsia"/>
          <w:sz w:val="30"/>
        </w:rPr>
        <w:t>六</w:t>
      </w:r>
      <w:r>
        <w:rPr>
          <w:rFonts w:ascii="Times New Roman" w:hAnsi="Times New Roman"/>
          <w:sz w:val="30"/>
        </w:rPr>
        <w:t>、</w:t>
      </w:r>
      <w:proofErr w:type="gramStart"/>
      <w:r>
        <w:rPr>
          <w:rFonts w:ascii="Times New Roman" w:hAnsi="Times New Roman"/>
          <w:sz w:val="30"/>
        </w:rPr>
        <w:t>侧袋机制</w:t>
      </w:r>
      <w:bookmarkEnd w:id="35"/>
      <w:proofErr w:type="gramEnd"/>
    </w:p>
    <w:p w:rsidR="0020207F" w:rsidRDefault="000C59E2">
      <w:pPr>
        <w:autoSpaceDE w:val="0"/>
        <w:autoSpaceDN w:val="0"/>
        <w:adjustRightInd w:val="0"/>
        <w:snapToGrid w:val="0"/>
        <w:spacing w:line="360" w:lineRule="auto"/>
        <w:ind w:firstLineChars="200" w:firstLine="422"/>
        <w:jc w:val="left"/>
        <w:rPr>
          <w:rFonts w:ascii="宋体" w:hAnsi="宋体"/>
          <w:szCs w:val="24"/>
        </w:rPr>
      </w:pPr>
      <w:r>
        <w:rPr>
          <w:rFonts w:ascii="宋体" w:hAnsi="宋体" w:hint="eastAsia"/>
          <w:b/>
          <w:szCs w:val="24"/>
        </w:rPr>
        <w:t>（一）</w:t>
      </w:r>
      <w:proofErr w:type="gramStart"/>
      <w:r>
        <w:rPr>
          <w:rFonts w:ascii="宋体" w:hAnsi="宋体" w:hint="eastAsia"/>
          <w:b/>
          <w:szCs w:val="24"/>
        </w:rPr>
        <w:t>侧袋机制</w:t>
      </w:r>
      <w:proofErr w:type="gramEnd"/>
      <w:r>
        <w:rPr>
          <w:rFonts w:ascii="宋体" w:hAnsi="宋体" w:hint="eastAsia"/>
          <w:b/>
          <w:szCs w:val="24"/>
        </w:rPr>
        <w:t>的实施条件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w:t>
      </w:r>
      <w:proofErr w:type="gramStart"/>
      <w:r>
        <w:rPr>
          <w:rFonts w:ascii="宋体" w:hAnsi="宋体"/>
          <w:sz w:val="24"/>
        </w:rPr>
        <w:t>侧袋机制</w:t>
      </w:r>
      <w:proofErr w:type="gramEnd"/>
      <w:r>
        <w:rPr>
          <w:rFonts w:ascii="宋体" w:hAnsi="宋体"/>
          <w:sz w:val="24"/>
        </w:rPr>
        <w:t>后及时发布临时公告，并在五个工作日内聘请</w:t>
      </w:r>
      <w:proofErr w:type="gramStart"/>
      <w:r>
        <w:rPr>
          <w:rFonts w:ascii="宋体" w:hAnsi="宋体"/>
          <w:sz w:val="24"/>
        </w:rPr>
        <w:t>侧袋机制</w:t>
      </w:r>
      <w:proofErr w:type="gramEnd"/>
      <w:r>
        <w:rPr>
          <w:rFonts w:ascii="宋体" w:hAnsi="宋体"/>
          <w:sz w:val="24"/>
        </w:rPr>
        <w:t>启用日发表意见且符合《中华人民共和国证券法》规定的会计师事务所进行审计并披露专项审计意见。</w:t>
      </w:r>
    </w:p>
    <w:p w:rsidR="0020207F" w:rsidRDefault="000C59E2">
      <w:pPr>
        <w:autoSpaceDE w:val="0"/>
        <w:autoSpaceDN w:val="0"/>
        <w:adjustRightInd w:val="0"/>
        <w:snapToGrid w:val="0"/>
        <w:spacing w:line="360" w:lineRule="auto"/>
        <w:ind w:firstLineChars="200" w:firstLine="422"/>
        <w:jc w:val="left"/>
        <w:rPr>
          <w:rFonts w:ascii="宋体" w:hAnsi="宋体"/>
          <w:szCs w:val="24"/>
        </w:rPr>
      </w:pPr>
      <w:r>
        <w:rPr>
          <w:rFonts w:ascii="宋体" w:hAnsi="宋体" w:hint="eastAsia"/>
          <w:b/>
          <w:szCs w:val="24"/>
        </w:rPr>
        <w:t>（二）实施</w:t>
      </w:r>
      <w:proofErr w:type="gramStart"/>
      <w:r>
        <w:rPr>
          <w:rFonts w:ascii="宋体" w:hAnsi="宋体" w:hint="eastAsia"/>
          <w:b/>
          <w:szCs w:val="24"/>
        </w:rPr>
        <w:t>侧袋机制</w:t>
      </w:r>
      <w:proofErr w:type="gramEnd"/>
      <w:r>
        <w:rPr>
          <w:rFonts w:ascii="宋体" w:hAnsi="宋体" w:hint="eastAsia"/>
          <w:b/>
          <w:szCs w:val="24"/>
        </w:rPr>
        <w:t>期间基金份额的申购与赎回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w:t>
      </w:r>
      <w:proofErr w:type="gramStart"/>
      <w:r>
        <w:rPr>
          <w:rFonts w:ascii="宋体" w:hAnsi="宋体"/>
          <w:sz w:val="24"/>
        </w:rPr>
        <w:t>侧袋机制</w:t>
      </w:r>
      <w:proofErr w:type="gramEnd"/>
      <w:r>
        <w:rPr>
          <w:rFonts w:ascii="宋体" w:hAnsi="宋体"/>
          <w:sz w:val="24"/>
        </w:rPr>
        <w:t>当日，基金登记机构以基金份额持有人的原有账户份额为基础，确认</w:t>
      </w:r>
      <w:proofErr w:type="gramStart"/>
      <w:r>
        <w:rPr>
          <w:rFonts w:ascii="宋体" w:hAnsi="宋体"/>
          <w:sz w:val="24"/>
        </w:rPr>
        <w:t>相应侧袋账户</w:t>
      </w:r>
      <w:proofErr w:type="gramEnd"/>
      <w:r>
        <w:rPr>
          <w:rFonts w:ascii="宋体" w:hAnsi="宋体"/>
          <w:sz w:val="24"/>
        </w:rPr>
        <w:t>基金份额持有人名册和份额；当日收到的申购申请，按照启用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的主袋账户</w:t>
      </w:r>
      <w:proofErr w:type="gramEnd"/>
      <w:r>
        <w:rPr>
          <w:rFonts w:ascii="宋体" w:hAnsi="宋体"/>
          <w:sz w:val="24"/>
        </w:rPr>
        <w:t>份额办理；当日收到的赎回申请，仅</w:t>
      </w:r>
      <w:proofErr w:type="gramStart"/>
      <w:r>
        <w:rPr>
          <w:rFonts w:ascii="宋体" w:hAnsi="宋体"/>
          <w:sz w:val="24"/>
        </w:rPr>
        <w:t>办理主袋账户</w:t>
      </w:r>
      <w:proofErr w:type="gramEnd"/>
      <w:r>
        <w:rPr>
          <w:rFonts w:ascii="宋体" w:hAnsi="宋体"/>
          <w:sz w:val="24"/>
        </w:rPr>
        <w:t>的赎回申请并支付赎回款项。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w:t>
      </w:r>
      <w:proofErr w:type="gramStart"/>
      <w:r>
        <w:rPr>
          <w:rFonts w:ascii="宋体" w:hAnsi="宋体"/>
          <w:sz w:val="24"/>
        </w:rPr>
        <w:t>侧袋机制</w:t>
      </w:r>
      <w:proofErr w:type="gramEnd"/>
      <w:r>
        <w:rPr>
          <w:rFonts w:ascii="宋体" w:hAnsi="宋体"/>
          <w:sz w:val="24"/>
        </w:rPr>
        <w:t>期间，基金管理人不</w:t>
      </w:r>
      <w:proofErr w:type="gramStart"/>
      <w:r>
        <w:rPr>
          <w:rFonts w:ascii="宋体" w:hAnsi="宋体"/>
          <w:sz w:val="24"/>
        </w:rPr>
        <w:t>办理侧袋账户</w:t>
      </w:r>
      <w:proofErr w:type="gramEnd"/>
      <w:r>
        <w:rPr>
          <w:rFonts w:ascii="宋体" w:hAnsi="宋体"/>
          <w:sz w:val="24"/>
        </w:rPr>
        <w:t>份额的申购、赎回和转换；同时，基金管理人按照基金合同和招募说明书的约定</w:t>
      </w:r>
      <w:proofErr w:type="gramStart"/>
      <w:r>
        <w:rPr>
          <w:rFonts w:ascii="宋体" w:hAnsi="宋体"/>
          <w:sz w:val="24"/>
        </w:rPr>
        <w:t>办理主袋账户</w:t>
      </w:r>
      <w:proofErr w:type="gramEnd"/>
      <w:r>
        <w:rPr>
          <w:rFonts w:ascii="宋体" w:hAnsi="宋体"/>
          <w:sz w:val="24"/>
        </w:rPr>
        <w:t>份额的赎回，并</w:t>
      </w:r>
      <w:proofErr w:type="gramStart"/>
      <w:r>
        <w:rPr>
          <w:rFonts w:ascii="宋体" w:hAnsi="宋体"/>
          <w:sz w:val="24"/>
        </w:rPr>
        <w:t>根据主袋账户</w:t>
      </w:r>
      <w:proofErr w:type="gramEnd"/>
      <w:r>
        <w:rPr>
          <w:rFonts w:ascii="宋体" w:hAnsi="宋体"/>
          <w:sz w:val="24"/>
        </w:rPr>
        <w:t>运作情况确定是否暂停申购。</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w:t>
      </w:r>
      <w:proofErr w:type="gramStart"/>
      <w:r>
        <w:rPr>
          <w:rFonts w:ascii="宋体" w:hAnsi="宋体"/>
          <w:sz w:val="24"/>
        </w:rPr>
        <w:t>按照主袋账户</w:t>
      </w:r>
      <w:proofErr w:type="gramEnd"/>
      <w:r>
        <w:rPr>
          <w:rFonts w:ascii="宋体" w:hAnsi="宋体"/>
          <w:sz w:val="24"/>
        </w:rPr>
        <w:t>的份额净值</w:t>
      </w:r>
      <w:proofErr w:type="gramStart"/>
      <w:r>
        <w:rPr>
          <w:rFonts w:ascii="宋体" w:hAnsi="宋体"/>
          <w:sz w:val="24"/>
        </w:rPr>
        <w:t>办理主袋账户</w:t>
      </w:r>
      <w:proofErr w:type="gramEnd"/>
      <w:r>
        <w:rPr>
          <w:rFonts w:ascii="宋体" w:hAnsi="宋体"/>
          <w:sz w:val="24"/>
        </w:rPr>
        <w:t>份额的申购和赎回外，本招募说明书“基金份额的申购与赎回”部分的申购、赎回规定</w:t>
      </w:r>
      <w:proofErr w:type="gramStart"/>
      <w:r>
        <w:rPr>
          <w:rFonts w:ascii="宋体" w:hAnsi="宋体"/>
          <w:sz w:val="24"/>
        </w:rPr>
        <w:t>适用于主袋账户</w:t>
      </w:r>
      <w:proofErr w:type="gramEnd"/>
      <w:r>
        <w:rPr>
          <w:rFonts w:ascii="宋体" w:hAnsi="宋体"/>
          <w:sz w:val="24"/>
        </w:rPr>
        <w:t>份额。巨额赎回按照单个开放</w:t>
      </w:r>
      <w:proofErr w:type="gramStart"/>
      <w:r>
        <w:rPr>
          <w:rFonts w:ascii="宋体" w:hAnsi="宋体"/>
          <w:sz w:val="24"/>
        </w:rPr>
        <w:t>日内主袋账户</w:t>
      </w:r>
      <w:proofErr w:type="gramEnd"/>
      <w:r>
        <w:rPr>
          <w:rFonts w:ascii="宋体" w:hAnsi="宋体"/>
          <w:sz w:val="24"/>
        </w:rPr>
        <w:t>份额净赎回申请超过前一开放</w:t>
      </w:r>
      <w:proofErr w:type="gramStart"/>
      <w:r>
        <w:rPr>
          <w:rFonts w:ascii="宋体" w:hAnsi="宋体"/>
          <w:sz w:val="24"/>
        </w:rPr>
        <w:t>日主袋账户</w:t>
      </w:r>
      <w:proofErr w:type="gramEnd"/>
      <w:r>
        <w:rPr>
          <w:rFonts w:ascii="宋体" w:hAnsi="宋体"/>
          <w:sz w:val="24"/>
        </w:rPr>
        <w:t>总份额的10%认定。</w:t>
      </w:r>
    </w:p>
    <w:p w:rsidR="0020207F" w:rsidRDefault="000C59E2">
      <w:pPr>
        <w:autoSpaceDE w:val="0"/>
        <w:autoSpaceDN w:val="0"/>
        <w:adjustRightInd w:val="0"/>
        <w:snapToGrid w:val="0"/>
        <w:spacing w:line="360" w:lineRule="auto"/>
        <w:ind w:firstLineChars="200" w:firstLine="422"/>
        <w:jc w:val="left"/>
        <w:rPr>
          <w:rFonts w:ascii="宋体" w:hAnsi="宋体"/>
          <w:szCs w:val="24"/>
        </w:rPr>
      </w:pPr>
      <w:r>
        <w:rPr>
          <w:rFonts w:ascii="宋体" w:hAnsi="宋体" w:hint="eastAsia"/>
          <w:b/>
          <w:szCs w:val="24"/>
        </w:rPr>
        <w:t>（三）实施</w:t>
      </w:r>
      <w:proofErr w:type="gramStart"/>
      <w:r>
        <w:rPr>
          <w:rFonts w:ascii="宋体" w:hAnsi="宋体" w:hint="eastAsia"/>
          <w:b/>
          <w:szCs w:val="24"/>
        </w:rPr>
        <w:t>侧袋机制</w:t>
      </w:r>
      <w:proofErr w:type="gramEnd"/>
      <w:r>
        <w:rPr>
          <w:rFonts w:ascii="宋体" w:hAnsi="宋体" w:hint="eastAsia"/>
          <w:b/>
          <w:szCs w:val="24"/>
        </w:rPr>
        <w:t>期间的基金投资</w:t>
      </w:r>
    </w:p>
    <w:p w:rsidR="0020207F" w:rsidRDefault="000C59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实施期间，招募说明书“基金的投资”部分约定的投资组合比例、投资策略、组合限制、业绩比较基准、风险收益特征等约定仅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。基金管理人计算各项投资运作指标和基金业绩指标时仅需</w:t>
      </w:r>
      <w:proofErr w:type="gramStart"/>
      <w:r>
        <w:rPr>
          <w:rFonts w:ascii="宋体" w:hAnsi="宋体"/>
          <w:sz w:val="24"/>
        </w:rPr>
        <w:t>考虑主袋账户</w:t>
      </w:r>
      <w:proofErr w:type="gramEnd"/>
      <w:r>
        <w:rPr>
          <w:rFonts w:ascii="宋体" w:hAnsi="宋体"/>
          <w:sz w:val="24"/>
        </w:rPr>
        <w:t>资产。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w:t>
      </w:r>
      <w:proofErr w:type="gramStart"/>
      <w:r>
        <w:rPr>
          <w:rFonts w:ascii="宋体" w:hAnsi="宋体"/>
          <w:sz w:val="24"/>
        </w:rPr>
        <w:t>侧袋机制</w:t>
      </w:r>
      <w:proofErr w:type="gramEnd"/>
      <w:r>
        <w:rPr>
          <w:rFonts w:ascii="宋体" w:hAnsi="宋体"/>
          <w:sz w:val="24"/>
        </w:rPr>
        <w:t>启用后20个交易日内完成</w:t>
      </w:r>
      <w:proofErr w:type="gramStart"/>
      <w:r>
        <w:rPr>
          <w:rFonts w:ascii="宋体" w:hAnsi="宋体"/>
          <w:sz w:val="24"/>
        </w:rPr>
        <w:t>对主袋账户</w:t>
      </w:r>
      <w:proofErr w:type="gramEnd"/>
      <w:r>
        <w:rPr>
          <w:rFonts w:ascii="宋体" w:hAnsi="宋体"/>
          <w:sz w:val="24"/>
        </w:rPr>
        <w:t>投资组合的调整，因资产流动性受限等中国证监会规定的情形除外。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w:t>
      </w:r>
      <w:proofErr w:type="gramStart"/>
      <w:r>
        <w:rPr>
          <w:rFonts w:ascii="宋体" w:hAnsi="宋体"/>
          <w:sz w:val="24"/>
        </w:rPr>
        <w:t>在侧袋账户</w:t>
      </w:r>
      <w:proofErr w:type="gramEnd"/>
      <w:r>
        <w:rPr>
          <w:rFonts w:ascii="宋体" w:hAnsi="宋体"/>
          <w:sz w:val="24"/>
        </w:rPr>
        <w:t>中进行除特定资产处置变现以外的其他投资操作。</w:t>
      </w:r>
    </w:p>
    <w:p w:rsidR="0020207F" w:rsidRDefault="000C59E2">
      <w:pPr>
        <w:autoSpaceDE w:val="0"/>
        <w:autoSpaceDN w:val="0"/>
        <w:adjustRightInd w:val="0"/>
        <w:snapToGrid w:val="0"/>
        <w:spacing w:line="360" w:lineRule="auto"/>
        <w:ind w:firstLineChars="200" w:firstLine="422"/>
        <w:jc w:val="left"/>
        <w:rPr>
          <w:rFonts w:ascii="宋体" w:hAnsi="宋体"/>
          <w:szCs w:val="24"/>
        </w:rPr>
      </w:pPr>
      <w:r>
        <w:rPr>
          <w:rFonts w:ascii="宋体" w:hAnsi="宋体" w:hint="eastAsia"/>
          <w:b/>
          <w:szCs w:val="24"/>
        </w:rPr>
        <w:t>（四）实施</w:t>
      </w:r>
      <w:proofErr w:type="gramStart"/>
      <w:r>
        <w:rPr>
          <w:rFonts w:ascii="宋体" w:hAnsi="宋体" w:hint="eastAsia"/>
          <w:b/>
          <w:szCs w:val="24"/>
        </w:rPr>
        <w:t>侧袋机制</w:t>
      </w:r>
      <w:proofErr w:type="gramEnd"/>
      <w:r>
        <w:rPr>
          <w:rFonts w:ascii="宋体" w:hAnsi="宋体" w:hint="eastAsia"/>
          <w:b/>
          <w:szCs w:val="24"/>
        </w:rPr>
        <w:t>期间的基金估值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的，基金管理人和基金托管人</w:t>
      </w:r>
      <w:proofErr w:type="gramStart"/>
      <w:r>
        <w:rPr>
          <w:rFonts w:ascii="宋体" w:hAnsi="宋体"/>
          <w:sz w:val="24"/>
        </w:rPr>
        <w:t>应对主袋账户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roofErr w:type="gramStart"/>
      <w:r>
        <w:rPr>
          <w:rFonts w:ascii="宋体" w:hAnsi="宋体"/>
          <w:sz w:val="24"/>
        </w:rPr>
        <w:t>侧袋账户</w:t>
      </w:r>
      <w:proofErr w:type="gramEnd"/>
      <w:r>
        <w:rPr>
          <w:rFonts w:ascii="宋体" w:hAnsi="宋体"/>
          <w:sz w:val="24"/>
        </w:rPr>
        <w:t>的会计核</w:t>
      </w:r>
      <w:r>
        <w:rPr>
          <w:rFonts w:ascii="宋体" w:hAnsi="宋体"/>
          <w:sz w:val="24"/>
        </w:rPr>
        <w:lastRenderedPageBreak/>
        <w:t>算应符合《企业会计准则》的相关要求。</w:t>
      </w:r>
    </w:p>
    <w:p w:rsidR="0020207F" w:rsidRDefault="000C59E2">
      <w:pPr>
        <w:autoSpaceDE w:val="0"/>
        <w:autoSpaceDN w:val="0"/>
        <w:adjustRightInd w:val="0"/>
        <w:snapToGrid w:val="0"/>
        <w:spacing w:line="360" w:lineRule="auto"/>
        <w:ind w:firstLineChars="200" w:firstLine="422"/>
        <w:jc w:val="left"/>
        <w:rPr>
          <w:rFonts w:ascii="宋体" w:hAnsi="宋体"/>
          <w:szCs w:val="24"/>
        </w:rPr>
      </w:pPr>
      <w:r>
        <w:rPr>
          <w:rFonts w:ascii="宋体" w:hAnsi="宋体" w:hint="eastAsia"/>
          <w:b/>
          <w:szCs w:val="24"/>
        </w:rPr>
        <w:t>（五）</w:t>
      </w:r>
      <w:proofErr w:type="gramStart"/>
      <w:r>
        <w:rPr>
          <w:rFonts w:ascii="宋体" w:hAnsi="宋体" w:hint="eastAsia"/>
          <w:b/>
          <w:szCs w:val="24"/>
        </w:rPr>
        <w:t>实施侧袋账户</w:t>
      </w:r>
      <w:proofErr w:type="gramEnd"/>
      <w:r>
        <w:rPr>
          <w:rFonts w:ascii="宋体" w:hAnsi="宋体" w:hint="eastAsia"/>
          <w:b/>
          <w:szCs w:val="24"/>
        </w:rPr>
        <w:t>期间的基金费用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w:t>
      </w:r>
      <w:proofErr w:type="gramStart"/>
      <w:r>
        <w:rPr>
          <w:rFonts w:ascii="宋体" w:hAnsi="宋体"/>
          <w:sz w:val="24"/>
        </w:rPr>
        <w:t>侧袋机制</w:t>
      </w:r>
      <w:proofErr w:type="gramEnd"/>
      <w:r>
        <w:rPr>
          <w:rFonts w:ascii="宋体" w:hAnsi="宋体"/>
          <w:sz w:val="24"/>
        </w:rPr>
        <w:t>的，管理费和托管费</w:t>
      </w:r>
      <w:r>
        <w:rPr>
          <w:rFonts w:ascii="宋体" w:hAnsi="宋体" w:hint="eastAsia"/>
          <w:sz w:val="24"/>
        </w:rPr>
        <w:t>等</w:t>
      </w:r>
      <w:proofErr w:type="gramStart"/>
      <w:r>
        <w:rPr>
          <w:rFonts w:ascii="宋体" w:hAnsi="宋体"/>
          <w:sz w:val="24"/>
        </w:rPr>
        <w:t>按主袋账户</w:t>
      </w:r>
      <w:proofErr w:type="gramEnd"/>
      <w:r>
        <w:rPr>
          <w:rFonts w:ascii="宋体" w:hAnsi="宋体"/>
          <w:sz w:val="24"/>
        </w:rPr>
        <w:t>基金资产净值作为基数计提。</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与侧袋账户</w:t>
      </w:r>
      <w:proofErr w:type="gramEnd"/>
      <w:r>
        <w:rPr>
          <w:rFonts w:ascii="宋体" w:hAnsi="宋体"/>
          <w:sz w:val="24"/>
        </w:rPr>
        <w:t>有关的费用可</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w:t>
      </w:r>
    </w:p>
    <w:p w:rsidR="0020207F" w:rsidRDefault="000C59E2">
      <w:pPr>
        <w:autoSpaceDE w:val="0"/>
        <w:autoSpaceDN w:val="0"/>
        <w:adjustRightInd w:val="0"/>
        <w:snapToGrid w:val="0"/>
        <w:spacing w:line="360" w:lineRule="auto"/>
        <w:ind w:firstLineChars="200" w:firstLine="422"/>
        <w:jc w:val="left"/>
        <w:rPr>
          <w:rFonts w:ascii="宋体" w:hAnsi="宋体"/>
          <w:szCs w:val="24"/>
        </w:rPr>
      </w:pPr>
      <w:r>
        <w:rPr>
          <w:rFonts w:ascii="宋体" w:hAnsi="宋体" w:hint="eastAsia"/>
          <w:b/>
          <w:szCs w:val="24"/>
        </w:rPr>
        <w:t>（六）</w:t>
      </w:r>
      <w:proofErr w:type="gramStart"/>
      <w:r>
        <w:rPr>
          <w:rFonts w:ascii="宋体" w:hAnsi="宋体" w:hint="eastAsia"/>
          <w:b/>
          <w:szCs w:val="24"/>
        </w:rPr>
        <w:t>侧袋账户</w:t>
      </w:r>
      <w:proofErr w:type="gramEnd"/>
      <w:r>
        <w:rPr>
          <w:rFonts w:ascii="宋体" w:hAnsi="宋体" w:hint="eastAsia"/>
          <w:b/>
          <w:szCs w:val="24"/>
        </w:rPr>
        <w:t>中特定资产的处置变现和支付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Pr>
          <w:rFonts w:ascii="宋体" w:hAnsi="宋体"/>
          <w:sz w:val="24"/>
        </w:rPr>
        <w:t>向侧袋账户</w:t>
      </w:r>
      <w:proofErr w:type="gramEnd"/>
      <w:r>
        <w:rPr>
          <w:rFonts w:ascii="宋体" w:hAnsi="宋体"/>
          <w:sz w:val="24"/>
        </w:rPr>
        <w:t>份额持有人支付对应变现款项。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w:t>
      </w:r>
      <w:proofErr w:type="gramStart"/>
      <w:r>
        <w:rPr>
          <w:rFonts w:ascii="宋体" w:hAnsi="宋体"/>
          <w:sz w:val="24"/>
        </w:rPr>
        <w:t>无论侧袋账户</w:t>
      </w:r>
      <w:proofErr w:type="gramEnd"/>
      <w:r>
        <w:rPr>
          <w:rFonts w:ascii="宋体" w:hAnsi="宋体"/>
          <w:sz w:val="24"/>
        </w:rPr>
        <w:t>资产是否全部完成变现，基金管理人都应当及时</w:t>
      </w:r>
      <w:proofErr w:type="gramStart"/>
      <w:r>
        <w:rPr>
          <w:rFonts w:ascii="宋体" w:hAnsi="宋体"/>
          <w:sz w:val="24"/>
        </w:rPr>
        <w:t>向侧袋账户</w:t>
      </w:r>
      <w:proofErr w:type="gramEnd"/>
      <w:r>
        <w:rPr>
          <w:rFonts w:ascii="宋体" w:hAnsi="宋体"/>
          <w:sz w:val="24"/>
        </w:rPr>
        <w:t>全部份额持有人支付已变现部分对应的款项。</w:t>
      </w:r>
      <w:proofErr w:type="gramStart"/>
      <w:r>
        <w:rPr>
          <w:rFonts w:ascii="宋体" w:hAnsi="宋体"/>
          <w:sz w:val="24"/>
        </w:rPr>
        <w:t>若侧袋</w:t>
      </w:r>
      <w:proofErr w:type="gramEnd"/>
      <w:r>
        <w:rPr>
          <w:rFonts w:ascii="宋体" w:hAnsi="宋体"/>
          <w:sz w:val="24"/>
        </w:rPr>
        <w:t>账户资产无法一次性完成处置变现，基金管理人在每次处置变现后均应按照相关法律法规要求及时发布临时公告。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资产全部完成变现并终止</w:t>
      </w:r>
      <w:proofErr w:type="gramStart"/>
      <w:r>
        <w:rPr>
          <w:rFonts w:ascii="宋体" w:hAnsi="宋体"/>
          <w:sz w:val="24"/>
        </w:rPr>
        <w:t>侧袋机制</w:t>
      </w:r>
      <w:proofErr w:type="gramEnd"/>
      <w:r>
        <w:rPr>
          <w:rFonts w:ascii="宋体" w:hAnsi="宋体"/>
          <w:sz w:val="24"/>
        </w:rPr>
        <w:t>后，基金管理人应及时聘请符合《中华人民共和国证券法》规定的会计师事务所进行审计并披露专项审计意见。</w:t>
      </w:r>
    </w:p>
    <w:p w:rsidR="0020207F" w:rsidRDefault="000C59E2">
      <w:pPr>
        <w:autoSpaceDE w:val="0"/>
        <w:autoSpaceDN w:val="0"/>
        <w:adjustRightInd w:val="0"/>
        <w:snapToGrid w:val="0"/>
        <w:spacing w:line="360" w:lineRule="auto"/>
        <w:ind w:firstLineChars="200" w:firstLine="422"/>
        <w:jc w:val="left"/>
        <w:rPr>
          <w:rFonts w:ascii="宋体" w:hAnsi="宋体"/>
          <w:szCs w:val="24"/>
        </w:rPr>
      </w:pPr>
      <w:r>
        <w:rPr>
          <w:rFonts w:ascii="宋体" w:hAnsi="宋体" w:hint="eastAsia"/>
          <w:b/>
          <w:szCs w:val="24"/>
        </w:rPr>
        <w:t>（七）</w:t>
      </w:r>
      <w:proofErr w:type="gramStart"/>
      <w:r>
        <w:rPr>
          <w:rFonts w:ascii="宋体" w:hAnsi="宋体" w:hint="eastAsia"/>
          <w:b/>
          <w:szCs w:val="24"/>
        </w:rPr>
        <w:t>侧袋机制</w:t>
      </w:r>
      <w:proofErr w:type="gramEnd"/>
      <w:r>
        <w:rPr>
          <w:rFonts w:ascii="宋体" w:hAnsi="宋体" w:hint="eastAsia"/>
          <w:b/>
          <w:szCs w:val="24"/>
        </w:rPr>
        <w:t>的信息披露</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w:t>
      </w:r>
      <w:proofErr w:type="gramStart"/>
      <w:r>
        <w:rPr>
          <w:rFonts w:ascii="宋体" w:hAnsi="宋体"/>
          <w:sz w:val="24"/>
        </w:rPr>
        <w:t>启用侧袋机制</w:t>
      </w:r>
      <w:proofErr w:type="gramEnd"/>
      <w:r>
        <w:rPr>
          <w:rFonts w:ascii="宋体" w:hAnsi="宋体"/>
          <w:sz w:val="24"/>
        </w:rPr>
        <w:t>、处置特定资产、终止</w:t>
      </w:r>
      <w:proofErr w:type="gramStart"/>
      <w:r>
        <w:rPr>
          <w:rFonts w:ascii="宋体" w:hAnsi="宋体"/>
          <w:sz w:val="24"/>
        </w:rPr>
        <w:t>侧袋机制</w:t>
      </w:r>
      <w:proofErr w:type="gramEnd"/>
      <w:r>
        <w:rPr>
          <w:rFonts w:ascii="宋体" w:hAnsi="宋体"/>
          <w:sz w:val="24"/>
        </w:rPr>
        <w:t>以及发生其他可能对投资者利益产生重大影响的事项后基金管理人应及时发布临时公告。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w:t>
      </w:r>
      <w:proofErr w:type="gramStart"/>
      <w:r>
        <w:rPr>
          <w:rFonts w:ascii="宋体" w:hAnsi="宋体"/>
          <w:sz w:val="24"/>
        </w:rPr>
        <w:t>披露主袋账户</w:t>
      </w:r>
      <w:proofErr w:type="gramEnd"/>
      <w:r>
        <w:rPr>
          <w:rFonts w:ascii="宋体" w:hAnsi="宋体"/>
          <w:sz w:val="24"/>
        </w:rPr>
        <w:t>份额的基金净值信息。实施</w:t>
      </w:r>
      <w:proofErr w:type="gramStart"/>
      <w:r>
        <w:rPr>
          <w:rFonts w:ascii="宋体" w:hAnsi="宋体"/>
          <w:sz w:val="24"/>
        </w:rPr>
        <w:t>侧袋机制</w:t>
      </w:r>
      <w:proofErr w:type="gramEnd"/>
      <w:r>
        <w:rPr>
          <w:rFonts w:ascii="宋体" w:hAnsi="宋体"/>
          <w:sz w:val="24"/>
        </w:rPr>
        <w:t>期间本基金暂停</w:t>
      </w:r>
      <w:proofErr w:type="gramStart"/>
      <w:r>
        <w:rPr>
          <w:rFonts w:ascii="宋体" w:hAnsi="宋体"/>
          <w:sz w:val="24"/>
        </w:rPr>
        <w:t>披露侧袋账户</w:t>
      </w:r>
      <w:proofErr w:type="gramEnd"/>
      <w:r>
        <w:rPr>
          <w:rFonts w:ascii="宋体" w:hAnsi="宋体"/>
          <w:sz w:val="24"/>
        </w:rPr>
        <w:t>份额净值和累计净值。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实施期间，基金管理人应当在基金定期报告中披露报告期</w:t>
      </w:r>
      <w:proofErr w:type="gramStart"/>
      <w:r>
        <w:rPr>
          <w:rFonts w:ascii="宋体" w:hAnsi="宋体"/>
          <w:sz w:val="24"/>
        </w:rPr>
        <w:t>内侧袋</w:t>
      </w:r>
      <w:proofErr w:type="gramEnd"/>
      <w:r>
        <w:rPr>
          <w:rFonts w:ascii="宋体" w:hAnsi="宋体"/>
          <w:sz w:val="24"/>
        </w:rPr>
        <w:t>账户相关信息，基金定期报告中的基金会计报表仅需</w:t>
      </w:r>
      <w:proofErr w:type="gramStart"/>
      <w:r>
        <w:rPr>
          <w:rFonts w:ascii="宋体" w:hAnsi="宋体"/>
          <w:sz w:val="24"/>
        </w:rPr>
        <w:t>针对主袋账户</w:t>
      </w:r>
      <w:proofErr w:type="gramEnd"/>
      <w:r>
        <w:rPr>
          <w:rFonts w:ascii="宋体" w:hAnsi="宋体"/>
          <w:sz w:val="24"/>
        </w:rPr>
        <w:t>进行编制。会计师事务所对基金年度报告进行审计时，应对报告期内基金</w:t>
      </w:r>
      <w:proofErr w:type="gramStart"/>
      <w:r>
        <w:rPr>
          <w:rFonts w:ascii="宋体" w:hAnsi="宋体"/>
          <w:sz w:val="24"/>
        </w:rPr>
        <w:t>侧袋机制</w:t>
      </w:r>
      <w:proofErr w:type="gramEnd"/>
      <w:r>
        <w:rPr>
          <w:rFonts w:ascii="宋体" w:hAnsi="宋体"/>
          <w:sz w:val="24"/>
        </w:rPr>
        <w:t>运行相关的会计核算和年度报告披露等发表审计意见。</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36" w:name="_Toc104564200"/>
      <w:r>
        <w:rPr>
          <w:rFonts w:ascii="Times New Roman" w:hAnsi="Times New Roman"/>
          <w:sz w:val="30"/>
        </w:rPr>
        <w:lastRenderedPageBreak/>
        <w:t>十</w:t>
      </w:r>
      <w:r>
        <w:rPr>
          <w:rFonts w:ascii="Times New Roman" w:hAnsi="Times New Roman" w:hint="eastAsia"/>
          <w:sz w:val="30"/>
        </w:rPr>
        <w:t>七</w:t>
      </w:r>
      <w:r>
        <w:rPr>
          <w:rFonts w:ascii="Times New Roman" w:hAnsi="Times New Roman"/>
          <w:sz w:val="30"/>
        </w:rPr>
        <w:t>、风险揭示</w:t>
      </w:r>
      <w:bookmarkEnd w:id="36"/>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风险等。巨额赎回风险是开放式基金所特有的一种风险，即当单个开放日基金的净赎回申请（赎回申请份额总数加上基金转换中转出申请份额总数</w:t>
      </w:r>
      <w:r>
        <w:rPr>
          <w:rFonts w:ascii="宋体" w:hAnsi="宋体" w:hint="eastAsia"/>
          <w:sz w:val="24"/>
        </w:rPr>
        <w:t>后</w:t>
      </w:r>
      <w:r>
        <w:rPr>
          <w:rFonts w:ascii="宋体" w:hAnsi="宋体"/>
          <w:sz w:val="24"/>
        </w:rPr>
        <w:t>扣除申购申请份额总数及基金转换中转入申请份额总数后的余额）超过上一开放日基金总份额的</w:t>
      </w: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时，投资人将可能无法及时赎回持有的全部基金份额。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Pr>
          <w:rFonts w:ascii="Times New Roman" w:hAnsi="Times New Roman" w:hint="eastAsia"/>
          <w:sz w:val="24"/>
        </w:rPr>
        <w:t>、</w:t>
      </w:r>
      <w:r>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Pr>
          <w:rFonts w:ascii="宋体" w:hAnsi="宋体" w:hint="eastAsia"/>
          <w:sz w:val="24"/>
        </w:rPr>
        <w:t>谨慎</w:t>
      </w:r>
      <w:r>
        <w:rPr>
          <w:rFonts w:ascii="宋体" w:hAnsi="宋体"/>
          <w:sz w:val="24"/>
        </w:rPr>
        <w:t>勤勉的原则管理和运用基金资产，但不保证</w:t>
      </w:r>
      <w:r>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w:t>
      </w:r>
      <w:r>
        <w:rPr>
          <w:rFonts w:ascii="宋体" w:hAnsi="宋体" w:hint="eastAsia"/>
          <w:sz w:val="24"/>
        </w:rPr>
        <w:t>基金份额持有人持有的每份基金份额最短持有期限为</w:t>
      </w:r>
      <w:r>
        <w:rPr>
          <w:rFonts w:ascii="宋体" w:hAnsi="宋体"/>
          <w:sz w:val="24"/>
        </w:rPr>
        <w:t>180</w:t>
      </w:r>
      <w:r>
        <w:rPr>
          <w:rFonts w:ascii="宋体" w:hAnsi="宋体" w:hint="eastAsia"/>
          <w:sz w:val="24"/>
        </w:rPr>
        <w:t>天，对于满足最短持有期限的投资人，</w:t>
      </w:r>
      <w:r>
        <w:rPr>
          <w:rFonts w:ascii="宋体" w:hAnsi="宋体"/>
          <w:sz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20207F" w:rsidRDefault="000C59E2">
      <w:pPr>
        <w:spacing w:line="360" w:lineRule="auto"/>
        <w:ind w:firstLineChars="200" w:firstLine="480"/>
        <w:rPr>
          <w:bCs/>
          <w:sz w:val="24"/>
        </w:rPr>
      </w:pPr>
      <w:r>
        <w:rPr>
          <w:rFonts w:ascii="宋体" w:hAnsi="宋体"/>
          <w:sz w:val="24"/>
        </w:rPr>
        <w:t>本基金采用开放方式运作，基金管理人在开放日办理基金份额的申购和赎回，</w:t>
      </w:r>
      <w:r>
        <w:rPr>
          <w:bCs/>
          <w:sz w:val="24"/>
        </w:rPr>
        <w:t>但</w:t>
      </w:r>
      <w:r>
        <w:rPr>
          <w:rFonts w:hint="eastAsia"/>
          <w:bCs/>
          <w:sz w:val="24"/>
        </w:rPr>
        <w:t>对于每份基金份额，基金份额持有人仅可在该基金份额最短持有期限届满日起（含该日）申请赎回，</w:t>
      </w:r>
      <w:r>
        <w:rPr>
          <w:rFonts w:ascii="宋体" w:hAnsi="宋体"/>
          <w:sz w:val="24"/>
        </w:rPr>
        <w:t>具体办理时间为上海证券交易所、深圳证券交易所的正常交易日的交易时间，但基金管理人根据法律法规、中国证监会的要求或基金合同的规定公告暂停申购、赎回时除外。</w:t>
      </w:r>
      <w:r>
        <w:rPr>
          <w:rFonts w:ascii="Times New Roman" w:hAnsi="Times New Roman" w:hint="eastAsia"/>
          <w:bCs/>
          <w:sz w:val="24"/>
        </w:rPr>
        <w:t>基金管理人可根据实际情况依法决定本基金开始办理申购的具体日期，具体业务办理时间在申购开始公告中规定</w:t>
      </w:r>
      <w:r>
        <w:rPr>
          <w:rFonts w:ascii="Times New Roman" w:hAnsi="Times New Roman"/>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基金管理人自基金合同生效之日起的第</w:t>
      </w:r>
      <w:r>
        <w:rPr>
          <w:rFonts w:ascii="Times New Roman" w:hAnsi="Times New Roman"/>
          <w:bCs/>
          <w:sz w:val="24"/>
        </w:rPr>
        <w:t>180</w:t>
      </w:r>
      <w:r>
        <w:rPr>
          <w:rFonts w:ascii="Times New Roman" w:hAnsi="Times New Roman"/>
          <w:bCs/>
          <w:sz w:val="24"/>
        </w:rPr>
        <w:t>天</w:t>
      </w:r>
      <w:r>
        <w:rPr>
          <w:rFonts w:hint="eastAsia"/>
          <w:bCs/>
          <w:sz w:val="24"/>
        </w:rPr>
        <w:t>（含该日，如为非工作日，则顺</w:t>
      </w:r>
      <w:r>
        <w:rPr>
          <w:rFonts w:hint="eastAsia"/>
          <w:bCs/>
          <w:sz w:val="24"/>
        </w:rPr>
        <w:lastRenderedPageBreak/>
        <w:t>延</w:t>
      </w:r>
      <w:r>
        <w:rPr>
          <w:bCs/>
          <w:sz w:val="24"/>
        </w:rPr>
        <w:t>至</w:t>
      </w:r>
      <w:r>
        <w:rPr>
          <w:rFonts w:hint="eastAsia"/>
          <w:bCs/>
          <w:sz w:val="24"/>
        </w:rPr>
        <w:t>下一工作日）开始办理赎回，具体业务办理时间在赎回开始公告中规定。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w:t>
      </w:r>
      <w:r>
        <w:rPr>
          <w:rFonts w:ascii="宋体" w:hAnsi="宋体"/>
          <w:sz w:val="24"/>
        </w:rPr>
        <w:lastRenderedPageBreak/>
        <w:t>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Pr>
          <w:rFonts w:ascii="宋体" w:hAnsi="宋体" w:hint="eastAsia"/>
          <w:sz w:val="24"/>
        </w:rPr>
        <w:t>该类基金份额</w:t>
      </w:r>
      <w:r>
        <w:rPr>
          <w:rFonts w:ascii="宋体" w:hAnsi="宋体"/>
          <w:sz w:val="24"/>
        </w:rPr>
        <w:t>的基金份额净值为基础计算赎回金额，以此类推，直到全部赎回为止。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w:t>
      </w:r>
      <w:r>
        <w:rPr>
          <w:rFonts w:ascii="宋体" w:hAnsi="宋体" w:hint="eastAsia"/>
          <w:sz w:val="24"/>
        </w:rPr>
        <w:t>前述</w:t>
      </w:r>
      <w:r>
        <w:rPr>
          <w:rFonts w:ascii="宋体" w:hAnsi="宋体"/>
          <w:sz w:val="24"/>
        </w:rPr>
        <w:t>“（1）全额赎回”或“（2）部分延期赎回”的约定方式与其他基金份额持有人的赎回申请一并办理。但是，如基金份额持有人在当日选择取消赎回，则其当日未获受理的部分赎回申请将被撤销。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Pr>
          <w:rFonts w:ascii="宋体" w:hAnsi="宋体" w:hint="eastAsia"/>
          <w:sz w:val="24"/>
        </w:rPr>
        <w:t>延期办理巨额赎回申请、</w:t>
      </w:r>
      <w:r>
        <w:rPr>
          <w:rFonts w:ascii="宋体" w:hAnsi="宋体"/>
          <w:sz w:val="24"/>
        </w:rPr>
        <w:t>暂停接受赎回申请、</w:t>
      </w:r>
      <w:r>
        <w:rPr>
          <w:rFonts w:ascii="宋体" w:hAnsi="宋体" w:hint="eastAsia"/>
          <w:sz w:val="24"/>
        </w:rPr>
        <w:t>延缓支付赎回款项</w:t>
      </w:r>
      <w:r>
        <w:rPr>
          <w:rFonts w:ascii="宋体" w:hAnsi="宋体"/>
          <w:sz w:val="24"/>
        </w:rPr>
        <w:t>、摆动定价、暂停基金估值、实施</w:t>
      </w:r>
      <w:proofErr w:type="gramStart"/>
      <w:r>
        <w:rPr>
          <w:rFonts w:ascii="宋体" w:hAnsi="宋体"/>
          <w:sz w:val="24"/>
        </w:rPr>
        <w:t>侧袋机制</w:t>
      </w:r>
      <w:proofErr w:type="gramEnd"/>
      <w:r>
        <w:rPr>
          <w:rFonts w:ascii="宋体" w:hAnsi="宋体"/>
          <w:sz w:val="24"/>
        </w:rPr>
        <w:t>等，作为特定情形下基金管理人流动性风险管理的辅助措施，同时基金管理人应时刻防范可能产生的流动性风险，对流动性风险进行日常监控，保护</w:t>
      </w:r>
      <w:r>
        <w:rPr>
          <w:rFonts w:ascii="宋体" w:hAnsi="宋体" w:hint="eastAsia"/>
          <w:sz w:val="24"/>
        </w:rPr>
        <w:t>基金份额</w:t>
      </w:r>
      <w:r>
        <w:rPr>
          <w:rFonts w:ascii="宋体" w:hAnsi="宋体"/>
          <w:sz w:val="24"/>
        </w:rPr>
        <w:t>持有人的利益。当实施备用的流动性风险管理工具时，有可能无法按合同约定的时限支付赎回款项。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是一种流动性风险管理工具，是将特定资产分离</w:t>
      </w:r>
      <w:proofErr w:type="gramStart"/>
      <w:r>
        <w:rPr>
          <w:rFonts w:ascii="宋体" w:hAnsi="宋体"/>
          <w:sz w:val="24"/>
        </w:rPr>
        <w:t>至专门的侧袋</w:t>
      </w:r>
      <w:proofErr w:type="gramEnd"/>
      <w:r>
        <w:rPr>
          <w:rFonts w:ascii="宋体" w:hAnsi="宋体"/>
          <w:sz w:val="24"/>
        </w:rPr>
        <w:t>账户进行处置清算，并以处置变现后的款项向基金份额持有人进行支付，目的在于有效隔离并化解风险。但基金启用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侧袋账户</w:t>
      </w:r>
      <w:proofErr w:type="gramEnd"/>
      <w:r>
        <w:rPr>
          <w:rFonts w:ascii="宋体" w:hAnsi="宋体"/>
          <w:sz w:val="24"/>
        </w:rPr>
        <w:t>份额将停止披露基金份额净值，并不得办理申购、赎回和转换，因此启用</w:t>
      </w:r>
      <w:proofErr w:type="gramStart"/>
      <w:r>
        <w:rPr>
          <w:rFonts w:ascii="宋体" w:hAnsi="宋体"/>
          <w:sz w:val="24"/>
        </w:rPr>
        <w:t>侧袋机制</w:t>
      </w:r>
      <w:proofErr w:type="gramEnd"/>
      <w:r>
        <w:rPr>
          <w:rFonts w:ascii="宋体" w:hAnsi="宋体"/>
          <w:sz w:val="24"/>
        </w:rPr>
        <w:t>时持有基金份额的持有人将在启用</w:t>
      </w:r>
      <w:proofErr w:type="gramStart"/>
      <w:r>
        <w:rPr>
          <w:rFonts w:ascii="宋体" w:hAnsi="宋体"/>
          <w:sz w:val="24"/>
        </w:rPr>
        <w:t>侧袋机制</w:t>
      </w:r>
      <w:proofErr w:type="gramEnd"/>
      <w:r>
        <w:rPr>
          <w:rFonts w:ascii="宋体" w:hAnsi="宋体"/>
          <w:sz w:val="24"/>
        </w:rPr>
        <w:t>后同时</w:t>
      </w:r>
      <w:proofErr w:type="gramStart"/>
      <w:r>
        <w:rPr>
          <w:rFonts w:ascii="宋体" w:hAnsi="宋体"/>
          <w:sz w:val="24"/>
        </w:rPr>
        <w:t>持有主袋账户</w:t>
      </w:r>
      <w:proofErr w:type="gramEnd"/>
      <w:r>
        <w:rPr>
          <w:rFonts w:ascii="宋体" w:hAnsi="宋体"/>
          <w:sz w:val="24"/>
        </w:rPr>
        <w:t>份额和</w:t>
      </w:r>
      <w:proofErr w:type="gramStart"/>
      <w:r>
        <w:rPr>
          <w:rFonts w:ascii="宋体" w:hAnsi="宋体"/>
          <w:sz w:val="24"/>
        </w:rPr>
        <w:t>侧袋</w:t>
      </w:r>
      <w:proofErr w:type="gramEnd"/>
      <w:r>
        <w:rPr>
          <w:rFonts w:ascii="宋体" w:hAnsi="宋体"/>
          <w:sz w:val="24"/>
        </w:rPr>
        <w:t>账户份额，</w:t>
      </w:r>
      <w:proofErr w:type="gramStart"/>
      <w:r>
        <w:rPr>
          <w:rFonts w:ascii="宋体" w:hAnsi="宋体"/>
          <w:sz w:val="24"/>
        </w:rPr>
        <w:t>侧袋账户</w:t>
      </w:r>
      <w:proofErr w:type="gramEnd"/>
      <w:r>
        <w:rPr>
          <w:rFonts w:ascii="宋体" w:hAnsi="宋体"/>
          <w:sz w:val="24"/>
        </w:rPr>
        <w:t>份额不能赎回，其对应特定资产的变现时间具有不确定性，最终变现价格也具有不确定性并且有可能大幅低于启用</w:t>
      </w:r>
      <w:proofErr w:type="gramStart"/>
      <w:r>
        <w:rPr>
          <w:rFonts w:ascii="宋体" w:hAnsi="宋体"/>
          <w:sz w:val="24"/>
        </w:rPr>
        <w:t>侧袋机制</w:t>
      </w:r>
      <w:proofErr w:type="gramEnd"/>
      <w:r>
        <w:rPr>
          <w:rFonts w:ascii="宋体" w:hAnsi="宋体"/>
          <w:sz w:val="24"/>
        </w:rPr>
        <w:t>时的特定资产的估值，基金份额持有人可能因此面临损失。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w:t>
      </w:r>
      <w:proofErr w:type="gramStart"/>
      <w:r>
        <w:rPr>
          <w:rFonts w:ascii="宋体" w:hAnsi="宋体"/>
          <w:sz w:val="24"/>
        </w:rPr>
        <w:t>侧袋机制</w:t>
      </w:r>
      <w:proofErr w:type="gramEnd"/>
      <w:r>
        <w:rPr>
          <w:rFonts w:ascii="宋体" w:hAnsi="宋体"/>
          <w:sz w:val="24"/>
        </w:rPr>
        <w:t>期间，因本基金不</w:t>
      </w:r>
      <w:proofErr w:type="gramStart"/>
      <w:r>
        <w:rPr>
          <w:rFonts w:ascii="宋体" w:hAnsi="宋体"/>
          <w:sz w:val="24"/>
        </w:rPr>
        <w:t>披露侧袋账户</w:t>
      </w:r>
      <w:proofErr w:type="gramEnd"/>
      <w:r>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w:t>
      </w:r>
      <w:r>
        <w:rPr>
          <w:rFonts w:ascii="宋体" w:hAnsi="宋体"/>
          <w:sz w:val="24"/>
        </w:rPr>
        <w:lastRenderedPageBreak/>
        <w:t>人不承担任何保证和承诺的责任。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w:t>
      </w:r>
      <w:proofErr w:type="gramStart"/>
      <w:r>
        <w:rPr>
          <w:rFonts w:ascii="宋体" w:hAnsi="宋体"/>
          <w:sz w:val="24"/>
        </w:rPr>
        <w:t>根据主袋账户</w:t>
      </w:r>
      <w:proofErr w:type="gramEnd"/>
      <w:r>
        <w:rPr>
          <w:rFonts w:ascii="宋体" w:hAnsi="宋体"/>
          <w:sz w:val="24"/>
        </w:rPr>
        <w:t>运作情况合理确定申购政策，因此实施</w:t>
      </w:r>
      <w:proofErr w:type="gramStart"/>
      <w:r>
        <w:rPr>
          <w:rFonts w:ascii="宋体" w:hAnsi="宋体"/>
          <w:sz w:val="24"/>
        </w:rPr>
        <w:t>侧袋机制</w:t>
      </w:r>
      <w:proofErr w:type="gramEnd"/>
      <w:r>
        <w:rPr>
          <w:rFonts w:ascii="宋体" w:hAnsi="宋体"/>
          <w:sz w:val="24"/>
        </w:rPr>
        <w:t>后主袋账户份额存在暂停申购的可能。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w:t>
      </w:r>
      <w:proofErr w:type="gramStart"/>
      <w:r>
        <w:rPr>
          <w:rFonts w:ascii="宋体" w:hAnsi="宋体"/>
          <w:sz w:val="24"/>
        </w:rPr>
        <w:t>侧袋机制</w:t>
      </w:r>
      <w:proofErr w:type="gramEnd"/>
      <w:r>
        <w:rPr>
          <w:rFonts w:ascii="宋体" w:hAnsi="宋体"/>
          <w:sz w:val="24"/>
        </w:rPr>
        <w:t>后，基金管理人计算各项投资运作指标和基金业绩指标时仅需</w:t>
      </w:r>
      <w:proofErr w:type="gramStart"/>
      <w:r>
        <w:rPr>
          <w:rFonts w:ascii="宋体" w:hAnsi="宋体"/>
          <w:sz w:val="24"/>
        </w:rPr>
        <w:t>考虑主袋账户</w:t>
      </w:r>
      <w:proofErr w:type="gramEnd"/>
      <w:r>
        <w:rPr>
          <w:rFonts w:ascii="宋体" w:hAnsi="宋体"/>
          <w:sz w:val="24"/>
        </w:rPr>
        <w:t>资产，基金业绩指标应当</w:t>
      </w:r>
      <w:proofErr w:type="gramStart"/>
      <w:r>
        <w:rPr>
          <w:rFonts w:ascii="宋体" w:hAnsi="宋体"/>
          <w:sz w:val="24"/>
        </w:rPr>
        <w:t>以主袋账户</w:t>
      </w:r>
      <w:proofErr w:type="gramEnd"/>
      <w:r>
        <w:rPr>
          <w:rFonts w:ascii="宋体" w:hAnsi="宋体"/>
          <w:sz w:val="24"/>
        </w:rPr>
        <w:t>资产为基准，因此本基金披露的业绩指标不能反映特定资产的真实价值及变化情况。</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1、本基金为债券型基金，投资于债券资产的比例不低于基金资产的80%，因投资固定收益类资产而面临固定收益类资产市场的系统性风险和个</w:t>
      </w:r>
      <w:proofErr w:type="gramStart"/>
      <w:r>
        <w:rPr>
          <w:rFonts w:ascii="宋体" w:hAnsi="宋体"/>
          <w:sz w:val="24"/>
        </w:rPr>
        <w:t>券</w:t>
      </w:r>
      <w:proofErr w:type="gramEnd"/>
      <w:r>
        <w:rPr>
          <w:rFonts w:ascii="宋体" w:hAnsi="宋体"/>
          <w:sz w:val="24"/>
        </w:rPr>
        <w:t>风险；</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本基金每份基金份额的最短持有期限为180天，在最短持有期限内该份基金份额不可赎回，自最短持有期限届满日起（含该日）可赎回。即：自基金合同生效日（对认购份额而言）、基金份额申购确认日（对申购份额而言）起的第180天起（含该日，如为非工作日则顺延至下一工作日），投资者方可提出赎回申请。对于基金份额持有人而言，存在投资本基金后180天内无法赎回的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4、基金合同提前终止风险。</w:t>
      </w:r>
      <w:r>
        <w:rPr>
          <w:rFonts w:ascii="宋体" w:hAnsi="宋体" w:hint="eastAsia"/>
          <w:sz w:val="24"/>
        </w:rPr>
        <w:t>《基金合同》生效后，</w:t>
      </w:r>
      <w:r>
        <w:rPr>
          <w:rFonts w:ascii="宋体" w:hAnsi="宋体"/>
          <w:sz w:val="24"/>
        </w:rPr>
        <w:t>连续</w:t>
      </w:r>
      <w:r>
        <w:rPr>
          <w:rFonts w:ascii="宋体" w:hAnsi="宋体" w:hint="eastAsia"/>
          <w:sz w:val="24"/>
        </w:rPr>
        <w:t>5</w:t>
      </w:r>
      <w:r>
        <w:rPr>
          <w:rFonts w:ascii="宋体" w:hAnsi="宋体"/>
          <w:sz w:val="24"/>
        </w:rPr>
        <w:t>0个工作日出现基金份额持有人数量不满200人或者基金资产净值低于5000万元情形的，</w:t>
      </w:r>
      <w:r>
        <w:rPr>
          <w:rFonts w:ascii="宋体" w:hAnsi="宋体" w:hint="eastAsia"/>
          <w:sz w:val="24"/>
        </w:rPr>
        <w:t>基金合同终止</w:t>
      </w:r>
      <w:r>
        <w:rPr>
          <w:rFonts w:ascii="宋体" w:hAnsi="宋体"/>
          <w:sz w:val="24"/>
        </w:rPr>
        <w:t>，不需召开基金份额持有人大会。</w:t>
      </w:r>
      <w:r>
        <w:rPr>
          <w:rFonts w:ascii="宋体" w:hAnsi="宋体" w:hint="eastAsia"/>
          <w:sz w:val="24"/>
        </w:rPr>
        <w:t>因此，投资者可能面临基金合同提前终止的风险。</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（六）投资国债期货的特定风险</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szCs w:val="24"/>
        </w:rPr>
        <w:t>本基金可投资</w:t>
      </w:r>
      <w:r>
        <w:rPr>
          <w:rFonts w:ascii="宋体" w:hAnsi="宋体" w:hint="eastAsia"/>
          <w:sz w:val="24"/>
        </w:rPr>
        <w:t>国债期货，国债期货的投资可能给本基金带来额外风险。国债期货的投资可能面临市场风险、</w:t>
      </w:r>
      <w:proofErr w:type="gramStart"/>
      <w:r>
        <w:rPr>
          <w:rFonts w:ascii="宋体" w:hAnsi="宋体" w:hint="eastAsia"/>
          <w:sz w:val="24"/>
        </w:rPr>
        <w:t>基差风险</w:t>
      </w:r>
      <w:proofErr w:type="gramEnd"/>
      <w:r>
        <w:rPr>
          <w:rFonts w:ascii="宋体" w:hAnsi="宋体" w:hint="eastAsia"/>
          <w:sz w:val="24"/>
        </w:rPr>
        <w:t>、流动性风险。市场风险是因期货市场价格波动使所持有的期货合约价值发生变化的风险。</w:t>
      </w:r>
      <w:proofErr w:type="gramStart"/>
      <w:r>
        <w:rPr>
          <w:rFonts w:ascii="宋体" w:hAnsi="宋体" w:hint="eastAsia"/>
          <w:sz w:val="24"/>
        </w:rPr>
        <w:t>基差风险</w:t>
      </w:r>
      <w:proofErr w:type="gramEnd"/>
      <w:r>
        <w:rPr>
          <w:rFonts w:ascii="宋体" w:hAnsi="宋体" w:hint="eastAsia"/>
          <w:sz w:val="24"/>
        </w:rPr>
        <w:t>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w:t>
      </w:r>
      <w:r>
        <w:rPr>
          <w:rFonts w:ascii="宋体" w:hAnsi="宋体" w:hint="eastAsia"/>
          <w:sz w:val="24"/>
        </w:rPr>
        <w:lastRenderedPageBreak/>
        <w:t>导致的；另一类为资金量风险，是指资金量无法满足保证金要求，使得所持有的头寸面临被强制平仓的风险。</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（七）投资资产支持证券的特定风险</w:t>
      </w:r>
    </w:p>
    <w:p w:rsidR="0020207F" w:rsidRDefault="000C59E2">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本基金可投资资产支持证券，资产支持证券具有一定的价格波动风险、流动性风险、信用风险等风险，基金管理人将本着谨慎和控制风险的原则进行资产支持证券投资，</w:t>
      </w:r>
      <w:proofErr w:type="gramStart"/>
      <w:r>
        <w:rPr>
          <w:rFonts w:ascii="宋体" w:hAnsi="宋体" w:hint="eastAsia"/>
          <w:sz w:val="24"/>
          <w:szCs w:val="24"/>
        </w:rPr>
        <w:t>请基金</w:t>
      </w:r>
      <w:proofErr w:type="gramEnd"/>
      <w:r>
        <w:rPr>
          <w:rFonts w:ascii="宋体" w:hAnsi="宋体" w:hint="eastAsia"/>
          <w:sz w:val="24"/>
          <w:szCs w:val="24"/>
        </w:rPr>
        <w:t>份额持有人关注包括投资资产支持证券可能导致的基金净值波动在内的各项风险。</w:t>
      </w:r>
    </w:p>
    <w:p w:rsidR="0020207F" w:rsidRDefault="000C59E2">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（八）信用衍生</w:t>
      </w:r>
      <w:proofErr w:type="gramStart"/>
      <w:r>
        <w:rPr>
          <w:rFonts w:ascii="宋体" w:hAnsi="宋体" w:hint="eastAsia"/>
          <w:sz w:val="24"/>
          <w:szCs w:val="24"/>
        </w:rPr>
        <w:t>品投资</w:t>
      </w:r>
      <w:proofErr w:type="gramEnd"/>
      <w:r>
        <w:rPr>
          <w:rFonts w:ascii="宋体" w:hAnsi="宋体" w:hint="eastAsia"/>
          <w:sz w:val="24"/>
          <w:szCs w:val="24"/>
        </w:rPr>
        <w:t>风险</w:t>
      </w:r>
    </w:p>
    <w:p w:rsidR="0020207F" w:rsidRDefault="000C59E2">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rsidR="0020207F" w:rsidRDefault="000C59E2">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（九）本基金法律文件风险收益特征表述与销售机构基金风险评价可能不一致的风险</w:t>
      </w:r>
    </w:p>
    <w:p w:rsidR="0020207F" w:rsidRDefault="000C59E2">
      <w:pPr>
        <w:autoSpaceDE w:val="0"/>
        <w:autoSpaceDN w:val="0"/>
        <w:adjustRightInd w:val="0"/>
        <w:snapToGrid w:val="0"/>
        <w:spacing w:line="360" w:lineRule="auto"/>
        <w:ind w:firstLineChars="200" w:firstLine="480"/>
        <w:jc w:val="left"/>
        <w:rPr>
          <w:rFonts w:ascii="宋体" w:hAnsi="宋体"/>
          <w:sz w:val="24"/>
          <w:szCs w:val="24"/>
        </w:rPr>
      </w:pPr>
      <w:r>
        <w:rPr>
          <w:rFonts w:hAnsi="宋体" w:hint="eastAsia"/>
          <w:kern w:val="0"/>
          <w:sz w:val="24"/>
          <w:szCs w:val="24"/>
        </w:rPr>
        <w:t>本基金法律文件投资章节有关风险收益特征的表述是基于投资范围、投资比例、证券市场普遍规律等做出的概述性描述，代表了一般市场情况下本基金的长期风险收益特征。销售机构</w:t>
      </w:r>
      <w:r>
        <w:rPr>
          <w:rFonts w:hAnsi="宋体"/>
          <w:kern w:val="0"/>
          <w:sz w:val="24"/>
          <w:szCs w:val="24"/>
        </w:rPr>
        <w:t>(</w:t>
      </w:r>
      <w:r>
        <w:rPr>
          <w:rFonts w:hAnsi="宋体" w:hint="eastAsia"/>
          <w:kern w:val="0"/>
          <w:sz w:val="24"/>
          <w:szCs w:val="24"/>
        </w:rPr>
        <w:t>包括基金管理人直销机构和其他销售机构</w:t>
      </w:r>
      <w:r>
        <w:rPr>
          <w:rFonts w:hAnsi="宋体"/>
          <w:kern w:val="0"/>
          <w:sz w:val="24"/>
          <w:szCs w:val="24"/>
        </w:rPr>
        <w:t>)</w:t>
      </w:r>
      <w:r>
        <w:rPr>
          <w:rFonts w:hAnsi="宋体" w:hint="eastAsia"/>
          <w:kern w:val="0"/>
          <w:sz w:val="24"/>
          <w:szCs w:val="24"/>
        </w:rPr>
        <w:t>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hint="eastAsia"/>
          <w:sz w:val="24"/>
        </w:rPr>
        <w:t>十</w:t>
      </w:r>
      <w:r>
        <w:rPr>
          <w:rFonts w:ascii="宋体" w:hAnsi="宋体"/>
          <w:sz w:val="24"/>
        </w:rPr>
        <w:t>）其他风险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6、战争、自然灾害等不可抗力可能导致基金财产的损失，影响基金收益水平，从而带来风险；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37" w:name="_Toc104564201"/>
      <w:bookmarkStart w:id="38" w:name="_Hlk101008119"/>
      <w:r>
        <w:rPr>
          <w:rFonts w:ascii="Times New Roman" w:hAnsi="Times New Roman"/>
          <w:sz w:val="30"/>
        </w:rPr>
        <w:lastRenderedPageBreak/>
        <w:t>十</w:t>
      </w:r>
      <w:r>
        <w:rPr>
          <w:rFonts w:ascii="Times New Roman" w:hAnsi="Times New Roman" w:hint="eastAsia"/>
          <w:sz w:val="30"/>
        </w:rPr>
        <w:t>八</w:t>
      </w:r>
      <w:r>
        <w:rPr>
          <w:rFonts w:ascii="Times New Roman" w:hAnsi="Times New Roman"/>
          <w:sz w:val="30"/>
        </w:rPr>
        <w:t>、基金合同的变更、终止与基金财产的清算</w:t>
      </w:r>
      <w:bookmarkEnd w:id="37"/>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生效后依照《信息披露办法》的规定在规定媒介公告。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Pr>
          <w:rFonts w:hint="eastAsia"/>
          <w:bCs/>
          <w:sz w:val="24"/>
        </w:rPr>
        <w:t>基金合同终止</w:t>
      </w:r>
      <w:r>
        <w:rPr>
          <w:rFonts w:ascii="宋体" w:hAnsi="宋体"/>
          <w:sz w:val="24"/>
        </w:rPr>
        <w:t>，不需召开基金份额持有人大会；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Pr>
          <w:bCs/>
          <w:sz w:val="24"/>
        </w:rPr>
        <w:t>符合</w:t>
      </w:r>
      <w:r>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Pr>
          <w:rFonts w:ascii="宋体" w:hAnsi="宋体" w:hint="eastAsia"/>
          <w:sz w:val="24"/>
        </w:rPr>
        <w:t>财产</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Pr>
          <w:bCs/>
          <w:sz w:val="24"/>
        </w:rPr>
        <w:t>符合</w:t>
      </w:r>
      <w:proofErr w:type="gramEnd"/>
      <w:r>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Pr>
          <w:rFonts w:hint="eastAsia"/>
          <w:bCs/>
          <w:sz w:val="24"/>
        </w:rPr>
        <w:t>规定网站</w:t>
      </w:r>
      <w:r>
        <w:rPr>
          <w:rFonts w:ascii="宋体" w:hAnsi="宋体"/>
          <w:sz w:val="24"/>
        </w:rPr>
        <w:t>上，并将清算报告提示性公告登载在</w:t>
      </w:r>
      <w:r>
        <w:rPr>
          <w:rFonts w:hint="eastAsia"/>
          <w:bCs/>
          <w:sz w:val="24"/>
        </w:rPr>
        <w:t>规定报刊</w:t>
      </w:r>
      <w:r>
        <w:rPr>
          <w:rFonts w:ascii="宋体" w:hAnsi="宋体"/>
          <w:sz w:val="24"/>
        </w:rPr>
        <w:t>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Pr>
          <w:rFonts w:hint="eastAsia"/>
          <w:bCs/>
          <w:sz w:val="24"/>
        </w:rPr>
        <w:t>不低于法律法规规定的最低期限</w:t>
      </w:r>
      <w:r>
        <w:rPr>
          <w:rFonts w:ascii="宋体" w:hAnsi="宋体"/>
          <w:sz w:val="24"/>
        </w:rPr>
        <w:t>。</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39" w:name="_Toc104564202"/>
      <w:bookmarkStart w:id="40" w:name="_Hlk107329172"/>
      <w:bookmarkEnd w:id="38"/>
      <w:r>
        <w:rPr>
          <w:rFonts w:ascii="Times New Roman" w:hAnsi="Times New Roman" w:hint="eastAsia"/>
          <w:sz w:val="30"/>
        </w:rPr>
        <w:lastRenderedPageBreak/>
        <w:t>十九</w:t>
      </w:r>
      <w:r>
        <w:rPr>
          <w:rFonts w:ascii="Times New Roman" w:hAnsi="Times New Roman"/>
          <w:sz w:val="30"/>
        </w:rPr>
        <w:t>、基金合同内容摘要</w:t>
      </w:r>
      <w:bookmarkEnd w:id="39"/>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w:t>
      </w:r>
      <w:r>
        <w:rPr>
          <w:bCs/>
          <w:sz w:val="24"/>
        </w:rPr>
        <w:t>为基金的利益对被投资公司行使股东权利，</w:t>
      </w:r>
      <w:r>
        <w:rPr>
          <w:rFonts w:ascii="宋体" w:hAnsi="宋体"/>
          <w:sz w:val="24"/>
        </w:rPr>
        <w:t>为基金的利益行使因基金财产投资于证券所产生的权利；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w:t>
      </w:r>
      <w:r>
        <w:rPr>
          <w:rFonts w:hint="eastAsia"/>
          <w:bCs/>
          <w:sz w:val="24"/>
        </w:rPr>
        <w:t>/</w:t>
      </w:r>
      <w:r>
        <w:rPr>
          <w:rFonts w:hint="eastAsia"/>
          <w:bCs/>
          <w:sz w:val="24"/>
        </w:rPr>
        <w:t>期货</w:t>
      </w:r>
      <w:r>
        <w:rPr>
          <w:rFonts w:ascii="宋体" w:hAnsi="宋体"/>
          <w:sz w:val="24"/>
        </w:rPr>
        <w:t>经纪商或其他为基金提供服务的外部机构；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回、转换等的业务规则；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r>
        <w:rPr>
          <w:rFonts w:hint="eastAsia"/>
          <w:bCs/>
          <w:sz w:val="24"/>
        </w:rPr>
        <w:t>但根据监管机构、司法机关等有权机关的要求提供，或因审计、法律等外部专业顾问提供服务需要提供的情况除外；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Pr>
          <w:rFonts w:hint="eastAsia"/>
          <w:bCs/>
          <w:sz w:val="24"/>
        </w:rPr>
        <w:t>不低于法律法规规定的最低期限</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w:t>
      </w:r>
      <w:r>
        <w:rPr>
          <w:rFonts w:ascii="宋体" w:hAnsi="宋体" w:hint="eastAsia"/>
          <w:sz w:val="24"/>
        </w:rPr>
        <w:t>、</w:t>
      </w:r>
      <w:r>
        <w:rPr>
          <w:rFonts w:ascii="宋体" w:hAnsi="宋体"/>
          <w:sz w:val="24"/>
        </w:rPr>
        <w:t>证券账户等投资所需账户，按照《基金合同》的约定，根据基金管理人的投资指令，及时办理清算、交割事宜；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r>
        <w:rPr>
          <w:rFonts w:hint="eastAsia"/>
          <w:bCs/>
          <w:sz w:val="24"/>
        </w:rPr>
        <w:t>，</w:t>
      </w:r>
      <w:r>
        <w:rPr>
          <w:rFonts w:hint="eastAsia"/>
          <w:bCs/>
          <w:color w:val="000000"/>
          <w:sz w:val="24"/>
        </w:rPr>
        <w:t>但根据监管机构、司法机关等有权机关的要求提供，或因审计、法律等外部专业顾问提供服务需要提供的情况除外</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8）复核、审查基金管理人计算的基金资产净值、基金份额净值、基金份额申购、赎回价格；</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Pr>
          <w:rFonts w:hint="eastAsia"/>
          <w:bCs/>
          <w:sz w:val="24"/>
        </w:rPr>
        <w:t>不低于法律法规规定的最低期限</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w:t>
      </w:r>
      <w:proofErr w:type="gramStart"/>
      <w:r>
        <w:rPr>
          <w:rFonts w:ascii="宋体" w:hAnsi="宋体"/>
          <w:sz w:val="24"/>
        </w:rPr>
        <w:t>基金基金</w:t>
      </w:r>
      <w:proofErr w:type="gramEnd"/>
      <w:r>
        <w:rPr>
          <w:rFonts w:ascii="宋体" w:hAnsi="宋体"/>
          <w:sz w:val="24"/>
        </w:rPr>
        <w:t>份额，即成为本</w:t>
      </w:r>
      <w:proofErr w:type="gramStart"/>
      <w:r>
        <w:rPr>
          <w:rFonts w:ascii="宋体" w:hAnsi="宋体" w:hint="eastAsia"/>
          <w:sz w:val="24"/>
        </w:rPr>
        <w:t>基金</w:t>
      </w:r>
      <w:r>
        <w:rPr>
          <w:rFonts w:ascii="宋体" w:hAnsi="宋体"/>
          <w:sz w:val="24"/>
        </w:rPr>
        <w:t>基金</w:t>
      </w:r>
      <w:proofErr w:type="gramEnd"/>
      <w:r>
        <w:rPr>
          <w:rFonts w:ascii="宋体" w:hAnsi="宋体"/>
          <w:sz w:val="24"/>
        </w:rPr>
        <w:t>份额持有</w:t>
      </w:r>
      <w:r>
        <w:rPr>
          <w:rFonts w:ascii="宋体" w:hAnsi="宋体"/>
          <w:sz w:val="24"/>
        </w:rPr>
        <w:lastRenderedPageBreak/>
        <w:t>人和《基金合同》的当事人，直至其不再持有本基金的基金份额。基金份额持有人作为《基金合同》当事人并不以在《基金合同》上书面签章或签字为必要条件。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Pr>
          <w:rFonts w:hint="eastAsia"/>
          <w:bCs/>
          <w:sz w:val="24"/>
        </w:rPr>
        <w:t>并按照基金合同和招募说明书的规定</w:t>
      </w:r>
      <w:r>
        <w:rPr>
          <w:rFonts w:ascii="宋体" w:hAnsi="宋体"/>
          <w:sz w:val="24"/>
        </w:rPr>
        <w:t>转让或者申请赎回其持有的基金份额；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w:t>
      </w:r>
      <w:r>
        <w:rPr>
          <w:rFonts w:ascii="宋体" w:hAnsi="宋体"/>
          <w:sz w:val="24"/>
        </w:rPr>
        <w:lastRenderedPageBreak/>
        <w:t>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（1）当出现或需要决定下列事由之一的，应当召开基金份额持有人大会，法律法规、中国证监会另有规定的除外：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r>
        <w:rPr>
          <w:rFonts w:hint="eastAsia"/>
          <w:bCs/>
          <w:sz w:val="24"/>
        </w:rPr>
        <w:t>，基金合同另有规定的除外</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r>
        <w:rPr>
          <w:rFonts w:hint="eastAsia"/>
          <w:bCs/>
          <w:sz w:val="24"/>
        </w:rPr>
        <w:t>，基金合同另有规定的除外</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r>
        <w:rPr>
          <w:rFonts w:hint="eastAsia"/>
          <w:bCs/>
          <w:sz w:val="24"/>
        </w:rPr>
        <w:t>，基金合同另有规定的除外</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w:t>
      </w:r>
      <w:r>
        <w:rPr>
          <w:rFonts w:ascii="宋体" w:hAnsi="宋体"/>
          <w:sz w:val="24"/>
        </w:rPr>
        <w:lastRenderedPageBreak/>
        <w:t>不需召开基金份额持有人大会：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r>
        <w:rPr>
          <w:rFonts w:hint="eastAsia"/>
          <w:bCs/>
          <w:sz w:val="24"/>
        </w:rPr>
        <w:t>率</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3）在法律法规和《基金合同》规定的范围内调整本基金的申购费率、在对现有基金份额持有人利益无实质性不利影响的前提下变更收费方式；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的法律法规、登记机构的相关业务规则发生变动而应当对《基金合同》进行修改；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w:t>
      </w:r>
      <w:r>
        <w:rPr>
          <w:rFonts w:hint="eastAsia"/>
          <w:bCs/>
          <w:sz w:val="24"/>
        </w:rPr>
        <w:t>基金管理人在履行适当程序后，</w:t>
      </w:r>
      <w:r>
        <w:rPr>
          <w:rFonts w:ascii="宋体" w:hAnsi="宋体"/>
          <w:sz w:val="24"/>
        </w:rPr>
        <w:t>基金推出新业务或服务；</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w:t>
      </w:r>
      <w:r>
        <w:rPr>
          <w:rFonts w:hint="eastAsia"/>
          <w:bCs/>
          <w:sz w:val="24"/>
        </w:rPr>
        <w:t>增加或</w:t>
      </w:r>
      <w:r>
        <w:rPr>
          <w:rFonts w:ascii="宋体" w:hAnsi="宋体"/>
          <w:sz w:val="24"/>
        </w:rPr>
        <w:t>调整本基金份额类别的设置</w:t>
      </w:r>
      <w:r>
        <w:rPr>
          <w:bCs/>
          <w:sz w:val="24"/>
        </w:rPr>
        <w:t>、</w:t>
      </w:r>
      <w:r>
        <w:rPr>
          <w:rFonts w:hint="eastAsia"/>
          <w:bCs/>
          <w:sz w:val="24"/>
        </w:rPr>
        <w:t>停止现有基金份额的销售、对基金份额分类办法及规则进行调整</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w:t>
      </w:r>
      <w:r>
        <w:rPr>
          <w:rFonts w:ascii="宋体" w:hAnsi="宋体"/>
          <w:sz w:val="24"/>
        </w:rPr>
        <w:lastRenderedPageBreak/>
        <w:t>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w:t>
      </w:r>
      <w:r>
        <w:rPr>
          <w:rFonts w:ascii="宋体" w:hAnsi="宋体"/>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w:t>
      </w:r>
      <w:r>
        <w:rPr>
          <w:rFonts w:ascii="宋体" w:hAnsi="宋体"/>
          <w:sz w:val="24"/>
        </w:rPr>
        <w:lastRenderedPageBreak/>
        <w:t>（如果基金托管人为召集人，则为基金管理人）和公证机关的监督下按照会议通知规定的方式收取基金份额持有人的表决意见；基金托管人或基金管理人经通知不参加收取表决意见的，不影响表决效力；</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w:t>
      </w:r>
      <w:r>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ascii="宋体" w:hAnsi="宋体" w:hint="eastAsia"/>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1）现场开会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w:t>
      </w:r>
      <w:r>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w:t>
      </w:r>
      <w:r>
        <w:rPr>
          <w:rFonts w:ascii="宋体" w:hAnsi="宋体"/>
          <w:sz w:val="24"/>
        </w:rPr>
        <w:lastRenderedPageBreak/>
        <w:t>表决，但应当计入出具表决意见的基金份额持有人所代表的基金份额总数。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w:t>
      </w:r>
      <w:r>
        <w:rPr>
          <w:rFonts w:ascii="宋体" w:hAnsi="宋体"/>
          <w:sz w:val="24"/>
        </w:rPr>
        <w:lastRenderedPageBreak/>
        <w:t>介上公告。如果采用通讯方式进行表决，在公告基金份额持有人大会决议时，必须将公证书全文、公证机构、公证员姓名等一同公告。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w:t>
      </w:r>
      <w:proofErr w:type="gramStart"/>
      <w:r>
        <w:rPr>
          <w:rFonts w:ascii="宋体" w:hAnsi="宋体"/>
          <w:sz w:val="24"/>
        </w:rPr>
        <w:t>侧袋机制</w:t>
      </w:r>
      <w:proofErr w:type="gramEnd"/>
      <w:r>
        <w:rPr>
          <w:rFonts w:ascii="宋体" w:hAnsi="宋体"/>
          <w:sz w:val="24"/>
        </w:rPr>
        <w:t>期间基金份额持有人大会的特殊约定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w:t>
      </w:r>
      <w:proofErr w:type="gramStart"/>
      <w:r>
        <w:rPr>
          <w:rFonts w:ascii="宋体" w:hAnsi="宋体"/>
          <w:sz w:val="24"/>
        </w:rPr>
        <w:t>实施侧袋机制</w:t>
      </w:r>
      <w:proofErr w:type="gramEnd"/>
      <w:r>
        <w:rPr>
          <w:rFonts w:ascii="宋体" w:hAnsi="宋体"/>
          <w:sz w:val="24"/>
        </w:rPr>
        <w:t>，</w:t>
      </w:r>
      <w:proofErr w:type="gramStart"/>
      <w:r>
        <w:rPr>
          <w:rFonts w:ascii="宋体" w:hAnsi="宋体"/>
          <w:sz w:val="24"/>
        </w:rPr>
        <w:t>则相关</w:t>
      </w:r>
      <w:proofErr w:type="gramEnd"/>
      <w:r>
        <w:rPr>
          <w:rFonts w:ascii="宋体" w:hAnsi="宋体"/>
          <w:sz w:val="24"/>
        </w:rPr>
        <w:t>基金份额或表决权的比例</w:t>
      </w:r>
      <w:proofErr w:type="gramStart"/>
      <w:r>
        <w:rPr>
          <w:rFonts w:ascii="宋体" w:hAnsi="宋体"/>
          <w:sz w:val="24"/>
        </w:rPr>
        <w:t>指主袋份额</w:t>
      </w:r>
      <w:proofErr w:type="gramEnd"/>
      <w:r>
        <w:rPr>
          <w:rFonts w:ascii="宋体" w:hAnsi="宋体"/>
          <w:sz w:val="24"/>
        </w:rPr>
        <w:t>持有</w:t>
      </w:r>
      <w:proofErr w:type="gramStart"/>
      <w:r>
        <w:rPr>
          <w:rFonts w:ascii="宋体" w:hAnsi="宋体"/>
          <w:sz w:val="24"/>
        </w:rPr>
        <w:t>人和侧袋份额</w:t>
      </w:r>
      <w:proofErr w:type="gramEnd"/>
      <w:r>
        <w:rPr>
          <w:rFonts w:ascii="宋体" w:hAnsi="宋体"/>
          <w:sz w:val="24"/>
        </w:rPr>
        <w:t>持有人分别持有或代表的基金份额或表决权符合该等比例，但</w:t>
      </w:r>
      <w:proofErr w:type="gramStart"/>
      <w:r>
        <w:rPr>
          <w:rFonts w:ascii="宋体" w:hAnsi="宋体"/>
          <w:sz w:val="24"/>
        </w:rPr>
        <w:t>若相关</w:t>
      </w:r>
      <w:proofErr w:type="gramEnd"/>
      <w:r>
        <w:rPr>
          <w:rFonts w:ascii="宋体" w:hAnsi="宋体"/>
          <w:sz w:val="24"/>
        </w:rPr>
        <w:t>基金份额持有人大会召集和审议事项不</w:t>
      </w:r>
      <w:proofErr w:type="gramStart"/>
      <w:r>
        <w:rPr>
          <w:rFonts w:ascii="宋体" w:hAnsi="宋体"/>
          <w:sz w:val="24"/>
        </w:rPr>
        <w:t>涉及侧袋账户</w:t>
      </w:r>
      <w:proofErr w:type="gramEnd"/>
      <w:r>
        <w:rPr>
          <w:rFonts w:ascii="宋体" w:hAnsi="宋体"/>
          <w:sz w:val="24"/>
        </w:rPr>
        <w:t>的，则仅</w:t>
      </w:r>
      <w:proofErr w:type="gramStart"/>
      <w:r>
        <w:rPr>
          <w:rFonts w:ascii="宋体" w:hAnsi="宋体"/>
          <w:sz w:val="24"/>
        </w:rPr>
        <w:t>指主袋份额</w:t>
      </w:r>
      <w:proofErr w:type="gramEnd"/>
      <w:r>
        <w:rPr>
          <w:rFonts w:ascii="宋体" w:hAnsi="宋体"/>
          <w:sz w:val="24"/>
        </w:rPr>
        <w:t>持有人持有或代表的基金份额或表决权符合该等比例：</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w:t>
      </w:r>
      <w:proofErr w:type="gramStart"/>
      <w:r>
        <w:rPr>
          <w:rFonts w:ascii="宋体" w:hAnsi="宋体"/>
          <w:sz w:val="24"/>
        </w:rPr>
        <w:t>日相关</w:t>
      </w:r>
      <w:proofErr w:type="gramEnd"/>
      <w:r>
        <w:rPr>
          <w:rFonts w:ascii="宋体" w:hAnsi="宋体"/>
          <w:sz w:val="24"/>
        </w:rPr>
        <w:t>基金份额的二分之一（含二分之一）；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w:t>
      </w:r>
      <w:proofErr w:type="gramStart"/>
      <w:r>
        <w:rPr>
          <w:rFonts w:ascii="宋体" w:hAnsi="宋体"/>
          <w:sz w:val="24"/>
        </w:rPr>
        <w:t>日相关</w:t>
      </w:r>
      <w:proofErr w:type="gramEnd"/>
      <w:r>
        <w:rPr>
          <w:rFonts w:ascii="宋体" w:hAnsi="宋体"/>
          <w:sz w:val="24"/>
        </w:rPr>
        <w:t>基金份额的二分之一（含二分之一）；</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w:t>
      </w:r>
      <w:proofErr w:type="gramStart"/>
      <w:r>
        <w:rPr>
          <w:rFonts w:ascii="宋体" w:hAnsi="宋体"/>
          <w:sz w:val="24"/>
        </w:rPr>
        <w:t>日相关</w:t>
      </w:r>
      <w:proofErr w:type="gramEnd"/>
      <w:r>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w:t>
      </w:r>
      <w:proofErr w:type="gramStart"/>
      <w:r>
        <w:rPr>
          <w:rFonts w:ascii="宋体" w:hAnsi="宋体"/>
          <w:sz w:val="24"/>
        </w:rPr>
        <w:t>一主侧袋账户</w:t>
      </w:r>
      <w:proofErr w:type="gramEnd"/>
      <w:r>
        <w:rPr>
          <w:rFonts w:ascii="宋体" w:hAnsi="宋体"/>
          <w:sz w:val="24"/>
        </w:rPr>
        <w:t>内的每份基金份额具有平等的表决权。</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w:t>
      </w:r>
      <w:r>
        <w:rPr>
          <w:rFonts w:hint="eastAsia"/>
          <w:bCs/>
          <w:sz w:val="24"/>
        </w:rPr>
        <w:t>或监管规则</w:t>
      </w:r>
      <w:r>
        <w:rPr>
          <w:rFonts w:ascii="宋体" w:hAnsi="宋体"/>
          <w:sz w:val="24"/>
        </w:rPr>
        <w:t>的部分，如将来法律法规</w:t>
      </w:r>
      <w:r>
        <w:rPr>
          <w:rFonts w:hint="eastAsia"/>
          <w:bCs/>
          <w:sz w:val="24"/>
        </w:rPr>
        <w:t>或监管规则</w:t>
      </w:r>
      <w:r>
        <w:rPr>
          <w:rFonts w:ascii="宋体" w:hAnsi="宋体"/>
          <w:sz w:val="24"/>
        </w:rPr>
        <w:t>修改导致相关内容被取消或变更的，基金管理人经与基金托管人协商一致并提前公告后，可直接对本部分内容进行修改和调整，无需召开基金份额持有人大会审议。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生效后依照《信息披露办法》的规定在规定媒介公告。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Pr>
          <w:rFonts w:hint="eastAsia"/>
          <w:bCs/>
          <w:sz w:val="24"/>
        </w:rPr>
        <w:t>基金合同终止</w:t>
      </w:r>
      <w:r>
        <w:rPr>
          <w:rFonts w:ascii="宋体" w:hAnsi="宋体"/>
          <w:sz w:val="24"/>
        </w:rPr>
        <w:t>，不需召开基金份额持有人大会；</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Pr>
          <w:bCs/>
          <w:sz w:val="24"/>
        </w:rPr>
        <w:t>符合</w:t>
      </w:r>
      <w:r>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（4）基金财产清算程序：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Pr>
          <w:rFonts w:ascii="宋体" w:hAnsi="宋体" w:hint="eastAsia"/>
          <w:sz w:val="24"/>
        </w:rPr>
        <w:t>财产</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Pr>
          <w:bCs/>
          <w:sz w:val="24"/>
        </w:rPr>
        <w:t>符合</w:t>
      </w:r>
      <w:proofErr w:type="gramEnd"/>
      <w:r>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Pr>
          <w:rFonts w:hint="eastAsia"/>
          <w:bCs/>
          <w:sz w:val="24"/>
        </w:rPr>
        <w:t>规定网站</w:t>
      </w:r>
      <w:r>
        <w:rPr>
          <w:rFonts w:ascii="宋体" w:hAnsi="宋体"/>
          <w:sz w:val="24"/>
        </w:rPr>
        <w:t>上，并将清算报告提示性公告登载在</w:t>
      </w:r>
      <w:r>
        <w:rPr>
          <w:rFonts w:hint="eastAsia"/>
          <w:bCs/>
          <w:sz w:val="24"/>
        </w:rPr>
        <w:t>规定报刊</w:t>
      </w:r>
      <w:r>
        <w:rPr>
          <w:rFonts w:ascii="宋体" w:hAnsi="宋体"/>
          <w:sz w:val="24"/>
        </w:rPr>
        <w:t>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Pr>
          <w:rFonts w:hint="eastAsia"/>
          <w:bCs/>
          <w:sz w:val="24"/>
        </w:rPr>
        <w:t>不低于法律法规规定的最低期限</w:t>
      </w:r>
      <w:r>
        <w:rPr>
          <w:rFonts w:ascii="宋体" w:hAnsi="宋体"/>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各方当事人同意，因《基金合同》而产生的或与《基金合同》有关的一切争议，如经友好协商未能解决的，任何一方均有权将争议提交中国国际经济贸易仲裁</w:t>
      </w:r>
      <w:r>
        <w:rPr>
          <w:rFonts w:ascii="宋体" w:hAnsi="宋体" w:hint="eastAsia"/>
          <w:sz w:val="24"/>
        </w:rPr>
        <w:lastRenderedPageBreak/>
        <w:t>委员会，仲裁地点为北京市，按照中国国际经济贸易仲裁委员会届时有效的仲裁规则进行仲裁。仲裁裁决是终局的，对各方当事人均有约束力，除非仲裁裁决另有规定，仲裁费由败诉方承担。</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《基金合同》受中国法律（不含港澳台地区法律）管辖</w:t>
      </w:r>
      <w:r>
        <w:rPr>
          <w:rFonts w:hint="eastAsia"/>
          <w:bCs/>
          <w:sz w:val="24"/>
        </w:rPr>
        <w:t>并从其解释</w:t>
      </w:r>
      <w:r>
        <w:rPr>
          <w:rFonts w:ascii="宋体" w:hAnsi="宋体" w:hint="eastAsia"/>
          <w:sz w:val="24"/>
        </w:rPr>
        <w:t>。</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hint="eastAsia"/>
          <w:sz w:val="24"/>
        </w:rPr>
        <w:t>基金合同</w:t>
      </w:r>
      <w:r>
        <w:rPr>
          <w:rFonts w:ascii="宋体" w:hAnsi="宋体"/>
          <w:sz w:val="24"/>
        </w:rPr>
        <w:t>》</w:t>
      </w:r>
      <w:r>
        <w:rPr>
          <w:rFonts w:ascii="宋体" w:hAnsi="宋体" w:hint="eastAsia"/>
          <w:sz w:val="24"/>
        </w:rPr>
        <w:t>正本一式三份，除上报有关监管机构一份外，基金管理人、基金托管人各持有一份，每份具有同等的法律效力。</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41" w:name="_Toc104564203"/>
      <w:bookmarkStart w:id="42" w:name="_Hlk101017475"/>
      <w:bookmarkEnd w:id="40"/>
      <w:r>
        <w:rPr>
          <w:rFonts w:ascii="Times New Roman" w:hAnsi="Times New Roman"/>
          <w:sz w:val="30"/>
        </w:rPr>
        <w:lastRenderedPageBreak/>
        <w:t>二十、托管协议的内容摘要</w:t>
      </w:r>
      <w:bookmarkEnd w:id="41"/>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1、基金管理人</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名称：交银施罗德基金管理有限公司</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注册地址：中国（上海）自由贸易试验区银城中路188号交通银行大楼二层（裙）</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办公地址：上海市浦东</w:t>
      </w:r>
      <w:proofErr w:type="gramStart"/>
      <w:r>
        <w:rPr>
          <w:rFonts w:ascii="宋体" w:hAnsi="宋体" w:hint="eastAsia"/>
          <w:sz w:val="24"/>
        </w:rPr>
        <w:t>新区世纪</w:t>
      </w:r>
      <w:proofErr w:type="gramEnd"/>
      <w:r>
        <w:rPr>
          <w:rFonts w:ascii="宋体" w:hAnsi="宋体" w:hint="eastAsia"/>
          <w:sz w:val="24"/>
        </w:rPr>
        <w:t>大道8号国</w:t>
      </w:r>
      <w:proofErr w:type="gramStart"/>
      <w:r>
        <w:rPr>
          <w:rFonts w:ascii="宋体" w:hAnsi="宋体" w:hint="eastAsia"/>
          <w:sz w:val="24"/>
        </w:rPr>
        <w:t>金中心</w:t>
      </w:r>
      <w:proofErr w:type="gramEnd"/>
      <w:r>
        <w:rPr>
          <w:rFonts w:ascii="宋体" w:hAnsi="宋体" w:hint="eastAsia"/>
          <w:sz w:val="24"/>
        </w:rPr>
        <w:t>二期21-22楼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邮政编码：200120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法定代表人：张宏良</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成立日期：2005年8月4日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批准设立机关及批准设立文号：中国证监会证</w:t>
      </w:r>
      <w:proofErr w:type="gramStart"/>
      <w:r>
        <w:rPr>
          <w:rFonts w:ascii="宋体" w:hAnsi="宋体" w:hint="eastAsia"/>
          <w:sz w:val="24"/>
        </w:rPr>
        <w:t>监基金字</w:t>
      </w:r>
      <w:proofErr w:type="gramEnd"/>
      <w:r>
        <w:rPr>
          <w:rFonts w:ascii="宋体" w:hAnsi="宋体" w:hint="eastAsia"/>
          <w:sz w:val="24"/>
        </w:rPr>
        <w:t>[2005]128号</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组织形式：有限责任公司</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注册资本：2亿元人民币</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存续期间：持续经营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经营范围：基金募集、基金销售、资产管理和中国证监会许可的其它业务</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名称：中国农业银行股份有限公司</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注册地址：北京市东城区建国门内大街69号</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办公地址：北京市西城区复兴门内大街28号</w:t>
      </w:r>
      <w:proofErr w:type="gramStart"/>
      <w:r>
        <w:rPr>
          <w:rFonts w:ascii="宋体" w:hAnsi="宋体" w:hint="eastAsia"/>
          <w:sz w:val="24"/>
        </w:rPr>
        <w:t>凯</w:t>
      </w:r>
      <w:proofErr w:type="gramEnd"/>
      <w:r>
        <w:rPr>
          <w:rFonts w:ascii="宋体" w:hAnsi="宋体" w:hint="eastAsia"/>
          <w:sz w:val="24"/>
        </w:rPr>
        <w:t>晨世贸中心东座九层</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邮政编码：100031</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法定代表人：谷澍</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成立时间：2009年1月15日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基金托管资格批文及文号：中国证监会</w:t>
      </w:r>
      <w:proofErr w:type="gramStart"/>
      <w:r>
        <w:rPr>
          <w:rFonts w:ascii="宋体" w:hAnsi="宋体" w:hint="eastAsia"/>
          <w:sz w:val="24"/>
        </w:rPr>
        <w:t>证监基字</w:t>
      </w:r>
      <w:proofErr w:type="gramEnd"/>
      <w:r>
        <w:rPr>
          <w:rFonts w:ascii="宋体" w:hAnsi="宋体" w:hint="eastAsia"/>
          <w:sz w:val="24"/>
        </w:rPr>
        <w:t>[1998]23号</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批准设立机关和批准设立文号：中国银监</w:t>
      </w:r>
      <w:proofErr w:type="gramStart"/>
      <w:r>
        <w:rPr>
          <w:rFonts w:ascii="宋体" w:hAnsi="宋体" w:hint="eastAsia"/>
          <w:sz w:val="24"/>
        </w:rPr>
        <w:t>会银监复</w:t>
      </w:r>
      <w:proofErr w:type="gramEnd"/>
      <w:r>
        <w:rPr>
          <w:rFonts w:ascii="宋体" w:hAnsi="宋体" w:hint="eastAsia"/>
          <w:sz w:val="24"/>
        </w:rPr>
        <w:t>[2009]13号</w:t>
      </w:r>
    </w:p>
    <w:p w:rsidR="0020207F" w:rsidRDefault="000C59E2">
      <w:pPr>
        <w:adjustRightInd w:val="0"/>
        <w:snapToGrid w:val="0"/>
        <w:spacing w:line="360" w:lineRule="auto"/>
        <w:ind w:firstLineChars="200" w:firstLine="480"/>
        <w:rPr>
          <w:rFonts w:ascii="宋体" w:hAnsi="宋体"/>
          <w:sz w:val="24"/>
        </w:rPr>
      </w:pPr>
      <w:r>
        <w:rPr>
          <w:rFonts w:ascii="宋体" w:hAnsi="宋体" w:hint="eastAsia"/>
          <w:sz w:val="24"/>
        </w:rPr>
        <w:t>组织形式：股份有限公司</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注册资本：34,998,303.4万元人民币</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存续期间：持续经营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经营范围：吸收公众存款；发放短期、中期、长期贷款；办理国内外结算；办理票据承兑与贴现；发行金融债券；代理发行、代理兑付、承销政府债券；买卖政</w:t>
      </w:r>
      <w:r>
        <w:rPr>
          <w:rFonts w:ascii="宋体" w:hAnsi="宋体" w:hint="eastAsia"/>
          <w:sz w:val="24"/>
        </w:rPr>
        <w:lastRenderedPageBreak/>
        <w:t>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（二）基金托管人对基金管理人的业务监督和核查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本基金的投资范围为具有良好流动性的金融工具，包括债券（含国债、金融债、央行票据、地方政府债、政府支持债、政府支持机构债、企业债、公司债、可转换债券（</w:t>
      </w:r>
      <w:proofErr w:type="gramStart"/>
      <w:r>
        <w:rPr>
          <w:rFonts w:ascii="宋体" w:hAnsi="宋体" w:hint="eastAsia"/>
          <w:sz w:val="24"/>
        </w:rPr>
        <w:t>含可分离</w:t>
      </w:r>
      <w:proofErr w:type="gramEnd"/>
      <w:r>
        <w:rPr>
          <w:rFonts w:ascii="宋体" w:hAnsi="宋体" w:hint="eastAsia"/>
          <w:sz w:val="24"/>
        </w:rPr>
        <w:t>交易可转换债券）、可交换公司债券、公开发行的次级债、短期融资</w:t>
      </w:r>
      <w:proofErr w:type="gramStart"/>
      <w:r>
        <w:rPr>
          <w:rFonts w:ascii="宋体" w:hAnsi="宋体" w:hint="eastAsia"/>
          <w:sz w:val="24"/>
        </w:rPr>
        <w:t>券</w:t>
      </w:r>
      <w:proofErr w:type="gramEnd"/>
      <w:r>
        <w:rPr>
          <w:rFonts w:ascii="宋体" w:hAnsi="宋体" w:hint="eastAsia"/>
          <w:sz w:val="24"/>
        </w:rPr>
        <w:t>、超短期融资</w:t>
      </w:r>
      <w:proofErr w:type="gramStart"/>
      <w:r>
        <w:rPr>
          <w:rFonts w:ascii="宋体" w:hAnsi="宋体" w:hint="eastAsia"/>
          <w:sz w:val="24"/>
        </w:rPr>
        <w:t>券</w:t>
      </w:r>
      <w:proofErr w:type="gramEnd"/>
      <w:r>
        <w:rPr>
          <w:rFonts w:ascii="宋体" w:hAnsi="宋体" w:hint="eastAsia"/>
          <w:sz w:val="24"/>
        </w:rPr>
        <w:t>、中期票据）、资产支持证券、债券回购、银行存款（包括定期存款、协议存款、通知存款等）、同业存单、货币市场工具、国债期货、信用衍生品以及法律法规或中国证监会允许基金投资的其他金融工具（但须符合中国证监会相关规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本基金不直接投资于股票等权益类资产，但可参与可转换债券（</w:t>
      </w:r>
      <w:proofErr w:type="gramStart"/>
      <w:r>
        <w:rPr>
          <w:rFonts w:ascii="宋体" w:hAnsi="宋体" w:hint="eastAsia"/>
          <w:sz w:val="24"/>
        </w:rPr>
        <w:t>含可分离</w:t>
      </w:r>
      <w:proofErr w:type="gramEnd"/>
      <w:r>
        <w:rPr>
          <w:rFonts w:ascii="宋体" w:hAnsi="宋体" w:hint="eastAsia"/>
          <w:sz w:val="24"/>
        </w:rPr>
        <w:t>交易可转换债券）、可交换公司债券的投资。因所持可转换债券转股、可交换公司债券换股所形成的股票，本基金将在其可交易之日起的10个交易日内卖出。</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本基金的投资组合比例为：本基金投资于债券资产的比例不低于基金资产的</w:t>
      </w:r>
      <w:r>
        <w:rPr>
          <w:rFonts w:ascii="宋体" w:hAnsi="宋体" w:hint="eastAsia"/>
          <w:sz w:val="24"/>
        </w:rPr>
        <w:lastRenderedPageBreak/>
        <w:t>80%，投资于可转换债券（</w:t>
      </w:r>
      <w:proofErr w:type="gramStart"/>
      <w:r>
        <w:rPr>
          <w:rFonts w:ascii="宋体" w:hAnsi="宋体" w:hint="eastAsia"/>
          <w:sz w:val="24"/>
        </w:rPr>
        <w:t>含可分离</w:t>
      </w:r>
      <w:proofErr w:type="gramEnd"/>
      <w:r>
        <w:rPr>
          <w:rFonts w:ascii="宋体" w:hAnsi="宋体" w:hint="eastAsia"/>
          <w:sz w:val="24"/>
        </w:rPr>
        <w:t>交易可转换债券）、可交换公司债券比例合计不超过基金资产的20%；每个交易日日终在扣除国债期货合约需缴纳的交易保证金后，本基金持有的现金或到期日在一年以内的政府债券的比例合计不低于基金资产净值的5%，其中现金不包括结算备付金、存出保证金、应收申购款等。</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如果法律法规或中国证监会变更投资品种的投资比例限制，基金管理人在履行适当程序后，可以调整上述投资品种的投资比例。</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2、基金托管人根据有关法律法规的规定及基金合同的约定，对基金投资、融资比例进行监督。基金托管人按下述比例和调整期限进行监督：</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（1）本基金投资于债券资产的比例不低于基金资产的80%，投资于可转换债券（</w:t>
      </w:r>
      <w:proofErr w:type="gramStart"/>
      <w:r>
        <w:rPr>
          <w:rFonts w:ascii="宋体" w:hAnsi="宋体" w:hint="eastAsia"/>
          <w:sz w:val="24"/>
        </w:rPr>
        <w:t>含可分离</w:t>
      </w:r>
      <w:proofErr w:type="gramEnd"/>
      <w:r>
        <w:rPr>
          <w:rFonts w:ascii="宋体" w:hAnsi="宋体" w:hint="eastAsia"/>
          <w:sz w:val="24"/>
        </w:rPr>
        <w:t>交易可转换债券）、可交换公司债券的比例合计不超过基金资产的20%；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每个交易日日终在扣除国债期货合约需缴纳的交易保证金后，本基金持有的现金或到期日在一年以内的政府债券的比例合计不低于基金资产净值的5%，其中现金不包括结算备付金、存出保证金、应收申购款等；</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（3）本基金持有一家公司发行的证券，其市值不超过基金资产净值的10%；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（4）本基金管理人管理的、且由本基金托管人托管的全部基金持有一家公司发行的证券，不超过该证券的10％，完全按照有关指数的构成比例进行证券投资的基金品种可以不受此条款规定的比例限制；</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（5）本基金投资于同一原始权益人的各类资产支持证券的比例，不得超过基金资产净值的10％；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（6）本基金持有的全部资产支持证券，其市值不得超过基金资产净值的20％；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（7）本基金持有的同一（指同一信用级别）资产支持证券的比例，不得超过该资产支持证券规模的10％；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（8）本基金管理人管理的、且由本基金托管人托管的全部基金投资于同一原始权益人的各类资产支持证券，不得超过其各类资产支持证券合计规模的10％；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）本基金参与国债期货交易，需遵守下列投资比例限制：</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1）在任何交易日日终，持有的买入国债期货合约价值，不得超过基金资产净值的15%；</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2）在任何交易日日终，持有的卖出国债期货合约价值不得超过基金持有的债券总市值的30%；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3）基金在任何交易日内交易（不包括平仓）的国债期货合约的成交金额不得超过上一交易日基金资产净值的30%；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4）本基金所持有的债券（不含到期日在一年以内的政府债券）市值和买入、卖出国债期货合约价值，合计（轧差计算）应当符合基金合同关于债券投资比例的有关约定；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）本基金</w:t>
      </w:r>
      <w:proofErr w:type="gramStart"/>
      <w:r>
        <w:rPr>
          <w:rFonts w:ascii="宋体" w:hAnsi="宋体" w:hint="eastAsia"/>
          <w:sz w:val="24"/>
        </w:rPr>
        <w:t>不</w:t>
      </w:r>
      <w:proofErr w:type="gramEnd"/>
      <w:r>
        <w:rPr>
          <w:rFonts w:ascii="宋体" w:hAnsi="宋体" w:hint="eastAsia"/>
          <w:sz w:val="24"/>
        </w:rPr>
        <w:t>持有具有信用保护卖方属性的信用衍生品，</w:t>
      </w:r>
      <w:proofErr w:type="gramStart"/>
      <w:r>
        <w:rPr>
          <w:rFonts w:ascii="宋体" w:hAnsi="宋体" w:hint="eastAsia"/>
          <w:sz w:val="24"/>
        </w:rPr>
        <w:t>不</w:t>
      </w:r>
      <w:proofErr w:type="gramEnd"/>
      <w:r>
        <w:rPr>
          <w:rFonts w:ascii="宋体" w:hAnsi="宋体" w:hint="eastAsia"/>
          <w:sz w:val="24"/>
        </w:rPr>
        <w:t>持有合约类信用衍生品；本基金投资的信用衍生品名义本金不得超过本基金中对应受保护债券面值的100%；本基金投资于同一信用保护卖方的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）本基金与私募类</w:t>
      </w:r>
      <w:proofErr w:type="gramStart"/>
      <w:r>
        <w:rPr>
          <w:rFonts w:ascii="宋体" w:hAnsi="宋体" w:hint="eastAsia"/>
          <w:sz w:val="24"/>
        </w:rPr>
        <w:t>证券资管产品</w:t>
      </w:r>
      <w:proofErr w:type="gramEnd"/>
      <w:r>
        <w:rPr>
          <w:rFonts w:ascii="宋体" w:hAnsi="宋体" w:hint="eastAsia"/>
          <w:sz w:val="24"/>
        </w:rPr>
        <w:t>及中国证监会认定的其他主体为交易对手开展逆回购交易的，可接受质押品的资质要求应当与基金合同约定的投资范围保持一致；</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Pr>
          <w:rFonts w:ascii="宋体" w:hAnsi="宋体"/>
          <w:sz w:val="24"/>
        </w:rPr>
        <w:t>本基金</w:t>
      </w:r>
      <w:r>
        <w:rPr>
          <w:rFonts w:ascii="宋体" w:hAnsi="宋体" w:hint="eastAsia"/>
          <w:sz w:val="24"/>
        </w:rPr>
        <w:t>管理人管理的、且由本基金托管人托管的全部开放式基金（包括开放式基金以及处于开放期的定期开放基金）持有一家上市公司发行的可流通股票，不得超过该上市公司可流通股票的</w:t>
      </w:r>
      <w:r>
        <w:rPr>
          <w:rFonts w:ascii="宋体" w:hAnsi="宋体"/>
          <w:sz w:val="24"/>
        </w:rPr>
        <w:t>15%；</w:t>
      </w:r>
      <w:r>
        <w:rPr>
          <w:rFonts w:ascii="宋体" w:hAnsi="宋体" w:hint="eastAsia"/>
          <w:sz w:val="24"/>
        </w:rPr>
        <w:t>本基金管理人管理的、且由本基金托管人托管的全部投资组合持有一家上市公司发行的可流通股票，不得超过该上市公司可流通股票的</w:t>
      </w:r>
      <w:r>
        <w:rPr>
          <w:rFonts w:ascii="宋体" w:hAnsi="宋体"/>
          <w:sz w:val="24"/>
        </w:rPr>
        <w:t>30%；完全按照有关指数的构成比例进行证券投资的开放式基金以及中国证监会认定的特殊投资组合可不受前述比例限制；</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）本基金资产总值不超过基金资产净值的140%；</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）法律法规及中国证监会规定的和《基金合同》约定的其他投资限制。</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除上述（2）、（</w:t>
      </w:r>
      <w:r>
        <w:rPr>
          <w:rFonts w:ascii="宋体" w:hAnsi="宋体"/>
          <w:sz w:val="24"/>
        </w:rPr>
        <w:t>10</w:t>
      </w:r>
      <w:r>
        <w:rPr>
          <w:rFonts w:ascii="宋体" w:hAnsi="宋体" w:hint="eastAsia"/>
          <w:sz w:val="24"/>
        </w:rPr>
        <w:t>）、（</w:t>
      </w:r>
      <w:r>
        <w:rPr>
          <w:rFonts w:ascii="宋体" w:hAnsi="宋体"/>
          <w:sz w:val="24"/>
        </w:rPr>
        <w:t>11</w:t>
      </w:r>
      <w:r>
        <w:rPr>
          <w:rFonts w:ascii="宋体" w:hAnsi="宋体" w:hint="eastAsia"/>
          <w:sz w:val="24"/>
        </w:rPr>
        <w:t>）、（</w:t>
      </w:r>
      <w:r>
        <w:rPr>
          <w:rFonts w:ascii="宋体" w:hAnsi="宋体"/>
          <w:sz w:val="24"/>
        </w:rPr>
        <w:t>12</w:t>
      </w:r>
      <w:r>
        <w:rPr>
          <w:rFonts w:ascii="宋体" w:hAnsi="宋体" w:hint="eastAsia"/>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法律法规或监管部门取消或变更上述限制，如适用于本基金，基金管理人在履行适当程序后，则本基金投资不再受相关限制或以变更后的规定为准。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3、基金托管人根据有关法律法规的规定及基金合同的约定，对本协议第十五条第（十一）项基金投资禁止行为进行监督。</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与基金托管人协商解决。基金管理人与基金托管人完成确认后，被确认调整的名单开始生效，新名单生效前已与本次剔除的交易对手所进行但尚未结算的交易，</w:t>
      </w:r>
      <w:r>
        <w:rPr>
          <w:rFonts w:ascii="宋体" w:hAnsi="宋体" w:hint="eastAsia"/>
          <w:sz w:val="24"/>
        </w:rPr>
        <w:lastRenderedPageBreak/>
        <w:t>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相应损失和责任。</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5、基金托管人根据有关法律法规的规定及基金合同的约定，对基金管理人投资银行存款进行监督。</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基金投资银行存款的，基金管理人应根据法律法规的规定及基金合同的约定，建立投资制度、审慎选择存款银行，做好风险控制；并按照基金托管人的要求配合基金托管人完成相关业务办理。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如果基金管理人未经基金托管人的审核擅自将不实的业绩表现数据印制在宣传推介材料上，</w:t>
      </w:r>
      <w:proofErr w:type="gramStart"/>
      <w:r>
        <w:rPr>
          <w:rFonts w:ascii="宋体" w:hAnsi="宋体" w:hint="eastAsia"/>
          <w:sz w:val="24"/>
        </w:rPr>
        <w:t>则基金</w:t>
      </w:r>
      <w:proofErr w:type="gramEnd"/>
      <w:r>
        <w:rPr>
          <w:rFonts w:ascii="宋体" w:hAnsi="宋体" w:hint="eastAsia"/>
          <w:sz w:val="24"/>
        </w:rPr>
        <w:t>托管人对此不承担相应责任，并将在发现后立即报告中国证监会。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Pr>
          <w:rFonts w:ascii="宋体" w:hAnsi="宋体" w:hint="eastAsia"/>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w:t>
      </w:r>
      <w:r>
        <w:rPr>
          <w:rFonts w:ascii="宋体" w:hAnsi="宋体" w:hint="eastAsia"/>
          <w:sz w:val="24"/>
        </w:rPr>
        <w:lastRenderedPageBreak/>
        <w:t>照法规要求需向中国证监会报送基金监督报告的事项，基金管理人应积极配合提供相关数据资料和制度等。</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（三）基金管理人对基金托管人的业务核查</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管理人核查托管财产的完整性和真实性，在规定时间内答复基金管理人并改正。</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（四）基金财产保管</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1、基金财产保管的原则</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（1）基金财产应独立于基金管理人、基金托管人的固有财产。</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（2）基金托管人应安全保管基金财产。未经基金管理人依据合法程序</w:t>
      </w:r>
      <w:proofErr w:type="gramStart"/>
      <w:r>
        <w:rPr>
          <w:rFonts w:ascii="宋体" w:hAnsi="宋体" w:hint="eastAsia"/>
          <w:sz w:val="24"/>
        </w:rPr>
        <w:t>作出</w:t>
      </w:r>
      <w:proofErr w:type="gramEnd"/>
      <w:r>
        <w:rPr>
          <w:rFonts w:ascii="宋体" w:hAnsi="宋体" w:hint="eastAsia"/>
          <w:sz w:val="24"/>
        </w:rPr>
        <w:t>的</w:t>
      </w:r>
      <w:r>
        <w:rPr>
          <w:rFonts w:ascii="宋体" w:hAnsi="宋体" w:hint="eastAsia"/>
          <w:sz w:val="24"/>
        </w:rPr>
        <w:lastRenderedPageBreak/>
        <w:t>合法合</w:t>
      </w:r>
      <w:proofErr w:type="gramStart"/>
      <w:r>
        <w:rPr>
          <w:rFonts w:ascii="宋体" w:hAnsi="宋体" w:hint="eastAsia"/>
          <w:sz w:val="24"/>
        </w:rPr>
        <w:t>规</w:t>
      </w:r>
      <w:proofErr w:type="gramEnd"/>
      <w:r>
        <w:rPr>
          <w:rFonts w:ascii="宋体" w:hAnsi="宋体" w:hint="eastAsia"/>
          <w:sz w:val="24"/>
        </w:rPr>
        <w:t>指令，基金托管人不得自行运用、处分、分配基金的任何财产。</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（3）基金托管人按照规定开设基金财产的资金账户、证券账户等投资所需账户。</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相应责任。</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（7）除依据法律法规和基金合同的规定外，基金托管人不得委托第三人托管基金财产。</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2、基金募集期间及募集资金的验资</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（1）基金募集期间的认购款项应存于专用账户。该账户由基金管理人或基金管理人委托的登记机构开立并管理。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符合《中华人民共和国证券法》规定的会计师事务所进行验资，出具验资报告。出具的验资报告由参加验资的2名或2名以上中国注册会计师签字方为有效。</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募集期限届满，未能达到基金备案的条件，由基金管理人按规定办理退款等事宜，基金托管人应提供充分协助。</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3、基金托管资金账户的开立和管理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（1）基金托管人应负责本基金的基金托管资金账户的开设和管理。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（2）基金托管人应以本基金的名义在其营业机构开设本基金的资金账户，并根据基金管理人合法合</w:t>
      </w:r>
      <w:proofErr w:type="gramStart"/>
      <w:r>
        <w:rPr>
          <w:rFonts w:ascii="宋体" w:hAnsi="宋体" w:hint="eastAsia"/>
          <w:sz w:val="24"/>
        </w:rPr>
        <w:t>规</w:t>
      </w:r>
      <w:proofErr w:type="gramEnd"/>
      <w:r>
        <w:rPr>
          <w:rFonts w:ascii="宋体" w:hAnsi="宋体" w:hint="eastAsia"/>
          <w:sz w:val="24"/>
        </w:rPr>
        <w:t>的指令办理资金收付。本基金的银行预留印鉴由基金托管人保管和使用。本基金的一切货币收支活动，包括但不限于投资、支付赎回金额、支付基金收益、收取申购款，均需通过本基金的基金托管资金账户进行。</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（3）基金托管资金账户的开立和使用，限于满足开展本基金业务的需要。基金托管人和基金管理人不得假借本基金的名义开立任何其他银行账户；亦不得使用基金的任何账户进行本基金业务以外的活动。</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（4）基金托管资金账户的开立和管理应符合相关法律法规的有关规定。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（5）在符合法律法规规定的条件下，基金托管人可以通过基金托管人专用账户办理基金资产的支付。</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4、基金证券账户和结算备付金账户的开立和管理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（1）基金托管人在中国证券登记结算有限责任公司上海分公司、深圳分公司为本基金开立基金托管人与基金联名的证券账户。</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（4）基金证券账户的开立和开户回执的保管由基金托管人负责，账户资产的管理和运用由基金管理人负责。</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sz w:val="24"/>
        </w:rPr>
        <w:t>则基金</w:t>
      </w:r>
      <w:proofErr w:type="gramEnd"/>
      <w:r>
        <w:rPr>
          <w:rFonts w:ascii="宋体" w:hAnsi="宋体" w:hint="eastAsia"/>
          <w:sz w:val="24"/>
        </w:rPr>
        <w:t>托管人应当比照并遵守上述关于账户开设、使用的规定。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5、债券托管专户的开设和管理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6、其他账户的开立和管理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（1）因业务发展需要而开立的其他账户，可以根据法律法规和基金合同的规定，在基金管理人和基金托管人商议后开立。新账户按有关规则使用并管理。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（2）法律法规等有关规定对相关账户的开立和管理另有规定的，从其规定办理。</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7、基金财产投资的有关有价凭证等的保管</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的证券不承担保管责任。</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8、与基金财产有关的重大合同的保管</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（五）基金资产净值计算与复核</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1、基金资产净值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基金资产净值是指基金资产总值减去基金负债后的价值。</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基金管理人于每个工作日计算各类基金份额的基金资产净值及基金份额净值，并按规定公告，如遇特殊情况，经履行适当程序，可以适当延迟计算或公告。</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2、复核程序</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w:t>
      </w:r>
      <w:proofErr w:type="gramStart"/>
      <w:r>
        <w:rPr>
          <w:rFonts w:ascii="宋体" w:hAnsi="宋体" w:hint="eastAsia"/>
          <w:sz w:val="24"/>
        </w:rPr>
        <w:t>应每个</w:t>
      </w:r>
      <w:proofErr w:type="gramEnd"/>
      <w:r>
        <w:rPr>
          <w:rFonts w:ascii="宋体" w:hAnsi="宋体" w:hint="eastAsia"/>
          <w:sz w:val="24"/>
        </w:rPr>
        <w:t>工作日对基金资产估值。但基金管理人根据法律法规或基金合同的规定暂停估值时除外。基金管理人每个工作日对基金资产进行估值后，将基金资产净值、各类基金份额净值结果发送基金托管人，经基金托管人复核无误后，由基金管理人依据基金合同和相关法律法规的规定对外公布。月末、年中和年末估值复核与基金会计账目的核对同时进行。</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（六）基金份额持有人名册的登记与保管</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基金份额持有人的名称和持有的基金份额。</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w:t>
      </w:r>
      <w:proofErr w:type="gramStart"/>
      <w:r>
        <w:rPr>
          <w:rFonts w:ascii="宋体" w:hAnsi="宋体" w:hint="eastAsia"/>
          <w:sz w:val="24"/>
        </w:rPr>
        <w:t>若基金</w:t>
      </w:r>
      <w:proofErr w:type="gramEnd"/>
      <w:r>
        <w:rPr>
          <w:rFonts w:ascii="宋体" w:hAnsi="宋体" w:hint="eastAsia"/>
          <w:sz w:val="24"/>
        </w:rPr>
        <w:t>管理人或基金托管人由于自身原因无法妥善保管基金份额持有人名册，应按有关法规规定各自承担相应的责任。</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（七）争议解决方式</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均有约束力，除非仲裁裁决另有规定，仲裁费由败诉方承担。</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本协议适用中华人民共和国法律（不含港澳台地区法律）并从其解释。</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（八）托管协议的变更与终止</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1、托管协议的变更程序</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2、基金托管协议终止的情形</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（1）基金合同终止；</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（2）基金托管人解散、依法被撤销、破产或由其他基金托管人接管基金资产；</w:t>
      </w:r>
    </w:p>
    <w:p w:rsidR="0020207F" w:rsidRDefault="000C59E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（3）基金管理人解散、依法被撤销、破产或由其他基金管理人接管基金管理权；</w:t>
      </w:r>
    </w:p>
    <w:p w:rsidR="0020207F" w:rsidRDefault="000C59E2">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hint="eastAsia"/>
          <w:sz w:val="24"/>
        </w:rPr>
        <w:t>（4）发生法律法规、中国证监会或基金合同规定的其他终止事项。</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43" w:name="_Toc104564204"/>
      <w:bookmarkEnd w:id="42"/>
      <w:r>
        <w:rPr>
          <w:rFonts w:ascii="Times New Roman" w:hAnsi="Times New Roman"/>
          <w:sz w:val="30"/>
        </w:rPr>
        <w:lastRenderedPageBreak/>
        <w:t>二十</w:t>
      </w:r>
      <w:r>
        <w:rPr>
          <w:rFonts w:ascii="Times New Roman" w:hAnsi="Times New Roman" w:hint="eastAsia"/>
          <w:sz w:val="30"/>
        </w:rPr>
        <w:t>一</w:t>
      </w:r>
      <w:r>
        <w:rPr>
          <w:rFonts w:ascii="Times New Roman" w:hAnsi="Times New Roman"/>
          <w:sz w:val="30"/>
        </w:rPr>
        <w:t>、对基金份额持有人的服务</w:t>
      </w:r>
      <w:bookmarkEnd w:id="43"/>
    </w:p>
    <w:p w:rsidR="0020207F" w:rsidRDefault="000C59E2">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r>
        <w:rPr>
          <w:kern w:val="0"/>
          <w:sz w:val="24"/>
          <w:szCs w:val="24"/>
        </w:rPr>
        <w:t xml:space="preserve"> </w:t>
      </w:r>
    </w:p>
    <w:p w:rsidR="0020207F" w:rsidRDefault="000C59E2">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rsidR="0020207F" w:rsidRDefault="000C59E2">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rsidR="0020207F" w:rsidRDefault="000C59E2">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r>
        <w:rPr>
          <w:rFonts w:hAnsi="宋体"/>
          <w:b/>
          <w:kern w:val="0"/>
          <w:sz w:val="24"/>
        </w:rPr>
        <w:t xml:space="preserve"> </w:t>
      </w:r>
    </w:p>
    <w:p w:rsidR="0020207F" w:rsidRDefault="000C59E2">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rsidR="0020207F" w:rsidRDefault="000C59E2">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rsidR="0020207F" w:rsidRDefault="000C59E2">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rsidR="0020207F" w:rsidRDefault="000C59E2">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r>
        <w:rPr>
          <w:rFonts w:hAnsi="宋体"/>
          <w:b/>
          <w:kern w:val="0"/>
          <w:sz w:val="24"/>
        </w:rPr>
        <w:t xml:space="preserve"> </w:t>
      </w:r>
    </w:p>
    <w:p w:rsidR="0020207F" w:rsidRDefault="000C59E2">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w:t>
      </w:r>
      <w:proofErr w:type="gramStart"/>
      <w:r>
        <w:rPr>
          <w:rFonts w:hAnsi="宋体"/>
          <w:kern w:val="0"/>
          <w:sz w:val="24"/>
        </w:rPr>
        <w:t>人客户</w:t>
      </w:r>
      <w:proofErr w:type="gramEnd"/>
      <w:r>
        <w:rPr>
          <w:rFonts w:hAnsi="宋体"/>
          <w:kern w:val="0"/>
          <w:sz w:val="24"/>
        </w:rPr>
        <w:t>服务电话</w:t>
      </w:r>
      <w:r>
        <w:rPr>
          <w:rFonts w:ascii="Times New Roman" w:hAnsi="Times New Roman"/>
          <w:kern w:val="0"/>
          <w:sz w:val="24"/>
        </w:rPr>
        <w:t>（</w:t>
      </w:r>
      <w:r>
        <w:rPr>
          <w:rFonts w:ascii="Times New Roman" w:hAnsi="Times New Roman"/>
          <w:kern w:val="0"/>
          <w:sz w:val="24"/>
        </w:rPr>
        <w:t>400-700-5000</w:t>
      </w:r>
      <w:r>
        <w:rPr>
          <w:rFonts w:ascii="Times New Roman" w:hAnsi="Times New Roman"/>
          <w:kern w:val="0"/>
          <w:sz w:val="24"/>
        </w:rPr>
        <w:t>，</w:t>
      </w:r>
      <w:r>
        <w:rPr>
          <w:rFonts w:ascii="Times New Roman" w:hAnsi="Times New Roman"/>
          <w:kern w:val="0"/>
          <w:sz w:val="24"/>
        </w:rPr>
        <w:t>021-61055000</w:t>
      </w:r>
      <w:r>
        <w:rPr>
          <w:rFonts w:ascii="Times New Roman" w:hAnsi="Times New Roman"/>
          <w:kern w:val="0"/>
          <w:sz w:val="24"/>
        </w:rPr>
        <w:t>）或登录本基金管理人网站（</w:t>
      </w:r>
      <w:r>
        <w:rPr>
          <w:rFonts w:ascii="Times New Roman" w:hAnsi="Times New Roman"/>
          <w:kern w:val="0"/>
          <w:sz w:val="24"/>
        </w:rPr>
        <w:t>www.fund001.com</w:t>
      </w:r>
      <w:r>
        <w:rPr>
          <w:rFonts w:ascii="Times New Roman" w:hAnsi="Times New Roman"/>
          <w:kern w:val="0"/>
          <w:sz w:val="24"/>
        </w:rPr>
        <w:t>）</w:t>
      </w:r>
      <w:r>
        <w:rPr>
          <w:kern w:val="0"/>
          <w:sz w:val="24"/>
        </w:rPr>
        <w:t>进</w:t>
      </w:r>
      <w:r>
        <w:rPr>
          <w:rFonts w:hAnsi="宋体"/>
          <w:kern w:val="0"/>
          <w:sz w:val="24"/>
        </w:rPr>
        <w:t>行咨询、查询。</w:t>
      </w:r>
      <w:r>
        <w:rPr>
          <w:kern w:val="0"/>
          <w:sz w:val="24"/>
        </w:rPr>
        <w:t xml:space="preserve"> </w:t>
      </w:r>
    </w:p>
    <w:p w:rsidR="0020207F" w:rsidRDefault="000C59E2">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rFonts w:ascii="Times New Roman" w:hAnsi="Times New Roman"/>
          <w:kern w:val="0"/>
          <w:sz w:val="24"/>
        </w:rPr>
        <w:t>6</w:t>
      </w:r>
      <w:r>
        <w:rPr>
          <w:rFonts w:ascii="Times New Roman" w:hAnsi="Times New Roman"/>
          <w:kern w:val="0"/>
          <w:sz w:val="24"/>
        </w:rPr>
        <w:t>位数字，不足</w:t>
      </w:r>
      <w:r>
        <w:rPr>
          <w:rFonts w:ascii="Times New Roman" w:hAnsi="Times New Roman"/>
          <w:kern w:val="0"/>
          <w:sz w:val="24"/>
        </w:rPr>
        <w:t>6</w:t>
      </w:r>
      <w:r>
        <w:rPr>
          <w:rFonts w:ascii="Times New Roman" w:hAnsi="Times New Roman"/>
          <w:kern w:val="0"/>
          <w:sz w:val="24"/>
        </w:rPr>
        <w:t>位数字的，前面加</w:t>
      </w:r>
      <w:r>
        <w:rPr>
          <w:rFonts w:ascii="Times New Roman" w:hAnsi="Times New Roman"/>
          <w:kern w:val="0"/>
          <w:sz w:val="24"/>
        </w:rPr>
        <w:t>“0”</w:t>
      </w:r>
      <w:r>
        <w:rPr>
          <w:rFonts w:ascii="宋体" w:hAnsi="宋体"/>
          <w:kern w:val="0"/>
          <w:sz w:val="24"/>
        </w:rPr>
        <w:t>补足。</w:t>
      </w:r>
      <w:r>
        <w:rPr>
          <w:rFonts w:hAnsi="宋体"/>
          <w:kern w:val="0"/>
          <w:sz w:val="24"/>
        </w:rPr>
        <w:t>基金查询密码用于投资人通过客户服务电话查询基金账户下的账户和交易信息。投资人请在其知晓基金账号后，及时拨打本基金管理</w:t>
      </w:r>
      <w:proofErr w:type="gramStart"/>
      <w:r>
        <w:rPr>
          <w:rFonts w:hAnsi="宋体"/>
          <w:kern w:val="0"/>
          <w:sz w:val="24"/>
        </w:rPr>
        <w:t>人客户</w:t>
      </w:r>
      <w:proofErr w:type="gramEnd"/>
      <w:r>
        <w:rPr>
          <w:rFonts w:hAnsi="宋体"/>
          <w:kern w:val="0"/>
          <w:sz w:val="24"/>
        </w:rPr>
        <w:t>服务电话修改基金查询密码。</w:t>
      </w:r>
      <w:r>
        <w:rPr>
          <w:kern w:val="0"/>
          <w:sz w:val="24"/>
        </w:rPr>
        <w:t xml:space="preserve"> </w:t>
      </w:r>
    </w:p>
    <w:p w:rsidR="0020207F" w:rsidRDefault="000C59E2">
      <w:pPr>
        <w:widowControl/>
        <w:adjustRightInd w:val="0"/>
        <w:snapToGrid w:val="0"/>
        <w:spacing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r>
        <w:rPr>
          <w:kern w:val="0"/>
          <w:sz w:val="24"/>
        </w:rPr>
        <w:t xml:space="preserve"> </w:t>
      </w:r>
    </w:p>
    <w:p w:rsidR="0020207F" w:rsidRDefault="000C59E2">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r>
        <w:rPr>
          <w:rFonts w:hAnsi="宋体"/>
          <w:b/>
          <w:kern w:val="0"/>
          <w:sz w:val="24"/>
        </w:rPr>
        <w:t xml:space="preserve"> </w:t>
      </w:r>
    </w:p>
    <w:p w:rsidR="0020207F" w:rsidRDefault="000C59E2">
      <w:pPr>
        <w:widowControl/>
        <w:adjustRightInd w:val="0"/>
        <w:snapToGrid w:val="0"/>
        <w:spacing w:line="360" w:lineRule="auto"/>
        <w:ind w:firstLineChars="200" w:firstLine="48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w:t>
      </w:r>
      <w:r>
        <w:rPr>
          <w:rFonts w:hint="eastAsia"/>
          <w:kern w:val="0"/>
          <w:sz w:val="24"/>
        </w:rPr>
        <w:lastRenderedPageBreak/>
        <w:t>基金默认的收益分配方式是现金分红。再投资红利按红利再投日（即除息日）除息后的基金份额净值自动转为相应类别的基金份额，并免收申购费用。</w:t>
      </w:r>
      <w:r>
        <w:rPr>
          <w:rFonts w:hint="eastAsia"/>
          <w:kern w:val="0"/>
          <w:sz w:val="24"/>
        </w:rPr>
        <w:t xml:space="preserve"> </w:t>
      </w:r>
    </w:p>
    <w:p w:rsidR="0020207F" w:rsidRDefault="000C59E2">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rsidR="0020207F" w:rsidRDefault="000C59E2">
      <w:pPr>
        <w:widowControl/>
        <w:adjustRightInd w:val="0"/>
        <w:snapToGrid w:val="0"/>
        <w:spacing w:line="360" w:lineRule="auto"/>
        <w:ind w:firstLineChars="200" w:firstLine="480"/>
        <w:rPr>
          <w:kern w:val="0"/>
          <w:sz w:val="24"/>
        </w:rPr>
      </w:pPr>
      <w:r>
        <w:rPr>
          <w:kern w:val="0"/>
          <w:sz w:val="24"/>
        </w:rPr>
        <w:t>待技术条件成熟时，基金</w:t>
      </w:r>
      <w:bookmarkStart w:id="44" w:name="OLE_LINK11"/>
      <w:r>
        <w:rPr>
          <w:kern w:val="0"/>
          <w:sz w:val="24"/>
        </w:rPr>
        <w:t>管理人可通过销售机构为投资人提供定期定额投资的服务。通过定期定额</w:t>
      </w:r>
      <w:bookmarkEnd w:id="44"/>
      <w:r>
        <w:rPr>
          <w:kern w:val="0"/>
          <w:sz w:val="24"/>
        </w:rPr>
        <w:t>投资计划，投资人可以定期定额申购基金份额，具体实施方法另行公告。</w:t>
      </w:r>
    </w:p>
    <w:p w:rsidR="0020207F" w:rsidRDefault="000C59E2">
      <w:pPr>
        <w:widowControl/>
        <w:adjustRightInd w:val="0"/>
        <w:snapToGrid w:val="0"/>
        <w:spacing w:line="360" w:lineRule="auto"/>
        <w:ind w:firstLineChars="200" w:firstLine="480"/>
        <w:rPr>
          <w:kern w:val="0"/>
          <w:sz w:val="24"/>
        </w:rPr>
      </w:pPr>
      <w:r>
        <w:rPr>
          <w:rFonts w:hAnsi="宋体"/>
          <w:kern w:val="0"/>
          <w:sz w:val="24"/>
        </w:rPr>
        <w:t>服务联系方式：</w:t>
      </w:r>
      <w:r>
        <w:rPr>
          <w:kern w:val="0"/>
          <w:sz w:val="24"/>
        </w:rPr>
        <w:t xml:space="preserve"> </w:t>
      </w:r>
    </w:p>
    <w:p w:rsidR="0020207F" w:rsidRDefault="000C59E2">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r>
        <w:rPr>
          <w:kern w:val="0"/>
          <w:sz w:val="24"/>
        </w:rPr>
        <w:t xml:space="preserve"> </w:t>
      </w:r>
    </w:p>
    <w:p w:rsidR="0020207F" w:rsidRDefault="000C59E2">
      <w:pPr>
        <w:widowControl/>
        <w:adjustRightInd w:val="0"/>
        <w:snapToGrid w:val="0"/>
        <w:spacing w:line="360" w:lineRule="auto"/>
        <w:ind w:firstLineChars="200" w:firstLine="480"/>
        <w:rPr>
          <w:rFonts w:ascii="Times New Roman" w:hAnsi="Times New Roman"/>
          <w:kern w:val="0"/>
          <w:sz w:val="24"/>
        </w:rPr>
      </w:pPr>
      <w:r>
        <w:rPr>
          <w:rFonts w:hAnsi="宋体"/>
          <w:kern w:val="0"/>
          <w:sz w:val="24"/>
        </w:rPr>
        <w:t>网址：</w:t>
      </w:r>
      <w:hyperlink r:id="rId14" w:history="1">
        <w:r>
          <w:rPr>
            <w:rFonts w:ascii="Times New Roman" w:hAnsi="Times New Roman"/>
            <w:sz w:val="24"/>
          </w:rPr>
          <w:t>www.fund001.com</w:t>
        </w:r>
      </w:hyperlink>
    </w:p>
    <w:p w:rsidR="0020207F" w:rsidRDefault="000C59E2">
      <w:pPr>
        <w:widowControl/>
        <w:adjustRightInd w:val="0"/>
        <w:snapToGrid w:val="0"/>
        <w:spacing w:line="360" w:lineRule="auto"/>
        <w:ind w:firstLineChars="200" w:firstLine="480"/>
        <w:rPr>
          <w:rFonts w:ascii="宋体" w:hAnsi="宋体"/>
          <w:kern w:val="0"/>
          <w:sz w:val="24"/>
        </w:rPr>
      </w:pPr>
      <w:r>
        <w:rPr>
          <w:rFonts w:ascii="Times New Roman" w:hAnsi="Times New Roman"/>
          <w:kern w:val="0"/>
          <w:sz w:val="24"/>
        </w:rPr>
        <w:t>电子信箱：</w:t>
      </w:r>
      <w:r>
        <w:rPr>
          <w:rFonts w:ascii="Times New Roman" w:hAnsi="Times New Roman"/>
          <w:sz w:val="24"/>
        </w:rPr>
        <w:t>services@jysld.com</w:t>
      </w:r>
    </w:p>
    <w:p w:rsidR="0020207F" w:rsidRDefault="000C59E2">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rsidR="0020207F" w:rsidRDefault="000C59E2">
      <w:pPr>
        <w:autoSpaceDE w:val="0"/>
        <w:autoSpaceDN w:val="0"/>
        <w:adjustRightInd w:val="0"/>
        <w:snapToGrid w:val="0"/>
        <w:spacing w:line="360" w:lineRule="auto"/>
        <w:ind w:firstLineChars="200" w:firstLine="482"/>
        <w:jc w:val="left"/>
        <w:rPr>
          <w:rFonts w:hAnsi="宋体"/>
          <w:b/>
          <w:kern w:val="0"/>
          <w:sz w:val="24"/>
        </w:rPr>
      </w:pPr>
      <w:r>
        <w:rPr>
          <w:rFonts w:hAnsi="宋体" w:hint="eastAsia"/>
          <w:b/>
          <w:kern w:val="0"/>
          <w:sz w:val="24"/>
        </w:rPr>
        <w:t>（六）如本招募说明书存在任何您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无法理解的内容，请通过上述方式联系基金管理人。</w:t>
      </w:r>
      <w:proofErr w:type="gramStart"/>
      <w:r>
        <w:rPr>
          <w:rFonts w:hAnsi="宋体" w:hint="eastAsia"/>
          <w:b/>
          <w:kern w:val="0"/>
          <w:sz w:val="24"/>
        </w:rPr>
        <w:t>请确保</w:t>
      </w:r>
      <w:proofErr w:type="gramEnd"/>
      <w:r>
        <w:rPr>
          <w:rFonts w:hAnsi="宋体" w:hint="eastAsia"/>
          <w:b/>
          <w:kern w:val="0"/>
          <w:sz w:val="24"/>
        </w:rPr>
        <w:t>投资前，您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已经全面理解了本招募说明书。</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45" w:name="_Toc104564205"/>
      <w:r>
        <w:rPr>
          <w:rFonts w:ascii="Times New Roman" w:hAnsi="Times New Roman"/>
          <w:sz w:val="30"/>
        </w:rPr>
        <w:lastRenderedPageBreak/>
        <w:t>二十</w:t>
      </w:r>
      <w:r>
        <w:rPr>
          <w:rFonts w:ascii="Times New Roman" w:hAnsi="Times New Roman" w:hint="eastAsia"/>
          <w:sz w:val="30"/>
        </w:rPr>
        <w:t>二</w:t>
      </w:r>
      <w:r>
        <w:rPr>
          <w:rFonts w:ascii="Times New Roman" w:hAnsi="Times New Roman"/>
          <w:sz w:val="30"/>
        </w:rPr>
        <w:t>、其他应披露事项</w:t>
      </w:r>
      <w:bookmarkEnd w:id="45"/>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20207F" w:rsidRDefault="0020207F">
      <w:pPr>
        <w:autoSpaceDE w:val="0"/>
        <w:autoSpaceDN w:val="0"/>
        <w:adjustRightInd w:val="0"/>
        <w:snapToGrid w:val="0"/>
        <w:spacing w:line="360" w:lineRule="auto"/>
        <w:ind w:firstLineChars="200" w:firstLine="420"/>
        <w:jc w:val="left"/>
        <w:rPr>
          <w:rFonts w:ascii="宋体" w:hAnsi="宋体"/>
          <w:szCs w:val="24"/>
        </w:rPr>
      </w:pPr>
    </w:p>
    <w:p w:rsidR="0020207F" w:rsidRDefault="0020207F">
      <w:pPr>
        <w:autoSpaceDE w:val="0"/>
        <w:autoSpaceDN w:val="0"/>
        <w:adjustRightInd w:val="0"/>
        <w:snapToGrid w:val="0"/>
        <w:spacing w:line="360" w:lineRule="auto"/>
        <w:ind w:firstLineChars="200" w:firstLine="420"/>
        <w:jc w:val="left"/>
        <w:rPr>
          <w:rFonts w:ascii="宋体" w:hAnsi="宋体"/>
          <w:szCs w:val="24"/>
        </w:rPr>
      </w:pP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46" w:name="_Toc104564206"/>
      <w:r>
        <w:rPr>
          <w:rFonts w:ascii="Times New Roman" w:hAnsi="Times New Roman"/>
          <w:sz w:val="30"/>
        </w:rPr>
        <w:lastRenderedPageBreak/>
        <w:t>二十</w:t>
      </w:r>
      <w:r>
        <w:rPr>
          <w:rFonts w:ascii="Times New Roman" w:hAnsi="Times New Roman" w:hint="eastAsia"/>
          <w:sz w:val="30"/>
        </w:rPr>
        <w:t>三</w:t>
      </w:r>
      <w:r>
        <w:rPr>
          <w:rFonts w:ascii="Times New Roman" w:hAnsi="Times New Roman"/>
          <w:sz w:val="30"/>
        </w:rPr>
        <w:t>、招募说明书的存放及查阅方式</w:t>
      </w:r>
      <w:bookmarkEnd w:id="46"/>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20207F" w:rsidRDefault="000C59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0207F" w:rsidRDefault="000C59E2">
      <w:pPr>
        <w:pStyle w:val="1"/>
        <w:snapToGrid w:val="0"/>
        <w:spacing w:beforeLines="0" w:before="240" w:after="240"/>
        <w:rPr>
          <w:rFonts w:ascii="宋体" w:hAnsi="宋体"/>
          <w:szCs w:val="30"/>
        </w:rPr>
      </w:pPr>
      <w:bookmarkStart w:id="47" w:name="_Toc104564207"/>
      <w:r>
        <w:rPr>
          <w:rFonts w:ascii="Times New Roman" w:hAnsi="Times New Roman"/>
          <w:sz w:val="30"/>
        </w:rPr>
        <w:lastRenderedPageBreak/>
        <w:t>二十</w:t>
      </w:r>
      <w:r>
        <w:rPr>
          <w:rFonts w:ascii="Times New Roman" w:hAnsi="Times New Roman" w:hint="eastAsia"/>
          <w:sz w:val="30"/>
        </w:rPr>
        <w:t>四</w:t>
      </w:r>
      <w:r>
        <w:rPr>
          <w:rFonts w:ascii="Times New Roman" w:hAnsi="Times New Roman"/>
          <w:sz w:val="30"/>
        </w:rPr>
        <w:t>、备查文件</w:t>
      </w:r>
      <w:bookmarkEnd w:id="47"/>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（一）中国证监会准予交银施罗德180天持有期债券型证券投资基金募集注册的文件</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（二）《交银施罗德180天持有期债券型证券投资基金基金合同》</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（三）《交银施罗德180天持有期债券型证券投资基金托管协议》</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20207F" w:rsidRDefault="000C59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（六）关于申请募集注册交银施罗德180天持有期债券型证券投资基金的法律意见书</w:t>
      </w:r>
    </w:p>
    <w:sectPr w:rsidR="0020207F">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18" w:rsidRDefault="00642A18">
      <w:r>
        <w:separator/>
      </w:r>
    </w:p>
  </w:endnote>
  <w:endnote w:type="continuationSeparator" w:id="0">
    <w:p w:rsidR="00642A18" w:rsidRDefault="0064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7F" w:rsidRDefault="000C59E2">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rsidR="0020207F" w:rsidRDefault="000C59E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44052">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" o:allowincell="f" filled="f" stroked="f">
              <v:textbox inset="0,0,0,0">
                <w:txbxContent>
                  <w:p w:rsidR="0020207F" w:rsidRDefault="000C59E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44052">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7F" w:rsidRDefault="000C59E2">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rsidR="0020207F" w:rsidRDefault="000C59E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44052">
                            <w:rPr>
                              <w:rFonts w:ascii="Times New Roman" w:hAnsi="Times New Roman"/>
                              <w:noProof/>
                              <w:kern w:val="0"/>
                              <w:sz w:val="18"/>
                              <w:szCs w:val="18"/>
                            </w:rPr>
                            <w:t>10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" o:allowincell="f" filled="f" stroked="f">
              <v:textbox inset="0,0,0,0">
                <w:txbxContent>
                  <w:p w:rsidR="0020207F" w:rsidRDefault="000C59E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44052">
                      <w:rPr>
                        <w:rFonts w:ascii="Times New Roman" w:hAnsi="Times New Roman"/>
                        <w:noProof/>
                        <w:kern w:val="0"/>
                        <w:sz w:val="18"/>
                        <w:szCs w:val="18"/>
                      </w:rPr>
                      <w:t>10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18" w:rsidRDefault="00642A18">
      <w:r>
        <w:separator/>
      </w:r>
    </w:p>
  </w:footnote>
  <w:footnote w:type="continuationSeparator" w:id="0">
    <w:p w:rsidR="00642A18" w:rsidRDefault="00642A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7F" w:rsidRDefault="000C59E2">
    <w:pPr>
      <w:pStyle w:val="ab"/>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rsidR="0020207F" w:rsidRDefault="000C59E2">
    <w:pPr>
      <w:pStyle w:val="ab"/>
      <w:jc w:val="right"/>
      <w:rPr>
        <w:rFonts w:ascii="宋体" w:hAnsi="宋体"/>
      </w:rPr>
    </w:pPr>
    <w:r>
      <w:rPr>
        <w:rFonts w:ascii="宋体" w:hAnsi="宋体" w:hint="eastAsia"/>
      </w:rPr>
      <w:t>交银施罗德</w:t>
    </w:r>
    <w:proofErr w:type="gramStart"/>
    <w:r>
      <w:rPr>
        <w:rFonts w:ascii="宋体" w:hAnsi="宋体" w:hint="eastAsia"/>
      </w:rPr>
      <w:t>稳益短</w:t>
    </w:r>
    <w:proofErr w:type="gramEnd"/>
    <w:r>
      <w:rPr>
        <w:rFonts w:ascii="宋体" w:hAnsi="宋体" w:hint="eastAsia"/>
      </w:rPr>
      <w:t>债债券型证券投资基金(更新)招募说明书(2021年第2号)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7F" w:rsidRDefault="0020207F">
    <w:pPr>
      <w:pStyle w:val="11"/>
      <w:jc w:val="right"/>
    </w:pPr>
  </w:p>
  <w:p w:rsidR="0020207F" w:rsidRDefault="0020207F">
    <w:pPr>
      <w:pStyle w:val="11"/>
      <w:jc w:val="right"/>
    </w:pPr>
  </w:p>
  <w:p w:rsidR="0020207F" w:rsidRDefault="0020207F">
    <w:pPr>
      <w:pStyle w:val="ab"/>
      <w:jc w:val="right"/>
    </w:pPr>
  </w:p>
  <w:p w:rsidR="0020207F" w:rsidRDefault="000C59E2">
    <w:pPr>
      <w:pStyle w:val="ab"/>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rsidR="0020207F" w:rsidRDefault="000C59E2">
    <w:pPr>
      <w:pStyle w:val="ab"/>
      <w:wordWrap w:val="0"/>
      <w:jc w:val="right"/>
      <w:rPr>
        <w:rFonts w:ascii="宋体" w:hAnsi="宋体"/>
      </w:rPr>
    </w:pPr>
    <w:r>
      <w:rPr>
        <w:rFonts w:ascii="宋体" w:hAnsi="宋体" w:hint="eastAsia"/>
      </w:rPr>
      <w:t>交银施罗德180天</w:t>
    </w:r>
    <w:r>
      <w:rPr>
        <w:rFonts w:ascii="宋体" w:hAnsi="宋体"/>
      </w:rPr>
      <w:t>持有期</w:t>
    </w:r>
    <w:r>
      <w:rPr>
        <w:rFonts w:ascii="宋体" w:hAnsi="宋体" w:hint="eastAsia"/>
      </w:rPr>
      <w:t>债券型证券投资基金招募说明书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7F" w:rsidRDefault="0020207F">
    <w:pPr>
      <w:pStyle w:val="ab"/>
      <w:jc w:val="right"/>
    </w:pPr>
  </w:p>
  <w:p w:rsidR="0020207F" w:rsidRDefault="0020207F">
    <w:pPr>
      <w:pStyle w:val="ab"/>
      <w:jc w:val="right"/>
    </w:pPr>
  </w:p>
  <w:p w:rsidR="0020207F" w:rsidRDefault="0020207F">
    <w:pPr>
      <w:pStyle w:val="ab"/>
      <w:jc w:val="right"/>
    </w:pPr>
  </w:p>
  <w:p w:rsidR="0020207F" w:rsidRDefault="000C59E2">
    <w:pPr>
      <w:pStyle w:val="ab"/>
      <w:jc w:val="right"/>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7620</wp:posOffset>
          </wp:positionV>
          <wp:extent cx="1714500" cy="238125"/>
          <wp:effectExtent l="0" t="0" r="0" b="9525"/>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rsidR="0020207F" w:rsidRDefault="000C59E2">
    <w:pPr>
      <w:pStyle w:val="ab"/>
      <w:jc w:val="right"/>
      <w:rPr>
        <w:rFonts w:ascii="宋体" w:hAnsi="宋体"/>
      </w:rPr>
    </w:pPr>
    <w:r>
      <w:rPr>
        <w:rFonts w:ascii="宋体" w:hAnsi="宋体" w:hint="eastAsia"/>
      </w:rPr>
      <w:t>交银施罗德180天持有期债券型证券投资基金招募说明书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6709"/>
    <w:rsid w:val="0000754E"/>
    <w:rsid w:val="0001266E"/>
    <w:rsid w:val="00012FF2"/>
    <w:rsid w:val="00017358"/>
    <w:rsid w:val="000201D6"/>
    <w:rsid w:val="00021FDD"/>
    <w:rsid w:val="00022A58"/>
    <w:rsid w:val="00026A29"/>
    <w:rsid w:val="00026D00"/>
    <w:rsid w:val="00027C73"/>
    <w:rsid w:val="00027FD0"/>
    <w:rsid w:val="00030964"/>
    <w:rsid w:val="00030B79"/>
    <w:rsid w:val="00030F3E"/>
    <w:rsid w:val="00032680"/>
    <w:rsid w:val="00034BFD"/>
    <w:rsid w:val="000368A2"/>
    <w:rsid w:val="00041796"/>
    <w:rsid w:val="00043E25"/>
    <w:rsid w:val="00044AFD"/>
    <w:rsid w:val="00044E2C"/>
    <w:rsid w:val="0004532C"/>
    <w:rsid w:val="000457B7"/>
    <w:rsid w:val="000458DB"/>
    <w:rsid w:val="0004614E"/>
    <w:rsid w:val="00046212"/>
    <w:rsid w:val="000500B8"/>
    <w:rsid w:val="00050606"/>
    <w:rsid w:val="000506ED"/>
    <w:rsid w:val="00050B7E"/>
    <w:rsid w:val="00051DDC"/>
    <w:rsid w:val="000543D5"/>
    <w:rsid w:val="00055792"/>
    <w:rsid w:val="00055F52"/>
    <w:rsid w:val="00061C0D"/>
    <w:rsid w:val="0006212F"/>
    <w:rsid w:val="0006220F"/>
    <w:rsid w:val="000647B8"/>
    <w:rsid w:val="00064969"/>
    <w:rsid w:val="0006506B"/>
    <w:rsid w:val="0006551A"/>
    <w:rsid w:val="000700AC"/>
    <w:rsid w:val="000705A6"/>
    <w:rsid w:val="00070DEA"/>
    <w:rsid w:val="00073CD3"/>
    <w:rsid w:val="0007638A"/>
    <w:rsid w:val="00076778"/>
    <w:rsid w:val="00076B6E"/>
    <w:rsid w:val="000773AA"/>
    <w:rsid w:val="0008113A"/>
    <w:rsid w:val="000816EA"/>
    <w:rsid w:val="00081744"/>
    <w:rsid w:val="000828CE"/>
    <w:rsid w:val="000833CB"/>
    <w:rsid w:val="00083491"/>
    <w:rsid w:val="00083B68"/>
    <w:rsid w:val="00084078"/>
    <w:rsid w:val="000843B3"/>
    <w:rsid w:val="000869C2"/>
    <w:rsid w:val="00087F4C"/>
    <w:rsid w:val="00090204"/>
    <w:rsid w:val="000905B7"/>
    <w:rsid w:val="00090648"/>
    <w:rsid w:val="00093546"/>
    <w:rsid w:val="00094253"/>
    <w:rsid w:val="00095030"/>
    <w:rsid w:val="000A01A0"/>
    <w:rsid w:val="000A352B"/>
    <w:rsid w:val="000A5D8F"/>
    <w:rsid w:val="000B0F8B"/>
    <w:rsid w:val="000B1864"/>
    <w:rsid w:val="000B248C"/>
    <w:rsid w:val="000B359E"/>
    <w:rsid w:val="000B3894"/>
    <w:rsid w:val="000B4E04"/>
    <w:rsid w:val="000C1E1E"/>
    <w:rsid w:val="000C38F1"/>
    <w:rsid w:val="000C59E2"/>
    <w:rsid w:val="000C5E77"/>
    <w:rsid w:val="000C68E9"/>
    <w:rsid w:val="000D0085"/>
    <w:rsid w:val="000D0ADE"/>
    <w:rsid w:val="000D0F50"/>
    <w:rsid w:val="000D179E"/>
    <w:rsid w:val="000D5F71"/>
    <w:rsid w:val="000D66DC"/>
    <w:rsid w:val="000D6A99"/>
    <w:rsid w:val="000E1F3B"/>
    <w:rsid w:val="000E3AB4"/>
    <w:rsid w:val="000E5B9A"/>
    <w:rsid w:val="000E5D83"/>
    <w:rsid w:val="000E7113"/>
    <w:rsid w:val="000E7544"/>
    <w:rsid w:val="000F0C17"/>
    <w:rsid w:val="000F2904"/>
    <w:rsid w:val="000F34A1"/>
    <w:rsid w:val="000F5226"/>
    <w:rsid w:val="000F5583"/>
    <w:rsid w:val="000F6050"/>
    <w:rsid w:val="000F66FF"/>
    <w:rsid w:val="000F6833"/>
    <w:rsid w:val="000F698D"/>
    <w:rsid w:val="000F75F7"/>
    <w:rsid w:val="000F7D42"/>
    <w:rsid w:val="00100674"/>
    <w:rsid w:val="001008A5"/>
    <w:rsid w:val="00100C86"/>
    <w:rsid w:val="001042B5"/>
    <w:rsid w:val="001054B1"/>
    <w:rsid w:val="0011339C"/>
    <w:rsid w:val="001135B0"/>
    <w:rsid w:val="00113FAA"/>
    <w:rsid w:val="00115AE5"/>
    <w:rsid w:val="00116489"/>
    <w:rsid w:val="0011648B"/>
    <w:rsid w:val="001166C1"/>
    <w:rsid w:val="00116874"/>
    <w:rsid w:val="001177A3"/>
    <w:rsid w:val="00122BC3"/>
    <w:rsid w:val="001240EB"/>
    <w:rsid w:val="0012443D"/>
    <w:rsid w:val="00127053"/>
    <w:rsid w:val="00130B5E"/>
    <w:rsid w:val="001316F7"/>
    <w:rsid w:val="0013182D"/>
    <w:rsid w:val="0013199C"/>
    <w:rsid w:val="00131CEE"/>
    <w:rsid w:val="00133086"/>
    <w:rsid w:val="0013315B"/>
    <w:rsid w:val="00134FCF"/>
    <w:rsid w:val="00135AD8"/>
    <w:rsid w:val="0013630D"/>
    <w:rsid w:val="001367F2"/>
    <w:rsid w:val="001402DA"/>
    <w:rsid w:val="001412E8"/>
    <w:rsid w:val="0014250F"/>
    <w:rsid w:val="001432CF"/>
    <w:rsid w:val="00144B52"/>
    <w:rsid w:val="00145527"/>
    <w:rsid w:val="001457F7"/>
    <w:rsid w:val="00151749"/>
    <w:rsid w:val="001536D7"/>
    <w:rsid w:val="00153D66"/>
    <w:rsid w:val="001566CA"/>
    <w:rsid w:val="0015725E"/>
    <w:rsid w:val="00162E65"/>
    <w:rsid w:val="00162F69"/>
    <w:rsid w:val="00164946"/>
    <w:rsid w:val="0016545C"/>
    <w:rsid w:val="00165756"/>
    <w:rsid w:val="00166524"/>
    <w:rsid w:val="00171725"/>
    <w:rsid w:val="0017362C"/>
    <w:rsid w:val="0017392F"/>
    <w:rsid w:val="00174FFF"/>
    <w:rsid w:val="00180B9E"/>
    <w:rsid w:val="0018184C"/>
    <w:rsid w:val="0018198F"/>
    <w:rsid w:val="00181C62"/>
    <w:rsid w:val="00181DE8"/>
    <w:rsid w:val="001824B1"/>
    <w:rsid w:val="00183642"/>
    <w:rsid w:val="001860C4"/>
    <w:rsid w:val="00186FAE"/>
    <w:rsid w:val="001917D4"/>
    <w:rsid w:val="001917FC"/>
    <w:rsid w:val="00191CB0"/>
    <w:rsid w:val="00191D7F"/>
    <w:rsid w:val="00192193"/>
    <w:rsid w:val="001925A2"/>
    <w:rsid w:val="00193A69"/>
    <w:rsid w:val="00194E1D"/>
    <w:rsid w:val="00195218"/>
    <w:rsid w:val="00195292"/>
    <w:rsid w:val="00197A55"/>
    <w:rsid w:val="00197F7E"/>
    <w:rsid w:val="001A0A18"/>
    <w:rsid w:val="001A1034"/>
    <w:rsid w:val="001A1623"/>
    <w:rsid w:val="001A2263"/>
    <w:rsid w:val="001A25DB"/>
    <w:rsid w:val="001B1DD1"/>
    <w:rsid w:val="001B4531"/>
    <w:rsid w:val="001B5BDB"/>
    <w:rsid w:val="001B6974"/>
    <w:rsid w:val="001B75F9"/>
    <w:rsid w:val="001C2B9E"/>
    <w:rsid w:val="001C38DA"/>
    <w:rsid w:val="001C7A48"/>
    <w:rsid w:val="001C7C12"/>
    <w:rsid w:val="001D029E"/>
    <w:rsid w:val="001D2797"/>
    <w:rsid w:val="001D2B67"/>
    <w:rsid w:val="001D3730"/>
    <w:rsid w:val="001D4727"/>
    <w:rsid w:val="001D5665"/>
    <w:rsid w:val="001D61DC"/>
    <w:rsid w:val="001D6377"/>
    <w:rsid w:val="001D68A8"/>
    <w:rsid w:val="001D6B88"/>
    <w:rsid w:val="001D6C5F"/>
    <w:rsid w:val="001D738C"/>
    <w:rsid w:val="001D7ECC"/>
    <w:rsid w:val="001E144C"/>
    <w:rsid w:val="001E25FD"/>
    <w:rsid w:val="001E2A4F"/>
    <w:rsid w:val="001E3F8F"/>
    <w:rsid w:val="001E5250"/>
    <w:rsid w:val="001F33EB"/>
    <w:rsid w:val="001F3AFD"/>
    <w:rsid w:val="001F3F49"/>
    <w:rsid w:val="001F4DEA"/>
    <w:rsid w:val="001F4ECB"/>
    <w:rsid w:val="001F4EE3"/>
    <w:rsid w:val="001F7353"/>
    <w:rsid w:val="00201F27"/>
    <w:rsid w:val="00201F9B"/>
    <w:rsid w:val="0020207F"/>
    <w:rsid w:val="00203597"/>
    <w:rsid w:val="002036CE"/>
    <w:rsid w:val="002039A1"/>
    <w:rsid w:val="00207303"/>
    <w:rsid w:val="002076AC"/>
    <w:rsid w:val="00212B27"/>
    <w:rsid w:val="00212BBA"/>
    <w:rsid w:val="0021469C"/>
    <w:rsid w:val="00215523"/>
    <w:rsid w:val="00216962"/>
    <w:rsid w:val="00217CA4"/>
    <w:rsid w:val="00217E59"/>
    <w:rsid w:val="00221112"/>
    <w:rsid w:val="00221489"/>
    <w:rsid w:val="00221A1B"/>
    <w:rsid w:val="002220A4"/>
    <w:rsid w:val="00223C19"/>
    <w:rsid w:val="00224421"/>
    <w:rsid w:val="00226503"/>
    <w:rsid w:val="00226A60"/>
    <w:rsid w:val="002276C7"/>
    <w:rsid w:val="00227D20"/>
    <w:rsid w:val="00230197"/>
    <w:rsid w:val="00230616"/>
    <w:rsid w:val="002308B4"/>
    <w:rsid w:val="00231A62"/>
    <w:rsid w:val="002346BD"/>
    <w:rsid w:val="0023578C"/>
    <w:rsid w:val="00235AC5"/>
    <w:rsid w:val="002377E0"/>
    <w:rsid w:val="00240BB6"/>
    <w:rsid w:val="002410A9"/>
    <w:rsid w:val="002432CA"/>
    <w:rsid w:val="00243D40"/>
    <w:rsid w:val="00243E99"/>
    <w:rsid w:val="0024455A"/>
    <w:rsid w:val="00245250"/>
    <w:rsid w:val="0024756E"/>
    <w:rsid w:val="002477CB"/>
    <w:rsid w:val="00247BF6"/>
    <w:rsid w:val="00250A33"/>
    <w:rsid w:val="00251126"/>
    <w:rsid w:val="002524D2"/>
    <w:rsid w:val="00252802"/>
    <w:rsid w:val="00260280"/>
    <w:rsid w:val="0026100B"/>
    <w:rsid w:val="00261A50"/>
    <w:rsid w:val="00261E1C"/>
    <w:rsid w:val="002634C3"/>
    <w:rsid w:val="00263FEA"/>
    <w:rsid w:val="0026530A"/>
    <w:rsid w:val="00265421"/>
    <w:rsid w:val="00265B3A"/>
    <w:rsid w:val="002702CD"/>
    <w:rsid w:val="0027052E"/>
    <w:rsid w:val="00271E9D"/>
    <w:rsid w:val="00271F7D"/>
    <w:rsid w:val="00274E85"/>
    <w:rsid w:val="0027595C"/>
    <w:rsid w:val="002777F6"/>
    <w:rsid w:val="00277907"/>
    <w:rsid w:val="00277928"/>
    <w:rsid w:val="00280C42"/>
    <w:rsid w:val="00281B73"/>
    <w:rsid w:val="00282183"/>
    <w:rsid w:val="002833C9"/>
    <w:rsid w:val="00285E5C"/>
    <w:rsid w:val="00287524"/>
    <w:rsid w:val="00290B63"/>
    <w:rsid w:val="00290E73"/>
    <w:rsid w:val="00293415"/>
    <w:rsid w:val="00293993"/>
    <w:rsid w:val="00294689"/>
    <w:rsid w:val="00294D0E"/>
    <w:rsid w:val="0029539A"/>
    <w:rsid w:val="002A017E"/>
    <w:rsid w:val="002A1A82"/>
    <w:rsid w:val="002A20D9"/>
    <w:rsid w:val="002A2FB0"/>
    <w:rsid w:val="002A4D32"/>
    <w:rsid w:val="002A5F87"/>
    <w:rsid w:val="002A6C60"/>
    <w:rsid w:val="002A7147"/>
    <w:rsid w:val="002B017B"/>
    <w:rsid w:val="002B0DC0"/>
    <w:rsid w:val="002B2664"/>
    <w:rsid w:val="002B31C6"/>
    <w:rsid w:val="002B3A2E"/>
    <w:rsid w:val="002B4E21"/>
    <w:rsid w:val="002B5000"/>
    <w:rsid w:val="002B57A1"/>
    <w:rsid w:val="002B78AA"/>
    <w:rsid w:val="002C0E23"/>
    <w:rsid w:val="002C383C"/>
    <w:rsid w:val="002C5795"/>
    <w:rsid w:val="002D15BB"/>
    <w:rsid w:val="002D1C13"/>
    <w:rsid w:val="002D1FEB"/>
    <w:rsid w:val="002D3109"/>
    <w:rsid w:val="002D378C"/>
    <w:rsid w:val="002D6413"/>
    <w:rsid w:val="002D6F14"/>
    <w:rsid w:val="002D74D5"/>
    <w:rsid w:val="002E4922"/>
    <w:rsid w:val="002E4B2C"/>
    <w:rsid w:val="002E5261"/>
    <w:rsid w:val="002E5ACE"/>
    <w:rsid w:val="002F00BB"/>
    <w:rsid w:val="002F0EAD"/>
    <w:rsid w:val="002F1B5B"/>
    <w:rsid w:val="002F1DE7"/>
    <w:rsid w:val="002F2627"/>
    <w:rsid w:val="002F2748"/>
    <w:rsid w:val="002F33CD"/>
    <w:rsid w:val="002F6445"/>
    <w:rsid w:val="002F64F8"/>
    <w:rsid w:val="002F6580"/>
    <w:rsid w:val="002F6DE8"/>
    <w:rsid w:val="002F74D8"/>
    <w:rsid w:val="002F7BBE"/>
    <w:rsid w:val="002F7C72"/>
    <w:rsid w:val="002F7EDC"/>
    <w:rsid w:val="003003A8"/>
    <w:rsid w:val="0030091B"/>
    <w:rsid w:val="00301E62"/>
    <w:rsid w:val="00302CA5"/>
    <w:rsid w:val="00304063"/>
    <w:rsid w:val="00304BE6"/>
    <w:rsid w:val="0030527D"/>
    <w:rsid w:val="0030555F"/>
    <w:rsid w:val="00305A3B"/>
    <w:rsid w:val="00305BB4"/>
    <w:rsid w:val="0030645F"/>
    <w:rsid w:val="003073D4"/>
    <w:rsid w:val="00307E81"/>
    <w:rsid w:val="003117B9"/>
    <w:rsid w:val="00311C71"/>
    <w:rsid w:val="00313073"/>
    <w:rsid w:val="0031336C"/>
    <w:rsid w:val="0031339F"/>
    <w:rsid w:val="00313F3E"/>
    <w:rsid w:val="003154CC"/>
    <w:rsid w:val="0032131C"/>
    <w:rsid w:val="00323F65"/>
    <w:rsid w:val="0032418D"/>
    <w:rsid w:val="00324A27"/>
    <w:rsid w:val="00326147"/>
    <w:rsid w:val="00326AB2"/>
    <w:rsid w:val="00330064"/>
    <w:rsid w:val="0033051E"/>
    <w:rsid w:val="0033401D"/>
    <w:rsid w:val="00334456"/>
    <w:rsid w:val="00336150"/>
    <w:rsid w:val="0033673B"/>
    <w:rsid w:val="00336E99"/>
    <w:rsid w:val="00340692"/>
    <w:rsid w:val="00342417"/>
    <w:rsid w:val="003434B8"/>
    <w:rsid w:val="003452BA"/>
    <w:rsid w:val="003454EC"/>
    <w:rsid w:val="00346537"/>
    <w:rsid w:val="00347B94"/>
    <w:rsid w:val="003527DD"/>
    <w:rsid w:val="003547A2"/>
    <w:rsid w:val="00355171"/>
    <w:rsid w:val="00357FF2"/>
    <w:rsid w:val="003609D7"/>
    <w:rsid w:val="00362702"/>
    <w:rsid w:val="00362A37"/>
    <w:rsid w:val="00362CF0"/>
    <w:rsid w:val="00362D5D"/>
    <w:rsid w:val="00363DC7"/>
    <w:rsid w:val="00364AC5"/>
    <w:rsid w:val="00365D15"/>
    <w:rsid w:val="0036702F"/>
    <w:rsid w:val="00367C56"/>
    <w:rsid w:val="00367F3A"/>
    <w:rsid w:val="00370BDF"/>
    <w:rsid w:val="00371449"/>
    <w:rsid w:val="00372280"/>
    <w:rsid w:val="00372FA2"/>
    <w:rsid w:val="003735E9"/>
    <w:rsid w:val="0037379E"/>
    <w:rsid w:val="003739FE"/>
    <w:rsid w:val="003749D5"/>
    <w:rsid w:val="003752D3"/>
    <w:rsid w:val="0037572E"/>
    <w:rsid w:val="00377B7C"/>
    <w:rsid w:val="00380705"/>
    <w:rsid w:val="00381286"/>
    <w:rsid w:val="0038254F"/>
    <w:rsid w:val="003828EC"/>
    <w:rsid w:val="00382C41"/>
    <w:rsid w:val="00382F1A"/>
    <w:rsid w:val="00383488"/>
    <w:rsid w:val="003843BB"/>
    <w:rsid w:val="00384656"/>
    <w:rsid w:val="003859DA"/>
    <w:rsid w:val="00386153"/>
    <w:rsid w:val="00386BA7"/>
    <w:rsid w:val="00390B48"/>
    <w:rsid w:val="0039213A"/>
    <w:rsid w:val="00393BF6"/>
    <w:rsid w:val="00395D4D"/>
    <w:rsid w:val="00396D64"/>
    <w:rsid w:val="00397A06"/>
    <w:rsid w:val="003A0FAF"/>
    <w:rsid w:val="003A2824"/>
    <w:rsid w:val="003A2895"/>
    <w:rsid w:val="003A3060"/>
    <w:rsid w:val="003A38BD"/>
    <w:rsid w:val="003A38C8"/>
    <w:rsid w:val="003A6045"/>
    <w:rsid w:val="003A72D0"/>
    <w:rsid w:val="003B22FD"/>
    <w:rsid w:val="003B23F7"/>
    <w:rsid w:val="003B3004"/>
    <w:rsid w:val="003B3680"/>
    <w:rsid w:val="003B3A47"/>
    <w:rsid w:val="003B4168"/>
    <w:rsid w:val="003B42FF"/>
    <w:rsid w:val="003B4C59"/>
    <w:rsid w:val="003B62D2"/>
    <w:rsid w:val="003B66A3"/>
    <w:rsid w:val="003C27F7"/>
    <w:rsid w:val="003C422B"/>
    <w:rsid w:val="003C62C1"/>
    <w:rsid w:val="003C67E2"/>
    <w:rsid w:val="003C6FA4"/>
    <w:rsid w:val="003D0B3E"/>
    <w:rsid w:val="003D2352"/>
    <w:rsid w:val="003D2B49"/>
    <w:rsid w:val="003D36B3"/>
    <w:rsid w:val="003D3863"/>
    <w:rsid w:val="003D3D0A"/>
    <w:rsid w:val="003D439A"/>
    <w:rsid w:val="003D7397"/>
    <w:rsid w:val="003E03DA"/>
    <w:rsid w:val="003E0800"/>
    <w:rsid w:val="003E1584"/>
    <w:rsid w:val="003E33DE"/>
    <w:rsid w:val="003E3593"/>
    <w:rsid w:val="003E585F"/>
    <w:rsid w:val="003E586E"/>
    <w:rsid w:val="003E595D"/>
    <w:rsid w:val="003E6049"/>
    <w:rsid w:val="003E67F9"/>
    <w:rsid w:val="003E76FD"/>
    <w:rsid w:val="003F0D27"/>
    <w:rsid w:val="003F1C98"/>
    <w:rsid w:val="003F2D96"/>
    <w:rsid w:val="003F317C"/>
    <w:rsid w:val="003F4813"/>
    <w:rsid w:val="003F5FCB"/>
    <w:rsid w:val="00400D29"/>
    <w:rsid w:val="00403EE4"/>
    <w:rsid w:val="00406384"/>
    <w:rsid w:val="00406654"/>
    <w:rsid w:val="00406F61"/>
    <w:rsid w:val="0041100B"/>
    <w:rsid w:val="004114F3"/>
    <w:rsid w:val="00412894"/>
    <w:rsid w:val="004130C3"/>
    <w:rsid w:val="00413E71"/>
    <w:rsid w:val="00414BE8"/>
    <w:rsid w:val="00416271"/>
    <w:rsid w:val="00417180"/>
    <w:rsid w:val="0041787F"/>
    <w:rsid w:val="00421363"/>
    <w:rsid w:val="00421921"/>
    <w:rsid w:val="00422100"/>
    <w:rsid w:val="00422E73"/>
    <w:rsid w:val="004254D3"/>
    <w:rsid w:val="00425687"/>
    <w:rsid w:val="0042581A"/>
    <w:rsid w:val="004264C9"/>
    <w:rsid w:val="0042746B"/>
    <w:rsid w:val="00432AAC"/>
    <w:rsid w:val="00433B69"/>
    <w:rsid w:val="004369AD"/>
    <w:rsid w:val="00436DD6"/>
    <w:rsid w:val="004403DF"/>
    <w:rsid w:val="00442492"/>
    <w:rsid w:val="004425C1"/>
    <w:rsid w:val="00444FB7"/>
    <w:rsid w:val="00450674"/>
    <w:rsid w:val="004533FE"/>
    <w:rsid w:val="00454715"/>
    <w:rsid w:val="00454D80"/>
    <w:rsid w:val="00456785"/>
    <w:rsid w:val="00460002"/>
    <w:rsid w:val="00462D1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9241C"/>
    <w:rsid w:val="0049738E"/>
    <w:rsid w:val="004A02DE"/>
    <w:rsid w:val="004A084F"/>
    <w:rsid w:val="004A177B"/>
    <w:rsid w:val="004A1FA1"/>
    <w:rsid w:val="004A3225"/>
    <w:rsid w:val="004A3D01"/>
    <w:rsid w:val="004A3F90"/>
    <w:rsid w:val="004A5F59"/>
    <w:rsid w:val="004A6F1F"/>
    <w:rsid w:val="004B0D7F"/>
    <w:rsid w:val="004B17D8"/>
    <w:rsid w:val="004B2323"/>
    <w:rsid w:val="004B2F59"/>
    <w:rsid w:val="004B6034"/>
    <w:rsid w:val="004B6078"/>
    <w:rsid w:val="004B62C3"/>
    <w:rsid w:val="004B7541"/>
    <w:rsid w:val="004C0BC8"/>
    <w:rsid w:val="004C461A"/>
    <w:rsid w:val="004C7D23"/>
    <w:rsid w:val="004D0634"/>
    <w:rsid w:val="004D0783"/>
    <w:rsid w:val="004D0CB5"/>
    <w:rsid w:val="004D11CB"/>
    <w:rsid w:val="004D282C"/>
    <w:rsid w:val="004D2DFB"/>
    <w:rsid w:val="004D49E3"/>
    <w:rsid w:val="004D4A3A"/>
    <w:rsid w:val="004D7163"/>
    <w:rsid w:val="004E0366"/>
    <w:rsid w:val="004E1C30"/>
    <w:rsid w:val="004E3342"/>
    <w:rsid w:val="004E45AC"/>
    <w:rsid w:val="004E4672"/>
    <w:rsid w:val="004E5593"/>
    <w:rsid w:val="004E7A1E"/>
    <w:rsid w:val="004E7C76"/>
    <w:rsid w:val="004E7F1A"/>
    <w:rsid w:val="004F0352"/>
    <w:rsid w:val="004F0740"/>
    <w:rsid w:val="004F364F"/>
    <w:rsid w:val="004F3EE8"/>
    <w:rsid w:val="004F415D"/>
    <w:rsid w:val="004F4980"/>
    <w:rsid w:val="004F66F4"/>
    <w:rsid w:val="004F6A82"/>
    <w:rsid w:val="004F7710"/>
    <w:rsid w:val="004F772C"/>
    <w:rsid w:val="00502A45"/>
    <w:rsid w:val="00502E61"/>
    <w:rsid w:val="005042C1"/>
    <w:rsid w:val="0050542C"/>
    <w:rsid w:val="005061DB"/>
    <w:rsid w:val="00506741"/>
    <w:rsid w:val="0050699B"/>
    <w:rsid w:val="00506BF6"/>
    <w:rsid w:val="00510189"/>
    <w:rsid w:val="00512DC1"/>
    <w:rsid w:val="00514C6B"/>
    <w:rsid w:val="00516153"/>
    <w:rsid w:val="005161EC"/>
    <w:rsid w:val="00516F42"/>
    <w:rsid w:val="0051709F"/>
    <w:rsid w:val="005175EB"/>
    <w:rsid w:val="005179C8"/>
    <w:rsid w:val="00520FB4"/>
    <w:rsid w:val="00521A18"/>
    <w:rsid w:val="00522079"/>
    <w:rsid w:val="00522622"/>
    <w:rsid w:val="0052450E"/>
    <w:rsid w:val="00524B12"/>
    <w:rsid w:val="005251FF"/>
    <w:rsid w:val="00525410"/>
    <w:rsid w:val="00527CD0"/>
    <w:rsid w:val="0053046C"/>
    <w:rsid w:val="00530703"/>
    <w:rsid w:val="00530763"/>
    <w:rsid w:val="00534EFD"/>
    <w:rsid w:val="005362F2"/>
    <w:rsid w:val="00541A1B"/>
    <w:rsid w:val="00543B42"/>
    <w:rsid w:val="00543EAF"/>
    <w:rsid w:val="0054651A"/>
    <w:rsid w:val="00546EA9"/>
    <w:rsid w:val="005474CD"/>
    <w:rsid w:val="00547D7E"/>
    <w:rsid w:val="005501B7"/>
    <w:rsid w:val="005505C1"/>
    <w:rsid w:val="0055152E"/>
    <w:rsid w:val="00552094"/>
    <w:rsid w:val="00553D73"/>
    <w:rsid w:val="00553DFA"/>
    <w:rsid w:val="00554BAF"/>
    <w:rsid w:val="00555702"/>
    <w:rsid w:val="00555A15"/>
    <w:rsid w:val="00556291"/>
    <w:rsid w:val="005569E4"/>
    <w:rsid w:val="00560E11"/>
    <w:rsid w:val="00561147"/>
    <w:rsid w:val="00561463"/>
    <w:rsid w:val="00561F8F"/>
    <w:rsid w:val="00563A0E"/>
    <w:rsid w:val="005647D0"/>
    <w:rsid w:val="005659E3"/>
    <w:rsid w:val="0056766D"/>
    <w:rsid w:val="005718D8"/>
    <w:rsid w:val="00573637"/>
    <w:rsid w:val="00574C59"/>
    <w:rsid w:val="00575771"/>
    <w:rsid w:val="00576CE2"/>
    <w:rsid w:val="005770AC"/>
    <w:rsid w:val="00577C1A"/>
    <w:rsid w:val="00577FAA"/>
    <w:rsid w:val="0058041D"/>
    <w:rsid w:val="005826AA"/>
    <w:rsid w:val="00583CE7"/>
    <w:rsid w:val="005850DE"/>
    <w:rsid w:val="00585674"/>
    <w:rsid w:val="005856E9"/>
    <w:rsid w:val="005867BB"/>
    <w:rsid w:val="00587452"/>
    <w:rsid w:val="00587F1F"/>
    <w:rsid w:val="00591C2A"/>
    <w:rsid w:val="00592461"/>
    <w:rsid w:val="00592539"/>
    <w:rsid w:val="00596A05"/>
    <w:rsid w:val="00596D6D"/>
    <w:rsid w:val="00597284"/>
    <w:rsid w:val="00597F8F"/>
    <w:rsid w:val="005A12E4"/>
    <w:rsid w:val="005A1EA2"/>
    <w:rsid w:val="005A2467"/>
    <w:rsid w:val="005A300D"/>
    <w:rsid w:val="005A4CCC"/>
    <w:rsid w:val="005A5858"/>
    <w:rsid w:val="005A6E51"/>
    <w:rsid w:val="005A7749"/>
    <w:rsid w:val="005A7C7F"/>
    <w:rsid w:val="005A7D88"/>
    <w:rsid w:val="005B130C"/>
    <w:rsid w:val="005B14FF"/>
    <w:rsid w:val="005B3B71"/>
    <w:rsid w:val="005B4B1B"/>
    <w:rsid w:val="005B4F0F"/>
    <w:rsid w:val="005B58F0"/>
    <w:rsid w:val="005C022E"/>
    <w:rsid w:val="005C0E62"/>
    <w:rsid w:val="005C0F5B"/>
    <w:rsid w:val="005C1FC5"/>
    <w:rsid w:val="005C2E15"/>
    <w:rsid w:val="005C403B"/>
    <w:rsid w:val="005C4908"/>
    <w:rsid w:val="005C63CB"/>
    <w:rsid w:val="005D0AA6"/>
    <w:rsid w:val="005D165F"/>
    <w:rsid w:val="005D21F3"/>
    <w:rsid w:val="005D242B"/>
    <w:rsid w:val="005D3CF8"/>
    <w:rsid w:val="005D5D89"/>
    <w:rsid w:val="005E0D2D"/>
    <w:rsid w:val="005E18B6"/>
    <w:rsid w:val="005E195B"/>
    <w:rsid w:val="005E39D0"/>
    <w:rsid w:val="005E3FB6"/>
    <w:rsid w:val="005E4E33"/>
    <w:rsid w:val="005E6A00"/>
    <w:rsid w:val="005E6B29"/>
    <w:rsid w:val="005F4583"/>
    <w:rsid w:val="005F4ABB"/>
    <w:rsid w:val="005F6066"/>
    <w:rsid w:val="005F6562"/>
    <w:rsid w:val="005F6C6D"/>
    <w:rsid w:val="005F6F09"/>
    <w:rsid w:val="005F787A"/>
    <w:rsid w:val="0060002A"/>
    <w:rsid w:val="006019C7"/>
    <w:rsid w:val="00601E7B"/>
    <w:rsid w:val="00601EBC"/>
    <w:rsid w:val="00602D32"/>
    <w:rsid w:val="00603A84"/>
    <w:rsid w:val="006067DC"/>
    <w:rsid w:val="00606968"/>
    <w:rsid w:val="0060775E"/>
    <w:rsid w:val="00610629"/>
    <w:rsid w:val="00611BCD"/>
    <w:rsid w:val="0061258D"/>
    <w:rsid w:val="00613691"/>
    <w:rsid w:val="006142EC"/>
    <w:rsid w:val="00614373"/>
    <w:rsid w:val="006155A5"/>
    <w:rsid w:val="00617824"/>
    <w:rsid w:val="00624214"/>
    <w:rsid w:val="00624B61"/>
    <w:rsid w:val="00625419"/>
    <w:rsid w:val="006257C5"/>
    <w:rsid w:val="00626D1A"/>
    <w:rsid w:val="00627429"/>
    <w:rsid w:val="0063089C"/>
    <w:rsid w:val="0063206F"/>
    <w:rsid w:val="006321AD"/>
    <w:rsid w:val="00632A91"/>
    <w:rsid w:val="006345E8"/>
    <w:rsid w:val="006357B2"/>
    <w:rsid w:val="0063635E"/>
    <w:rsid w:val="0063765C"/>
    <w:rsid w:val="006403CB"/>
    <w:rsid w:val="006410B0"/>
    <w:rsid w:val="00641137"/>
    <w:rsid w:val="0064139F"/>
    <w:rsid w:val="00641404"/>
    <w:rsid w:val="00641EDA"/>
    <w:rsid w:val="00642A18"/>
    <w:rsid w:val="00642A51"/>
    <w:rsid w:val="00642B97"/>
    <w:rsid w:val="00643680"/>
    <w:rsid w:val="00644453"/>
    <w:rsid w:val="00644B32"/>
    <w:rsid w:val="00644DDE"/>
    <w:rsid w:val="0064639A"/>
    <w:rsid w:val="0064646F"/>
    <w:rsid w:val="00646523"/>
    <w:rsid w:val="00646685"/>
    <w:rsid w:val="006470AE"/>
    <w:rsid w:val="00647BDD"/>
    <w:rsid w:val="00651328"/>
    <w:rsid w:val="0065273C"/>
    <w:rsid w:val="00654AB5"/>
    <w:rsid w:val="00654ED8"/>
    <w:rsid w:val="00656A74"/>
    <w:rsid w:val="0065720A"/>
    <w:rsid w:val="00657221"/>
    <w:rsid w:val="00660EED"/>
    <w:rsid w:val="00661FC1"/>
    <w:rsid w:val="00662D44"/>
    <w:rsid w:val="006630E9"/>
    <w:rsid w:val="00663FED"/>
    <w:rsid w:val="00664B64"/>
    <w:rsid w:val="006678E3"/>
    <w:rsid w:val="00667A9C"/>
    <w:rsid w:val="006712E8"/>
    <w:rsid w:val="006775A4"/>
    <w:rsid w:val="00677DA7"/>
    <w:rsid w:val="00677E52"/>
    <w:rsid w:val="00680212"/>
    <w:rsid w:val="00680C90"/>
    <w:rsid w:val="00681036"/>
    <w:rsid w:val="006823AD"/>
    <w:rsid w:val="00682C29"/>
    <w:rsid w:val="00683D10"/>
    <w:rsid w:val="00684048"/>
    <w:rsid w:val="00685872"/>
    <w:rsid w:val="00685AD7"/>
    <w:rsid w:val="00686FD8"/>
    <w:rsid w:val="00691963"/>
    <w:rsid w:val="00692124"/>
    <w:rsid w:val="00692D96"/>
    <w:rsid w:val="00693B23"/>
    <w:rsid w:val="00693C96"/>
    <w:rsid w:val="00696339"/>
    <w:rsid w:val="0069671A"/>
    <w:rsid w:val="00696982"/>
    <w:rsid w:val="0069707C"/>
    <w:rsid w:val="006A039D"/>
    <w:rsid w:val="006A0FCD"/>
    <w:rsid w:val="006A3F85"/>
    <w:rsid w:val="006A48FA"/>
    <w:rsid w:val="006A56F1"/>
    <w:rsid w:val="006A6E5C"/>
    <w:rsid w:val="006B0972"/>
    <w:rsid w:val="006B13DC"/>
    <w:rsid w:val="006B3153"/>
    <w:rsid w:val="006B3254"/>
    <w:rsid w:val="006B3763"/>
    <w:rsid w:val="006B5871"/>
    <w:rsid w:val="006B6BB1"/>
    <w:rsid w:val="006B7212"/>
    <w:rsid w:val="006C14C3"/>
    <w:rsid w:val="006C29DC"/>
    <w:rsid w:val="006C33DE"/>
    <w:rsid w:val="006C452D"/>
    <w:rsid w:val="006C4B6F"/>
    <w:rsid w:val="006C4E9B"/>
    <w:rsid w:val="006C589D"/>
    <w:rsid w:val="006C63A4"/>
    <w:rsid w:val="006C769C"/>
    <w:rsid w:val="006C7A95"/>
    <w:rsid w:val="006C7E65"/>
    <w:rsid w:val="006D0651"/>
    <w:rsid w:val="006D11E8"/>
    <w:rsid w:val="006D3950"/>
    <w:rsid w:val="006D4436"/>
    <w:rsid w:val="006D4B0E"/>
    <w:rsid w:val="006D55A0"/>
    <w:rsid w:val="006D753C"/>
    <w:rsid w:val="006D7E1D"/>
    <w:rsid w:val="006E079A"/>
    <w:rsid w:val="006E0A00"/>
    <w:rsid w:val="006E23D8"/>
    <w:rsid w:val="006E306D"/>
    <w:rsid w:val="006E459E"/>
    <w:rsid w:val="006E4B31"/>
    <w:rsid w:val="006E4BEC"/>
    <w:rsid w:val="006E6968"/>
    <w:rsid w:val="006F00BE"/>
    <w:rsid w:val="006F04C6"/>
    <w:rsid w:val="006F08A0"/>
    <w:rsid w:val="006F12AD"/>
    <w:rsid w:val="006F2A97"/>
    <w:rsid w:val="006F3275"/>
    <w:rsid w:val="006F7AD7"/>
    <w:rsid w:val="00702627"/>
    <w:rsid w:val="0070359F"/>
    <w:rsid w:val="00703A26"/>
    <w:rsid w:val="0070464C"/>
    <w:rsid w:val="0070471F"/>
    <w:rsid w:val="00705474"/>
    <w:rsid w:val="00705B46"/>
    <w:rsid w:val="007076B2"/>
    <w:rsid w:val="00711BBB"/>
    <w:rsid w:val="0071340A"/>
    <w:rsid w:val="00713937"/>
    <w:rsid w:val="00713FC7"/>
    <w:rsid w:val="00716FD1"/>
    <w:rsid w:val="00717295"/>
    <w:rsid w:val="00720D0F"/>
    <w:rsid w:val="007218A9"/>
    <w:rsid w:val="0072241C"/>
    <w:rsid w:val="00722DE5"/>
    <w:rsid w:val="007245A5"/>
    <w:rsid w:val="00727DFF"/>
    <w:rsid w:val="00731628"/>
    <w:rsid w:val="00734108"/>
    <w:rsid w:val="007343AD"/>
    <w:rsid w:val="0073448D"/>
    <w:rsid w:val="00735087"/>
    <w:rsid w:val="00736FA0"/>
    <w:rsid w:val="0074053E"/>
    <w:rsid w:val="0074716A"/>
    <w:rsid w:val="007478D9"/>
    <w:rsid w:val="0075000E"/>
    <w:rsid w:val="00752156"/>
    <w:rsid w:val="00753A7A"/>
    <w:rsid w:val="00754CBA"/>
    <w:rsid w:val="00756E77"/>
    <w:rsid w:val="007577C2"/>
    <w:rsid w:val="00757C6A"/>
    <w:rsid w:val="0076038F"/>
    <w:rsid w:val="00760D77"/>
    <w:rsid w:val="007617E5"/>
    <w:rsid w:val="007653A7"/>
    <w:rsid w:val="00765823"/>
    <w:rsid w:val="0077124E"/>
    <w:rsid w:val="00772FA7"/>
    <w:rsid w:val="007730D0"/>
    <w:rsid w:val="0077578C"/>
    <w:rsid w:val="00777364"/>
    <w:rsid w:val="007811AB"/>
    <w:rsid w:val="00781ABD"/>
    <w:rsid w:val="00781ACA"/>
    <w:rsid w:val="007823CF"/>
    <w:rsid w:val="00783E35"/>
    <w:rsid w:val="00784F67"/>
    <w:rsid w:val="007853E9"/>
    <w:rsid w:val="00786754"/>
    <w:rsid w:val="00786D49"/>
    <w:rsid w:val="00787061"/>
    <w:rsid w:val="00790F0A"/>
    <w:rsid w:val="00790F5E"/>
    <w:rsid w:val="007927A6"/>
    <w:rsid w:val="0079571C"/>
    <w:rsid w:val="00797F6E"/>
    <w:rsid w:val="007A1F4C"/>
    <w:rsid w:val="007A53F8"/>
    <w:rsid w:val="007A65B4"/>
    <w:rsid w:val="007B05BD"/>
    <w:rsid w:val="007B31A5"/>
    <w:rsid w:val="007B3327"/>
    <w:rsid w:val="007B3533"/>
    <w:rsid w:val="007B4996"/>
    <w:rsid w:val="007B5E0C"/>
    <w:rsid w:val="007B6926"/>
    <w:rsid w:val="007B692B"/>
    <w:rsid w:val="007B6FA3"/>
    <w:rsid w:val="007B705D"/>
    <w:rsid w:val="007B7329"/>
    <w:rsid w:val="007C0DA5"/>
    <w:rsid w:val="007C18DF"/>
    <w:rsid w:val="007C20B5"/>
    <w:rsid w:val="007C2989"/>
    <w:rsid w:val="007C5764"/>
    <w:rsid w:val="007C61D0"/>
    <w:rsid w:val="007C6FAA"/>
    <w:rsid w:val="007C768F"/>
    <w:rsid w:val="007D251F"/>
    <w:rsid w:val="007D4F91"/>
    <w:rsid w:val="007D4FA2"/>
    <w:rsid w:val="007E02FA"/>
    <w:rsid w:val="007E0874"/>
    <w:rsid w:val="007E0FAD"/>
    <w:rsid w:val="007E60E9"/>
    <w:rsid w:val="007E63F3"/>
    <w:rsid w:val="007E6F5A"/>
    <w:rsid w:val="007F0916"/>
    <w:rsid w:val="007F1126"/>
    <w:rsid w:val="007F1A9D"/>
    <w:rsid w:val="007F1E7D"/>
    <w:rsid w:val="007F2A79"/>
    <w:rsid w:val="007F3026"/>
    <w:rsid w:val="007F42DD"/>
    <w:rsid w:val="007F4E0F"/>
    <w:rsid w:val="007F77CA"/>
    <w:rsid w:val="008011ED"/>
    <w:rsid w:val="00801636"/>
    <w:rsid w:val="00801D31"/>
    <w:rsid w:val="0080209C"/>
    <w:rsid w:val="00803935"/>
    <w:rsid w:val="008045D0"/>
    <w:rsid w:val="008059B8"/>
    <w:rsid w:val="00810333"/>
    <w:rsid w:val="0081415C"/>
    <w:rsid w:val="008155BC"/>
    <w:rsid w:val="0081590D"/>
    <w:rsid w:val="00815E57"/>
    <w:rsid w:val="008166F5"/>
    <w:rsid w:val="0081677E"/>
    <w:rsid w:val="00817467"/>
    <w:rsid w:val="0082043E"/>
    <w:rsid w:val="00822905"/>
    <w:rsid w:val="0082299E"/>
    <w:rsid w:val="00824ADD"/>
    <w:rsid w:val="00826DD1"/>
    <w:rsid w:val="00827CD1"/>
    <w:rsid w:val="00827E98"/>
    <w:rsid w:val="00832164"/>
    <w:rsid w:val="00832F53"/>
    <w:rsid w:val="00834003"/>
    <w:rsid w:val="0083455F"/>
    <w:rsid w:val="00834EA0"/>
    <w:rsid w:val="00836144"/>
    <w:rsid w:val="00843042"/>
    <w:rsid w:val="00843C37"/>
    <w:rsid w:val="00844886"/>
    <w:rsid w:val="00844C2D"/>
    <w:rsid w:val="0084549F"/>
    <w:rsid w:val="008469A8"/>
    <w:rsid w:val="00846D68"/>
    <w:rsid w:val="008518E5"/>
    <w:rsid w:val="0085249F"/>
    <w:rsid w:val="00852B15"/>
    <w:rsid w:val="008548C8"/>
    <w:rsid w:val="00855520"/>
    <w:rsid w:val="00856135"/>
    <w:rsid w:val="008575A3"/>
    <w:rsid w:val="00857A96"/>
    <w:rsid w:val="00861FE5"/>
    <w:rsid w:val="00862C54"/>
    <w:rsid w:val="0086376D"/>
    <w:rsid w:val="00865CB5"/>
    <w:rsid w:val="00866E08"/>
    <w:rsid w:val="008703C2"/>
    <w:rsid w:val="0087209F"/>
    <w:rsid w:val="00873C3F"/>
    <w:rsid w:val="008806C1"/>
    <w:rsid w:val="008806CC"/>
    <w:rsid w:val="0088080E"/>
    <w:rsid w:val="00880AA8"/>
    <w:rsid w:val="00881BFF"/>
    <w:rsid w:val="008849E6"/>
    <w:rsid w:val="0088513E"/>
    <w:rsid w:val="00886300"/>
    <w:rsid w:val="00886443"/>
    <w:rsid w:val="0089004F"/>
    <w:rsid w:val="00890895"/>
    <w:rsid w:val="0089099F"/>
    <w:rsid w:val="00890AAF"/>
    <w:rsid w:val="0089155C"/>
    <w:rsid w:val="00892F7A"/>
    <w:rsid w:val="00894CEB"/>
    <w:rsid w:val="00896A62"/>
    <w:rsid w:val="00897B88"/>
    <w:rsid w:val="008A0759"/>
    <w:rsid w:val="008A113D"/>
    <w:rsid w:val="008A678B"/>
    <w:rsid w:val="008B0034"/>
    <w:rsid w:val="008B0702"/>
    <w:rsid w:val="008B2397"/>
    <w:rsid w:val="008B33B5"/>
    <w:rsid w:val="008B3CD6"/>
    <w:rsid w:val="008B6003"/>
    <w:rsid w:val="008B691D"/>
    <w:rsid w:val="008C0477"/>
    <w:rsid w:val="008C4D11"/>
    <w:rsid w:val="008D2883"/>
    <w:rsid w:val="008D3832"/>
    <w:rsid w:val="008D54FA"/>
    <w:rsid w:val="008D5C05"/>
    <w:rsid w:val="008D6490"/>
    <w:rsid w:val="008D6FFD"/>
    <w:rsid w:val="008E1191"/>
    <w:rsid w:val="008E2FDD"/>
    <w:rsid w:val="008E31B6"/>
    <w:rsid w:val="008E342E"/>
    <w:rsid w:val="008E4B20"/>
    <w:rsid w:val="008E4D9C"/>
    <w:rsid w:val="008E5169"/>
    <w:rsid w:val="008E566D"/>
    <w:rsid w:val="008E588C"/>
    <w:rsid w:val="008F52D9"/>
    <w:rsid w:val="008F6739"/>
    <w:rsid w:val="008F6BC6"/>
    <w:rsid w:val="009026FC"/>
    <w:rsid w:val="0090273D"/>
    <w:rsid w:val="00902B4C"/>
    <w:rsid w:val="00903FC5"/>
    <w:rsid w:val="0090403F"/>
    <w:rsid w:val="00904F65"/>
    <w:rsid w:val="009071FF"/>
    <w:rsid w:val="009103D7"/>
    <w:rsid w:val="009108DB"/>
    <w:rsid w:val="009112EB"/>
    <w:rsid w:val="00913191"/>
    <w:rsid w:val="009131F2"/>
    <w:rsid w:val="00914A1E"/>
    <w:rsid w:val="00916431"/>
    <w:rsid w:val="00916D52"/>
    <w:rsid w:val="00917DBE"/>
    <w:rsid w:val="00924C08"/>
    <w:rsid w:val="00924C43"/>
    <w:rsid w:val="00924EB3"/>
    <w:rsid w:val="00925B89"/>
    <w:rsid w:val="0092605A"/>
    <w:rsid w:val="0092689A"/>
    <w:rsid w:val="0093228E"/>
    <w:rsid w:val="009325E1"/>
    <w:rsid w:val="00933301"/>
    <w:rsid w:val="00933602"/>
    <w:rsid w:val="009338B2"/>
    <w:rsid w:val="009340FE"/>
    <w:rsid w:val="009351EF"/>
    <w:rsid w:val="0093698F"/>
    <w:rsid w:val="00940914"/>
    <w:rsid w:val="009409E8"/>
    <w:rsid w:val="00942250"/>
    <w:rsid w:val="009423AF"/>
    <w:rsid w:val="00942706"/>
    <w:rsid w:val="00942E51"/>
    <w:rsid w:val="0094687A"/>
    <w:rsid w:val="00946A6A"/>
    <w:rsid w:val="00947AE8"/>
    <w:rsid w:val="00947EB7"/>
    <w:rsid w:val="0095056B"/>
    <w:rsid w:val="00951FC3"/>
    <w:rsid w:val="009520BD"/>
    <w:rsid w:val="00952B29"/>
    <w:rsid w:val="00953DBA"/>
    <w:rsid w:val="00954137"/>
    <w:rsid w:val="00955882"/>
    <w:rsid w:val="00955ABF"/>
    <w:rsid w:val="00956F74"/>
    <w:rsid w:val="00956F84"/>
    <w:rsid w:val="00956F8A"/>
    <w:rsid w:val="00956FDD"/>
    <w:rsid w:val="009575A0"/>
    <w:rsid w:val="00957C6C"/>
    <w:rsid w:val="00960338"/>
    <w:rsid w:val="00960AA2"/>
    <w:rsid w:val="009618BB"/>
    <w:rsid w:val="009649DC"/>
    <w:rsid w:val="00966EB2"/>
    <w:rsid w:val="00970C67"/>
    <w:rsid w:val="00971219"/>
    <w:rsid w:val="00971F0E"/>
    <w:rsid w:val="00974456"/>
    <w:rsid w:val="00975096"/>
    <w:rsid w:val="00980255"/>
    <w:rsid w:val="009808D3"/>
    <w:rsid w:val="009821AE"/>
    <w:rsid w:val="009901A2"/>
    <w:rsid w:val="00991483"/>
    <w:rsid w:val="00991763"/>
    <w:rsid w:val="0099296D"/>
    <w:rsid w:val="009935AA"/>
    <w:rsid w:val="00993F94"/>
    <w:rsid w:val="00994955"/>
    <w:rsid w:val="009951B2"/>
    <w:rsid w:val="009A039C"/>
    <w:rsid w:val="009A2859"/>
    <w:rsid w:val="009A4E90"/>
    <w:rsid w:val="009A50B8"/>
    <w:rsid w:val="009A737B"/>
    <w:rsid w:val="009B1823"/>
    <w:rsid w:val="009B406F"/>
    <w:rsid w:val="009B443A"/>
    <w:rsid w:val="009B44D8"/>
    <w:rsid w:val="009B4CC4"/>
    <w:rsid w:val="009B4D09"/>
    <w:rsid w:val="009B61ED"/>
    <w:rsid w:val="009B69FE"/>
    <w:rsid w:val="009B6DD1"/>
    <w:rsid w:val="009C1332"/>
    <w:rsid w:val="009C21A6"/>
    <w:rsid w:val="009C44D6"/>
    <w:rsid w:val="009C4A4F"/>
    <w:rsid w:val="009C633D"/>
    <w:rsid w:val="009C6D34"/>
    <w:rsid w:val="009C7CFA"/>
    <w:rsid w:val="009D0166"/>
    <w:rsid w:val="009D14AC"/>
    <w:rsid w:val="009D2E97"/>
    <w:rsid w:val="009D328E"/>
    <w:rsid w:val="009D3438"/>
    <w:rsid w:val="009D3B2E"/>
    <w:rsid w:val="009D3B88"/>
    <w:rsid w:val="009D3F03"/>
    <w:rsid w:val="009D40B6"/>
    <w:rsid w:val="009D4D3A"/>
    <w:rsid w:val="009D54E1"/>
    <w:rsid w:val="009D7AD4"/>
    <w:rsid w:val="009E1231"/>
    <w:rsid w:val="009E1A57"/>
    <w:rsid w:val="009E36CA"/>
    <w:rsid w:val="009E3B7F"/>
    <w:rsid w:val="009E4439"/>
    <w:rsid w:val="009E4B6B"/>
    <w:rsid w:val="009E6470"/>
    <w:rsid w:val="009E6793"/>
    <w:rsid w:val="009E7175"/>
    <w:rsid w:val="009E7B72"/>
    <w:rsid w:val="009F08CB"/>
    <w:rsid w:val="009F1E5E"/>
    <w:rsid w:val="009F403B"/>
    <w:rsid w:val="009F497B"/>
    <w:rsid w:val="009F4A76"/>
    <w:rsid w:val="009F5331"/>
    <w:rsid w:val="009F5E39"/>
    <w:rsid w:val="009F6453"/>
    <w:rsid w:val="009F6AD6"/>
    <w:rsid w:val="009F6F30"/>
    <w:rsid w:val="009F6F65"/>
    <w:rsid w:val="009F7BFB"/>
    <w:rsid w:val="00A0081F"/>
    <w:rsid w:val="00A01B61"/>
    <w:rsid w:val="00A03BCB"/>
    <w:rsid w:val="00A04028"/>
    <w:rsid w:val="00A048F3"/>
    <w:rsid w:val="00A04CA6"/>
    <w:rsid w:val="00A052DD"/>
    <w:rsid w:val="00A062A4"/>
    <w:rsid w:val="00A06E6F"/>
    <w:rsid w:val="00A07704"/>
    <w:rsid w:val="00A112C8"/>
    <w:rsid w:val="00A12A49"/>
    <w:rsid w:val="00A12D3C"/>
    <w:rsid w:val="00A135C4"/>
    <w:rsid w:val="00A13CB5"/>
    <w:rsid w:val="00A13FEC"/>
    <w:rsid w:val="00A162F7"/>
    <w:rsid w:val="00A164E8"/>
    <w:rsid w:val="00A16CDF"/>
    <w:rsid w:val="00A200C3"/>
    <w:rsid w:val="00A21103"/>
    <w:rsid w:val="00A211CB"/>
    <w:rsid w:val="00A2173C"/>
    <w:rsid w:val="00A21E3C"/>
    <w:rsid w:val="00A23419"/>
    <w:rsid w:val="00A23EE9"/>
    <w:rsid w:val="00A24BBD"/>
    <w:rsid w:val="00A26D62"/>
    <w:rsid w:val="00A27D2E"/>
    <w:rsid w:val="00A30D78"/>
    <w:rsid w:val="00A31032"/>
    <w:rsid w:val="00A31CCF"/>
    <w:rsid w:val="00A32598"/>
    <w:rsid w:val="00A33A5D"/>
    <w:rsid w:val="00A33EF8"/>
    <w:rsid w:val="00A3432E"/>
    <w:rsid w:val="00A358F5"/>
    <w:rsid w:val="00A35EC6"/>
    <w:rsid w:val="00A36B0D"/>
    <w:rsid w:val="00A40DFB"/>
    <w:rsid w:val="00A435BF"/>
    <w:rsid w:val="00A448B0"/>
    <w:rsid w:val="00A46981"/>
    <w:rsid w:val="00A50024"/>
    <w:rsid w:val="00A50D93"/>
    <w:rsid w:val="00A50F8C"/>
    <w:rsid w:val="00A5210B"/>
    <w:rsid w:val="00A524EC"/>
    <w:rsid w:val="00A52F4A"/>
    <w:rsid w:val="00A531D6"/>
    <w:rsid w:val="00A53304"/>
    <w:rsid w:val="00A54346"/>
    <w:rsid w:val="00A55211"/>
    <w:rsid w:val="00A569C9"/>
    <w:rsid w:val="00A57E0C"/>
    <w:rsid w:val="00A6039D"/>
    <w:rsid w:val="00A61946"/>
    <w:rsid w:val="00A631B5"/>
    <w:rsid w:val="00A63351"/>
    <w:rsid w:val="00A6487D"/>
    <w:rsid w:val="00A65788"/>
    <w:rsid w:val="00A65DF5"/>
    <w:rsid w:val="00A66D3E"/>
    <w:rsid w:val="00A676CE"/>
    <w:rsid w:val="00A67ABD"/>
    <w:rsid w:val="00A7001C"/>
    <w:rsid w:val="00A70A43"/>
    <w:rsid w:val="00A728EE"/>
    <w:rsid w:val="00A72DC2"/>
    <w:rsid w:val="00A74450"/>
    <w:rsid w:val="00A75807"/>
    <w:rsid w:val="00A77913"/>
    <w:rsid w:val="00A77D96"/>
    <w:rsid w:val="00A80039"/>
    <w:rsid w:val="00A80737"/>
    <w:rsid w:val="00A8209D"/>
    <w:rsid w:val="00A82740"/>
    <w:rsid w:val="00A82822"/>
    <w:rsid w:val="00A82BC8"/>
    <w:rsid w:val="00A846D5"/>
    <w:rsid w:val="00A853B2"/>
    <w:rsid w:val="00A860C9"/>
    <w:rsid w:val="00A8663E"/>
    <w:rsid w:val="00A86A53"/>
    <w:rsid w:val="00A878AB"/>
    <w:rsid w:val="00A9028F"/>
    <w:rsid w:val="00A9137F"/>
    <w:rsid w:val="00A9483B"/>
    <w:rsid w:val="00A94F2C"/>
    <w:rsid w:val="00A95BA8"/>
    <w:rsid w:val="00A972E1"/>
    <w:rsid w:val="00AA3F8C"/>
    <w:rsid w:val="00AA44EB"/>
    <w:rsid w:val="00AA56DD"/>
    <w:rsid w:val="00AA6E6B"/>
    <w:rsid w:val="00AA7022"/>
    <w:rsid w:val="00AB3052"/>
    <w:rsid w:val="00AB3A13"/>
    <w:rsid w:val="00AB4248"/>
    <w:rsid w:val="00AB4520"/>
    <w:rsid w:val="00AB572D"/>
    <w:rsid w:val="00AB5A86"/>
    <w:rsid w:val="00AB6170"/>
    <w:rsid w:val="00AB707C"/>
    <w:rsid w:val="00AB7D16"/>
    <w:rsid w:val="00AC0B37"/>
    <w:rsid w:val="00AC2185"/>
    <w:rsid w:val="00AC3068"/>
    <w:rsid w:val="00AC3C48"/>
    <w:rsid w:val="00AC4067"/>
    <w:rsid w:val="00AC4159"/>
    <w:rsid w:val="00AC4956"/>
    <w:rsid w:val="00AC53DF"/>
    <w:rsid w:val="00AC54F8"/>
    <w:rsid w:val="00AC692A"/>
    <w:rsid w:val="00AD0F08"/>
    <w:rsid w:val="00AD1585"/>
    <w:rsid w:val="00AD1747"/>
    <w:rsid w:val="00AD235B"/>
    <w:rsid w:val="00AD5036"/>
    <w:rsid w:val="00AD560B"/>
    <w:rsid w:val="00AD5BBB"/>
    <w:rsid w:val="00AE02B5"/>
    <w:rsid w:val="00AE0494"/>
    <w:rsid w:val="00AE06C8"/>
    <w:rsid w:val="00AE0B1B"/>
    <w:rsid w:val="00AE0B28"/>
    <w:rsid w:val="00AE0C8D"/>
    <w:rsid w:val="00AE0D50"/>
    <w:rsid w:val="00AE1947"/>
    <w:rsid w:val="00AE242E"/>
    <w:rsid w:val="00AE2D8E"/>
    <w:rsid w:val="00AE4405"/>
    <w:rsid w:val="00AE4C9F"/>
    <w:rsid w:val="00AE7A40"/>
    <w:rsid w:val="00AE7EF9"/>
    <w:rsid w:val="00AF0E1A"/>
    <w:rsid w:val="00AF0F04"/>
    <w:rsid w:val="00AF2272"/>
    <w:rsid w:val="00AF4A88"/>
    <w:rsid w:val="00AF60FC"/>
    <w:rsid w:val="00AF619D"/>
    <w:rsid w:val="00AF62F2"/>
    <w:rsid w:val="00B0038A"/>
    <w:rsid w:val="00B018B0"/>
    <w:rsid w:val="00B01A75"/>
    <w:rsid w:val="00B02D39"/>
    <w:rsid w:val="00B03711"/>
    <w:rsid w:val="00B03B6B"/>
    <w:rsid w:val="00B04CC3"/>
    <w:rsid w:val="00B0552F"/>
    <w:rsid w:val="00B10A75"/>
    <w:rsid w:val="00B119BB"/>
    <w:rsid w:val="00B152BD"/>
    <w:rsid w:val="00B168D4"/>
    <w:rsid w:val="00B17DE2"/>
    <w:rsid w:val="00B17E18"/>
    <w:rsid w:val="00B2096A"/>
    <w:rsid w:val="00B20E8D"/>
    <w:rsid w:val="00B304DB"/>
    <w:rsid w:val="00B31C60"/>
    <w:rsid w:val="00B32541"/>
    <w:rsid w:val="00B3267F"/>
    <w:rsid w:val="00B35F87"/>
    <w:rsid w:val="00B379DA"/>
    <w:rsid w:val="00B37A67"/>
    <w:rsid w:val="00B41203"/>
    <w:rsid w:val="00B41500"/>
    <w:rsid w:val="00B43B6D"/>
    <w:rsid w:val="00B5297F"/>
    <w:rsid w:val="00B52E16"/>
    <w:rsid w:val="00B53812"/>
    <w:rsid w:val="00B53C36"/>
    <w:rsid w:val="00B53C54"/>
    <w:rsid w:val="00B557BB"/>
    <w:rsid w:val="00B5652A"/>
    <w:rsid w:val="00B623DA"/>
    <w:rsid w:val="00B62736"/>
    <w:rsid w:val="00B62A71"/>
    <w:rsid w:val="00B62B38"/>
    <w:rsid w:val="00B62EF9"/>
    <w:rsid w:val="00B630C6"/>
    <w:rsid w:val="00B631F1"/>
    <w:rsid w:val="00B65DC0"/>
    <w:rsid w:val="00B6674F"/>
    <w:rsid w:val="00B67C2D"/>
    <w:rsid w:val="00B67DDF"/>
    <w:rsid w:val="00B70D91"/>
    <w:rsid w:val="00B71248"/>
    <w:rsid w:val="00B72FA0"/>
    <w:rsid w:val="00B73209"/>
    <w:rsid w:val="00B76D07"/>
    <w:rsid w:val="00B76FE6"/>
    <w:rsid w:val="00B7708B"/>
    <w:rsid w:val="00B7709A"/>
    <w:rsid w:val="00B7721B"/>
    <w:rsid w:val="00B80E25"/>
    <w:rsid w:val="00B81F83"/>
    <w:rsid w:val="00B8347E"/>
    <w:rsid w:val="00B83DA9"/>
    <w:rsid w:val="00B84B4A"/>
    <w:rsid w:val="00B8589C"/>
    <w:rsid w:val="00B86BAC"/>
    <w:rsid w:val="00B86FB3"/>
    <w:rsid w:val="00B926F0"/>
    <w:rsid w:val="00B97B35"/>
    <w:rsid w:val="00BA0DCC"/>
    <w:rsid w:val="00BA100F"/>
    <w:rsid w:val="00BA3196"/>
    <w:rsid w:val="00BA3509"/>
    <w:rsid w:val="00BA5877"/>
    <w:rsid w:val="00BA736F"/>
    <w:rsid w:val="00BB124C"/>
    <w:rsid w:val="00BB17E3"/>
    <w:rsid w:val="00BB1CDB"/>
    <w:rsid w:val="00BB2110"/>
    <w:rsid w:val="00BB3147"/>
    <w:rsid w:val="00BB3645"/>
    <w:rsid w:val="00BB3D21"/>
    <w:rsid w:val="00BB4F2F"/>
    <w:rsid w:val="00BB547E"/>
    <w:rsid w:val="00BB69B7"/>
    <w:rsid w:val="00BC2581"/>
    <w:rsid w:val="00BC3F55"/>
    <w:rsid w:val="00BC481A"/>
    <w:rsid w:val="00BC4D26"/>
    <w:rsid w:val="00BC555D"/>
    <w:rsid w:val="00BC6112"/>
    <w:rsid w:val="00BC658E"/>
    <w:rsid w:val="00BC70BB"/>
    <w:rsid w:val="00BD0218"/>
    <w:rsid w:val="00BD1869"/>
    <w:rsid w:val="00BD200B"/>
    <w:rsid w:val="00BD575D"/>
    <w:rsid w:val="00BD63DF"/>
    <w:rsid w:val="00BD64D4"/>
    <w:rsid w:val="00BD6F0F"/>
    <w:rsid w:val="00BD7C4B"/>
    <w:rsid w:val="00BE29F7"/>
    <w:rsid w:val="00BE33E8"/>
    <w:rsid w:val="00BE578E"/>
    <w:rsid w:val="00BE795E"/>
    <w:rsid w:val="00BF2332"/>
    <w:rsid w:val="00BF256A"/>
    <w:rsid w:val="00BF2BEB"/>
    <w:rsid w:val="00BF3197"/>
    <w:rsid w:val="00BF4C70"/>
    <w:rsid w:val="00BF5117"/>
    <w:rsid w:val="00BF59F3"/>
    <w:rsid w:val="00BF5E23"/>
    <w:rsid w:val="00BF6AD1"/>
    <w:rsid w:val="00C01DB8"/>
    <w:rsid w:val="00C0300F"/>
    <w:rsid w:val="00C04C13"/>
    <w:rsid w:val="00C0523E"/>
    <w:rsid w:val="00C06C3C"/>
    <w:rsid w:val="00C0751C"/>
    <w:rsid w:val="00C07D40"/>
    <w:rsid w:val="00C07D81"/>
    <w:rsid w:val="00C07F14"/>
    <w:rsid w:val="00C11B64"/>
    <w:rsid w:val="00C1218B"/>
    <w:rsid w:val="00C12B6B"/>
    <w:rsid w:val="00C135F1"/>
    <w:rsid w:val="00C140D0"/>
    <w:rsid w:val="00C14775"/>
    <w:rsid w:val="00C150A5"/>
    <w:rsid w:val="00C152CC"/>
    <w:rsid w:val="00C1720E"/>
    <w:rsid w:val="00C17A93"/>
    <w:rsid w:val="00C200CC"/>
    <w:rsid w:val="00C22B21"/>
    <w:rsid w:val="00C23593"/>
    <w:rsid w:val="00C2360E"/>
    <w:rsid w:val="00C23845"/>
    <w:rsid w:val="00C248E6"/>
    <w:rsid w:val="00C31846"/>
    <w:rsid w:val="00C32A33"/>
    <w:rsid w:val="00C345FA"/>
    <w:rsid w:val="00C367FB"/>
    <w:rsid w:val="00C36871"/>
    <w:rsid w:val="00C36D96"/>
    <w:rsid w:val="00C41389"/>
    <w:rsid w:val="00C41BB7"/>
    <w:rsid w:val="00C42379"/>
    <w:rsid w:val="00C44004"/>
    <w:rsid w:val="00C445F4"/>
    <w:rsid w:val="00C47A52"/>
    <w:rsid w:val="00C506F1"/>
    <w:rsid w:val="00C54DF3"/>
    <w:rsid w:val="00C60DDA"/>
    <w:rsid w:val="00C610B6"/>
    <w:rsid w:val="00C6257F"/>
    <w:rsid w:val="00C63117"/>
    <w:rsid w:val="00C640C7"/>
    <w:rsid w:val="00C644CE"/>
    <w:rsid w:val="00C651DB"/>
    <w:rsid w:val="00C65784"/>
    <w:rsid w:val="00C67BDD"/>
    <w:rsid w:val="00C70F24"/>
    <w:rsid w:val="00C717F6"/>
    <w:rsid w:val="00C71EC4"/>
    <w:rsid w:val="00C72AA4"/>
    <w:rsid w:val="00C72B14"/>
    <w:rsid w:val="00C72FD7"/>
    <w:rsid w:val="00C7736B"/>
    <w:rsid w:val="00C80AF5"/>
    <w:rsid w:val="00C8155C"/>
    <w:rsid w:val="00C82421"/>
    <w:rsid w:val="00C826BC"/>
    <w:rsid w:val="00C82F58"/>
    <w:rsid w:val="00C831F2"/>
    <w:rsid w:val="00C83E60"/>
    <w:rsid w:val="00C851B9"/>
    <w:rsid w:val="00C907F0"/>
    <w:rsid w:val="00C90F4C"/>
    <w:rsid w:val="00C92D1B"/>
    <w:rsid w:val="00C93A91"/>
    <w:rsid w:val="00C95601"/>
    <w:rsid w:val="00C97C53"/>
    <w:rsid w:val="00CA1947"/>
    <w:rsid w:val="00CA1C91"/>
    <w:rsid w:val="00CA323D"/>
    <w:rsid w:val="00CA54A0"/>
    <w:rsid w:val="00CA69EB"/>
    <w:rsid w:val="00CA730B"/>
    <w:rsid w:val="00CA752F"/>
    <w:rsid w:val="00CB5286"/>
    <w:rsid w:val="00CB5444"/>
    <w:rsid w:val="00CB5515"/>
    <w:rsid w:val="00CB76EF"/>
    <w:rsid w:val="00CB7840"/>
    <w:rsid w:val="00CB7E62"/>
    <w:rsid w:val="00CC0500"/>
    <w:rsid w:val="00CC0E24"/>
    <w:rsid w:val="00CC164F"/>
    <w:rsid w:val="00CC2390"/>
    <w:rsid w:val="00CC34E2"/>
    <w:rsid w:val="00CC4A5C"/>
    <w:rsid w:val="00CC5BB7"/>
    <w:rsid w:val="00CC5F62"/>
    <w:rsid w:val="00CC69B4"/>
    <w:rsid w:val="00CC6D17"/>
    <w:rsid w:val="00CC7102"/>
    <w:rsid w:val="00CC7CF3"/>
    <w:rsid w:val="00CD1E85"/>
    <w:rsid w:val="00CD331E"/>
    <w:rsid w:val="00CD3AEA"/>
    <w:rsid w:val="00CD3C32"/>
    <w:rsid w:val="00CD4235"/>
    <w:rsid w:val="00CD56D7"/>
    <w:rsid w:val="00CD57FC"/>
    <w:rsid w:val="00CD632A"/>
    <w:rsid w:val="00CE0B6D"/>
    <w:rsid w:val="00CE127E"/>
    <w:rsid w:val="00CE12BD"/>
    <w:rsid w:val="00CE1C10"/>
    <w:rsid w:val="00CE217C"/>
    <w:rsid w:val="00CE4AE9"/>
    <w:rsid w:val="00CF41D0"/>
    <w:rsid w:val="00CF4F9B"/>
    <w:rsid w:val="00D00A28"/>
    <w:rsid w:val="00D00CF9"/>
    <w:rsid w:val="00D012FF"/>
    <w:rsid w:val="00D04CD8"/>
    <w:rsid w:val="00D04DEC"/>
    <w:rsid w:val="00D07C62"/>
    <w:rsid w:val="00D10B8B"/>
    <w:rsid w:val="00D114ED"/>
    <w:rsid w:val="00D117EA"/>
    <w:rsid w:val="00D11A21"/>
    <w:rsid w:val="00D1261E"/>
    <w:rsid w:val="00D13F32"/>
    <w:rsid w:val="00D14B5E"/>
    <w:rsid w:val="00D15528"/>
    <w:rsid w:val="00D1685E"/>
    <w:rsid w:val="00D171BA"/>
    <w:rsid w:val="00D17ED0"/>
    <w:rsid w:val="00D25B74"/>
    <w:rsid w:val="00D25CA1"/>
    <w:rsid w:val="00D31474"/>
    <w:rsid w:val="00D32933"/>
    <w:rsid w:val="00D32D14"/>
    <w:rsid w:val="00D3579F"/>
    <w:rsid w:val="00D36B62"/>
    <w:rsid w:val="00D37BF5"/>
    <w:rsid w:val="00D421A7"/>
    <w:rsid w:val="00D42987"/>
    <w:rsid w:val="00D42C18"/>
    <w:rsid w:val="00D43F5E"/>
    <w:rsid w:val="00D44623"/>
    <w:rsid w:val="00D47CF6"/>
    <w:rsid w:val="00D50820"/>
    <w:rsid w:val="00D50C40"/>
    <w:rsid w:val="00D511C3"/>
    <w:rsid w:val="00D51603"/>
    <w:rsid w:val="00D5481D"/>
    <w:rsid w:val="00D55B2D"/>
    <w:rsid w:val="00D60045"/>
    <w:rsid w:val="00D60B7A"/>
    <w:rsid w:val="00D628AE"/>
    <w:rsid w:val="00D647C9"/>
    <w:rsid w:val="00D6632B"/>
    <w:rsid w:val="00D67995"/>
    <w:rsid w:val="00D7163F"/>
    <w:rsid w:val="00D7298C"/>
    <w:rsid w:val="00D73998"/>
    <w:rsid w:val="00D750E1"/>
    <w:rsid w:val="00D76FD9"/>
    <w:rsid w:val="00D800BD"/>
    <w:rsid w:val="00D816C8"/>
    <w:rsid w:val="00D81728"/>
    <w:rsid w:val="00D81BC5"/>
    <w:rsid w:val="00D827CE"/>
    <w:rsid w:val="00D84DEB"/>
    <w:rsid w:val="00D85036"/>
    <w:rsid w:val="00D86D3B"/>
    <w:rsid w:val="00D877A6"/>
    <w:rsid w:val="00D87CF5"/>
    <w:rsid w:val="00D904D9"/>
    <w:rsid w:val="00D946F0"/>
    <w:rsid w:val="00D95156"/>
    <w:rsid w:val="00D95B40"/>
    <w:rsid w:val="00D95BD9"/>
    <w:rsid w:val="00D95DC3"/>
    <w:rsid w:val="00D96A46"/>
    <w:rsid w:val="00D96A67"/>
    <w:rsid w:val="00DA12D5"/>
    <w:rsid w:val="00DA30E1"/>
    <w:rsid w:val="00DA3326"/>
    <w:rsid w:val="00DA3644"/>
    <w:rsid w:val="00DA3FCB"/>
    <w:rsid w:val="00DA630F"/>
    <w:rsid w:val="00DA6A38"/>
    <w:rsid w:val="00DA6B30"/>
    <w:rsid w:val="00DA7040"/>
    <w:rsid w:val="00DB07B5"/>
    <w:rsid w:val="00DB07F9"/>
    <w:rsid w:val="00DB21D1"/>
    <w:rsid w:val="00DB3CAF"/>
    <w:rsid w:val="00DB4966"/>
    <w:rsid w:val="00DB656E"/>
    <w:rsid w:val="00DC1386"/>
    <w:rsid w:val="00DC23CC"/>
    <w:rsid w:val="00DC3206"/>
    <w:rsid w:val="00DC33EC"/>
    <w:rsid w:val="00DC4159"/>
    <w:rsid w:val="00DC58E5"/>
    <w:rsid w:val="00DC6DF2"/>
    <w:rsid w:val="00DC7A46"/>
    <w:rsid w:val="00DC7B69"/>
    <w:rsid w:val="00DD0F54"/>
    <w:rsid w:val="00DD27CD"/>
    <w:rsid w:val="00DD4F7A"/>
    <w:rsid w:val="00DD5050"/>
    <w:rsid w:val="00DD5306"/>
    <w:rsid w:val="00DD5903"/>
    <w:rsid w:val="00DD5E1E"/>
    <w:rsid w:val="00DD7758"/>
    <w:rsid w:val="00DE1828"/>
    <w:rsid w:val="00DE229B"/>
    <w:rsid w:val="00DE3582"/>
    <w:rsid w:val="00DE3A2B"/>
    <w:rsid w:val="00DE4A81"/>
    <w:rsid w:val="00DE7184"/>
    <w:rsid w:val="00DE7AB8"/>
    <w:rsid w:val="00DF23AF"/>
    <w:rsid w:val="00DF3188"/>
    <w:rsid w:val="00DF53D3"/>
    <w:rsid w:val="00DF5529"/>
    <w:rsid w:val="00DF58B1"/>
    <w:rsid w:val="00DF6DE8"/>
    <w:rsid w:val="00DF6FB0"/>
    <w:rsid w:val="00DF76B3"/>
    <w:rsid w:val="00DF76F2"/>
    <w:rsid w:val="00E00083"/>
    <w:rsid w:val="00E009E2"/>
    <w:rsid w:val="00E01DE7"/>
    <w:rsid w:val="00E02488"/>
    <w:rsid w:val="00E0411F"/>
    <w:rsid w:val="00E0494E"/>
    <w:rsid w:val="00E0560C"/>
    <w:rsid w:val="00E0572E"/>
    <w:rsid w:val="00E10005"/>
    <w:rsid w:val="00E104DC"/>
    <w:rsid w:val="00E1238E"/>
    <w:rsid w:val="00E124B9"/>
    <w:rsid w:val="00E12AFE"/>
    <w:rsid w:val="00E13F21"/>
    <w:rsid w:val="00E1612B"/>
    <w:rsid w:val="00E17515"/>
    <w:rsid w:val="00E20591"/>
    <w:rsid w:val="00E22766"/>
    <w:rsid w:val="00E2572E"/>
    <w:rsid w:val="00E2692D"/>
    <w:rsid w:val="00E271C2"/>
    <w:rsid w:val="00E27AC2"/>
    <w:rsid w:val="00E30031"/>
    <w:rsid w:val="00E321B0"/>
    <w:rsid w:val="00E329A6"/>
    <w:rsid w:val="00E345CE"/>
    <w:rsid w:val="00E34CB5"/>
    <w:rsid w:val="00E3604E"/>
    <w:rsid w:val="00E36419"/>
    <w:rsid w:val="00E36607"/>
    <w:rsid w:val="00E37789"/>
    <w:rsid w:val="00E37E61"/>
    <w:rsid w:val="00E40234"/>
    <w:rsid w:val="00E42265"/>
    <w:rsid w:val="00E43366"/>
    <w:rsid w:val="00E44052"/>
    <w:rsid w:val="00E45D83"/>
    <w:rsid w:val="00E45DAA"/>
    <w:rsid w:val="00E46560"/>
    <w:rsid w:val="00E4692F"/>
    <w:rsid w:val="00E47307"/>
    <w:rsid w:val="00E47601"/>
    <w:rsid w:val="00E50456"/>
    <w:rsid w:val="00E50DB1"/>
    <w:rsid w:val="00E51053"/>
    <w:rsid w:val="00E5195C"/>
    <w:rsid w:val="00E51A6B"/>
    <w:rsid w:val="00E51A9F"/>
    <w:rsid w:val="00E51D3B"/>
    <w:rsid w:val="00E52CA8"/>
    <w:rsid w:val="00E550CE"/>
    <w:rsid w:val="00E56BD5"/>
    <w:rsid w:val="00E60B86"/>
    <w:rsid w:val="00E615F9"/>
    <w:rsid w:val="00E62C43"/>
    <w:rsid w:val="00E62E45"/>
    <w:rsid w:val="00E62F7D"/>
    <w:rsid w:val="00E63E29"/>
    <w:rsid w:val="00E700B8"/>
    <w:rsid w:val="00E702B9"/>
    <w:rsid w:val="00E70588"/>
    <w:rsid w:val="00E71C3C"/>
    <w:rsid w:val="00E75FA1"/>
    <w:rsid w:val="00E76419"/>
    <w:rsid w:val="00E77787"/>
    <w:rsid w:val="00E77CD7"/>
    <w:rsid w:val="00E81954"/>
    <w:rsid w:val="00E82017"/>
    <w:rsid w:val="00E82792"/>
    <w:rsid w:val="00E83B6B"/>
    <w:rsid w:val="00E844D7"/>
    <w:rsid w:val="00E84579"/>
    <w:rsid w:val="00E86349"/>
    <w:rsid w:val="00E9268F"/>
    <w:rsid w:val="00E92E9D"/>
    <w:rsid w:val="00E93B3C"/>
    <w:rsid w:val="00E94F24"/>
    <w:rsid w:val="00E96A7F"/>
    <w:rsid w:val="00EA031A"/>
    <w:rsid w:val="00EA0CE9"/>
    <w:rsid w:val="00EA1A40"/>
    <w:rsid w:val="00EA20D7"/>
    <w:rsid w:val="00EA330D"/>
    <w:rsid w:val="00EA33F7"/>
    <w:rsid w:val="00EA5190"/>
    <w:rsid w:val="00EA566E"/>
    <w:rsid w:val="00EA5F4C"/>
    <w:rsid w:val="00EA6109"/>
    <w:rsid w:val="00EA7FA9"/>
    <w:rsid w:val="00EB2688"/>
    <w:rsid w:val="00EB480E"/>
    <w:rsid w:val="00EB6181"/>
    <w:rsid w:val="00EB664F"/>
    <w:rsid w:val="00EB7E37"/>
    <w:rsid w:val="00EC0A45"/>
    <w:rsid w:val="00EC12E8"/>
    <w:rsid w:val="00EC1357"/>
    <w:rsid w:val="00EC1F07"/>
    <w:rsid w:val="00EC5ACF"/>
    <w:rsid w:val="00ED0183"/>
    <w:rsid w:val="00ED22A8"/>
    <w:rsid w:val="00ED2479"/>
    <w:rsid w:val="00ED4EB4"/>
    <w:rsid w:val="00ED5498"/>
    <w:rsid w:val="00ED58C8"/>
    <w:rsid w:val="00ED5D09"/>
    <w:rsid w:val="00ED6BDF"/>
    <w:rsid w:val="00ED6CF9"/>
    <w:rsid w:val="00ED7107"/>
    <w:rsid w:val="00EE0BFC"/>
    <w:rsid w:val="00EE2221"/>
    <w:rsid w:val="00EE276F"/>
    <w:rsid w:val="00EE2982"/>
    <w:rsid w:val="00EE5AE3"/>
    <w:rsid w:val="00EE634F"/>
    <w:rsid w:val="00EE783D"/>
    <w:rsid w:val="00EF0A7D"/>
    <w:rsid w:val="00EF369D"/>
    <w:rsid w:val="00EF38A7"/>
    <w:rsid w:val="00EF6A39"/>
    <w:rsid w:val="00F00B38"/>
    <w:rsid w:val="00F0376E"/>
    <w:rsid w:val="00F044B3"/>
    <w:rsid w:val="00F04917"/>
    <w:rsid w:val="00F053DC"/>
    <w:rsid w:val="00F053E9"/>
    <w:rsid w:val="00F05E83"/>
    <w:rsid w:val="00F0698E"/>
    <w:rsid w:val="00F07DC4"/>
    <w:rsid w:val="00F07E05"/>
    <w:rsid w:val="00F10842"/>
    <w:rsid w:val="00F11CF7"/>
    <w:rsid w:val="00F13C42"/>
    <w:rsid w:val="00F1536C"/>
    <w:rsid w:val="00F161F7"/>
    <w:rsid w:val="00F164D0"/>
    <w:rsid w:val="00F202F5"/>
    <w:rsid w:val="00F206E8"/>
    <w:rsid w:val="00F208E8"/>
    <w:rsid w:val="00F21755"/>
    <w:rsid w:val="00F21F2E"/>
    <w:rsid w:val="00F23947"/>
    <w:rsid w:val="00F23B61"/>
    <w:rsid w:val="00F276F1"/>
    <w:rsid w:val="00F32680"/>
    <w:rsid w:val="00F33A66"/>
    <w:rsid w:val="00F34368"/>
    <w:rsid w:val="00F34E5A"/>
    <w:rsid w:val="00F35452"/>
    <w:rsid w:val="00F41DC3"/>
    <w:rsid w:val="00F45532"/>
    <w:rsid w:val="00F45840"/>
    <w:rsid w:val="00F45ED2"/>
    <w:rsid w:val="00F46A29"/>
    <w:rsid w:val="00F46C71"/>
    <w:rsid w:val="00F505B5"/>
    <w:rsid w:val="00F50EB6"/>
    <w:rsid w:val="00F53C4F"/>
    <w:rsid w:val="00F56905"/>
    <w:rsid w:val="00F56A51"/>
    <w:rsid w:val="00F57D0C"/>
    <w:rsid w:val="00F610AF"/>
    <w:rsid w:val="00F61869"/>
    <w:rsid w:val="00F61899"/>
    <w:rsid w:val="00F63A4E"/>
    <w:rsid w:val="00F650A0"/>
    <w:rsid w:val="00F66CD4"/>
    <w:rsid w:val="00F66E01"/>
    <w:rsid w:val="00F70C35"/>
    <w:rsid w:val="00F7129A"/>
    <w:rsid w:val="00F7180D"/>
    <w:rsid w:val="00F727A7"/>
    <w:rsid w:val="00F729D7"/>
    <w:rsid w:val="00F75572"/>
    <w:rsid w:val="00F7660E"/>
    <w:rsid w:val="00F774CD"/>
    <w:rsid w:val="00F80A5B"/>
    <w:rsid w:val="00F80F59"/>
    <w:rsid w:val="00F82E69"/>
    <w:rsid w:val="00F8414D"/>
    <w:rsid w:val="00F84181"/>
    <w:rsid w:val="00F849B4"/>
    <w:rsid w:val="00F84C5D"/>
    <w:rsid w:val="00F86271"/>
    <w:rsid w:val="00F87176"/>
    <w:rsid w:val="00F87303"/>
    <w:rsid w:val="00F91287"/>
    <w:rsid w:val="00F917FA"/>
    <w:rsid w:val="00F91B28"/>
    <w:rsid w:val="00F91DA0"/>
    <w:rsid w:val="00F9306F"/>
    <w:rsid w:val="00F94B4E"/>
    <w:rsid w:val="00F94FD2"/>
    <w:rsid w:val="00F978B7"/>
    <w:rsid w:val="00FA2FCD"/>
    <w:rsid w:val="00FA3FA8"/>
    <w:rsid w:val="00FA4718"/>
    <w:rsid w:val="00FA6E64"/>
    <w:rsid w:val="00FB1DCD"/>
    <w:rsid w:val="00FB2F0E"/>
    <w:rsid w:val="00FB31CC"/>
    <w:rsid w:val="00FC05EE"/>
    <w:rsid w:val="00FC2EC6"/>
    <w:rsid w:val="00FC339A"/>
    <w:rsid w:val="00FC36E0"/>
    <w:rsid w:val="00FC546F"/>
    <w:rsid w:val="00FC601F"/>
    <w:rsid w:val="00FC6F5E"/>
    <w:rsid w:val="00FC711A"/>
    <w:rsid w:val="00FC7D31"/>
    <w:rsid w:val="00FD13AC"/>
    <w:rsid w:val="00FD2D28"/>
    <w:rsid w:val="00FD5D71"/>
    <w:rsid w:val="00FD6BFE"/>
    <w:rsid w:val="00FE3408"/>
    <w:rsid w:val="00FE3EF0"/>
    <w:rsid w:val="00FE3FF3"/>
    <w:rsid w:val="00FE518A"/>
    <w:rsid w:val="00FE6D8B"/>
    <w:rsid w:val="00FF39EF"/>
    <w:rsid w:val="00FF459F"/>
    <w:rsid w:val="00FF4D4F"/>
    <w:rsid w:val="1609717A"/>
    <w:rsid w:val="17C95645"/>
    <w:rsid w:val="1A113708"/>
    <w:rsid w:val="1C4D25F7"/>
    <w:rsid w:val="1E9816E0"/>
    <w:rsid w:val="1EA661CE"/>
    <w:rsid w:val="250955E0"/>
    <w:rsid w:val="2BE966C6"/>
    <w:rsid w:val="400A2F55"/>
    <w:rsid w:val="478840C7"/>
    <w:rsid w:val="4D8212ED"/>
    <w:rsid w:val="5513134B"/>
    <w:rsid w:val="5D764CE7"/>
    <w:rsid w:val="6A4171AA"/>
    <w:rsid w:val="73422449"/>
    <w:rsid w:val="7ADA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494EC7-AC63-4F9B-9A16-3F3ACA7D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nhideWhenUsed/>
    <w:qFormat/>
    <w:pPr>
      <w:jc w:val="left"/>
    </w:pPr>
  </w:style>
  <w:style w:type="paragraph" w:styleId="a8">
    <w:name w:val="Balloon Text"/>
    <w:basedOn w:val="a"/>
    <w:semiHidden/>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af1"/>
    <w:uiPriority w:val="99"/>
    <w:unhideWhenUsed/>
    <w:qFormat/>
    <w:rPr>
      <w:b/>
      <w:bCs/>
    </w:rPr>
  </w:style>
  <w:style w:type="table" w:styleId="a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3">
    <w:name w:val="Hyperlink"/>
    <w:uiPriority w:val="99"/>
    <w:unhideWhenUsed/>
    <w:qFormat/>
    <w:rPr>
      <w:color w:val="0000FF"/>
      <w:u w:val="single"/>
    </w:rPr>
  </w:style>
  <w:style w:type="character" w:styleId="af4">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d"/>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d"/>
    <w:next w:val="4"/>
    <w:qFormat/>
    <w:pPr>
      <w:keepNext/>
      <w:keepLines/>
      <w:numPr>
        <w:ilvl w:val="1"/>
        <w:numId w:val="1"/>
      </w:numPr>
      <w:jc w:val="left"/>
    </w:pPr>
    <w:rPr>
      <w:bCs w:val="0"/>
      <w:sz w:val="24"/>
    </w:rPr>
  </w:style>
  <w:style w:type="paragraph" w:customStyle="1" w:styleId="XBRLTitle3">
    <w:name w:val="XBRLTitle3"/>
    <w:basedOn w:val="ad"/>
    <w:next w:val="4"/>
    <w:qFormat/>
    <w:pPr>
      <w:keepNext/>
      <w:keepLines/>
      <w:numPr>
        <w:ilvl w:val="2"/>
        <w:numId w:val="1"/>
      </w:numPr>
      <w:ind w:left="0" w:firstLine="0"/>
      <w:jc w:val="left"/>
    </w:pPr>
    <w:rPr>
      <w:bCs w:val="0"/>
      <w:sz w:val="24"/>
    </w:rPr>
  </w:style>
  <w:style w:type="paragraph" w:customStyle="1" w:styleId="XBRLTitle5">
    <w:name w:val="XBRLTitle5"/>
    <w:basedOn w:val="ad"/>
    <w:next w:val="4"/>
    <w:qFormat/>
    <w:pPr>
      <w:keepNext/>
      <w:keepLines/>
      <w:numPr>
        <w:ilvl w:val="4"/>
        <w:numId w:val="1"/>
      </w:numPr>
      <w:ind w:left="0" w:firstLine="0"/>
      <w:jc w:val="left"/>
    </w:pPr>
    <w:rPr>
      <w:bCs w:val="0"/>
      <w:sz w:val="24"/>
    </w:rPr>
  </w:style>
  <w:style w:type="paragraph" w:customStyle="1" w:styleId="XBRLTitle4">
    <w:name w:val="XBRLTitle4"/>
    <w:basedOn w:val="ad"/>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7">
    <w:name w:val="批注文字 字符"/>
    <w:link w:val="a6"/>
    <w:qFormat/>
    <w:rPr>
      <w:kern w:val="2"/>
      <w:sz w:val="21"/>
      <w:szCs w:val="22"/>
    </w:rPr>
  </w:style>
  <w:style w:type="character" w:customStyle="1" w:styleId="af1">
    <w:name w:val="批注主题 字符"/>
    <w:link w:val="af0"/>
    <w:uiPriority w:val="99"/>
    <w:semiHidden/>
    <w:qFormat/>
    <w:rPr>
      <w:b/>
      <w:bCs/>
      <w:kern w:val="2"/>
      <w:sz w:val="21"/>
      <w:szCs w:val="22"/>
    </w:rPr>
  </w:style>
  <w:style w:type="character" w:customStyle="1" w:styleId="ac">
    <w:name w:val="页眉 字符"/>
    <w:link w:val="ab"/>
    <w:uiPriority w:val="99"/>
    <w:qFormat/>
    <w:rPr>
      <w:sz w:val="18"/>
      <w:szCs w:val="18"/>
    </w:rPr>
  </w:style>
  <w:style w:type="character" w:customStyle="1" w:styleId="ae">
    <w:name w:val="副标题 字符"/>
    <w:link w:val="ad"/>
    <w:qFormat/>
    <w:rPr>
      <w:rFonts w:ascii="Cambria" w:hAnsi="Cambria" w:cs="Times New Roman"/>
      <w:b/>
      <w:bCs/>
      <w:kern w:val="28"/>
      <w:sz w:val="32"/>
      <w:szCs w:val="32"/>
    </w:rPr>
  </w:style>
  <w:style w:type="character" w:customStyle="1" w:styleId="a5">
    <w:name w:val="文档结构图 字符"/>
    <w:link w:val="a4"/>
    <w:uiPriority w:val="99"/>
    <w:semiHidden/>
    <w:qFormat/>
    <w:rPr>
      <w:rFonts w:ascii="宋体"/>
      <w:kern w:val="2"/>
      <w:sz w:val="18"/>
      <w:szCs w:val="18"/>
    </w:rPr>
  </w:style>
  <w:style w:type="character" w:customStyle="1" w:styleId="aa">
    <w:name w:val="页脚 字符"/>
    <w:link w:val="a9"/>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qFormat/>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 w:type="character" w:customStyle="1" w:styleId="Char">
    <w:name w:val="批注文字 Char"/>
    <w:qFormat/>
    <w:rPr>
      <w:kern w:val="2"/>
      <w:sz w:val="21"/>
    </w:rPr>
  </w:style>
  <w:style w:type="paragraph" w:customStyle="1" w:styleId="12">
    <w:name w:val="修订1"/>
    <w:hidden/>
    <w:uiPriority w:val="99"/>
    <w:semiHidden/>
    <w:qFormat/>
    <w:rPr>
      <w:kern w:val="2"/>
      <w:sz w:val="21"/>
      <w:szCs w:val="22"/>
    </w:rPr>
  </w:style>
  <w:style w:type="character" w:customStyle="1" w:styleId="13">
    <w:name w:val="批注文字 字符1"/>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41169">
      <w:bodyDiv w:val="1"/>
      <w:marLeft w:val="0"/>
      <w:marRight w:val="0"/>
      <w:marTop w:val="0"/>
      <w:marBottom w:val="0"/>
      <w:divBdr>
        <w:top w:val="none" w:sz="0" w:space="0" w:color="auto"/>
        <w:left w:val="none" w:sz="0" w:space="0" w:color="auto"/>
        <w:bottom w:val="none" w:sz="0" w:space="0" w:color="auto"/>
        <w:right w:val="none" w:sz="0" w:space="0" w:color="auto"/>
      </w:divBdr>
    </w:div>
    <w:div w:id="207384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B2098-0B1E-4E24-834D-88D2025E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118</Pages>
  <Words>12922</Words>
  <Characters>73656</Characters>
  <Application>Microsoft Office Word</Application>
  <DocSecurity>0</DocSecurity>
  <Lines>613</Lines>
  <Paragraphs>172</Paragraphs>
  <ScaleCrop>false</ScaleCrop>
  <Company>Microsoft</Company>
  <LinksUpToDate>false</LinksUpToDate>
  <CharactersWithSpaces>86406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8</cp:revision>
  <cp:lastPrinted>2025-01-23T07:55:00Z</cp:lastPrinted>
  <dcterms:created xsi:type="dcterms:W3CDTF">2025-06-23T03:10:00Z</dcterms:created>
  <dcterms:modified xsi:type="dcterms:W3CDTF">2025-06-23T03:33:00Z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2565141B4086471FA3EE4002F0E6BB43</vt:lpwstr>
  </property>
</Properties>
</file>