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jc w:val="center"/>
        <w:rPr>
          <w:rFonts w:asciiTheme="minorEastAsia" w:hAnsiTheme="minorEastAsia" w:eastAsiaTheme="minorEastAsia"/>
          <w:color w:val="auto"/>
          <w:sz w:val="30"/>
        </w:rPr>
      </w:pPr>
      <w:r>
        <w:rPr>
          <w:rFonts w:hint="eastAsia" w:asciiTheme="minorEastAsia" w:hAnsiTheme="minorEastAsia" w:eastAsiaTheme="minorEastAsia"/>
          <w:color w:val="auto"/>
          <w:sz w:val="30"/>
        </w:rPr>
        <w:t>交银施罗德</w:t>
      </w:r>
      <w:r>
        <w:rPr>
          <w:rFonts w:hint="eastAsia" w:asciiTheme="minorEastAsia" w:hAnsiTheme="minorEastAsia" w:eastAsiaTheme="minorEastAsia"/>
          <w:color w:val="auto"/>
          <w:sz w:val="30"/>
          <w:lang w:val="en-US" w:eastAsia="zh-CN"/>
        </w:rPr>
        <w:t>瑞安</w:t>
      </w:r>
      <w:r>
        <w:rPr>
          <w:rFonts w:hint="eastAsia" w:asciiTheme="minorEastAsia" w:hAnsiTheme="minorEastAsia" w:eastAsiaTheme="minorEastAsia"/>
          <w:color w:val="auto"/>
          <w:sz w:val="30"/>
        </w:rPr>
        <w:t>混合型证券投资基金基金合同摘要</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lang w:val="en-US" w:eastAsia="zh-CN" w:bidi="ar"/>
        </w:rPr>
      </w:pPr>
    </w:p>
    <w:p>
      <w:pPr>
        <w:spacing w:line="360" w:lineRule="auto"/>
        <w:ind w:firstLine="482" w:firstLineChars="200"/>
        <w:outlineLvl w:val="1"/>
        <w:rPr>
          <w:b/>
          <w:sz w:val="24"/>
          <w:szCs w:val="24"/>
        </w:rPr>
      </w:pPr>
      <w:r>
        <w:rPr>
          <w:rFonts w:hAnsi="宋体"/>
          <w:b/>
          <w:sz w:val="24"/>
          <w:szCs w:val="24"/>
        </w:rPr>
        <w:t>一、基金管理人、基金托管人和基金份额持有人的权利、义务</w:t>
      </w:r>
    </w:p>
    <w:p>
      <w:pPr>
        <w:spacing w:line="360" w:lineRule="auto"/>
        <w:ind w:firstLine="480" w:firstLineChars="200"/>
        <w:outlineLvl w:val="2"/>
        <w:rPr>
          <w:bCs/>
          <w:sz w:val="24"/>
        </w:rPr>
      </w:pPr>
      <w:r>
        <w:rPr>
          <w:rFonts w:hAnsi="宋体"/>
          <w:bCs/>
          <w:sz w:val="24"/>
        </w:rPr>
        <w:t>（一）基金管理人的权利</w:t>
      </w:r>
      <w:bookmarkStart w:id="3" w:name="_GoBack"/>
      <w:bookmarkEnd w:id="3"/>
    </w:p>
    <w:p>
      <w:pPr>
        <w:spacing w:line="360" w:lineRule="auto"/>
        <w:ind w:firstLine="480" w:firstLineChars="200"/>
        <w:rPr>
          <w:rFonts w:hAnsi="宋体"/>
          <w:bCs/>
          <w:sz w:val="24"/>
        </w:rPr>
      </w:pPr>
      <w:r>
        <w:rPr>
          <w:rFonts w:hint="eastAsia" w:hAnsi="宋体"/>
          <w:bCs/>
          <w:sz w:val="24"/>
        </w:rPr>
        <w:t>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w:t>
      </w:r>
      <w:r>
        <w:rPr>
          <w:rFonts w:hint="eastAsia"/>
          <w:bCs/>
          <w:sz w:val="24"/>
        </w:rPr>
        <w:t>（包括固定管理费、或有管理费和超额管理费）</w:t>
      </w:r>
      <w:r>
        <w:rPr>
          <w:bCs/>
          <w:sz w:val="24"/>
        </w:rPr>
        <w:t>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p>
    <w:p>
      <w:pPr>
        <w:spacing w:line="440" w:lineRule="atLeast"/>
        <w:ind w:firstLine="480" w:firstLineChars="200"/>
        <w:rPr>
          <w:bCs/>
          <w:sz w:val="24"/>
        </w:rPr>
      </w:pPr>
      <w:r>
        <w:rPr>
          <w:bCs/>
          <w:sz w:val="24"/>
        </w:rPr>
        <w:t>（11）在《基金合同》约定的范围内，拒绝或暂停受理申购与赎回申请；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spacing w:line="440" w:lineRule="atLeast"/>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spacing w:line="360" w:lineRule="auto"/>
        <w:ind w:firstLine="480" w:firstLineChars="200"/>
        <w:outlineLvl w:val="2"/>
        <w:rPr>
          <w:bCs/>
          <w:sz w:val="24"/>
        </w:rPr>
      </w:pPr>
      <w:r>
        <w:rPr>
          <w:rFonts w:hAnsi="宋体"/>
          <w:bCs/>
          <w:sz w:val="24"/>
        </w:rPr>
        <w:t>（二）基金管理人的义务</w:t>
      </w:r>
    </w:p>
    <w:p>
      <w:pPr>
        <w:autoSpaceDE w:val="0"/>
        <w:autoSpaceDN w:val="0"/>
        <w:adjustRightInd w:val="0"/>
        <w:spacing w:line="360" w:lineRule="auto"/>
        <w:ind w:firstLine="480" w:firstLineChars="200"/>
        <w:jc w:val="left"/>
        <w:rPr>
          <w:bCs/>
          <w:sz w:val="24"/>
        </w:rPr>
      </w:pPr>
      <w:r>
        <w:rPr>
          <w:rFonts w:hAnsi="宋体"/>
          <w:bCs/>
          <w:sz w:val="24"/>
        </w:rPr>
        <w:t>根据《基金法》、《运作办法》及其他有关规定，基金管理人的义务包括但不限于：</w:t>
      </w:r>
    </w:p>
    <w:p>
      <w:pPr>
        <w:spacing w:line="360" w:lineRule="auto"/>
        <w:ind w:firstLine="480" w:firstLineChars="200"/>
        <w:rPr>
          <w:rFonts w:hint="eastAsia"/>
          <w:bCs/>
          <w:sz w:val="24"/>
        </w:rPr>
      </w:pPr>
      <w:r>
        <w:rPr>
          <w:rFonts w:hint="eastAsia"/>
          <w:bCs/>
          <w:sz w:val="24"/>
        </w:rPr>
        <w:t>（1）依法募集资金，办理或者委托经中国证监会认定的其他机构办理基金份额的发售、申购、赎回和登记事宜；</w:t>
      </w:r>
    </w:p>
    <w:p>
      <w:pPr>
        <w:spacing w:line="360" w:lineRule="auto"/>
        <w:ind w:firstLine="480" w:firstLineChars="200"/>
        <w:rPr>
          <w:rFonts w:hint="eastAsia"/>
          <w:bCs/>
          <w:sz w:val="24"/>
        </w:rPr>
      </w:pPr>
      <w:r>
        <w:rPr>
          <w:rFonts w:hint="eastAsia"/>
          <w:bCs/>
          <w:sz w:val="24"/>
        </w:rPr>
        <w:t>（2）办理基金备案手续；</w:t>
      </w:r>
    </w:p>
    <w:p>
      <w:pPr>
        <w:spacing w:line="360" w:lineRule="auto"/>
        <w:ind w:firstLine="480" w:firstLineChars="200"/>
        <w:rPr>
          <w:rFonts w:hint="eastAsia"/>
          <w:bCs/>
          <w:sz w:val="24"/>
        </w:rPr>
      </w:pPr>
      <w:r>
        <w:rPr>
          <w:rFonts w:hint="eastAsia"/>
          <w:bCs/>
          <w:sz w:val="24"/>
        </w:rPr>
        <w:t>（3）自《基金合同》生效之日起，以诚实信用、谨慎勤勉的原则管理和运用基金财产；</w:t>
      </w:r>
    </w:p>
    <w:p>
      <w:pPr>
        <w:spacing w:line="360" w:lineRule="auto"/>
        <w:ind w:firstLine="480" w:firstLineChars="200"/>
        <w:rPr>
          <w:rFonts w:hint="eastAsia"/>
          <w:bCs/>
          <w:sz w:val="24"/>
        </w:rPr>
      </w:pPr>
      <w:r>
        <w:rPr>
          <w:rFonts w:hint="eastAsia"/>
          <w:bCs/>
          <w:sz w:val="24"/>
        </w:rPr>
        <w:t>（4）配备足够的具有专业资格的人员进行基金投资分析、决策，以专业化的经营方式管理和运作基金财产；</w:t>
      </w:r>
    </w:p>
    <w:p>
      <w:pPr>
        <w:spacing w:line="360" w:lineRule="auto"/>
        <w:ind w:firstLine="480" w:firstLineChars="200"/>
        <w:rPr>
          <w:rFonts w:hint="eastAsia"/>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rFonts w:hint="eastAsia"/>
          <w:bCs/>
          <w:sz w:val="24"/>
        </w:rPr>
      </w:pPr>
      <w:r>
        <w:rPr>
          <w:rFonts w:hint="eastAsia"/>
          <w:bCs/>
          <w:sz w:val="24"/>
        </w:rPr>
        <w:t>（6）除依据《基金法》、《基金合同》及其他有关规定外，不得利用基金财产为自己及任何第三人谋取利益，不得委托第三人运作基金财产；</w:t>
      </w:r>
    </w:p>
    <w:p>
      <w:pPr>
        <w:spacing w:line="360" w:lineRule="auto"/>
        <w:ind w:firstLine="480" w:firstLineChars="200"/>
        <w:rPr>
          <w:rFonts w:hint="eastAsia"/>
          <w:bCs/>
          <w:sz w:val="24"/>
        </w:rPr>
      </w:pPr>
      <w:r>
        <w:rPr>
          <w:rFonts w:hint="eastAsia"/>
          <w:bCs/>
          <w:sz w:val="24"/>
        </w:rPr>
        <w:t>（7）依法接受基金托管人的监督；</w:t>
      </w:r>
    </w:p>
    <w:p>
      <w:pPr>
        <w:spacing w:line="360" w:lineRule="auto"/>
        <w:ind w:firstLine="480" w:firstLineChars="200"/>
        <w:rPr>
          <w:rFonts w:hint="eastAsia"/>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rFonts w:hint="eastAsia"/>
          <w:bCs/>
          <w:sz w:val="24"/>
        </w:rPr>
      </w:pPr>
      <w:r>
        <w:rPr>
          <w:rFonts w:hint="eastAsia"/>
          <w:bCs/>
          <w:sz w:val="24"/>
        </w:rPr>
        <w:t>（9）进行基金会计核算并编制基金财务会计报告；</w:t>
      </w:r>
    </w:p>
    <w:p>
      <w:pPr>
        <w:spacing w:line="360" w:lineRule="auto"/>
        <w:ind w:firstLine="480" w:firstLineChars="200"/>
        <w:rPr>
          <w:rFonts w:hint="eastAsia"/>
          <w:bCs/>
          <w:sz w:val="24"/>
        </w:rPr>
      </w:pPr>
      <w:r>
        <w:rPr>
          <w:rFonts w:hint="eastAsia"/>
          <w:bCs/>
          <w:sz w:val="24"/>
        </w:rPr>
        <w:t>（10）编制季度报告、中期报告和年度报告；</w:t>
      </w:r>
    </w:p>
    <w:p>
      <w:pPr>
        <w:spacing w:line="360" w:lineRule="auto"/>
        <w:ind w:firstLine="480" w:firstLineChars="200"/>
        <w:rPr>
          <w:rFonts w:hint="eastAsia"/>
          <w:bCs/>
          <w:sz w:val="24"/>
        </w:rPr>
      </w:pPr>
      <w:r>
        <w:rPr>
          <w:rFonts w:hint="eastAsia"/>
          <w:bCs/>
          <w:sz w:val="24"/>
        </w:rPr>
        <w:t>（11）严格按照《基金法》、《基金合同》及其他有关规定，履行信息披露及报告义务；</w:t>
      </w:r>
    </w:p>
    <w:p>
      <w:pPr>
        <w:spacing w:line="360" w:lineRule="auto"/>
        <w:ind w:firstLine="480" w:firstLineChars="200"/>
        <w:rPr>
          <w:rFonts w:hint="eastAsia"/>
          <w:bCs/>
          <w:sz w:val="24"/>
        </w:rPr>
      </w:pPr>
      <w:r>
        <w:rPr>
          <w:rFonts w:hint="eastAsia"/>
          <w:bCs/>
          <w:sz w:val="24"/>
        </w:rPr>
        <w:t>（12）保守基金商业秘密，不泄露基金投资计划、投资意向等。除《基金法》、《基金合同》及其他有关规定另有规定外，在基金信息公开披露前应予保密，不向他人泄露；但根据监管机构、司法机关等有权机关的要求提供，或因审计、法律等外部专业顾问提供服务需要提供的情况除外；</w:t>
      </w:r>
    </w:p>
    <w:p>
      <w:pPr>
        <w:spacing w:line="360" w:lineRule="auto"/>
        <w:ind w:firstLine="480" w:firstLineChars="200"/>
        <w:rPr>
          <w:rFonts w:hint="eastAsia"/>
          <w:bCs/>
          <w:sz w:val="24"/>
        </w:rPr>
      </w:pPr>
      <w:r>
        <w:rPr>
          <w:rFonts w:hint="eastAsia"/>
          <w:bCs/>
          <w:sz w:val="24"/>
        </w:rPr>
        <w:t>（13）按《基金合同》的约定确定基金收益分配方案，及时向基金份额持有人分配基金收益；</w:t>
      </w:r>
    </w:p>
    <w:p>
      <w:pPr>
        <w:spacing w:line="360" w:lineRule="auto"/>
        <w:ind w:firstLine="480" w:firstLineChars="200"/>
        <w:rPr>
          <w:rFonts w:hint="eastAsia"/>
          <w:bCs/>
          <w:sz w:val="24"/>
        </w:rPr>
      </w:pPr>
      <w:r>
        <w:rPr>
          <w:rFonts w:hint="eastAsia"/>
          <w:bCs/>
          <w:sz w:val="24"/>
        </w:rPr>
        <w:t>（14）按规定受理申购与赎回申请，及时、足额支付赎回款项；</w:t>
      </w:r>
    </w:p>
    <w:p>
      <w:pPr>
        <w:spacing w:line="360" w:lineRule="auto"/>
        <w:ind w:firstLine="480" w:firstLineChars="200"/>
        <w:rPr>
          <w:rFonts w:hint="eastAsia"/>
          <w:bCs/>
          <w:sz w:val="24"/>
        </w:rPr>
      </w:pPr>
      <w:r>
        <w:rPr>
          <w:rFonts w:hint="eastAsia"/>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rFonts w:hint="eastAsia"/>
          <w:bCs/>
          <w:sz w:val="24"/>
        </w:rPr>
      </w:pPr>
      <w:r>
        <w:rPr>
          <w:rFonts w:hint="eastAsia"/>
          <w:bCs/>
          <w:sz w:val="24"/>
        </w:rPr>
        <w:t>（16）按规定保存基金财产管理业务活动的会计账册、报表、记录和其他相关资料不低于法律法规规定的最低期限；</w:t>
      </w:r>
    </w:p>
    <w:p>
      <w:pPr>
        <w:spacing w:line="360" w:lineRule="auto"/>
        <w:ind w:firstLine="480" w:firstLineChars="200"/>
        <w:rPr>
          <w:rFonts w:hint="eastAsia"/>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hint="eastAsia"/>
          <w:bCs/>
          <w:sz w:val="24"/>
        </w:rPr>
      </w:pPr>
      <w:r>
        <w:rPr>
          <w:rFonts w:hint="eastAsia"/>
          <w:bCs/>
          <w:sz w:val="24"/>
        </w:rPr>
        <w:t>（18）组织并参加基金财产清算小组，参与基金财产的保管、清理、估价、变现和分配；</w:t>
      </w:r>
    </w:p>
    <w:p>
      <w:pPr>
        <w:spacing w:line="360" w:lineRule="auto"/>
        <w:ind w:firstLine="480" w:firstLineChars="200"/>
        <w:rPr>
          <w:rFonts w:hint="eastAsia"/>
          <w:bCs/>
          <w:sz w:val="24"/>
        </w:rPr>
      </w:pPr>
      <w:r>
        <w:rPr>
          <w:rFonts w:hint="eastAsia"/>
          <w:bCs/>
          <w:sz w:val="24"/>
        </w:rPr>
        <w:t>（19）面临解散、依法被撤销或者被依法宣告破产时，及时报告中国证监会并通知基金托管人；</w:t>
      </w:r>
    </w:p>
    <w:p>
      <w:pPr>
        <w:spacing w:line="360" w:lineRule="auto"/>
        <w:ind w:firstLine="480" w:firstLineChars="200"/>
        <w:rPr>
          <w:rFonts w:hint="eastAsia"/>
          <w:bCs/>
          <w:sz w:val="24"/>
        </w:rPr>
      </w:pPr>
      <w:r>
        <w:rPr>
          <w:rFonts w:hint="eastAsia"/>
          <w:bCs/>
          <w:sz w:val="24"/>
        </w:rPr>
        <w:t>（20）因违反《基金合同》导致基金财产的损失或损害基金份额持有人合法权益时，应当承担赔偿责任，其赔偿责任不因其退任而免除；</w:t>
      </w:r>
    </w:p>
    <w:p>
      <w:pPr>
        <w:spacing w:line="360" w:lineRule="auto"/>
        <w:ind w:firstLine="480" w:firstLineChars="200"/>
        <w:rPr>
          <w:rFonts w:hint="eastAsia"/>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hint="eastAsia"/>
          <w:bCs/>
          <w:sz w:val="24"/>
        </w:rPr>
      </w:pPr>
      <w:r>
        <w:rPr>
          <w:rFonts w:hint="eastAsia"/>
          <w:bCs/>
          <w:sz w:val="24"/>
        </w:rPr>
        <w:t>（22）当基金管理人将其义务委托第三方处理时，应当对第三方处理有关基金事务的行为承担责任；</w:t>
      </w:r>
    </w:p>
    <w:p>
      <w:pPr>
        <w:spacing w:line="360" w:lineRule="auto"/>
        <w:ind w:firstLine="480" w:firstLineChars="200"/>
        <w:rPr>
          <w:rFonts w:hint="eastAsia"/>
          <w:bCs/>
          <w:sz w:val="24"/>
        </w:rPr>
      </w:pPr>
      <w:r>
        <w:rPr>
          <w:rFonts w:hint="eastAsia"/>
          <w:bCs/>
          <w:sz w:val="24"/>
        </w:rPr>
        <w:t>（23）以基金管理人名义，代表基金份额持有人利益行使诉讼权利或实施其他法律行为；</w:t>
      </w:r>
      <w:r>
        <w:rPr>
          <w:rFonts w:hint="eastAsia"/>
          <w:bCs/>
          <w:sz w:val="24"/>
        </w:rPr>
        <w:tab/>
      </w:r>
    </w:p>
    <w:p>
      <w:pPr>
        <w:spacing w:line="360" w:lineRule="auto"/>
        <w:ind w:firstLine="480" w:firstLineChars="200"/>
        <w:rPr>
          <w:rFonts w:hint="eastAsia"/>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spacing w:line="360" w:lineRule="auto"/>
        <w:ind w:firstLine="480" w:firstLineChars="200"/>
        <w:rPr>
          <w:rFonts w:hint="eastAsia"/>
          <w:bCs/>
          <w:sz w:val="24"/>
        </w:rPr>
      </w:pPr>
      <w:r>
        <w:rPr>
          <w:rFonts w:hint="eastAsia"/>
          <w:bCs/>
          <w:sz w:val="24"/>
        </w:rPr>
        <w:t>（25）执行生效的基金份额持有人大会的决议；</w:t>
      </w:r>
    </w:p>
    <w:p>
      <w:pPr>
        <w:spacing w:line="360" w:lineRule="auto"/>
        <w:ind w:firstLine="480" w:firstLineChars="200"/>
        <w:rPr>
          <w:rFonts w:hint="eastAsia"/>
          <w:bCs/>
          <w:sz w:val="24"/>
        </w:rPr>
      </w:pPr>
      <w:r>
        <w:rPr>
          <w:rFonts w:hint="eastAsia"/>
          <w:bCs/>
          <w:sz w:val="24"/>
        </w:rPr>
        <w:t>（26）建立并保存基金份额持有人名册；</w:t>
      </w:r>
    </w:p>
    <w:p>
      <w:pPr>
        <w:spacing w:line="360" w:lineRule="auto"/>
        <w:ind w:firstLine="480" w:firstLineChars="200"/>
        <w:rPr>
          <w:rFonts w:hint="eastAsia"/>
          <w:bCs/>
          <w:sz w:val="24"/>
        </w:rPr>
      </w:pPr>
      <w:r>
        <w:rPr>
          <w:rFonts w:hint="eastAsia"/>
          <w:bCs/>
          <w:sz w:val="24"/>
        </w:rPr>
        <w:t>（27）法律法规及中国证监会规定的和《基金合同》约定的其他义务。</w:t>
      </w:r>
    </w:p>
    <w:p>
      <w:pPr>
        <w:spacing w:line="360" w:lineRule="auto"/>
        <w:ind w:firstLine="480" w:firstLineChars="200"/>
        <w:outlineLvl w:val="2"/>
        <w:rPr>
          <w:bCs/>
          <w:sz w:val="24"/>
        </w:rPr>
      </w:pPr>
      <w:r>
        <w:rPr>
          <w:rFonts w:hAnsi="宋体"/>
          <w:bCs/>
          <w:sz w:val="24"/>
        </w:rPr>
        <w:t>（三）基金托管人的权利</w:t>
      </w:r>
    </w:p>
    <w:p>
      <w:pPr>
        <w:spacing w:line="360" w:lineRule="auto"/>
        <w:ind w:firstLine="480" w:firstLineChars="200"/>
        <w:rPr>
          <w:rFonts w:hAnsi="宋体"/>
          <w:bCs/>
          <w:sz w:val="24"/>
        </w:rPr>
      </w:pPr>
      <w:r>
        <w:rPr>
          <w:rFonts w:hAnsi="宋体"/>
          <w:bCs/>
          <w:sz w:val="24"/>
        </w:rPr>
        <w:t>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outlineLvl w:val="2"/>
        <w:rPr>
          <w:sz w:val="24"/>
        </w:rPr>
      </w:pPr>
      <w:r>
        <w:rPr>
          <w:rFonts w:hAnsi="宋体"/>
          <w:bCs/>
          <w:sz w:val="24"/>
        </w:rPr>
        <w:t>（四）</w:t>
      </w:r>
      <w:r>
        <w:rPr>
          <w:rFonts w:hAnsi="宋体"/>
          <w:sz w:val="24"/>
        </w:rPr>
        <w:t>基金托管人的义务</w:t>
      </w:r>
    </w:p>
    <w:p>
      <w:pPr>
        <w:autoSpaceDE w:val="0"/>
        <w:autoSpaceDN w:val="0"/>
        <w:adjustRightInd w:val="0"/>
        <w:spacing w:line="360" w:lineRule="auto"/>
        <w:ind w:firstLine="480" w:firstLineChars="200"/>
        <w:jc w:val="left"/>
        <w:rPr>
          <w:rFonts w:hAnsi="宋体"/>
          <w:bCs/>
          <w:sz w:val="24"/>
        </w:rPr>
      </w:pPr>
      <w:r>
        <w:rPr>
          <w:rFonts w:hAnsi="宋体"/>
          <w:bCs/>
          <w:sz w:val="24"/>
        </w:rPr>
        <w:t>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r>
        <w:rPr>
          <w:rFonts w:hint="eastAsia"/>
          <w:bCs/>
          <w:sz w:val="24"/>
        </w:rPr>
        <w:t>；但根据监管机构、司法机关等有权机关的要求提供，或因审计、法律等外部专业顾问提供服务需要提供的情况除外</w:t>
      </w:r>
      <w:r>
        <w:rPr>
          <w:bCs/>
          <w:sz w:val="24"/>
        </w:rPr>
        <w:t>；</w:t>
      </w:r>
    </w:p>
    <w:p>
      <w:pPr>
        <w:spacing w:line="360" w:lineRule="auto"/>
        <w:ind w:firstLine="480" w:firstLineChars="200"/>
        <w:rPr>
          <w:bCs/>
          <w:sz w:val="24"/>
        </w:rPr>
      </w:pPr>
      <w:r>
        <w:rPr>
          <w:bCs/>
          <w:sz w:val="24"/>
        </w:rPr>
        <w:t>（8）复核、审查基金管理人计算的基金资产净值、</w:t>
      </w:r>
      <w:r>
        <w:rPr>
          <w:rFonts w:hint="eastAsia"/>
          <w:bCs/>
          <w:sz w:val="24"/>
        </w:rPr>
        <w:t>各类基金份额净值、</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不低于法律法规规定的最低期限</w:t>
      </w:r>
      <w:r>
        <w:rPr>
          <w:bCs/>
          <w:sz w:val="24"/>
        </w:rPr>
        <w:t>；</w:t>
      </w:r>
    </w:p>
    <w:p>
      <w:pPr>
        <w:spacing w:line="360" w:lineRule="auto"/>
        <w:ind w:firstLine="480" w:firstLineChars="200"/>
        <w:rPr>
          <w:bCs/>
          <w:sz w:val="24"/>
        </w:rPr>
      </w:pPr>
      <w:r>
        <w:rPr>
          <w:bCs/>
          <w:sz w:val="24"/>
        </w:rPr>
        <w:t>（12）</w:t>
      </w:r>
      <w:r>
        <w:rPr>
          <w:rFonts w:hint="eastAsia"/>
          <w:bCs/>
          <w:sz w:val="24"/>
        </w:rPr>
        <w:t>建立并</w:t>
      </w:r>
      <w:r>
        <w:rPr>
          <w:bCs/>
          <w:sz w:val="24"/>
        </w:rPr>
        <w:t>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w:t>
      </w:r>
      <w:r>
        <w:rPr>
          <w:bCs/>
          <w:sz w:val="24"/>
        </w:rPr>
        <w:t>管理人、基金份额持有人依法召集基金份额持有人大会；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w:t>
      </w:r>
      <w:r>
        <w:rPr>
          <w:rFonts w:hint="eastAsia"/>
          <w:bCs/>
          <w:sz w:val="24"/>
        </w:rPr>
        <w:t>业监督管理</w:t>
      </w:r>
      <w:r>
        <w:rPr>
          <w:bCs/>
          <w:sz w:val="24"/>
        </w:rPr>
        <w:t>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autoSpaceDE w:val="0"/>
        <w:autoSpaceDN w:val="0"/>
        <w:adjustRightInd w:val="0"/>
        <w:spacing w:line="360" w:lineRule="auto"/>
        <w:ind w:firstLine="480" w:firstLineChars="200"/>
        <w:jc w:val="left"/>
        <w:rPr>
          <w:rFonts w:hint="eastAsia"/>
          <w:bCs/>
          <w:sz w:val="24"/>
        </w:rPr>
      </w:pPr>
      <w:r>
        <w:rPr>
          <w:bCs/>
          <w:sz w:val="24"/>
        </w:rPr>
        <w:t>（22）法律法规及中国证监会规定的和《基金合同》约定的其他义务。</w:t>
      </w:r>
    </w:p>
    <w:p>
      <w:pPr>
        <w:autoSpaceDE w:val="0"/>
        <w:autoSpaceDN w:val="0"/>
        <w:adjustRightInd w:val="0"/>
        <w:spacing w:line="360" w:lineRule="auto"/>
        <w:ind w:firstLine="480" w:firstLineChars="200"/>
        <w:jc w:val="left"/>
        <w:outlineLvl w:val="2"/>
        <w:rPr>
          <w:bCs/>
          <w:sz w:val="24"/>
        </w:rPr>
      </w:pPr>
      <w:r>
        <w:rPr>
          <w:bCs/>
          <w:sz w:val="24"/>
        </w:rPr>
        <w:t>（五）基金份额持有人的权利</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w:t>
      </w:r>
      <w:r>
        <w:rPr>
          <w:rFonts w:hint="eastAsia"/>
          <w:bCs/>
          <w:sz w:val="24"/>
        </w:rPr>
        <w:t>基金</w:t>
      </w:r>
      <w:r>
        <w:rPr>
          <w:bCs/>
          <w:sz w:val="24"/>
        </w:rPr>
        <w:t>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同一类别</w:t>
      </w:r>
      <w:r>
        <w:rPr>
          <w:bCs/>
          <w:sz w:val="24"/>
        </w:rPr>
        <w:t>每份基金份额具有同等的合法权益。</w:t>
      </w:r>
    </w:p>
    <w:p>
      <w:pPr>
        <w:autoSpaceDE w:val="0"/>
        <w:autoSpaceDN w:val="0"/>
        <w:adjustRightInd w:val="0"/>
        <w:spacing w:line="360" w:lineRule="auto"/>
        <w:ind w:firstLine="480" w:firstLineChars="200"/>
        <w:jc w:val="left"/>
        <w:rPr>
          <w:bCs/>
          <w:sz w:val="24"/>
          <w:szCs w:val="24"/>
        </w:rPr>
      </w:pPr>
      <w:r>
        <w:rPr>
          <w:rFonts w:hAnsi="宋体"/>
          <w:bCs/>
          <w:sz w:val="24"/>
          <w:szCs w:val="24"/>
        </w:rPr>
        <w:t>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并按照基金合同和招募说明书的规定转让或者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（4）按照规定要求召开基金份额持有人大会或者召集基金份额持有人大会；</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outlineLvl w:val="2"/>
        <w:rPr>
          <w:sz w:val="24"/>
          <w:szCs w:val="24"/>
        </w:rPr>
      </w:pPr>
      <w:r>
        <w:rPr>
          <w:rFonts w:hAnsi="宋体"/>
          <w:bCs/>
          <w:sz w:val="24"/>
          <w:szCs w:val="24"/>
        </w:rPr>
        <w:t>（六）</w:t>
      </w:r>
      <w:r>
        <w:rPr>
          <w:rFonts w:hAnsi="宋体"/>
          <w:sz w:val="24"/>
          <w:szCs w:val="24"/>
        </w:rPr>
        <w:t>基金份额持有人的义务</w:t>
      </w:r>
    </w:p>
    <w:p>
      <w:pPr>
        <w:autoSpaceDE w:val="0"/>
        <w:autoSpaceDN w:val="0"/>
        <w:adjustRightInd w:val="0"/>
        <w:spacing w:line="360" w:lineRule="auto"/>
        <w:ind w:firstLine="480" w:firstLineChars="200"/>
        <w:jc w:val="left"/>
        <w:rPr>
          <w:rFonts w:hAnsi="宋体"/>
          <w:bCs/>
          <w:sz w:val="24"/>
          <w:szCs w:val="24"/>
        </w:rPr>
      </w:pPr>
      <w:r>
        <w:rPr>
          <w:rFonts w:hAnsi="宋体"/>
          <w:bCs/>
          <w:sz w:val="24"/>
          <w:szCs w:val="24"/>
        </w:rPr>
        <w:t>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（2）了解所投资基金产品，了解自身风险承受能力，自主判断基金的投资价值，自主做出投资决策，自行承担投资风险；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rFonts w:hint="eastAsia"/>
          <w:bCs/>
          <w:sz w:val="24"/>
        </w:rPr>
      </w:pPr>
      <w:r>
        <w:rPr>
          <w:rFonts w:hint="eastAsia"/>
          <w:bCs/>
          <w:sz w:val="24"/>
        </w:rPr>
        <w:t>（9）遵守基金管理人、基金托管人、销售机构和登记机构的相关交易及业务规则；</w:t>
      </w:r>
    </w:p>
    <w:p>
      <w:pPr>
        <w:spacing w:line="360" w:lineRule="auto"/>
        <w:ind w:firstLine="480" w:firstLineChars="200"/>
        <w:rPr>
          <w:rFonts w:hint="eastAsia"/>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bCs/>
          <w:sz w:val="24"/>
        </w:rPr>
        <w:t>（11）法律法规及中国证监会规定的和《基金合同》约定的其他义务。</w:t>
      </w:r>
    </w:p>
    <w:p>
      <w:pPr>
        <w:spacing w:line="360" w:lineRule="auto"/>
        <w:ind w:firstLine="482" w:firstLineChars="200"/>
        <w:outlineLvl w:val="1"/>
        <w:rPr>
          <w:b/>
          <w:bCs/>
          <w:sz w:val="24"/>
        </w:rPr>
      </w:pPr>
      <w:r>
        <w:rPr>
          <w:rFonts w:hAnsi="宋体"/>
          <w:b/>
          <w:bCs/>
          <w:sz w:val="24"/>
        </w:rPr>
        <w:t>二、基金份额持有人大会召集、议事及表决的程序和规则</w:t>
      </w:r>
    </w:p>
    <w:p>
      <w:pPr>
        <w:spacing w:line="360" w:lineRule="auto"/>
        <w:ind w:firstLine="480" w:firstLineChars="200"/>
        <w:rPr>
          <w:bCs/>
          <w:sz w:val="24"/>
        </w:rPr>
      </w:pPr>
      <w:bookmarkStart w:id="0"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outlineLvl w:val="2"/>
        <w:rPr>
          <w:bCs/>
          <w:sz w:val="24"/>
        </w:rPr>
      </w:pPr>
      <w:r>
        <w:rPr>
          <w:rFonts w:hAnsi="宋体"/>
          <w:bCs/>
          <w:sz w:val="24"/>
        </w:rPr>
        <w:t>（一）召开事由</w:t>
      </w:r>
    </w:p>
    <w:p>
      <w:pPr>
        <w:spacing w:line="360" w:lineRule="auto"/>
        <w:ind w:firstLine="480" w:firstLineChars="200"/>
        <w:rPr>
          <w:bCs/>
          <w:sz w:val="24"/>
        </w:rPr>
      </w:pPr>
      <w:r>
        <w:rPr>
          <w:bCs/>
          <w:sz w:val="24"/>
        </w:rPr>
        <w:t>1、当出现或需要决定下列事由之一的，应当召开基金份额持有人大会</w:t>
      </w:r>
      <w:r>
        <w:rPr>
          <w:rFonts w:hint="eastAsia"/>
          <w:bCs/>
          <w:sz w:val="24"/>
        </w:rPr>
        <w:t>，法律法规、</w:t>
      </w:r>
      <w:r>
        <w:rPr>
          <w:bCs/>
          <w:sz w:val="24"/>
        </w:rPr>
        <w:t>基金合同</w:t>
      </w:r>
      <w:r>
        <w:rPr>
          <w:rFonts w:hint="eastAsia"/>
          <w:bCs/>
          <w:sz w:val="24"/>
        </w:rPr>
        <w:t>和中国证监会另有规定的除外</w:t>
      </w:r>
      <w:r>
        <w:rPr>
          <w:bCs/>
          <w:sz w:val="24"/>
        </w:rPr>
        <w:t>：</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w:t>
      </w:r>
      <w:r>
        <w:rPr>
          <w:rFonts w:hint="eastAsia"/>
          <w:bCs/>
          <w:sz w:val="24"/>
        </w:rPr>
        <w:t>调低基金销售</w:t>
      </w:r>
      <w:r>
        <w:rPr>
          <w:bCs/>
          <w:sz w:val="24"/>
        </w:rPr>
        <w:t>服务费</w:t>
      </w:r>
      <w:r>
        <w:rPr>
          <w:rFonts w:hint="eastAsia"/>
          <w:bCs/>
          <w:sz w:val="24"/>
        </w:rPr>
        <w:t>率</w:t>
      </w:r>
      <w:r>
        <w:rPr>
          <w:bCs/>
          <w:sz w:val="24"/>
        </w:rPr>
        <w:t>；</w:t>
      </w:r>
    </w:p>
    <w:p>
      <w:pPr>
        <w:spacing w:line="360" w:lineRule="auto"/>
        <w:ind w:firstLine="480" w:firstLineChars="200"/>
        <w:rPr>
          <w:bCs/>
          <w:sz w:val="24"/>
        </w:rPr>
      </w:pPr>
      <w:r>
        <w:rPr>
          <w:rFonts w:hint="eastAsia"/>
          <w:bCs/>
          <w:sz w:val="24"/>
        </w:rPr>
        <w:t>（2）</w:t>
      </w:r>
      <w:r>
        <w:rPr>
          <w:bCs/>
          <w:sz w:val="24"/>
        </w:rPr>
        <w:t>法律法规要求增加的基金费用的收取；</w:t>
      </w:r>
    </w:p>
    <w:p>
      <w:pPr>
        <w:spacing w:line="360" w:lineRule="auto"/>
        <w:ind w:firstLine="480" w:firstLineChars="200"/>
        <w:rPr>
          <w:bCs/>
          <w:sz w:val="24"/>
        </w:rPr>
      </w:pPr>
      <w:r>
        <w:rPr>
          <w:rFonts w:hint="eastAsia"/>
          <w:bCs/>
          <w:sz w:val="24"/>
        </w:rPr>
        <w:t>（</w:t>
      </w:r>
      <w:r>
        <w:rPr>
          <w:bCs/>
          <w:sz w:val="24"/>
        </w:rPr>
        <w:t>3</w:t>
      </w:r>
      <w:r>
        <w:rPr>
          <w:rFonts w:hint="eastAsia"/>
          <w:bCs/>
          <w:sz w:val="24"/>
        </w:rPr>
        <w:t>）</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pPr>
        <w:spacing w:line="360" w:lineRule="auto"/>
        <w:ind w:firstLine="480" w:firstLineChars="200"/>
        <w:rPr>
          <w:bCs/>
          <w:sz w:val="24"/>
        </w:rPr>
      </w:pPr>
      <w:r>
        <w:rPr>
          <w:rFonts w:hint="eastAsia"/>
          <w:bCs/>
          <w:sz w:val="24"/>
        </w:rPr>
        <w:t>（4）因法规政策调整而需要修订业绩比较基准或调整管理费收取标准；</w:t>
      </w:r>
    </w:p>
    <w:p>
      <w:pPr>
        <w:spacing w:line="360" w:lineRule="auto"/>
        <w:ind w:firstLine="480" w:firstLineChars="200"/>
        <w:rPr>
          <w:bCs/>
          <w:sz w:val="24"/>
        </w:rPr>
      </w:pPr>
      <w:r>
        <w:rPr>
          <w:bCs/>
          <w:sz w:val="24"/>
        </w:rPr>
        <w:t>（</w:t>
      </w:r>
      <w:r>
        <w:rPr>
          <w:rFonts w:hint="eastAsia"/>
          <w:bCs/>
          <w:sz w:val="24"/>
        </w:rPr>
        <w:t>5</w:t>
      </w:r>
      <w:r>
        <w:rPr>
          <w:bCs/>
          <w:sz w:val="24"/>
        </w:rPr>
        <w:t>）因相应的法律法规</w:t>
      </w:r>
      <w:r>
        <w:rPr>
          <w:rFonts w:hint="eastAsia"/>
          <w:bCs/>
          <w:sz w:val="24"/>
        </w:rPr>
        <w:t>、登记机构的相关业务规则</w:t>
      </w:r>
      <w:r>
        <w:rPr>
          <w:bCs/>
          <w:sz w:val="24"/>
        </w:rPr>
        <w:t>发生变动而应当对《基金合同》进行修改；</w:t>
      </w:r>
    </w:p>
    <w:p>
      <w:pPr>
        <w:spacing w:line="360" w:lineRule="auto"/>
        <w:ind w:firstLine="480" w:firstLineChars="200"/>
        <w:rPr>
          <w:bCs/>
          <w:sz w:val="24"/>
        </w:rPr>
      </w:pPr>
      <w:r>
        <w:rPr>
          <w:bCs/>
          <w:sz w:val="24"/>
        </w:rPr>
        <w:t>（</w:t>
      </w:r>
      <w:r>
        <w:rPr>
          <w:rFonts w:hint="eastAsia"/>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rFonts w:hint="eastAsia"/>
          <w:bCs/>
          <w:sz w:val="24"/>
        </w:rPr>
      </w:pPr>
      <w:r>
        <w:rPr>
          <w:rFonts w:hint="eastAsia"/>
          <w:bCs/>
          <w:sz w:val="24"/>
        </w:rPr>
        <w:t>（7）在法律法规允许的情况下，且在对现有基金份额持有人利益无实质性不利影响的前提下，在履行适当程序后，基金推出新业务或服务；</w:t>
      </w:r>
    </w:p>
    <w:p>
      <w:pPr>
        <w:spacing w:line="360" w:lineRule="auto"/>
        <w:ind w:firstLine="480" w:firstLineChars="200"/>
        <w:rPr>
          <w:rFonts w:hint="eastAsia"/>
          <w:bCs/>
          <w:sz w:val="24"/>
        </w:rPr>
      </w:pPr>
      <w:r>
        <w:rPr>
          <w:rFonts w:hint="eastAsia"/>
          <w:bCs/>
          <w:sz w:val="24"/>
        </w:rPr>
        <w:t>（8）在符合法律法规及本基金合同规定、并且对基金份额持有人利益无实质性不利影响的前提下，调整本基金份额类别的设置、对基金份额分类办法及规则进行调整；</w:t>
      </w:r>
    </w:p>
    <w:p>
      <w:pPr>
        <w:spacing w:line="360" w:lineRule="auto"/>
        <w:ind w:firstLine="480" w:firstLineChars="200"/>
        <w:rPr>
          <w:rFonts w:hint="eastAsia"/>
          <w:bCs/>
          <w:sz w:val="24"/>
        </w:rPr>
      </w:pPr>
      <w:r>
        <w:rPr>
          <w:rFonts w:hint="eastAsia"/>
          <w:bCs/>
          <w:sz w:val="24"/>
        </w:rPr>
        <w:t>（9）在不违反法律法规及对基金份额持有人利益无实质性不利影响的前提下，基金管理人、登记机构、销售机构调整有关基金认购、申购、赎回、转换、收益分配、非交易过户、转托管等业务的规则；</w:t>
      </w:r>
    </w:p>
    <w:p>
      <w:pPr>
        <w:spacing w:line="360" w:lineRule="auto"/>
        <w:ind w:firstLine="480" w:firstLineChars="200"/>
        <w:rPr>
          <w:bCs/>
          <w:sz w:val="24"/>
        </w:rPr>
      </w:pPr>
      <w:r>
        <w:rPr>
          <w:bCs/>
          <w:sz w:val="24"/>
        </w:rPr>
        <w:t>（</w:t>
      </w:r>
      <w:r>
        <w:rPr>
          <w:rFonts w:hint="eastAsia"/>
          <w:bCs/>
          <w:sz w:val="24"/>
        </w:rPr>
        <w:t>10</w:t>
      </w:r>
      <w:r>
        <w:rPr>
          <w:bCs/>
          <w:sz w:val="24"/>
        </w:rPr>
        <w:t>）按照法律法规和《基金合同》规定不需召开基金份额持有人大会的其他情形。</w:t>
      </w:r>
    </w:p>
    <w:p>
      <w:pPr>
        <w:spacing w:line="360" w:lineRule="auto"/>
        <w:ind w:firstLine="480" w:firstLineChars="200"/>
        <w:outlineLvl w:val="2"/>
        <w:rPr>
          <w:bCs/>
          <w:sz w:val="24"/>
        </w:rPr>
      </w:pPr>
      <w:r>
        <w:rPr>
          <w:rFonts w:hAnsi="宋体"/>
          <w:bCs/>
          <w:sz w:val="24"/>
        </w:rPr>
        <w:t>（二）</w:t>
      </w:r>
      <w:r>
        <w:rPr>
          <w:rFonts w:hint="eastAsia" w:hAnsi="宋体"/>
          <w:bCs/>
          <w:sz w:val="24"/>
        </w:rPr>
        <w:t>会议</w:t>
      </w:r>
      <w:r>
        <w:rPr>
          <w:rFonts w:hAnsi="宋体"/>
          <w:bCs/>
          <w:sz w:val="24"/>
        </w:rPr>
        <w:t>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集</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outlineLvl w:val="2"/>
        <w:rPr>
          <w:bCs/>
          <w:sz w:val="24"/>
        </w:rPr>
      </w:pPr>
      <w:r>
        <w:rPr>
          <w:rFonts w:hAnsi="宋体"/>
          <w:bCs/>
          <w:sz w:val="24"/>
        </w:rPr>
        <w:t>（三）召开基金份额持有人大会的通知时间、通知内容、通知方式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rFonts w:hint="eastAsia"/>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outlineLvl w:val="2"/>
        <w:rPr>
          <w:bCs/>
          <w:sz w:val="24"/>
        </w:rPr>
      </w:pPr>
      <w:r>
        <w:rPr>
          <w:rFonts w:hAnsi="宋体"/>
          <w:bCs/>
          <w:sz w:val="24"/>
        </w:rPr>
        <w:t>（四）基金份额持有人出席会议的方式</w:t>
      </w:r>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r>
        <w:rPr>
          <w:bCs/>
          <w:sz w:val="24"/>
        </w:rPr>
        <w:t>；</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rFonts w:hint="eastAsia"/>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outlineLvl w:val="2"/>
        <w:rPr>
          <w:bCs/>
          <w:sz w:val="24"/>
        </w:rPr>
      </w:pPr>
      <w:r>
        <w:rPr>
          <w:rFonts w:hint="eastAsia" w:hAnsi="宋体"/>
          <w:bCs/>
          <w:sz w:val="24"/>
        </w:rPr>
        <w:t>（</w:t>
      </w:r>
      <w:r>
        <w:rPr>
          <w:rFonts w:hAnsi="宋体"/>
          <w:bCs/>
          <w:sz w:val="24"/>
        </w:rPr>
        <w:t>五</w:t>
      </w:r>
      <w:r>
        <w:rPr>
          <w:rFonts w:hint="eastAsia" w:hAnsi="宋体"/>
          <w:bCs/>
          <w:sz w:val="24"/>
        </w:rPr>
        <w:t>）</w:t>
      </w:r>
      <w:r>
        <w:rPr>
          <w:rFonts w:hAnsi="宋体"/>
          <w:bCs/>
          <w:sz w:val="24"/>
        </w:rPr>
        <w:t>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outlineLvl w:val="2"/>
        <w:rPr>
          <w:rFonts w:hAnsi="宋体"/>
          <w:bCs/>
          <w:sz w:val="24"/>
        </w:rPr>
      </w:pPr>
      <w:r>
        <w:rPr>
          <w:rFonts w:hAnsi="宋体"/>
          <w:bCs/>
          <w:sz w:val="24"/>
        </w:rPr>
        <w:t>（六）</w:t>
      </w:r>
      <w:r>
        <w:rPr>
          <w:rFonts w:hint="eastAsia" w:hAnsi="宋体"/>
          <w:bCs/>
          <w:sz w:val="24"/>
        </w:rPr>
        <w:t>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outlineLvl w:val="2"/>
        <w:rPr>
          <w:bCs/>
          <w:sz w:val="24"/>
        </w:rPr>
      </w:pPr>
      <w:r>
        <w:rPr>
          <w:rFonts w:hint="eastAsia" w:hAnsi="宋体"/>
          <w:bCs/>
          <w:sz w:val="24"/>
        </w:rPr>
        <w:t>（</w:t>
      </w:r>
      <w:r>
        <w:rPr>
          <w:rFonts w:hAnsi="宋体"/>
          <w:bCs/>
          <w:sz w:val="24"/>
        </w:rPr>
        <w:t>七</w:t>
      </w:r>
      <w:r>
        <w:rPr>
          <w:rFonts w:hint="eastAsia" w:hAnsi="宋体"/>
          <w:bCs/>
          <w:sz w:val="24"/>
        </w:rPr>
        <w:t>）</w:t>
      </w:r>
      <w:r>
        <w:rPr>
          <w:rFonts w:hAnsi="宋体"/>
          <w:bCs/>
          <w:sz w:val="24"/>
        </w:rPr>
        <w:t>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outlineLvl w:val="2"/>
        <w:rPr>
          <w:bCs/>
          <w:sz w:val="24"/>
        </w:rPr>
      </w:pPr>
      <w:r>
        <w:rPr>
          <w:rFonts w:hint="eastAsia"/>
          <w:bCs/>
          <w:sz w:val="24"/>
        </w:rPr>
        <w:t>（八）生效与公告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基金份额持有人大会的决议自表决通过之日起生效。</w:t>
      </w:r>
      <w:r>
        <w:rPr>
          <w:rFonts w:hint="eastAsia"/>
          <w:bCs/>
          <w:sz w:val="24"/>
        </w:rPr>
        <w:t>法律法规另有规定的，从其规定。</w:t>
      </w:r>
    </w:p>
    <w:p>
      <w:pPr>
        <w:spacing w:line="360" w:lineRule="auto"/>
        <w:ind w:firstLine="480" w:firstLineChars="20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outlineLvl w:val="2"/>
        <w:rPr>
          <w:rFonts w:hint="eastAsia"/>
          <w:bCs/>
          <w:sz w:val="24"/>
        </w:rPr>
      </w:pPr>
      <w:r>
        <w:rPr>
          <w:rFonts w:hint="eastAsia"/>
          <w:bCs/>
          <w:sz w:val="24"/>
        </w:rPr>
        <w:t>（九）实施侧袋机制期间基金份额持有人大会的特殊约定</w:t>
      </w:r>
    </w:p>
    <w:p>
      <w:pPr>
        <w:spacing w:line="360" w:lineRule="auto"/>
        <w:ind w:firstLine="480" w:firstLineChars="200"/>
        <w:rPr>
          <w:rFonts w:hint="eastAsia"/>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hint="eastAsia"/>
          <w:bCs/>
          <w:sz w:val="24"/>
        </w:rPr>
      </w:pPr>
      <w:r>
        <w:rPr>
          <w:rFonts w:hint="eastAsia"/>
          <w:bCs/>
          <w:sz w:val="24"/>
        </w:rPr>
        <w:t>1、基金份额持有人行使提议权、召集权、提名权所需单独或合计代表相关基金份额10%以上（含10%）；</w:t>
      </w:r>
    </w:p>
    <w:p>
      <w:pPr>
        <w:spacing w:line="360" w:lineRule="auto"/>
        <w:ind w:firstLine="480" w:firstLineChars="200"/>
        <w:rPr>
          <w:rFonts w:hint="eastAsia"/>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rFonts w:hint="eastAsia"/>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hint="eastAsia"/>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hint="eastAsia"/>
          <w:bCs/>
          <w:sz w:val="24"/>
        </w:rPr>
      </w:pPr>
      <w:r>
        <w:rPr>
          <w:rFonts w:hint="eastAsia"/>
          <w:bCs/>
          <w:sz w:val="24"/>
        </w:rPr>
        <w:t>5、现场开会由出席大会的基金份额持有人和代理人所持表决权的50%以上（含50%）选举产生一名基金份额持有人或</w:t>
      </w:r>
      <w:r>
        <w:rPr>
          <w:bCs/>
          <w:sz w:val="24"/>
        </w:rPr>
        <w:t>代理人</w:t>
      </w:r>
      <w:r>
        <w:rPr>
          <w:rFonts w:hint="eastAsia"/>
          <w:bCs/>
          <w:sz w:val="24"/>
        </w:rPr>
        <w:t>作为该次基金份额持有人大会的主持人；</w:t>
      </w:r>
    </w:p>
    <w:p>
      <w:pPr>
        <w:spacing w:line="360" w:lineRule="auto"/>
        <w:ind w:firstLine="480" w:firstLineChars="200"/>
        <w:rPr>
          <w:rFonts w:hint="eastAsia"/>
          <w:bCs/>
          <w:sz w:val="24"/>
        </w:rPr>
      </w:pPr>
      <w:r>
        <w:rPr>
          <w:rFonts w:hint="eastAsia"/>
          <w:bCs/>
          <w:sz w:val="24"/>
        </w:rPr>
        <w:t>6、一般决议须经参加大会的基金份额持有人或其代理人所持表决权的二分之一以上（含二分之一）通过；</w:t>
      </w:r>
    </w:p>
    <w:p>
      <w:pPr>
        <w:spacing w:line="360" w:lineRule="auto"/>
        <w:ind w:firstLine="480" w:firstLineChars="200"/>
        <w:rPr>
          <w:rFonts w:hint="eastAsia"/>
          <w:bCs/>
          <w:sz w:val="24"/>
        </w:rPr>
      </w:pPr>
      <w:r>
        <w:rPr>
          <w:rFonts w:hint="eastAsia"/>
          <w:bCs/>
          <w:sz w:val="24"/>
        </w:rPr>
        <w:t>7、特别决议应当经参加大会的基金份额持有人或其代理人所持表决权的三分之二以上（含三分之二）通过。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同一主侧袋账户内的每份基金份额具有平等的表决权。</w:t>
      </w:r>
    </w:p>
    <w:p>
      <w:pPr>
        <w:spacing w:line="360" w:lineRule="auto"/>
        <w:ind w:firstLine="480" w:firstLineChars="200"/>
        <w:rPr>
          <w:bCs/>
          <w:sz w:val="24"/>
        </w:rPr>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End w:id="0"/>
    </w:p>
    <w:p>
      <w:pPr>
        <w:spacing w:line="360" w:lineRule="auto"/>
        <w:ind w:firstLine="482" w:firstLineChars="200"/>
        <w:outlineLvl w:val="1"/>
        <w:rPr>
          <w:rFonts w:ascii="宋体" w:hAnsi="宋体"/>
          <w:b/>
          <w:sz w:val="24"/>
          <w:szCs w:val="24"/>
        </w:rPr>
      </w:pPr>
      <w:r>
        <w:rPr>
          <w:rFonts w:ascii="宋体" w:hAnsi="宋体"/>
          <w:b/>
          <w:sz w:val="24"/>
          <w:szCs w:val="24"/>
        </w:rPr>
        <w:t>三、基金收益分配原则、执行方式</w:t>
      </w:r>
    </w:p>
    <w:p>
      <w:pPr>
        <w:spacing w:line="360" w:lineRule="auto"/>
        <w:ind w:firstLine="480" w:firstLineChars="200"/>
        <w:outlineLvl w:val="2"/>
        <w:rPr>
          <w:rFonts w:ascii="宋体" w:hAnsi="宋体"/>
          <w:sz w:val="24"/>
          <w:szCs w:val="24"/>
        </w:rPr>
      </w:pPr>
      <w:r>
        <w:rPr>
          <w:rFonts w:ascii="宋体" w:hAnsi="宋体"/>
          <w:sz w:val="24"/>
          <w:szCs w:val="24"/>
        </w:rPr>
        <w:t>（一）基金收益分配原则</w:t>
      </w:r>
    </w:p>
    <w:p>
      <w:pPr>
        <w:spacing w:line="360" w:lineRule="auto"/>
        <w:ind w:firstLine="540" w:firstLineChars="225"/>
        <w:rPr>
          <w:rFonts w:hint="eastAsia"/>
          <w:bCs/>
          <w:sz w:val="24"/>
        </w:rPr>
      </w:pPr>
      <w:r>
        <w:rPr>
          <w:rFonts w:hint="eastAsia"/>
          <w:bCs/>
          <w:sz w:val="24"/>
        </w:rPr>
        <w:t>1、由于本基金A类基金份额不收取销售服务费，C类基金份额收取销售服务费，各基金份额类别对应的可供分配利润将有所不同；</w:t>
      </w:r>
    </w:p>
    <w:p>
      <w:pPr>
        <w:spacing w:line="360" w:lineRule="auto"/>
        <w:ind w:firstLine="540" w:firstLineChars="225"/>
        <w:rPr>
          <w:bCs/>
          <w:sz w:val="24"/>
        </w:rPr>
      </w:pPr>
      <w:r>
        <w:rPr>
          <w:bCs/>
          <w:sz w:val="24"/>
        </w:rPr>
        <w:t>2、在符合有关基金分红条件的前提下，</w:t>
      </w:r>
      <w:r>
        <w:rPr>
          <w:rFonts w:hint="eastAsia"/>
          <w:bCs/>
          <w:sz w:val="24"/>
        </w:rPr>
        <w:t>本基金管理人可以根据实际情况进行收益分配，具体分配方案以公告为准，</w:t>
      </w:r>
      <w:r>
        <w:rPr>
          <w:bCs/>
          <w:sz w:val="24"/>
        </w:rPr>
        <w:t>若《基金合同》生效不满3个月可不进行收益分配；</w:t>
      </w:r>
    </w:p>
    <w:p>
      <w:pPr>
        <w:spacing w:line="360" w:lineRule="auto"/>
        <w:ind w:firstLine="540" w:firstLineChars="225"/>
        <w:rPr>
          <w:bCs/>
          <w:sz w:val="24"/>
        </w:rPr>
      </w:pPr>
      <w:r>
        <w:rPr>
          <w:bCs/>
          <w:sz w:val="24"/>
        </w:rPr>
        <w:t>3、本基金收益分配方式</w:t>
      </w:r>
      <w:r>
        <w:rPr>
          <w:rFonts w:hint="eastAsia"/>
          <w:bCs/>
          <w:sz w:val="24"/>
        </w:rPr>
        <w:t>为</w:t>
      </w:r>
      <w:r>
        <w:rPr>
          <w:bCs/>
          <w:sz w:val="24"/>
        </w:rPr>
        <w:t>现金分红</w:t>
      </w:r>
      <w:r>
        <w:rPr>
          <w:rFonts w:hint="eastAsia" w:ascii="宋体" w:hAnsi="宋体"/>
          <w:sz w:val="24"/>
        </w:rPr>
        <w:t>；</w:t>
      </w:r>
    </w:p>
    <w:p>
      <w:pPr>
        <w:spacing w:line="360" w:lineRule="auto"/>
        <w:ind w:firstLine="540" w:firstLineChars="225"/>
        <w:rPr>
          <w:bCs/>
          <w:sz w:val="24"/>
        </w:rPr>
      </w:pPr>
      <w:r>
        <w:rPr>
          <w:bCs/>
          <w:sz w:val="24"/>
        </w:rPr>
        <w:t>4、基金收益分配后</w:t>
      </w:r>
      <w:r>
        <w:rPr>
          <w:rFonts w:hint="eastAsia"/>
          <w:bCs/>
          <w:sz w:val="24"/>
        </w:rPr>
        <w:t>任一类</w:t>
      </w:r>
      <w:r>
        <w:rPr>
          <w:bCs/>
          <w:sz w:val="24"/>
        </w:rPr>
        <w:t>基金份额净值不能低于面值；即基金收益分配基准日的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pPr>
        <w:spacing w:line="360" w:lineRule="auto"/>
        <w:ind w:firstLine="540" w:firstLineChars="225"/>
        <w:rPr>
          <w:bCs/>
          <w:sz w:val="24"/>
        </w:rPr>
      </w:pPr>
      <w:r>
        <w:rPr>
          <w:bCs/>
          <w:sz w:val="24"/>
        </w:rPr>
        <w:t>5、</w:t>
      </w:r>
      <w:r>
        <w:rPr>
          <w:rFonts w:hint="eastAsia"/>
          <w:bCs/>
          <w:sz w:val="24"/>
        </w:rPr>
        <w:t>本基金同一基金份额类别的</w:t>
      </w:r>
      <w:r>
        <w:rPr>
          <w:bCs/>
          <w:sz w:val="24"/>
        </w:rPr>
        <w:t>每一基金份额享有同等分配权；</w:t>
      </w:r>
    </w:p>
    <w:p>
      <w:pPr>
        <w:spacing w:line="360" w:lineRule="auto"/>
        <w:ind w:firstLine="540" w:firstLineChars="225"/>
        <w:rPr>
          <w:bCs/>
          <w:sz w:val="24"/>
        </w:rPr>
      </w:pPr>
      <w:r>
        <w:rPr>
          <w:bCs/>
          <w:sz w:val="24"/>
        </w:rPr>
        <w:t>6、法律法规或监管机关另有规定的，从其规定。</w:t>
      </w:r>
    </w:p>
    <w:p>
      <w:pPr>
        <w:spacing w:line="360" w:lineRule="auto"/>
        <w:ind w:firstLine="540" w:firstLineChars="225"/>
        <w:rPr>
          <w:bCs/>
          <w:sz w:val="24"/>
        </w:rPr>
      </w:pPr>
      <w:r>
        <w:rPr>
          <w:rFonts w:hint="eastAsia"/>
          <w:bCs/>
          <w:sz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前在规定媒介公告。</w:t>
      </w:r>
    </w:p>
    <w:p>
      <w:pPr>
        <w:spacing w:line="360" w:lineRule="auto"/>
        <w:ind w:firstLine="540" w:firstLineChars="225"/>
        <w:outlineLvl w:val="2"/>
        <w:rPr>
          <w:bCs/>
          <w:sz w:val="24"/>
        </w:rPr>
      </w:pPr>
      <w:r>
        <w:rPr>
          <w:bCs/>
          <w:sz w:val="24"/>
        </w:rPr>
        <w:t>（二）收益分配方案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outlineLvl w:val="2"/>
        <w:rPr>
          <w:bCs/>
          <w:sz w:val="24"/>
        </w:rPr>
      </w:pPr>
      <w:r>
        <w:rPr>
          <w:bCs/>
          <w:sz w:val="24"/>
        </w:rPr>
        <w:t>（三）收益分配方案的确定、公告与实施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pPr>
        <w:spacing w:line="360" w:lineRule="auto"/>
        <w:ind w:firstLine="540" w:firstLineChars="225"/>
        <w:rPr>
          <w:rFonts w:hint="eastAsia"/>
          <w:bCs/>
          <w:sz w:val="24"/>
        </w:rPr>
      </w:pPr>
      <w:r>
        <w:rPr>
          <w:rFonts w:hint="eastAsia"/>
          <w:bCs/>
          <w:sz w:val="24"/>
        </w:rPr>
        <w:t>法律法规或监管机关另有规定的，从其规定。</w:t>
      </w:r>
    </w:p>
    <w:p>
      <w:pPr>
        <w:spacing w:line="360" w:lineRule="auto"/>
        <w:ind w:firstLine="482" w:firstLineChars="200"/>
        <w:outlineLvl w:val="1"/>
        <w:rPr>
          <w:b/>
          <w:bCs/>
          <w:sz w:val="24"/>
        </w:rPr>
      </w:pPr>
      <w:r>
        <w:rPr>
          <w:b/>
          <w:bCs/>
          <w:sz w:val="24"/>
        </w:rPr>
        <w:t>四、与基金财产管理、运用有关费用的提取、支付方式与比例</w:t>
      </w:r>
    </w:p>
    <w:p>
      <w:pPr>
        <w:spacing w:line="360" w:lineRule="auto"/>
        <w:ind w:firstLine="480" w:firstLineChars="200"/>
        <w:outlineLvl w:val="2"/>
        <w:rPr>
          <w:bCs/>
          <w:sz w:val="24"/>
        </w:rPr>
      </w:pPr>
      <w:r>
        <w:rPr>
          <w:rFonts w:hint="eastAsia"/>
          <w:bCs/>
          <w:sz w:val="24"/>
        </w:rPr>
        <w:t>（一）基金费用的种类</w:t>
      </w:r>
    </w:p>
    <w:p>
      <w:pPr>
        <w:spacing w:line="360" w:lineRule="auto"/>
        <w:ind w:firstLine="480" w:firstLineChars="200"/>
        <w:rPr>
          <w:bCs/>
          <w:sz w:val="24"/>
        </w:rPr>
      </w:pPr>
      <w:r>
        <w:rPr>
          <w:bCs/>
          <w:sz w:val="24"/>
        </w:rPr>
        <w:t>1、基金管理人的管理费</w:t>
      </w:r>
      <w:r>
        <w:rPr>
          <w:rFonts w:hint="eastAsia"/>
          <w:bCs/>
          <w:sz w:val="24"/>
        </w:rPr>
        <w:t>（包含固定管理费、或有管理费和超额管理费）</w:t>
      </w:r>
      <w:r>
        <w:rPr>
          <w:bCs/>
          <w:sz w:val="24"/>
        </w:rPr>
        <w:t>；</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3、《基金合同》生效后与基金相关的信息披露费用；</w:t>
      </w:r>
    </w:p>
    <w:p>
      <w:pPr>
        <w:spacing w:line="360" w:lineRule="auto"/>
        <w:ind w:firstLine="480" w:firstLineChars="200"/>
        <w:rPr>
          <w:bCs/>
          <w:sz w:val="24"/>
        </w:rPr>
      </w:pPr>
      <w:r>
        <w:rPr>
          <w:bCs/>
          <w:sz w:val="24"/>
        </w:rPr>
        <w:t>4、《基金合同》生效后与基金相关的会计师费、律师费</w:t>
      </w:r>
      <w:r>
        <w:rPr>
          <w:rFonts w:hint="eastAsia"/>
          <w:bCs/>
          <w:sz w:val="24"/>
        </w:rPr>
        <w:t>、</w:t>
      </w:r>
      <w:r>
        <w:rPr>
          <w:bCs/>
          <w:sz w:val="24"/>
        </w:rPr>
        <w:t>仲裁费和诉讼费；</w:t>
      </w:r>
    </w:p>
    <w:p>
      <w:pPr>
        <w:spacing w:line="360" w:lineRule="auto"/>
        <w:ind w:firstLine="480" w:firstLineChars="200"/>
        <w:rPr>
          <w:bCs/>
          <w:sz w:val="24"/>
        </w:rPr>
      </w:pPr>
      <w:r>
        <w:rPr>
          <w:bCs/>
          <w:sz w:val="24"/>
        </w:rPr>
        <w:t>5、基金份额持有人大会费用；</w:t>
      </w:r>
    </w:p>
    <w:p>
      <w:pPr>
        <w:spacing w:line="360" w:lineRule="auto"/>
        <w:ind w:firstLine="480" w:firstLineChars="200"/>
        <w:rPr>
          <w:bCs/>
          <w:sz w:val="24"/>
        </w:rPr>
      </w:pPr>
      <w:r>
        <w:rPr>
          <w:bCs/>
          <w:sz w:val="24"/>
        </w:rPr>
        <w:t>6、基金的证券</w:t>
      </w:r>
      <w:r>
        <w:rPr>
          <w:rFonts w:hint="eastAsia"/>
          <w:bCs/>
          <w:sz w:val="24"/>
        </w:rPr>
        <w:t>、期货</w:t>
      </w:r>
      <w:r>
        <w:rPr>
          <w:bCs/>
          <w:sz w:val="24"/>
        </w:rPr>
        <w:t>交易费用；</w:t>
      </w:r>
    </w:p>
    <w:p>
      <w:pPr>
        <w:spacing w:line="360" w:lineRule="auto"/>
        <w:ind w:firstLine="480" w:firstLineChars="200"/>
        <w:rPr>
          <w:bCs/>
          <w:sz w:val="24"/>
        </w:rPr>
      </w:pPr>
      <w:r>
        <w:rPr>
          <w:bCs/>
          <w:sz w:val="24"/>
        </w:rPr>
        <w:t>7、基金的银行汇划费用；</w:t>
      </w:r>
    </w:p>
    <w:p>
      <w:pPr>
        <w:spacing w:line="360" w:lineRule="auto"/>
        <w:ind w:firstLine="480" w:firstLineChars="200"/>
        <w:rPr>
          <w:bCs/>
          <w:sz w:val="24"/>
        </w:rPr>
      </w:pPr>
      <w:r>
        <w:rPr>
          <w:bCs/>
          <w:sz w:val="24"/>
        </w:rPr>
        <w:t>8、</w:t>
      </w:r>
      <w:r>
        <w:rPr>
          <w:rFonts w:hint="eastAsia"/>
          <w:bCs/>
          <w:sz w:val="24"/>
        </w:rPr>
        <w:t>基金的开户费用、账户维护费用；</w:t>
      </w:r>
    </w:p>
    <w:p>
      <w:pPr>
        <w:spacing w:line="360" w:lineRule="auto"/>
        <w:ind w:firstLine="480" w:firstLineChars="200"/>
        <w:rPr>
          <w:bCs/>
          <w:sz w:val="24"/>
        </w:rPr>
      </w:pPr>
      <w:r>
        <w:rPr>
          <w:rFonts w:hint="eastAsia"/>
          <w:bCs/>
          <w:sz w:val="24"/>
        </w:rPr>
        <w:t>9</w:t>
      </w:r>
      <w:r>
        <w:rPr>
          <w:bCs/>
          <w:sz w:val="24"/>
        </w:rPr>
        <w:t>、</w:t>
      </w:r>
      <w:r>
        <w:rPr>
          <w:rFonts w:hint="eastAsia"/>
          <w:bCs/>
          <w:sz w:val="24"/>
        </w:rPr>
        <w:t>因投资港股通标的股票而产生的各项合理费用；</w:t>
      </w:r>
    </w:p>
    <w:p>
      <w:pPr>
        <w:spacing w:line="360" w:lineRule="auto"/>
        <w:ind w:firstLine="480" w:firstLineChars="200"/>
        <w:rPr>
          <w:rFonts w:hint="eastAsia"/>
          <w:bCs/>
          <w:sz w:val="24"/>
        </w:rPr>
      </w:pPr>
      <w:r>
        <w:rPr>
          <w:bCs/>
          <w:sz w:val="24"/>
        </w:rPr>
        <w:t>10、</w:t>
      </w:r>
      <w:r>
        <w:rPr>
          <w:rFonts w:hint="eastAsia"/>
          <w:bCs/>
          <w:sz w:val="24"/>
        </w:rPr>
        <w:t>本基金从C类基金份额的基金财产中计提的销售服务费；</w:t>
      </w:r>
    </w:p>
    <w:p>
      <w:pPr>
        <w:spacing w:line="360" w:lineRule="auto"/>
        <w:ind w:firstLine="480" w:firstLineChars="200"/>
        <w:rPr>
          <w:bCs/>
          <w:sz w:val="24"/>
        </w:rPr>
      </w:pPr>
      <w:r>
        <w:rPr>
          <w:bCs/>
          <w:sz w:val="24"/>
        </w:rPr>
        <w:t>11、按照国家有关规定和《基金合同》约定，可以在基金财产中列支的其他费用。</w:t>
      </w:r>
    </w:p>
    <w:p>
      <w:pPr>
        <w:spacing w:line="360" w:lineRule="auto"/>
        <w:ind w:firstLine="480" w:firstLineChars="200"/>
        <w:outlineLvl w:val="2"/>
        <w:rPr>
          <w:bCs/>
          <w:sz w:val="24"/>
        </w:rPr>
      </w:pPr>
      <w:r>
        <w:rPr>
          <w:rFonts w:hint="eastAsia"/>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rFonts w:hint="eastAsia"/>
          <w:sz w:val="24"/>
        </w:rPr>
      </w:pPr>
      <w:r>
        <w:rPr>
          <w:rFonts w:hint="eastAsia"/>
          <w:sz w:val="24"/>
        </w:rPr>
        <w:t>本基金根据每一基金份额的持有期限与持有期间年化收益率，在赎回基金份额或基金合同终止的情形发生时确定该笔基金份额对应的管理费。当投资者赎回基金份额或基金合同终止的情形发生时，持有期限不足一年（即365天，下同），则按1.20%年费率收取管理费；持有期限达到一年及以上，则根据持有期间年化收益率分为以下三种情况，分别确定对应的管理费率档位：</w:t>
      </w:r>
    </w:p>
    <w:p>
      <w:pPr>
        <w:spacing w:line="360" w:lineRule="auto"/>
        <w:ind w:firstLine="480" w:firstLineChars="200"/>
        <w:rPr>
          <w:rFonts w:hint="eastAsia"/>
          <w:sz w:val="24"/>
        </w:rPr>
      </w:pPr>
      <w:r>
        <w:rPr>
          <w:rFonts w:hint="eastAsia"/>
          <w:sz w:val="24"/>
        </w:rPr>
        <w:t>若持有期间相对业绩比较基准的年化超额收益率（扣除超额管理费后）超过6%且持有收益率（扣除超额管理费后）为正，按1.50%年费率确认管理费；若持有期间的年化超额收益率在-3%及以下，按0.60%年费率确认管理费；其他情形按1.20%年费率确认管理费。</w:t>
      </w:r>
    </w:p>
    <w:tbl>
      <w:tblPr>
        <w:tblStyle w:val="22"/>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42"/>
              <w:jc w:val="center"/>
              <w:rPr>
                <w:rFonts w:hint="eastAsia" w:ascii="宋体" w:hAnsi="宋体" w:cs="宋体"/>
                <w:b/>
                <w:sz w:val="24"/>
                <w:szCs w:val="24"/>
              </w:rPr>
            </w:pPr>
            <w:r>
              <w:rPr>
                <w:rFonts w:hint="eastAsia" w:ascii="宋体" w:hAnsi="宋体" w:cs="宋体"/>
                <w:b/>
                <w:sz w:val="24"/>
                <w:szCs w:val="24"/>
              </w:rPr>
              <w:t>持有期间年化收益率（R）</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42"/>
              <w:jc w:val="center"/>
              <w:rPr>
                <w:rFonts w:hint="eastAsia" w:ascii="宋体" w:hAnsi="宋体" w:cs="宋体"/>
                <w:b/>
                <w:sz w:val="24"/>
                <w:szCs w:val="24"/>
              </w:rPr>
            </w:pPr>
            <w:r>
              <w:rPr>
                <w:rFonts w:hint="eastAsia" w:ascii="宋体" w:hAnsi="宋体" w:cs="宋体"/>
                <w:b/>
                <w:sz w:val="24"/>
                <w:szCs w:val="24"/>
              </w:rPr>
              <w:t>管理费率（年费率）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40"/>
              <w:jc w:val="center"/>
              <w:rPr>
                <w:rFonts w:hint="eastAsia" w:ascii="宋体" w:hAnsi="宋体" w:cs="宋体"/>
                <w:b/>
                <w:sz w:val="24"/>
                <w:szCs w:val="24"/>
              </w:rPr>
            </w:pPr>
            <w:r>
              <w:rPr>
                <w:rFonts w:hint="eastAsia" w:ascii="宋体" w:hAnsi="宋体" w:cs="宋体"/>
                <w:sz w:val="24"/>
                <w:szCs w:val="24"/>
              </w:rPr>
              <w:t>R＞R</w:t>
            </w:r>
            <w:r>
              <w:rPr>
                <w:rFonts w:hint="eastAsia" w:ascii="宋体" w:hAnsi="宋体" w:cs="宋体"/>
                <w:spacing w:val="-2"/>
                <w:sz w:val="24"/>
                <w:szCs w:val="24"/>
                <w:vertAlign w:val="subscript"/>
              </w:rPr>
              <w:t>b</w:t>
            </w:r>
            <w:r>
              <w:rPr>
                <w:rFonts w:hint="eastAsia" w:ascii="宋体" w:hAnsi="宋体" w:cs="宋体"/>
                <w:sz w:val="24"/>
                <w:szCs w:val="24"/>
              </w:rPr>
              <w:t>+6%，R＞0</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40"/>
              <w:jc w:val="center"/>
              <w:rPr>
                <w:rFonts w:hint="eastAsia" w:ascii="宋体" w:hAnsi="宋体" w:cs="宋体"/>
                <w:kern w:val="0"/>
                <w:sz w:val="24"/>
                <w:szCs w:val="24"/>
              </w:rPr>
            </w:pPr>
            <w:r>
              <w:rPr>
                <w:rFonts w:hint="eastAsia" w:ascii="宋体" w:hAnsi="宋体" w:cs="宋体"/>
                <w:kern w:val="0"/>
                <w:sz w:val="24"/>
                <w:szCs w:val="24"/>
              </w:rPr>
              <w:t>1.50%/年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40"/>
              <w:jc w:val="center"/>
              <w:rPr>
                <w:rFonts w:hint="eastAsia" w:ascii="宋体" w:hAnsi="宋体" w:cs="宋体"/>
                <w:sz w:val="24"/>
                <w:szCs w:val="24"/>
              </w:rPr>
            </w:pPr>
            <w:r>
              <w:rPr>
                <w:rFonts w:hint="eastAsia" w:ascii="宋体" w:hAnsi="宋体" w:cs="宋体"/>
                <w:sz w:val="24"/>
                <w:szCs w:val="24"/>
              </w:rPr>
              <w:t>R≤R</w:t>
            </w:r>
            <w:r>
              <w:rPr>
                <w:rFonts w:hint="eastAsia" w:ascii="宋体" w:hAnsi="宋体" w:cs="宋体"/>
                <w:spacing w:val="-2"/>
                <w:sz w:val="24"/>
                <w:szCs w:val="24"/>
                <w:vertAlign w:val="subscript"/>
              </w:rPr>
              <w:t>b</w:t>
            </w:r>
            <w:r>
              <w:rPr>
                <w:rFonts w:hint="eastAsia" w:ascii="宋体" w:hAnsi="宋体" w:cs="宋体"/>
                <w:sz w:val="24"/>
                <w:szCs w:val="24"/>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40"/>
              <w:jc w:val="center"/>
              <w:rPr>
                <w:rFonts w:hint="eastAsia" w:ascii="宋体" w:hAnsi="宋体" w:cs="宋体"/>
                <w:kern w:val="0"/>
                <w:sz w:val="24"/>
                <w:szCs w:val="24"/>
              </w:rPr>
            </w:pPr>
            <w:r>
              <w:rPr>
                <w:rFonts w:hint="eastAsia" w:ascii="宋体" w:hAnsi="宋体" w:cs="宋体"/>
                <w:kern w:val="0"/>
                <w:sz w:val="24"/>
                <w:szCs w:val="24"/>
              </w:rPr>
              <w:t>0.60%/年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40"/>
              <w:jc w:val="center"/>
              <w:rPr>
                <w:rFonts w:hint="eastAsia" w:ascii="宋体" w:hAnsi="宋体" w:cs="宋体"/>
                <w:sz w:val="24"/>
                <w:szCs w:val="24"/>
              </w:rPr>
            </w:pPr>
            <w:r>
              <w:rPr>
                <w:rFonts w:hint="eastAsia" w:ascii="宋体" w:hAnsi="宋体" w:cs="宋体"/>
                <w:sz w:val="24"/>
                <w:szCs w:val="24"/>
              </w:rPr>
              <w:t>其他情形</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40"/>
              <w:jc w:val="center"/>
              <w:rPr>
                <w:rFonts w:hint="eastAsia" w:ascii="宋体" w:hAnsi="宋体" w:cs="宋体"/>
                <w:kern w:val="0"/>
                <w:sz w:val="24"/>
                <w:szCs w:val="24"/>
              </w:rPr>
            </w:pPr>
            <w:r>
              <w:rPr>
                <w:rFonts w:hint="eastAsia" w:ascii="宋体" w:hAnsi="宋体" w:cs="宋体"/>
                <w:kern w:val="0"/>
                <w:sz w:val="24"/>
                <w:szCs w:val="24"/>
              </w:rPr>
              <w:t>1.20%/年</w:t>
            </w:r>
          </w:p>
        </w:tc>
      </w:tr>
    </w:tbl>
    <w:p>
      <w:pPr>
        <w:spacing w:line="360" w:lineRule="auto"/>
        <w:ind w:firstLine="480" w:firstLineChars="200"/>
        <w:rPr>
          <w:rFonts w:hint="eastAsia"/>
          <w:sz w:val="24"/>
        </w:rPr>
      </w:pPr>
      <w:r>
        <w:rPr>
          <w:rFonts w:hint="eastAsia"/>
          <w:sz w:val="24"/>
        </w:rPr>
        <w:t>注：①R为该笔基金份额的年化收益率，R</w:t>
      </w:r>
      <w:r>
        <w:rPr>
          <w:rFonts w:hint="eastAsia"/>
          <w:sz w:val="24"/>
          <w:vertAlign w:val="subscript"/>
        </w:rPr>
        <w:t>b</w:t>
      </w:r>
      <w:r>
        <w:rPr>
          <w:rFonts w:hint="eastAsia"/>
          <w:sz w:val="24"/>
        </w:rPr>
        <w:t>为本基金业绩比较基准同期年化收益率。</w:t>
      </w:r>
    </w:p>
    <w:p>
      <w:pPr>
        <w:spacing w:line="360" w:lineRule="auto"/>
        <w:ind w:firstLine="480" w:firstLineChars="200"/>
        <w:rPr>
          <w:rFonts w:hint="eastAsia"/>
          <w:sz w:val="24"/>
        </w:rPr>
      </w:pPr>
      <w:r>
        <w:rPr>
          <w:rFonts w:hint="eastAsia"/>
          <w:sz w:val="24"/>
        </w:rPr>
        <w:t>②特别的，当持有期限达到一年及以上，R＞R</w:t>
      </w:r>
      <w:r>
        <w:rPr>
          <w:rFonts w:hint="eastAsia"/>
          <w:sz w:val="24"/>
          <w:vertAlign w:val="subscript"/>
        </w:rPr>
        <w:t>b</w:t>
      </w:r>
      <w:r>
        <w:rPr>
          <w:rFonts w:hint="eastAsia"/>
          <w:sz w:val="24"/>
        </w:rPr>
        <w:t>+6%且R＞0的情形下，若拟扣除超额管理费后的年化收益率小于等于R</w:t>
      </w:r>
      <w:r>
        <w:rPr>
          <w:rFonts w:hint="eastAsia"/>
          <w:sz w:val="24"/>
          <w:vertAlign w:val="subscript"/>
        </w:rPr>
        <w:t>b</w:t>
      </w:r>
      <w:r>
        <w:rPr>
          <w:rFonts w:hint="eastAsia"/>
          <w:sz w:val="24"/>
        </w:rPr>
        <w:t>+6%，或小于等于0时，仍按1.20%年费率收取该笔基金份额的管理费，以使得该笔基金份额在扣除超额管理费后的年化收益率仍需满足本基金收取超额管理费的标准。</w:t>
      </w:r>
    </w:p>
    <w:p>
      <w:pPr>
        <w:spacing w:line="360" w:lineRule="auto"/>
        <w:ind w:firstLine="480" w:firstLineChars="200"/>
        <w:rPr>
          <w:rFonts w:hint="eastAsia"/>
          <w:sz w:val="24"/>
        </w:rPr>
      </w:pPr>
      <w:r>
        <w:rPr>
          <w:rFonts w:hint="eastAsia"/>
          <w:sz w:val="24"/>
        </w:rPr>
        <w:t>具体而言，本基金的管理费包含固定管理费、或有管理费和超额管理费，按以下方式计算和确认。</w:t>
      </w:r>
    </w:p>
    <w:p>
      <w:pPr>
        <w:spacing w:line="360" w:lineRule="auto"/>
        <w:ind w:firstLine="480" w:firstLineChars="200"/>
        <w:rPr>
          <w:rFonts w:hint="eastAsia"/>
          <w:sz w:val="24"/>
        </w:rPr>
      </w:pPr>
      <w:r>
        <w:rPr>
          <w:rFonts w:hint="eastAsia"/>
          <w:sz w:val="24"/>
        </w:rPr>
        <w:t>（1）固定管理费</w:t>
      </w:r>
    </w:p>
    <w:p>
      <w:pPr>
        <w:spacing w:line="360" w:lineRule="auto"/>
        <w:ind w:firstLine="480" w:firstLineChars="200"/>
        <w:rPr>
          <w:rFonts w:hint="eastAsia"/>
          <w:sz w:val="24"/>
        </w:rPr>
      </w:pPr>
      <w:r>
        <w:rPr>
          <w:rFonts w:hint="eastAsia"/>
          <w:sz w:val="24"/>
        </w:rPr>
        <w:t>固定管理费按前一日基金资产净值的0.60%年费率每日计提。固定管理费的计算方法如下：</w:t>
      </w:r>
    </w:p>
    <w:p>
      <w:pPr>
        <w:spacing w:line="360" w:lineRule="auto"/>
        <w:ind w:firstLine="480" w:firstLineChars="200"/>
        <w:rPr>
          <w:rFonts w:hint="eastAsia"/>
          <w:sz w:val="24"/>
        </w:rPr>
      </w:pPr>
      <w:r>
        <w:rPr>
          <w:rFonts w:hint="eastAsia"/>
          <w:sz w:val="24"/>
        </w:rPr>
        <w:t>H</w:t>
      </w:r>
      <w:r>
        <w:rPr>
          <w:rFonts w:hint="eastAsia"/>
          <w:sz w:val="24"/>
          <w:vertAlign w:val="subscript"/>
        </w:rPr>
        <w:t>1</w:t>
      </w:r>
      <w:r>
        <w:rPr>
          <w:rFonts w:hint="eastAsia"/>
          <w:sz w:val="24"/>
        </w:rPr>
        <w:t>＝E×0.60%÷当年天数</w:t>
      </w:r>
    </w:p>
    <w:p>
      <w:pPr>
        <w:spacing w:line="360" w:lineRule="auto"/>
        <w:ind w:firstLine="480" w:firstLineChars="200"/>
        <w:rPr>
          <w:rFonts w:hint="eastAsia"/>
          <w:sz w:val="24"/>
        </w:rPr>
      </w:pPr>
      <w:r>
        <w:rPr>
          <w:rFonts w:hint="eastAsia"/>
          <w:sz w:val="24"/>
        </w:rPr>
        <w:t>H</w:t>
      </w:r>
      <w:r>
        <w:rPr>
          <w:rFonts w:hint="eastAsia"/>
          <w:sz w:val="24"/>
          <w:vertAlign w:val="subscript"/>
        </w:rPr>
        <w:t>1</w:t>
      </w:r>
      <w:r>
        <w:rPr>
          <w:rFonts w:hint="eastAsia"/>
          <w:sz w:val="24"/>
        </w:rPr>
        <w:t>为每日应计提的固定管理费</w:t>
      </w:r>
    </w:p>
    <w:p>
      <w:pPr>
        <w:spacing w:line="360" w:lineRule="auto"/>
        <w:ind w:firstLine="480" w:firstLineChars="200"/>
        <w:rPr>
          <w:rFonts w:hint="eastAsia"/>
          <w:sz w:val="24"/>
        </w:rPr>
      </w:pPr>
      <w:r>
        <w:rPr>
          <w:rFonts w:hint="eastAsia"/>
          <w:sz w:val="24"/>
        </w:rPr>
        <w:t>E为前一日的基金资产净值</w:t>
      </w:r>
    </w:p>
    <w:p>
      <w:pPr>
        <w:spacing w:line="360" w:lineRule="auto"/>
        <w:ind w:firstLine="480" w:firstLineChars="200"/>
        <w:rPr>
          <w:rFonts w:hint="eastAsia"/>
          <w:sz w:val="24"/>
        </w:rPr>
      </w:pPr>
      <w:r>
        <w:rPr>
          <w:rFonts w:hint="eastAsia"/>
          <w:sz w:val="24"/>
        </w:rPr>
        <w:t>固定管理费每日计提，逐日累计至每个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spacing w:line="360" w:lineRule="auto"/>
        <w:ind w:firstLine="480" w:firstLineChars="200"/>
        <w:rPr>
          <w:rFonts w:hint="eastAsia"/>
          <w:sz w:val="24"/>
        </w:rPr>
      </w:pPr>
      <w:r>
        <w:rPr>
          <w:rFonts w:hint="eastAsia"/>
          <w:sz w:val="24"/>
        </w:rPr>
        <w:t>（2）或有管理费和超额管理费</w:t>
      </w:r>
    </w:p>
    <w:p>
      <w:pPr>
        <w:spacing w:line="360" w:lineRule="auto"/>
        <w:ind w:firstLine="480" w:firstLineChars="200"/>
        <w:rPr>
          <w:rFonts w:hint="eastAsia"/>
          <w:sz w:val="24"/>
        </w:rPr>
      </w:pPr>
      <w:r>
        <w:rPr>
          <w:rFonts w:hint="eastAsia"/>
          <w:sz w:val="24"/>
        </w:rPr>
        <w:t>或有管理费按前一日基金资产净值的0.60%年费率每日计提。或有管理费的计算方法如下：</w:t>
      </w:r>
    </w:p>
    <w:p>
      <w:pPr>
        <w:spacing w:line="360" w:lineRule="auto"/>
        <w:ind w:firstLine="480" w:firstLineChars="200"/>
        <w:rPr>
          <w:rFonts w:hint="eastAsia"/>
          <w:sz w:val="24"/>
        </w:rPr>
      </w:pPr>
      <w:r>
        <w:rPr>
          <w:rFonts w:hint="eastAsia"/>
          <w:sz w:val="24"/>
        </w:rPr>
        <w:t>H</w:t>
      </w:r>
      <w:r>
        <w:rPr>
          <w:rFonts w:hint="eastAsia"/>
          <w:sz w:val="24"/>
          <w:vertAlign w:val="subscript"/>
        </w:rPr>
        <w:t>2</w:t>
      </w:r>
      <w:r>
        <w:rPr>
          <w:rFonts w:hint="eastAsia"/>
          <w:sz w:val="24"/>
        </w:rPr>
        <w:t>＝E×0.60%÷当年天数</w:t>
      </w:r>
    </w:p>
    <w:p>
      <w:pPr>
        <w:spacing w:line="360" w:lineRule="auto"/>
        <w:ind w:firstLine="480" w:firstLineChars="200"/>
        <w:rPr>
          <w:rFonts w:hint="eastAsia"/>
          <w:sz w:val="24"/>
        </w:rPr>
      </w:pPr>
      <w:r>
        <w:rPr>
          <w:rFonts w:hint="eastAsia"/>
          <w:sz w:val="24"/>
        </w:rPr>
        <w:t>H</w:t>
      </w:r>
      <w:r>
        <w:rPr>
          <w:rFonts w:hint="eastAsia"/>
          <w:sz w:val="24"/>
          <w:vertAlign w:val="subscript"/>
        </w:rPr>
        <w:t>2</w:t>
      </w:r>
      <w:r>
        <w:rPr>
          <w:rFonts w:hint="eastAsia"/>
          <w:sz w:val="24"/>
        </w:rPr>
        <w:t>为每日应计提的或有管理费</w:t>
      </w:r>
    </w:p>
    <w:p>
      <w:pPr>
        <w:spacing w:line="360" w:lineRule="auto"/>
        <w:ind w:firstLine="480" w:firstLineChars="200"/>
        <w:rPr>
          <w:rFonts w:hint="eastAsia"/>
          <w:sz w:val="24"/>
        </w:rPr>
      </w:pPr>
      <w:r>
        <w:rPr>
          <w:rFonts w:hint="eastAsia"/>
          <w:sz w:val="24"/>
        </w:rPr>
        <w:t>E为前一日的基金资产净值</w:t>
      </w:r>
    </w:p>
    <w:p>
      <w:pPr>
        <w:spacing w:line="360" w:lineRule="auto"/>
        <w:ind w:firstLine="480" w:firstLineChars="200"/>
        <w:rPr>
          <w:rFonts w:hint="eastAsia"/>
          <w:sz w:val="24"/>
        </w:rPr>
      </w:pPr>
      <w:r>
        <w:rPr>
          <w:rFonts w:hint="eastAsia"/>
          <w:sz w:val="24"/>
        </w:rPr>
        <w:t>投资者赎回基金份额或基金合同终止的情形发生时，若该笔基金份额持有天数达到或超过365天，且该笔基金份额的持有收益率R符合下表“情形一”的收取情形，或有管理费为0，则该笔基金份额持有期内计提的或有管理费将全额随赎回款（或清算款）一并返还给投资者；在其他情形下，该笔基金份额持有期内计提的或有管理费应确认为应由管理人收取的管理费。</w:t>
      </w:r>
    </w:p>
    <w:p>
      <w:pPr>
        <w:spacing w:line="360" w:lineRule="auto"/>
        <w:ind w:firstLine="480" w:firstLineChars="200"/>
        <w:rPr>
          <w:rFonts w:hint="eastAsia"/>
          <w:sz w:val="24"/>
        </w:rPr>
      </w:pPr>
      <w:r>
        <w:rPr>
          <w:rFonts w:hint="eastAsia"/>
          <w:sz w:val="24"/>
        </w:rPr>
        <w:t>本基金每日预估计算并记录每笔基金份额的超额管理费，基金超额管理费的预估计算方法如下：</w:t>
      </w:r>
    </w:p>
    <w:p>
      <w:pPr>
        <w:spacing w:line="360" w:lineRule="auto"/>
        <w:ind w:firstLine="480" w:firstLineChars="200"/>
        <w:rPr>
          <w:rFonts w:hint="eastAsia"/>
          <w:sz w:val="24"/>
        </w:rPr>
      </w:pPr>
      <w:r>
        <w:rPr>
          <w:rFonts w:hint="eastAsia"/>
          <w:sz w:val="24"/>
        </w:rPr>
        <w:t>H</w:t>
      </w:r>
      <w:r>
        <w:rPr>
          <w:rFonts w:hint="eastAsia"/>
          <w:sz w:val="24"/>
          <w:vertAlign w:val="subscript"/>
        </w:rPr>
        <w:t>3</w:t>
      </w:r>
      <w:r>
        <w:rPr>
          <w:rFonts w:hint="eastAsia"/>
          <w:sz w:val="24"/>
        </w:rPr>
        <w:t>＝E×0.30%÷当年天数</w:t>
      </w:r>
    </w:p>
    <w:p>
      <w:pPr>
        <w:spacing w:line="360" w:lineRule="auto"/>
        <w:ind w:firstLine="480" w:firstLineChars="200"/>
        <w:rPr>
          <w:rFonts w:hint="eastAsia"/>
          <w:sz w:val="24"/>
        </w:rPr>
      </w:pPr>
      <w:r>
        <w:rPr>
          <w:rFonts w:hint="eastAsia"/>
          <w:sz w:val="24"/>
        </w:rPr>
        <w:t>H</w:t>
      </w:r>
      <w:r>
        <w:rPr>
          <w:rFonts w:hint="eastAsia"/>
          <w:sz w:val="24"/>
          <w:vertAlign w:val="subscript"/>
        </w:rPr>
        <w:t>3</w:t>
      </w:r>
      <w:r>
        <w:rPr>
          <w:rFonts w:hint="eastAsia"/>
          <w:sz w:val="24"/>
        </w:rPr>
        <w:t>为每日预估计算的基金超额管理费</w:t>
      </w:r>
    </w:p>
    <w:p>
      <w:pPr>
        <w:spacing w:line="360" w:lineRule="auto"/>
        <w:ind w:firstLine="480" w:firstLineChars="200"/>
        <w:rPr>
          <w:rFonts w:hint="eastAsia"/>
          <w:sz w:val="24"/>
        </w:rPr>
      </w:pPr>
      <w:r>
        <w:rPr>
          <w:rFonts w:hint="eastAsia"/>
          <w:sz w:val="24"/>
        </w:rPr>
        <w:t>E为前一日的基金资产净值</w:t>
      </w:r>
    </w:p>
    <w:p>
      <w:pPr>
        <w:spacing w:line="360" w:lineRule="auto"/>
        <w:ind w:firstLine="480" w:firstLineChars="200"/>
        <w:rPr>
          <w:rFonts w:hint="eastAsia"/>
          <w:sz w:val="24"/>
        </w:rPr>
      </w:pPr>
      <w:r>
        <w:rPr>
          <w:rFonts w:hint="eastAsia"/>
          <w:sz w:val="24"/>
        </w:rPr>
        <w:t>每笔基金份额的超额管理费每日预估计算，但不从基金资产中实际计提，逐日累计。投资者赎回基金份额或基金合同终止的情形发生时，当且仅当该笔基金份额持有天数达到或超过365天，且该笔基金份额的年化收益率（R）符合下表“情形三”的收取情形，将从该笔基金份额的赎回款（或清算款）中扣除0.30%年费率的超额管理费，并随已计提的或有管理费一同确认为应由管理人收取的管理费。</w:t>
      </w:r>
    </w:p>
    <w:p>
      <w:pPr>
        <w:spacing w:line="360" w:lineRule="auto"/>
        <w:ind w:firstLine="480" w:firstLineChars="200"/>
        <w:rPr>
          <w:rFonts w:hint="eastAsia" w:ascii="宋体" w:hAnsi="宋体" w:cs="宋体"/>
          <w:sz w:val="24"/>
          <w:szCs w:val="24"/>
        </w:rPr>
      </w:pPr>
      <w:r>
        <w:rPr>
          <w:rFonts w:hint="eastAsia"/>
          <w:sz w:val="24"/>
        </w:rPr>
        <w:t>当投资者赎回基金份额或基金合同终止的情形发生时，本基金根据以下三种情形确认应实际收取的或有管理费和超额管理费：</w:t>
      </w:r>
    </w:p>
    <w:tbl>
      <w:tblPr>
        <w:tblStyle w:val="22"/>
        <w:tblW w:w="7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293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 w:val="24"/>
                <w:szCs w:val="24"/>
              </w:rPr>
            </w:pPr>
            <w:r>
              <w:rPr>
                <w:rFonts w:hint="eastAsia" w:ascii="宋体" w:hAnsi="宋体" w:cs="宋体"/>
                <w:b/>
                <w:kern w:val="0"/>
                <w:sz w:val="24"/>
                <w:szCs w:val="24"/>
              </w:rPr>
              <w:t>收取情形</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 w:val="24"/>
                <w:szCs w:val="24"/>
              </w:rPr>
            </w:pPr>
            <w:r>
              <w:rPr>
                <w:rFonts w:hint="eastAsia" w:ascii="宋体" w:hAnsi="宋体" w:cs="宋体"/>
                <w:b/>
                <w:kern w:val="0"/>
                <w:sz w:val="24"/>
                <w:szCs w:val="24"/>
              </w:rPr>
              <w:t>年化收益率（R）</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 w:val="24"/>
                <w:szCs w:val="24"/>
              </w:rPr>
            </w:pPr>
            <w:r>
              <w:rPr>
                <w:rFonts w:hint="eastAsia" w:ascii="宋体" w:hAnsi="宋体" w:cs="宋体"/>
                <w:b/>
                <w:kern w:val="0"/>
                <w:sz w:val="24"/>
                <w:szCs w:val="24"/>
              </w:rPr>
              <w:t>或有管理费</w:t>
            </w:r>
          </w:p>
          <w:p>
            <w:pPr>
              <w:jc w:val="center"/>
              <w:rPr>
                <w:rFonts w:hint="eastAsia" w:ascii="宋体" w:hAnsi="宋体" w:cs="宋体"/>
                <w:b/>
                <w:kern w:val="0"/>
                <w:sz w:val="24"/>
                <w:szCs w:val="24"/>
              </w:rPr>
            </w:pPr>
            <w:r>
              <w:rPr>
                <w:rFonts w:hint="eastAsia" w:ascii="宋体" w:hAnsi="宋体" w:cs="宋体"/>
                <w:b/>
                <w:kern w:val="0"/>
                <w:sz w:val="24"/>
                <w:szCs w:val="24"/>
              </w:rPr>
              <w:t>（年费率）</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 w:val="24"/>
                <w:szCs w:val="24"/>
              </w:rPr>
            </w:pPr>
            <w:r>
              <w:rPr>
                <w:rFonts w:hint="eastAsia" w:ascii="宋体" w:hAnsi="宋体" w:cs="宋体"/>
                <w:b/>
                <w:kern w:val="0"/>
                <w:sz w:val="24"/>
                <w:szCs w:val="24"/>
              </w:rPr>
              <w:t>超额管理费</w:t>
            </w:r>
          </w:p>
          <w:p>
            <w:pPr>
              <w:jc w:val="center"/>
              <w:rPr>
                <w:rFonts w:hint="eastAsia" w:ascii="宋体" w:hAnsi="宋体" w:cs="宋体"/>
                <w:b/>
                <w:kern w:val="0"/>
                <w:sz w:val="24"/>
                <w:szCs w:val="24"/>
              </w:rPr>
            </w:pPr>
            <w:r>
              <w:rPr>
                <w:rFonts w:hint="eastAsia" w:ascii="宋体" w:hAnsi="宋体" w:cs="宋体"/>
                <w:b/>
                <w:kern w:val="0"/>
                <w:sz w:val="24"/>
                <w:szCs w:val="24"/>
              </w:rPr>
              <w:t>（年费率）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情形一</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kern w:val="0"/>
                <w:sz w:val="24"/>
                <w:szCs w:val="24"/>
              </w:rPr>
            </w:pPr>
            <w:r>
              <w:rPr>
                <w:rFonts w:hint="eastAsia" w:ascii="宋体" w:hAnsi="宋体" w:cs="宋体"/>
                <w:kern w:val="0"/>
                <w:sz w:val="24"/>
                <w:szCs w:val="24"/>
              </w:rPr>
              <w:t>R≤R</w:t>
            </w:r>
            <w:r>
              <w:rPr>
                <w:rFonts w:hint="eastAsia" w:ascii="宋体" w:hAnsi="宋体" w:cs="宋体"/>
                <w:kern w:val="0"/>
                <w:sz w:val="24"/>
                <w:szCs w:val="24"/>
                <w:vertAlign w:val="subscript"/>
              </w:rPr>
              <w:t>b</w:t>
            </w:r>
            <w:r>
              <w:rPr>
                <w:rFonts w:hint="eastAsia" w:ascii="宋体" w:hAnsi="宋体" w:cs="宋体"/>
                <w:kern w:val="0"/>
                <w:sz w:val="24"/>
                <w:szCs w:val="24"/>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情形二</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其他情形</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0.60%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情形三</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
                <w:kern w:val="0"/>
                <w:sz w:val="24"/>
                <w:szCs w:val="24"/>
              </w:rPr>
            </w:pPr>
            <w:r>
              <w:rPr>
                <w:rFonts w:hint="eastAsia" w:ascii="宋体" w:hAnsi="宋体" w:cs="宋体"/>
                <w:sz w:val="24"/>
                <w:szCs w:val="24"/>
              </w:rPr>
              <w:t>R＞R</w:t>
            </w:r>
            <w:r>
              <w:rPr>
                <w:rFonts w:hint="eastAsia" w:ascii="宋体" w:hAnsi="宋体" w:cs="宋体"/>
                <w:spacing w:val="-2"/>
                <w:sz w:val="24"/>
                <w:szCs w:val="24"/>
                <w:vertAlign w:val="subscript"/>
              </w:rPr>
              <w:t>b</w:t>
            </w:r>
            <w:r>
              <w:rPr>
                <w:rFonts w:hint="eastAsia" w:ascii="宋体" w:hAnsi="宋体" w:cs="宋体"/>
                <w:sz w:val="24"/>
                <w:szCs w:val="24"/>
              </w:rPr>
              <w:t>+6%，R＞0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0.60%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0.30%</w:t>
            </w:r>
          </w:p>
        </w:tc>
      </w:tr>
    </w:tbl>
    <w:p>
      <w:pPr>
        <w:spacing w:line="360" w:lineRule="auto"/>
        <w:ind w:firstLine="480" w:firstLineChars="200"/>
        <w:rPr>
          <w:rFonts w:hint="eastAsia"/>
          <w:sz w:val="24"/>
        </w:rPr>
      </w:pPr>
      <w:r>
        <w:rPr>
          <w:rFonts w:hint="eastAsia"/>
          <w:sz w:val="24"/>
        </w:rPr>
        <w:t>对于“情形三”，若拟扣除超额管理费后的年化收益率小于等于R</w:t>
      </w:r>
      <w:r>
        <w:rPr>
          <w:rFonts w:hint="eastAsia"/>
          <w:sz w:val="24"/>
          <w:vertAlign w:val="subscript"/>
        </w:rPr>
        <w:t>b</w:t>
      </w:r>
      <w:r>
        <w:rPr>
          <w:rFonts w:hint="eastAsia"/>
          <w:sz w:val="24"/>
        </w:rPr>
        <w:t>+6%，或小于等于0时，仍按1.20%年费率收取该笔基金份额的管理费，以使得该笔基金份额在扣除超额管理费后的年化收益率仍需满足本基金收取超额管理费的标准。</w:t>
      </w:r>
    </w:p>
    <w:p>
      <w:pPr>
        <w:spacing w:line="360" w:lineRule="auto"/>
        <w:ind w:firstLine="480" w:firstLineChars="200"/>
        <w:rPr>
          <w:rFonts w:hint="eastAsia"/>
          <w:sz w:val="24"/>
        </w:rPr>
      </w:pPr>
      <w:r>
        <w:rPr>
          <w:rFonts w:hint="eastAsia"/>
          <w:sz w:val="24"/>
        </w:rPr>
        <w:t>每笔基金份额的年化收益率（R）计算方法如下：</w:t>
      </w:r>
    </w:p>
    <w:p>
      <w:pPr>
        <w:widowControl w:val="0"/>
        <w:jc w:val="both"/>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21"/>
          <w:szCs w:val="24"/>
          <w:lang w:val="en-US" w:eastAsia="zh-CN" w:bidi="ar-SA"/>
        </w:rPr>
        <w:t xml:space="preserve">    </w:t>
      </w:r>
      <w:r>
        <w:rPr>
          <w:rFonts w:ascii="Times New Roman" w:hAnsi="Times New Roman" w:eastAsia="宋体" w:cs="Times New Roman"/>
          <w:kern w:val="2"/>
          <w:sz w:val="21"/>
          <w:szCs w:val="24"/>
          <w:lang w:val="en-US" w:eastAsia="zh-CN" w:bidi="ar-SA"/>
        </w:rPr>
        <w:drawing>
          <wp:inline distT="0" distB="0" distL="114300" distR="114300">
            <wp:extent cx="1455420" cy="395605"/>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455420" cy="395605"/>
                    </a:xfrm>
                    <a:prstGeom prst="rect">
                      <a:avLst/>
                    </a:prstGeom>
                    <a:noFill/>
                    <a:ln>
                      <a:noFill/>
                    </a:ln>
                  </pic:spPr>
                </pic:pic>
              </a:graphicData>
            </a:graphic>
          </wp:inline>
        </w:drawing>
      </w:r>
    </w:p>
    <w:p>
      <w:pPr>
        <w:spacing w:line="360" w:lineRule="auto"/>
        <w:ind w:firstLine="480" w:firstLineChars="200"/>
        <w:rPr>
          <w:rFonts w:hint="eastAsia"/>
          <w:sz w:val="24"/>
        </w:rPr>
      </w:pPr>
      <w:r>
        <w:rPr>
          <w:rFonts w:hint="eastAsia"/>
          <w:sz w:val="24"/>
        </w:rPr>
        <w:t>拟扣除超额管理费后的年化收益率（R</w:t>
      </w:r>
      <w:r>
        <w:rPr>
          <w:rFonts w:hint="eastAsia"/>
          <w:sz w:val="24"/>
          <w:vertAlign w:val="superscript"/>
        </w:rPr>
        <w:t>*</w:t>
      </w:r>
      <w:r>
        <w:rPr>
          <w:rFonts w:hint="eastAsia"/>
          <w:sz w:val="24"/>
        </w:rPr>
        <w:t>）的计算方法如下：</w:t>
      </w:r>
    </w:p>
    <w:p>
      <w:pPr>
        <w:ind w:firstLine="480"/>
        <w:jc w:val="left"/>
        <w:rPr>
          <w:rFonts w:hint="eastAsia" w:ascii="宋体" w:hAnsi="宋体" w:cs="宋体"/>
          <w:sz w:val="24"/>
          <w:szCs w:val="24"/>
        </w:rPr>
      </w:pPr>
      <w:r>
        <w:rPr>
          <w:szCs w:val="24"/>
        </w:rPr>
        <w:drawing>
          <wp:inline distT="0" distB="0" distL="114300" distR="114300">
            <wp:extent cx="2186940" cy="395605"/>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186940" cy="395605"/>
                    </a:xfrm>
                    <a:prstGeom prst="rect">
                      <a:avLst/>
                    </a:prstGeom>
                    <a:noFill/>
                    <a:ln>
                      <a:noFill/>
                    </a:ln>
                  </pic:spPr>
                </pic:pic>
              </a:graphicData>
            </a:graphic>
          </wp:inline>
        </w:drawing>
      </w:r>
    </w:p>
    <w:p>
      <w:pPr>
        <w:spacing w:line="360" w:lineRule="auto"/>
        <w:ind w:firstLine="480" w:firstLineChars="200"/>
        <w:rPr>
          <w:rFonts w:hint="eastAsia"/>
          <w:sz w:val="24"/>
        </w:rPr>
      </w:pPr>
      <w:r>
        <w:rPr>
          <w:rFonts w:hint="eastAsia"/>
          <w:sz w:val="24"/>
        </w:rPr>
        <w:t>R为该笔基金份额的年化收益率；R</w:t>
      </w:r>
      <w:r>
        <w:rPr>
          <w:rFonts w:hint="eastAsia"/>
          <w:sz w:val="24"/>
          <w:vertAlign w:val="subscript"/>
        </w:rPr>
        <w:t>b</w:t>
      </w:r>
      <w:r>
        <w:rPr>
          <w:rFonts w:hint="eastAsia"/>
          <w:sz w:val="24"/>
        </w:rPr>
        <w:t>为本基金业绩比较基准同期年化收益率；</w:t>
      </w:r>
    </w:p>
    <w:p>
      <w:pPr>
        <w:spacing w:line="360" w:lineRule="auto"/>
        <w:ind w:firstLine="480" w:firstLineChars="200"/>
        <w:rPr>
          <w:rFonts w:hint="eastAsia"/>
          <w:sz w:val="24"/>
        </w:rPr>
      </w:pPr>
      <w:r>
        <w:rPr>
          <w:rFonts w:hint="eastAsia"/>
          <w:sz w:val="24"/>
        </w:rPr>
        <w:t>A为该笔基金份额赎回日或基金合同终止情形发生日的基金份额累计净值；</w:t>
      </w:r>
    </w:p>
    <w:p>
      <w:pPr>
        <w:spacing w:line="360" w:lineRule="auto"/>
        <w:ind w:firstLine="480" w:firstLineChars="200"/>
        <w:rPr>
          <w:rFonts w:hint="eastAsia"/>
          <w:sz w:val="24"/>
        </w:rPr>
      </w:pPr>
      <w:r>
        <w:rPr>
          <w:rFonts w:hint="eastAsia"/>
          <w:sz w:val="24"/>
        </w:rPr>
        <w:t>B为该笔基金份额认购/申购日的基金份额累计净值，其中份额认购日的基金份额（累计）净值为1.00元；</w:t>
      </w:r>
    </w:p>
    <w:p>
      <w:pPr>
        <w:spacing w:line="360" w:lineRule="auto"/>
        <w:ind w:firstLine="480" w:firstLineChars="200"/>
        <w:rPr>
          <w:rFonts w:hint="eastAsia"/>
          <w:sz w:val="24"/>
        </w:rPr>
      </w:pPr>
      <w:r>
        <w:rPr>
          <w:rFonts w:hint="eastAsia"/>
          <w:sz w:val="24"/>
        </w:rPr>
        <w:t>C为该笔基金份额认购/申购日的基金份额净值，其中份额认购日的基金份额净值为1.00元；</w:t>
      </w:r>
    </w:p>
    <w:p>
      <w:pPr>
        <w:spacing w:line="360" w:lineRule="auto"/>
        <w:ind w:firstLine="480" w:firstLineChars="200"/>
        <w:rPr>
          <w:rFonts w:hint="eastAsia"/>
          <w:sz w:val="24"/>
        </w:rPr>
      </w:pPr>
      <w:r>
        <w:rPr>
          <w:rFonts w:hint="eastAsia"/>
          <w:sz w:val="24"/>
        </w:rPr>
        <w:t>D为基金合同生效日（针对募集期内认购的基金份额）或该笔基金份额申购确认日与赎回确认日或基金合同终止情形发生日下一工作日的间隔天数；</w:t>
      </w:r>
    </w:p>
    <w:p>
      <w:pPr>
        <w:spacing w:line="360" w:lineRule="auto"/>
        <w:ind w:firstLine="480" w:firstLineChars="200"/>
        <w:rPr>
          <w:rFonts w:hint="eastAsia"/>
          <w:sz w:val="24"/>
        </w:rPr>
      </w:pPr>
      <w:r>
        <w:rPr>
          <w:rFonts w:hint="eastAsia"/>
          <w:sz w:val="24"/>
        </w:rPr>
        <w:t>F为该笔基金份额的份额数；</w:t>
      </w:r>
    </w:p>
    <w:p>
      <w:pPr>
        <w:spacing w:line="360" w:lineRule="auto"/>
        <w:ind w:firstLine="480" w:firstLineChars="200"/>
        <w:rPr>
          <w:rFonts w:hint="eastAsia"/>
          <w:sz w:val="24"/>
        </w:rPr>
      </w:pPr>
      <w:r>
        <w:rPr>
          <w:rFonts w:hint="eastAsia"/>
          <w:sz w:val="24"/>
        </w:rPr>
        <w:t>M</w:t>
      </w:r>
      <w:r>
        <w:rPr>
          <w:rFonts w:hint="eastAsia"/>
          <w:sz w:val="24"/>
          <w:vertAlign w:val="subscript"/>
        </w:rPr>
        <w:t>C</w:t>
      </w:r>
      <w:r>
        <w:rPr>
          <w:rFonts w:hint="eastAsia"/>
          <w:sz w:val="24"/>
        </w:rPr>
        <w:t>为该笔基金份额持有期内累计计算的超额管理费。</w:t>
      </w:r>
    </w:p>
    <w:p>
      <w:pPr>
        <w:spacing w:line="360" w:lineRule="auto"/>
        <w:ind w:firstLine="480" w:firstLineChars="200"/>
        <w:rPr>
          <w:rFonts w:hint="eastAsia"/>
          <w:sz w:val="24"/>
        </w:rPr>
      </w:pPr>
      <w:r>
        <w:rPr>
          <w:rFonts w:hint="eastAsia"/>
          <w:sz w:val="24"/>
        </w:rPr>
        <w:t>对于已经确认为管理人收入的或有管理费和超额管理费，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spacing w:line="360" w:lineRule="auto"/>
        <w:ind w:firstLine="480" w:firstLineChars="200"/>
        <w:rPr>
          <w:bCs/>
          <w:sz w:val="24"/>
        </w:rPr>
      </w:pPr>
      <w:r>
        <w:rPr>
          <w:rFonts w:hint="eastAsia"/>
          <w:sz w:val="24"/>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pPr>
        <w:spacing w:line="360" w:lineRule="auto"/>
        <w:ind w:firstLine="480" w:firstLineChars="200"/>
        <w:rPr>
          <w:bCs/>
          <w:sz w:val="24"/>
        </w:rPr>
      </w:pPr>
      <w:r>
        <w:rPr>
          <w:bCs/>
          <w:sz w:val="24"/>
        </w:rPr>
        <w:t>2、基金托管人的托管费</w:t>
      </w:r>
    </w:p>
    <w:p>
      <w:pPr>
        <w:spacing w:line="360" w:lineRule="auto"/>
        <w:ind w:firstLine="480" w:firstLineChars="200"/>
        <w:rPr>
          <w:rFonts w:hint="eastAsia"/>
          <w:bCs/>
          <w:sz w:val="24"/>
        </w:rPr>
      </w:pPr>
      <w:r>
        <w:rPr>
          <w:rFonts w:hint="eastAsia"/>
          <w:bCs/>
          <w:sz w:val="24"/>
        </w:rPr>
        <w:t>本基金的托管费按前一日基金资产净值的0.2%年费率计提。托管费的计算方法如下：</w:t>
      </w:r>
    </w:p>
    <w:p>
      <w:pPr>
        <w:spacing w:line="360" w:lineRule="auto"/>
        <w:ind w:firstLine="480" w:firstLineChars="200"/>
        <w:rPr>
          <w:rFonts w:hint="eastAsia"/>
          <w:bCs/>
          <w:sz w:val="24"/>
        </w:rPr>
      </w:pPr>
      <w:r>
        <w:rPr>
          <w:rFonts w:hint="eastAsia"/>
          <w:bCs/>
          <w:sz w:val="24"/>
        </w:rPr>
        <w:t>H＝E×年托管费率÷当年天数</w:t>
      </w:r>
    </w:p>
    <w:p>
      <w:pPr>
        <w:spacing w:line="360" w:lineRule="auto"/>
        <w:ind w:firstLine="480" w:firstLineChars="200"/>
        <w:rPr>
          <w:rFonts w:hint="eastAsia"/>
          <w:bCs/>
          <w:sz w:val="24"/>
        </w:rPr>
      </w:pPr>
      <w:r>
        <w:rPr>
          <w:rFonts w:hint="eastAsia"/>
          <w:bCs/>
          <w:sz w:val="24"/>
        </w:rPr>
        <w:t>H为每日应计提的基金托管费</w:t>
      </w:r>
    </w:p>
    <w:p>
      <w:pPr>
        <w:spacing w:line="360" w:lineRule="auto"/>
        <w:ind w:firstLine="480" w:firstLineChars="200"/>
        <w:rPr>
          <w:rFonts w:hint="eastAsia"/>
          <w:bCs/>
          <w:sz w:val="24"/>
        </w:rPr>
      </w:pPr>
      <w:r>
        <w:rPr>
          <w:rFonts w:hint="eastAsia"/>
          <w:bCs/>
          <w:sz w:val="24"/>
        </w:rPr>
        <w:t>E为前一日的基金资产净值</w:t>
      </w:r>
    </w:p>
    <w:p>
      <w:pPr>
        <w:spacing w:line="360" w:lineRule="auto"/>
        <w:ind w:firstLine="480" w:firstLineChars="200"/>
        <w:rPr>
          <w:bCs/>
          <w:sz w:val="24"/>
        </w:rPr>
      </w:pPr>
      <w:r>
        <w:rPr>
          <w:rFonts w:hint="eastAsia"/>
          <w:bCs/>
          <w:sz w:val="24"/>
        </w:rPr>
        <w:t>基金托管费每日计提，逐日累计至每月月末，按月支付。由基金管理人与基金托管人核对一致后，由基金托管人按照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于次月首日起5个工作日内从基金财产中一次性支付给基金托管人，若遇法定节假日、休息日或不可抗力致使无法按时支付的，支付日期顺延。</w:t>
      </w:r>
    </w:p>
    <w:p>
      <w:pPr>
        <w:spacing w:line="360" w:lineRule="auto"/>
        <w:ind w:firstLine="480" w:firstLineChars="200"/>
        <w:rPr>
          <w:rFonts w:hint="eastAsia"/>
          <w:bCs/>
          <w:sz w:val="24"/>
        </w:rPr>
      </w:pPr>
      <w:r>
        <w:rPr>
          <w:rFonts w:hint="eastAsia"/>
          <w:bCs/>
          <w:sz w:val="24"/>
        </w:rPr>
        <w:t>3</w:t>
      </w:r>
      <w:r>
        <w:rPr>
          <w:bCs/>
          <w:sz w:val="24"/>
        </w:rPr>
        <w:t>、</w:t>
      </w:r>
      <w:r>
        <w:rPr>
          <w:rFonts w:hint="eastAsia"/>
          <w:bCs/>
          <w:sz w:val="24"/>
        </w:rPr>
        <w:t>C类基金份额的销售服务费</w:t>
      </w:r>
    </w:p>
    <w:p>
      <w:pPr>
        <w:spacing w:line="360" w:lineRule="auto"/>
        <w:ind w:firstLine="480" w:firstLineChars="200"/>
        <w:rPr>
          <w:rFonts w:hint="eastAsia"/>
          <w:bCs/>
          <w:sz w:val="24"/>
        </w:rPr>
      </w:pPr>
      <w:r>
        <w:rPr>
          <w:rFonts w:hint="eastAsia"/>
          <w:bCs/>
          <w:sz w:val="24"/>
        </w:rPr>
        <w:t>本基金A类基金份额不收取销售服务费，C类基金份额的销售服务费按前一日C类基金资产净值的0.</w:t>
      </w:r>
      <w:r>
        <w:rPr>
          <w:bCs/>
          <w:sz w:val="24"/>
        </w:rPr>
        <w:t>6</w:t>
      </w:r>
      <w:r>
        <w:rPr>
          <w:rFonts w:hint="eastAsia"/>
          <w:bCs/>
          <w:sz w:val="24"/>
        </w:rPr>
        <w:t>%年费率计提。计算方法如下：</w:t>
      </w:r>
    </w:p>
    <w:p>
      <w:pPr>
        <w:spacing w:line="360" w:lineRule="auto"/>
        <w:ind w:firstLine="480" w:firstLineChars="200"/>
        <w:rPr>
          <w:rFonts w:hint="eastAsia"/>
          <w:bCs/>
          <w:sz w:val="24"/>
        </w:rPr>
      </w:pPr>
      <w:r>
        <w:rPr>
          <w:rFonts w:hint="eastAsia"/>
          <w:bCs/>
          <w:sz w:val="24"/>
        </w:rPr>
        <w:t>H＝E×0.</w:t>
      </w:r>
      <w:r>
        <w:rPr>
          <w:bCs/>
          <w:sz w:val="24"/>
        </w:rPr>
        <w:t>6</w:t>
      </w:r>
      <w:r>
        <w:rPr>
          <w:rFonts w:hint="eastAsia"/>
          <w:bCs/>
          <w:sz w:val="24"/>
        </w:rPr>
        <w:t>%÷当年天数</w:t>
      </w:r>
    </w:p>
    <w:p>
      <w:pPr>
        <w:spacing w:line="360" w:lineRule="auto"/>
        <w:ind w:firstLine="480" w:firstLineChars="200"/>
        <w:rPr>
          <w:rFonts w:hint="eastAsia"/>
          <w:bCs/>
          <w:sz w:val="24"/>
        </w:rPr>
      </w:pPr>
      <w:r>
        <w:rPr>
          <w:rFonts w:hint="eastAsia"/>
          <w:bCs/>
          <w:sz w:val="24"/>
        </w:rPr>
        <w:t>H为C类基金份额每日应计提的销售服务费</w:t>
      </w:r>
    </w:p>
    <w:p>
      <w:pPr>
        <w:spacing w:line="360" w:lineRule="auto"/>
        <w:ind w:firstLine="480" w:firstLineChars="200"/>
        <w:rPr>
          <w:rFonts w:hint="eastAsia"/>
          <w:bCs/>
          <w:sz w:val="24"/>
        </w:rPr>
      </w:pPr>
      <w:r>
        <w:rPr>
          <w:rFonts w:hint="eastAsia"/>
          <w:bCs/>
          <w:sz w:val="24"/>
        </w:rPr>
        <w:t>E为C类基金份额前一日基金资产净值</w:t>
      </w:r>
    </w:p>
    <w:p>
      <w:pPr>
        <w:spacing w:line="360" w:lineRule="auto"/>
        <w:ind w:firstLine="480" w:firstLineChars="200"/>
        <w:rPr>
          <w:rFonts w:hint="eastAsia"/>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spacing w:line="360" w:lineRule="auto"/>
        <w:ind w:firstLine="480" w:firstLineChars="200"/>
        <w:rPr>
          <w:rFonts w:hint="eastAsia"/>
          <w:bCs/>
          <w:sz w:val="24"/>
        </w:rPr>
      </w:pPr>
      <w:r>
        <w:rPr>
          <w:rFonts w:hint="eastAsia"/>
          <w:bCs/>
          <w:sz w:val="24"/>
        </w:rPr>
        <w:t>C类基金份额的销售服务费将专门用于本基金的市场推广、销售与基金份额持有人服务。</w:t>
      </w:r>
    </w:p>
    <w:p>
      <w:pPr>
        <w:spacing w:line="360" w:lineRule="auto"/>
        <w:ind w:firstLine="480" w:firstLineChars="200"/>
        <w:rPr>
          <w:bCs/>
          <w:sz w:val="24"/>
        </w:rPr>
      </w:pPr>
      <w:r>
        <w:rPr>
          <w:bCs/>
          <w:sz w:val="24"/>
        </w:rPr>
        <w:t>4、上述“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spacing w:line="360" w:lineRule="auto"/>
        <w:ind w:firstLine="480" w:firstLineChars="200"/>
        <w:outlineLvl w:val="2"/>
        <w:rPr>
          <w:bCs/>
          <w:sz w:val="24"/>
        </w:rPr>
      </w:pPr>
      <w:r>
        <w:rPr>
          <w:rFonts w:hint="eastAsia"/>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p>
    <w:p>
      <w:pPr>
        <w:spacing w:line="360" w:lineRule="auto"/>
        <w:ind w:firstLine="480" w:firstLineChars="200"/>
        <w:outlineLvl w:val="2"/>
        <w:rPr>
          <w:rFonts w:hint="eastAsia"/>
          <w:bCs/>
          <w:sz w:val="24"/>
        </w:rPr>
      </w:pPr>
      <w:r>
        <w:rPr>
          <w:rFonts w:hint="eastAsia"/>
          <w:bCs/>
          <w:sz w:val="24"/>
        </w:rPr>
        <w:t>（四）实施侧袋机制期间的基金费用</w:t>
      </w:r>
    </w:p>
    <w:p>
      <w:pPr>
        <w:spacing w:line="360" w:lineRule="auto"/>
        <w:ind w:firstLine="480" w:firstLineChars="200"/>
        <w:rPr>
          <w:rFonts w:hint="eastAsia"/>
          <w:bCs/>
          <w:sz w:val="24"/>
        </w:rPr>
      </w:pPr>
      <w:r>
        <w:rPr>
          <w:rFonts w:hint="eastAsia"/>
          <w:bCs/>
          <w:sz w:val="24"/>
        </w:rPr>
        <w:t>本基金实施侧袋机制的，与侧袋账户有关的费用可以从侧袋账户中列支，但应待侧袋账户资产变现后方可列支，有关费用可酌情收取或减免，但不得收取管理费（包含固定管理费、或有管理费和超额管理费），详见招募说明书的规定。</w:t>
      </w:r>
    </w:p>
    <w:p>
      <w:pPr>
        <w:spacing w:line="360" w:lineRule="auto"/>
        <w:ind w:firstLine="480" w:firstLineChars="200"/>
        <w:outlineLvl w:val="2"/>
        <w:rPr>
          <w:bCs/>
          <w:sz w:val="24"/>
        </w:rPr>
      </w:pPr>
      <w:r>
        <w:rPr>
          <w:rFonts w:hint="eastAsia"/>
          <w:bCs/>
          <w:sz w:val="24"/>
        </w:rPr>
        <w:t>（五）基金税收</w:t>
      </w:r>
    </w:p>
    <w:p>
      <w:pPr>
        <w:spacing w:line="360" w:lineRule="auto"/>
        <w:ind w:firstLine="480" w:firstLineChars="20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2" w:firstLineChars="200"/>
        <w:outlineLvl w:val="1"/>
        <w:rPr>
          <w:rFonts w:ascii="宋体" w:hAnsi="宋体"/>
          <w:b/>
          <w:sz w:val="24"/>
          <w:szCs w:val="24"/>
        </w:rPr>
      </w:pPr>
      <w:r>
        <w:rPr>
          <w:rFonts w:ascii="宋体" w:hAnsi="宋体"/>
          <w:b/>
          <w:sz w:val="24"/>
          <w:szCs w:val="24"/>
        </w:rPr>
        <w:t>五、基金财产的投资方向和投资限制</w:t>
      </w:r>
    </w:p>
    <w:p>
      <w:pPr>
        <w:spacing w:line="360" w:lineRule="auto"/>
        <w:ind w:firstLine="480" w:firstLineChars="200"/>
        <w:outlineLvl w:val="2"/>
        <w:rPr>
          <w:rFonts w:ascii="宋体" w:hAnsi="宋体"/>
          <w:sz w:val="24"/>
          <w:szCs w:val="24"/>
        </w:rPr>
      </w:pPr>
      <w:bookmarkStart w:id="1" w:name="_Hlk50385905"/>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投资目标</w:t>
      </w:r>
    </w:p>
    <w:p>
      <w:pPr>
        <w:spacing w:line="360" w:lineRule="auto"/>
        <w:ind w:firstLine="480" w:firstLineChars="200"/>
        <w:rPr>
          <w:bCs/>
          <w:sz w:val="24"/>
        </w:rPr>
      </w:pPr>
      <w:r>
        <w:rPr>
          <w:rFonts w:hint="eastAsia"/>
          <w:bCs/>
          <w:sz w:val="24"/>
        </w:rPr>
        <w:t>本基金在合理控制风险的前提下，充分发挥专业研究与管理能力，力争为投资者提供长期稳健的投资回报。</w:t>
      </w:r>
    </w:p>
    <w:p>
      <w:pPr>
        <w:spacing w:line="360" w:lineRule="auto"/>
        <w:ind w:firstLine="480" w:firstLineChars="200"/>
        <w:outlineLvl w:val="2"/>
        <w:rPr>
          <w:rFonts w:ascii="宋体" w:hAnsi="宋体"/>
          <w:sz w:val="24"/>
          <w:szCs w:val="24"/>
        </w:rPr>
      </w:pPr>
      <w:r>
        <w:rPr>
          <w:rFonts w:hint="eastAsia" w:ascii="宋体" w:hAnsi="宋体"/>
          <w:sz w:val="24"/>
          <w:szCs w:val="24"/>
        </w:rPr>
        <w:t>（二）投资范围</w:t>
      </w:r>
    </w:p>
    <w:p>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（含主板、创业板、科创板及其他经中国证监会核准或注册上市的股票、存托凭证）</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w:t>
      </w:r>
      <w:r>
        <w:rPr>
          <w:bCs/>
          <w:sz w:val="24"/>
        </w:rPr>
        <w:t>以及法律法规或中国证监会允许基金投资的其他金融工具（但须符合中国证监会相关规定）。</w:t>
      </w:r>
    </w:p>
    <w:p>
      <w:pPr>
        <w:spacing w:line="360" w:lineRule="auto"/>
        <w:ind w:firstLine="480"/>
        <w:rPr>
          <w:bCs/>
        </w:rPr>
      </w:pPr>
      <w:r>
        <w:rPr>
          <w:bCs/>
          <w:sz w:val="24"/>
        </w:rPr>
        <w:t>如法律法规或监管机构以后允许基金投资其他品种，基金管理人在履行适当程序后，可以将其纳入投资范围。</w:t>
      </w:r>
    </w:p>
    <w:p>
      <w:pPr>
        <w:spacing w:line="360" w:lineRule="auto"/>
        <w:ind w:firstLine="480"/>
        <w:rPr>
          <w:bCs/>
          <w:sz w:val="24"/>
        </w:rPr>
      </w:pPr>
      <w:r>
        <w:rPr>
          <w:bCs/>
          <w:sz w:val="24"/>
        </w:rPr>
        <w:t>基金的投资组合比例为：</w:t>
      </w:r>
      <w:r>
        <w:rPr>
          <w:rFonts w:hint="eastAsia"/>
          <w:bCs/>
          <w:sz w:val="24"/>
        </w:rPr>
        <w:t>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line="360" w:lineRule="auto"/>
        <w:ind w:firstLine="480"/>
        <w:rPr>
          <w:rFonts w:hint="eastAsia"/>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outlineLvl w:val="2"/>
        <w:rPr>
          <w:bCs/>
          <w:sz w:val="24"/>
        </w:rPr>
      </w:pPr>
      <w:r>
        <w:rPr>
          <w:rFonts w:hint="eastAsia"/>
          <w:bCs/>
          <w:sz w:val="24"/>
        </w:rPr>
        <w:t>（</w:t>
      </w:r>
      <w:r>
        <w:rPr>
          <w:bCs/>
          <w:sz w:val="24"/>
        </w:rPr>
        <w:t>三</w:t>
      </w:r>
      <w:r>
        <w:rPr>
          <w:rFonts w:hint="eastAsia"/>
          <w:bCs/>
          <w:sz w:val="24"/>
        </w:rPr>
        <w:t>）</w:t>
      </w:r>
      <w:r>
        <w:rPr>
          <w:bCs/>
          <w:sz w:val="24"/>
        </w:rPr>
        <w:t>投资策略</w:t>
      </w:r>
    </w:p>
    <w:p>
      <w:pPr>
        <w:spacing w:line="360" w:lineRule="auto"/>
        <w:ind w:firstLine="480" w:firstLineChars="20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pPr>
        <w:spacing w:line="360" w:lineRule="auto"/>
        <w:ind w:firstLine="480" w:firstLineChars="200"/>
        <w:rPr>
          <w:bCs/>
          <w:sz w:val="24"/>
        </w:rPr>
      </w:pPr>
      <w:r>
        <w:rPr>
          <w:rFonts w:hint="eastAsia"/>
          <w:bCs/>
          <w:sz w:val="24"/>
        </w:rPr>
        <w:t>1、大类资产配置</w:t>
      </w:r>
    </w:p>
    <w:p>
      <w:pPr>
        <w:spacing w:line="360" w:lineRule="auto"/>
        <w:ind w:firstLine="480" w:firstLineChars="20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A股、港股通标的股票、债券及货币市场工具等各类别资产间的分配比例，并随着各类证券风险收益特征的相对变化，在基金合同约定的范围内动态调整组合中各类资产的比例，以规避或控制市场风险，提高基金收益率。</w:t>
      </w:r>
    </w:p>
    <w:p>
      <w:pPr>
        <w:spacing w:line="360" w:lineRule="auto"/>
        <w:ind w:firstLine="480" w:firstLineChars="200"/>
        <w:rPr>
          <w:bCs/>
          <w:sz w:val="24"/>
        </w:rPr>
      </w:pPr>
      <w:r>
        <w:rPr>
          <w:rFonts w:hint="eastAsia"/>
          <w:bCs/>
          <w:sz w:val="24"/>
        </w:rPr>
        <w:t>2、股票投资策略</w:t>
      </w:r>
    </w:p>
    <w:p>
      <w:pPr>
        <w:spacing w:line="360" w:lineRule="auto"/>
        <w:ind w:firstLine="480" w:firstLineChars="200"/>
        <w:rPr>
          <w:rFonts w:hint="eastAsia"/>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spacing w:line="360" w:lineRule="auto"/>
        <w:ind w:firstLine="480" w:firstLineChars="200"/>
        <w:rPr>
          <w:bCs/>
          <w:sz w:val="24"/>
        </w:rPr>
      </w:pPr>
      <w:r>
        <w:rPr>
          <w:rFonts w:hint="eastAsia"/>
          <w:bCs/>
          <w:sz w:val="24"/>
        </w:rPr>
        <w:t>（1）品质筛选</w:t>
      </w:r>
    </w:p>
    <w:p>
      <w:pPr>
        <w:spacing w:line="360" w:lineRule="auto"/>
        <w:ind w:firstLine="480" w:firstLineChars="200"/>
        <w:rPr>
          <w:bCs/>
          <w:sz w:val="24"/>
        </w:rPr>
      </w:pPr>
      <w:r>
        <w:rPr>
          <w:rFonts w:hint="eastAsia"/>
          <w:bCs/>
          <w:sz w:val="24"/>
        </w:rPr>
        <w:t>筛选出在公司治理、财务及管理品质上符合基本品质要求的公司，构建备选股票池。主要筛选指标包括：</w:t>
      </w:r>
    </w:p>
    <w:p>
      <w:pPr>
        <w:numPr>
          <w:ilvl w:val="0"/>
          <w:numId w:val="2"/>
        </w:numPr>
        <w:spacing w:line="360" w:lineRule="auto"/>
        <w:ind w:left="840" w:hanging="420"/>
        <w:rPr>
          <w:rFonts w:ascii="宋体" w:hAnsi="宋体"/>
          <w:sz w:val="24"/>
        </w:rPr>
      </w:pPr>
      <w:r>
        <w:rPr>
          <w:rFonts w:hint="eastAsia" w:ascii="宋体" w:hAnsi="宋体"/>
          <w:sz w:val="24"/>
        </w:rPr>
        <w:t>盈利能力指标：如市盈率</w:t>
      </w:r>
      <w:r>
        <w:rPr>
          <w:rFonts w:ascii="宋体" w:hAnsi="宋体"/>
          <w:sz w:val="24"/>
        </w:rPr>
        <w:t>（</w:t>
      </w:r>
      <w:r>
        <w:rPr>
          <w:rFonts w:hint="eastAsia" w:ascii="宋体" w:hAnsi="宋体"/>
          <w:sz w:val="24"/>
        </w:rPr>
        <w:t>P/E）、市现</w:t>
      </w:r>
      <w:r>
        <w:rPr>
          <w:rFonts w:ascii="宋体" w:hAnsi="宋体"/>
          <w:sz w:val="24"/>
        </w:rPr>
        <w:t>率（</w:t>
      </w:r>
      <w:r>
        <w:rPr>
          <w:rFonts w:hint="eastAsia" w:ascii="宋体" w:hAnsi="宋体"/>
          <w:sz w:val="24"/>
        </w:rPr>
        <w:t>P/Cash Flow）、股价与</w:t>
      </w:r>
      <w:r>
        <w:rPr>
          <w:rFonts w:ascii="宋体" w:hAnsi="宋体"/>
          <w:sz w:val="24"/>
        </w:rPr>
        <w:t>每股自由现金流比率（</w:t>
      </w:r>
      <w:r>
        <w:rPr>
          <w:rFonts w:hint="eastAsia" w:ascii="宋体" w:hAnsi="宋体"/>
          <w:sz w:val="24"/>
        </w:rPr>
        <w:t>P/FCF）、市销率</w:t>
      </w:r>
      <w:r>
        <w:rPr>
          <w:rFonts w:ascii="宋体" w:hAnsi="宋体"/>
          <w:sz w:val="24"/>
        </w:rPr>
        <w:t>（</w:t>
      </w:r>
      <w:r>
        <w:rPr>
          <w:rFonts w:hint="eastAsia" w:ascii="宋体" w:hAnsi="宋体"/>
          <w:sz w:val="24"/>
        </w:rPr>
        <w:t>P/S）、股价与</w:t>
      </w:r>
      <w:r>
        <w:rPr>
          <w:rFonts w:ascii="宋体" w:hAnsi="宋体"/>
          <w:sz w:val="24"/>
        </w:rPr>
        <w:t>每股息税前利润比率</w:t>
      </w:r>
      <w:r>
        <w:rPr>
          <w:rFonts w:hint="eastAsia" w:ascii="宋体" w:hAnsi="宋体"/>
          <w:sz w:val="24"/>
        </w:rPr>
        <w:t>（P/EBIT）等；</w:t>
      </w:r>
    </w:p>
    <w:p>
      <w:pPr>
        <w:numPr>
          <w:ilvl w:val="0"/>
          <w:numId w:val="2"/>
        </w:numPr>
        <w:spacing w:line="360" w:lineRule="auto"/>
        <w:ind w:left="840" w:hanging="420"/>
        <w:rPr>
          <w:rFonts w:ascii="宋体" w:hAnsi="宋体"/>
          <w:sz w:val="24"/>
        </w:rPr>
      </w:pPr>
      <w:r>
        <w:rPr>
          <w:rFonts w:hint="eastAsia" w:ascii="宋体" w:hAnsi="宋体"/>
          <w:sz w:val="24"/>
        </w:rPr>
        <w:t>经营效率指标：如净资产</w:t>
      </w:r>
      <w:r>
        <w:rPr>
          <w:rFonts w:ascii="宋体" w:hAnsi="宋体"/>
          <w:sz w:val="24"/>
        </w:rPr>
        <w:t>收益率（</w:t>
      </w:r>
      <w:r>
        <w:rPr>
          <w:rFonts w:hint="eastAsia" w:ascii="宋体" w:hAnsi="宋体"/>
          <w:sz w:val="24"/>
        </w:rPr>
        <w:t>ROE）、资产</w:t>
      </w:r>
      <w:r>
        <w:rPr>
          <w:rFonts w:ascii="宋体" w:hAnsi="宋体"/>
          <w:sz w:val="24"/>
        </w:rPr>
        <w:t>收益率（</w:t>
      </w:r>
      <w:r>
        <w:rPr>
          <w:rFonts w:hint="eastAsia" w:ascii="宋体" w:hAnsi="宋体"/>
          <w:sz w:val="24"/>
        </w:rPr>
        <w:t>ROA）、经营</w:t>
      </w:r>
      <w:r>
        <w:rPr>
          <w:rFonts w:ascii="宋体" w:hAnsi="宋体"/>
          <w:sz w:val="24"/>
        </w:rPr>
        <w:t>资产</w:t>
      </w:r>
      <w:r>
        <w:rPr>
          <w:rFonts w:hint="eastAsia" w:ascii="宋体" w:hAnsi="宋体"/>
          <w:sz w:val="24"/>
        </w:rPr>
        <w:t>回报</w:t>
      </w:r>
      <w:r>
        <w:rPr>
          <w:rFonts w:ascii="宋体" w:hAnsi="宋体"/>
          <w:sz w:val="24"/>
        </w:rPr>
        <w:t>率（</w:t>
      </w:r>
      <w:r>
        <w:rPr>
          <w:rFonts w:hint="eastAsia" w:ascii="宋体" w:hAnsi="宋体"/>
          <w:sz w:val="24"/>
        </w:rPr>
        <w:t>Return on operating assets）等；</w:t>
      </w:r>
    </w:p>
    <w:p>
      <w:pPr>
        <w:numPr>
          <w:ilvl w:val="0"/>
          <w:numId w:val="2"/>
        </w:numPr>
        <w:spacing w:line="360" w:lineRule="auto"/>
        <w:ind w:left="840" w:hanging="420"/>
        <w:rPr>
          <w:rFonts w:ascii="宋体" w:hAnsi="宋体"/>
          <w:sz w:val="24"/>
        </w:rPr>
      </w:pPr>
      <w:r>
        <w:rPr>
          <w:rFonts w:hint="eastAsia" w:ascii="宋体" w:hAnsi="宋体"/>
          <w:sz w:val="24"/>
        </w:rPr>
        <w:t>财务状况指标：如资产</w:t>
      </w:r>
      <w:r>
        <w:rPr>
          <w:rFonts w:ascii="宋体" w:hAnsi="宋体"/>
          <w:sz w:val="24"/>
        </w:rPr>
        <w:t>负债率（</w:t>
      </w:r>
      <w:r>
        <w:rPr>
          <w:rFonts w:hint="eastAsia" w:ascii="宋体" w:hAnsi="宋体"/>
          <w:sz w:val="24"/>
        </w:rPr>
        <w:t>D/A）、流动比率等；</w:t>
      </w:r>
    </w:p>
    <w:p>
      <w:pPr>
        <w:numPr>
          <w:ilvl w:val="0"/>
          <w:numId w:val="2"/>
        </w:numPr>
        <w:spacing w:line="360" w:lineRule="auto"/>
        <w:ind w:left="840" w:hanging="420"/>
        <w:rPr>
          <w:rFonts w:ascii="宋体" w:hAnsi="宋体"/>
          <w:sz w:val="24"/>
        </w:rPr>
      </w:pPr>
      <w:r>
        <w:rPr>
          <w:rFonts w:hint="eastAsia" w:ascii="宋体" w:hAnsi="宋体"/>
          <w:sz w:val="24"/>
        </w:rPr>
        <w:t>研发</w:t>
      </w:r>
      <w:r>
        <w:rPr>
          <w:rFonts w:ascii="宋体" w:hAnsi="宋体"/>
          <w:sz w:val="24"/>
        </w:rPr>
        <w:t>投入指标：如</w:t>
      </w:r>
      <w:r>
        <w:rPr>
          <w:rFonts w:hint="eastAsia" w:ascii="宋体" w:hAnsi="宋体"/>
          <w:sz w:val="24"/>
        </w:rPr>
        <w:t>研发</w:t>
      </w:r>
      <w:r>
        <w:rPr>
          <w:rFonts w:ascii="宋体" w:hAnsi="宋体"/>
          <w:sz w:val="24"/>
        </w:rPr>
        <w:t>投入与营业</w:t>
      </w:r>
      <w:r>
        <w:rPr>
          <w:rFonts w:hint="eastAsia" w:ascii="宋体" w:hAnsi="宋体"/>
          <w:sz w:val="24"/>
        </w:rPr>
        <w:t>收入</w:t>
      </w:r>
      <w:r>
        <w:rPr>
          <w:rFonts w:ascii="宋体" w:hAnsi="宋体"/>
          <w:sz w:val="24"/>
        </w:rPr>
        <w:t>比率、科研人员数量及占比、专利数量及在同行业的占比等。</w:t>
      </w:r>
    </w:p>
    <w:p>
      <w:pPr>
        <w:spacing w:line="360" w:lineRule="auto"/>
        <w:ind w:firstLine="480" w:firstLineChars="200"/>
        <w:rPr>
          <w:bCs/>
          <w:sz w:val="24"/>
        </w:rPr>
      </w:pPr>
      <w:r>
        <w:rPr>
          <w:rFonts w:hint="eastAsia"/>
          <w:bCs/>
          <w:sz w:val="24"/>
        </w:rPr>
        <w:t>（2）价值评估</w:t>
      </w:r>
    </w:p>
    <w:p>
      <w:pPr>
        <w:spacing w:line="360" w:lineRule="auto"/>
        <w:ind w:firstLine="480" w:firstLineChars="20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spacing w:line="360" w:lineRule="auto"/>
        <w:ind w:firstLine="480" w:firstLineChars="200"/>
        <w:rPr>
          <w:rFonts w:hint="eastAsia"/>
          <w:bCs/>
          <w:sz w:val="24"/>
        </w:rPr>
      </w:pPr>
      <w:r>
        <w:rPr>
          <w:rFonts w:hint="eastAsia"/>
          <w:bCs/>
          <w:sz w:val="24"/>
        </w:rPr>
        <w:t>（3）港股通标的股票投资策略</w:t>
      </w:r>
    </w:p>
    <w:p>
      <w:pPr>
        <w:spacing w:line="360" w:lineRule="auto"/>
        <w:ind w:firstLine="480" w:firstLineChars="20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本基金可通过内地与香港股票市场交易互联互通机制投资于香港股票市场。本基金优先将基本面健康、业绩向上弹性较大、具有估值优势的港股通标的股票纳入本基金的股票投资组合。</w:t>
      </w:r>
    </w:p>
    <w:p>
      <w:pPr>
        <w:spacing w:line="360" w:lineRule="auto"/>
        <w:ind w:firstLine="480" w:firstLineChars="200"/>
        <w:rPr>
          <w:bCs/>
          <w:sz w:val="24"/>
        </w:rPr>
      </w:pPr>
      <w:r>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pPr>
        <w:spacing w:line="360" w:lineRule="auto"/>
        <w:ind w:firstLine="480" w:firstLineChars="200"/>
        <w:rPr>
          <w:bCs/>
          <w:sz w:val="24"/>
        </w:rPr>
      </w:pPr>
      <w:r>
        <w:rPr>
          <w:rFonts w:hint="eastAsia"/>
          <w:bCs/>
          <w:sz w:val="24"/>
        </w:rPr>
        <w:t>（4）存托凭证的投资策略</w:t>
      </w:r>
    </w:p>
    <w:p>
      <w:pPr>
        <w:spacing w:line="360" w:lineRule="auto"/>
        <w:ind w:firstLine="480" w:firstLineChars="200"/>
        <w:rPr>
          <w:rFonts w:hint="eastAsia"/>
          <w:bCs/>
          <w:sz w:val="24"/>
        </w:rPr>
      </w:pPr>
      <w:r>
        <w:rPr>
          <w:rFonts w:hint="eastAsia"/>
          <w:bCs/>
          <w:sz w:val="24"/>
        </w:rPr>
        <w:t>本基金投资存托凭证的策略依照境内上市交易的股票投资策略执行。</w:t>
      </w:r>
    </w:p>
    <w:p>
      <w:pPr>
        <w:spacing w:line="360" w:lineRule="auto"/>
        <w:ind w:firstLine="480" w:firstLineChars="200"/>
        <w:rPr>
          <w:bCs/>
          <w:sz w:val="24"/>
        </w:rPr>
      </w:pPr>
      <w:r>
        <w:rPr>
          <w:bCs/>
          <w:sz w:val="24"/>
        </w:rPr>
        <w:t>3</w:t>
      </w:r>
      <w:r>
        <w:rPr>
          <w:rFonts w:hint="eastAsia"/>
          <w:bCs/>
          <w:sz w:val="24"/>
        </w:rPr>
        <w:t>、债券投资策略</w:t>
      </w:r>
    </w:p>
    <w:p>
      <w:pPr>
        <w:spacing w:line="360" w:lineRule="auto"/>
        <w:ind w:firstLine="480" w:firstLineChars="20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pPr>
        <w:spacing w:line="360" w:lineRule="auto"/>
        <w:ind w:firstLine="480" w:firstLineChars="20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spacing w:line="360" w:lineRule="auto"/>
        <w:ind w:firstLine="480" w:firstLineChars="200"/>
        <w:rPr>
          <w:bCs/>
          <w:sz w:val="24"/>
        </w:rPr>
      </w:pPr>
      <w:r>
        <w:rPr>
          <w:bCs/>
          <w:sz w:val="24"/>
        </w:rPr>
        <w:t>4</w:t>
      </w:r>
      <w:r>
        <w:rPr>
          <w:rFonts w:hint="eastAsia"/>
          <w:bCs/>
          <w:sz w:val="24"/>
        </w:rPr>
        <w:t>、资产支持证券投资策略</w:t>
      </w:r>
    </w:p>
    <w:p>
      <w:pPr>
        <w:spacing w:line="360" w:lineRule="auto"/>
        <w:ind w:firstLine="480" w:firstLineChars="20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bCs/>
          <w:sz w:val="24"/>
        </w:rPr>
      </w:pPr>
      <w:r>
        <w:rPr>
          <w:bCs/>
          <w:sz w:val="24"/>
        </w:rPr>
        <w:t>5</w:t>
      </w:r>
      <w:r>
        <w:rPr>
          <w:rFonts w:hint="eastAsia"/>
          <w:bCs/>
          <w:sz w:val="24"/>
        </w:rPr>
        <w:t>、股指期货投资策略</w:t>
      </w:r>
    </w:p>
    <w:p>
      <w:pPr>
        <w:spacing w:line="360" w:lineRule="auto"/>
        <w:ind w:firstLine="480" w:firstLineChars="20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spacing w:line="360" w:lineRule="auto"/>
        <w:ind w:firstLine="480" w:firstLineChars="200"/>
        <w:rPr>
          <w:rFonts w:hint="eastAsia"/>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spacing w:line="360" w:lineRule="auto"/>
        <w:ind w:firstLine="480" w:firstLineChars="200"/>
        <w:outlineLvl w:val="2"/>
        <w:rPr>
          <w:bCs/>
          <w:sz w:val="24"/>
        </w:rPr>
      </w:pPr>
      <w:r>
        <w:rPr>
          <w:rFonts w:hint="eastAsia"/>
          <w:bCs/>
          <w:sz w:val="24"/>
        </w:rPr>
        <w:t>（</w:t>
      </w:r>
      <w:r>
        <w:rPr>
          <w:bCs/>
          <w:sz w:val="24"/>
        </w:rPr>
        <w:t>四</w:t>
      </w:r>
      <w:r>
        <w:rPr>
          <w:rFonts w:hint="eastAsia"/>
          <w:bCs/>
          <w:sz w:val="24"/>
        </w:rPr>
        <w:t>）</w:t>
      </w:r>
      <w:r>
        <w:rPr>
          <w:bCs/>
          <w:sz w:val="24"/>
        </w:rPr>
        <w:t>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bCs/>
          <w:sz w:val="24"/>
        </w:rPr>
        <w:t>（1）</w:t>
      </w:r>
      <w:r>
        <w:rPr>
          <w:rFonts w:hint="eastAsia"/>
          <w:bCs/>
          <w:sz w:val="24"/>
        </w:rPr>
        <w:t>股票投资（含存托凭证）占基金资产的比例为60%-95%，其中投资于港股通标的股票的比例占股票资产的0%-50%</w:t>
      </w:r>
      <w:r>
        <w:rPr>
          <w:bCs/>
          <w:sz w:val="24"/>
        </w:rPr>
        <w:t>；</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的比例合计不低于基金资产净值的5%，</w:t>
      </w:r>
      <w:r>
        <w:rPr>
          <w:bCs/>
          <w:sz w:val="24"/>
        </w:rPr>
        <w:t>其中现金不包括结算备付金、存出保证金</w:t>
      </w:r>
      <w:r>
        <w:rPr>
          <w:rFonts w:hint="eastAsia"/>
          <w:bCs/>
          <w:sz w:val="24"/>
        </w:rPr>
        <w:t>、</w:t>
      </w:r>
      <w:r>
        <w:rPr>
          <w:bCs/>
          <w:sz w:val="24"/>
        </w:rPr>
        <w:t>应收申购款等；</w:t>
      </w:r>
    </w:p>
    <w:p>
      <w:pPr>
        <w:spacing w:line="360" w:lineRule="auto"/>
        <w:ind w:firstLine="480" w:firstLineChars="20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证券（同一家公司在内地和香港同时上市的A+H股合计计算）</w:t>
      </w:r>
      <w:r>
        <w:rPr>
          <w:bCs/>
          <w:sz w:val="24"/>
        </w:rPr>
        <w:t>，其市值不超过基金资产净值的10％；</w:t>
      </w:r>
    </w:p>
    <w:p>
      <w:pPr>
        <w:spacing w:line="360" w:lineRule="auto"/>
        <w:ind w:firstLine="480" w:firstLineChars="20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（同一家公司在内地和香港同时上市的A+H股合计计算）</w:t>
      </w:r>
      <w:r>
        <w:rPr>
          <w:bCs/>
          <w:sz w:val="24"/>
        </w:rPr>
        <w:t>，不超过该证券的10％，完全按照有关指数的构成比例进行证券投资的基金品种可以不受此条款规定的比例限制；</w:t>
      </w:r>
    </w:p>
    <w:p>
      <w:pPr>
        <w:spacing w:line="360" w:lineRule="auto"/>
        <w:ind w:firstLine="480" w:firstLineChars="200"/>
        <w:rPr>
          <w:bCs/>
          <w:sz w:val="24"/>
        </w:rPr>
      </w:pPr>
      <w:r>
        <w:rPr>
          <w:bCs/>
          <w:sz w:val="24"/>
        </w:rPr>
        <w:t>（5）本基金投资于同一原始权益人的各类资产支持证券的比例，不得超过基金资产净值的10％；</w:t>
      </w:r>
    </w:p>
    <w:p>
      <w:pPr>
        <w:spacing w:line="360" w:lineRule="auto"/>
        <w:ind w:firstLine="480" w:firstLineChars="200"/>
        <w:rPr>
          <w:bCs/>
          <w:sz w:val="24"/>
        </w:rPr>
      </w:pPr>
      <w:r>
        <w:rPr>
          <w:bCs/>
          <w:sz w:val="24"/>
        </w:rPr>
        <w:t>（6）本基金持有的全部资产支持证券，其市值不得超过基金资产净值的20％；</w:t>
      </w:r>
    </w:p>
    <w:p>
      <w:pPr>
        <w:spacing w:line="360" w:lineRule="auto"/>
        <w:ind w:firstLine="480" w:firstLineChars="200"/>
        <w:rPr>
          <w:bCs/>
          <w:sz w:val="24"/>
        </w:rPr>
      </w:pPr>
      <w:r>
        <w:rPr>
          <w:bCs/>
          <w:sz w:val="24"/>
        </w:rPr>
        <w:t>（7）本基金持有的同一（指同一信用级别）资产支持证券的比例，不得超过该资产支持证券规模的10％；</w:t>
      </w:r>
    </w:p>
    <w:p>
      <w:pPr>
        <w:spacing w:line="360" w:lineRule="auto"/>
        <w:ind w:firstLine="480" w:firstLineChars="200"/>
        <w:rPr>
          <w:bCs/>
          <w:sz w:val="24"/>
        </w:rPr>
      </w:pPr>
      <w:r>
        <w:rPr>
          <w:bCs/>
          <w:sz w:val="24"/>
        </w:rPr>
        <w:t>（8）本基金管理人管理的全部基金投资于同一原始权益人的各类资产支持证券，不得超过其各类资产支持证券合计规模的10％；</w:t>
      </w:r>
    </w:p>
    <w:p>
      <w:pPr>
        <w:spacing w:line="360" w:lineRule="auto"/>
        <w:ind w:firstLine="480" w:firstLineChars="200"/>
        <w:rPr>
          <w:bCs/>
          <w:sz w:val="24"/>
        </w:rPr>
      </w:pPr>
      <w:r>
        <w:rPr>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bCs/>
          <w:sz w:val="24"/>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bCs/>
          <w:sz w:val="24"/>
        </w:rPr>
        <w:t>（</w:t>
      </w:r>
      <w:r>
        <w:rPr>
          <w:rFonts w:hint="eastAsia"/>
          <w:bCs/>
          <w:sz w:val="24"/>
        </w:rPr>
        <w:t>11</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管理人管理的全部开放式基金（包括开放式基金以及处于开放期的定期开放基金）持有一家上市公司发行的可流通股票，不得超过该上市公司可流通股票的15%</w:t>
      </w:r>
      <w:r>
        <w:rPr>
          <w:bCs/>
          <w:sz w:val="24"/>
        </w:rPr>
        <w:t>；</w:t>
      </w:r>
      <w:r>
        <w:rPr>
          <w:rFonts w:hint="eastAsia"/>
          <w:bCs/>
          <w:sz w:val="24"/>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bCs/>
          <w:sz w:val="24"/>
        </w:rPr>
        <w:t>（</w:t>
      </w:r>
      <w:r>
        <w:rPr>
          <w:rFonts w:hint="eastAsia"/>
          <w:bCs/>
          <w:sz w:val="24"/>
        </w:rPr>
        <w:t>12</w:t>
      </w:r>
      <w:r>
        <w:rPr>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bCs/>
          <w:sz w:val="24"/>
        </w:rPr>
        <w:t>（</w:t>
      </w:r>
      <w:r>
        <w:rPr>
          <w:rFonts w:hint="eastAsia"/>
          <w:bCs/>
          <w:sz w:val="24"/>
        </w:rPr>
        <w:t>13</w:t>
      </w:r>
      <w:r>
        <w:rPr>
          <w:bCs/>
          <w:sz w:val="24"/>
        </w:rPr>
        <w:t>）本基金与私募类证券资管产品及中国证监会认定的其他主体为交易对手开展逆回购交易的，可接受质押品的资质要求应当与本基金合同约定的投资范围保持一致；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rFonts w:hint="eastAsia"/>
          <w:bCs/>
          <w:sz w:val="24"/>
        </w:rPr>
      </w:pPr>
      <w:r>
        <w:rPr>
          <w:rFonts w:hint="eastAsia"/>
          <w:bCs/>
          <w:sz w:val="24"/>
        </w:rPr>
        <w:t>（14）本基金参与股指期货交易，则：</w:t>
      </w:r>
    </w:p>
    <w:p>
      <w:pPr>
        <w:spacing w:line="360" w:lineRule="auto"/>
        <w:ind w:firstLine="480" w:firstLineChars="200"/>
        <w:rPr>
          <w:rFonts w:hint="eastAsia"/>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rFonts w:hint="eastAsia"/>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rFonts w:hint="eastAsia"/>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rFonts w:hint="eastAsia"/>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rFonts w:hint="eastAsia"/>
          <w:bCs/>
          <w:sz w:val="24"/>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bCs/>
          <w:sz w:val="24"/>
        </w:rPr>
        <w:t>（</w:t>
      </w:r>
      <w:r>
        <w:rPr>
          <w:rFonts w:hint="eastAsia"/>
          <w:bCs/>
          <w:sz w:val="24"/>
        </w:rPr>
        <w:t>15</w:t>
      </w:r>
      <w:r>
        <w:rPr>
          <w:bCs/>
          <w:sz w:val="24"/>
        </w:rPr>
        <w:t>）</w:t>
      </w:r>
      <w:r>
        <w:rPr>
          <w:rFonts w:hint="eastAsia"/>
          <w:bCs/>
          <w:sz w:val="24"/>
        </w:rPr>
        <w:t>本基金资产总值不超过基金资产净值的140%</w:t>
      </w:r>
      <w:r>
        <w:rPr>
          <w:bCs/>
          <w:sz w:val="24"/>
        </w:rPr>
        <w:t>；</w:t>
      </w:r>
    </w:p>
    <w:p>
      <w:pPr>
        <w:spacing w:line="360" w:lineRule="auto"/>
        <w:ind w:firstLine="480" w:firstLineChars="200"/>
        <w:rPr>
          <w:rFonts w:hint="eastAsia"/>
          <w:bCs/>
          <w:sz w:val="24"/>
        </w:rPr>
      </w:pPr>
      <w:r>
        <w:rPr>
          <w:rFonts w:hint="eastAsia"/>
          <w:bCs/>
          <w:sz w:val="24"/>
        </w:rPr>
        <w:t>（16）本基金投资存托凭证的比例限制依照境内上市交易的股票执行；</w:t>
      </w:r>
    </w:p>
    <w:p>
      <w:pPr>
        <w:spacing w:line="360" w:lineRule="auto"/>
        <w:ind w:firstLine="480" w:firstLineChars="200"/>
        <w:rPr>
          <w:bCs/>
          <w:sz w:val="24"/>
        </w:rPr>
      </w:pPr>
      <w:r>
        <w:rPr>
          <w:bCs/>
          <w:sz w:val="24"/>
        </w:rPr>
        <w:t>（</w:t>
      </w:r>
      <w:r>
        <w:rPr>
          <w:rFonts w:hint="eastAsia"/>
          <w:bCs/>
          <w:sz w:val="24"/>
        </w:rPr>
        <w:t>17</w:t>
      </w:r>
      <w:r>
        <w:rPr>
          <w:bCs/>
          <w:sz w:val="24"/>
        </w:rPr>
        <w:t>）</w:t>
      </w:r>
      <w:r>
        <w:rPr>
          <w:rFonts w:hint="eastAsia"/>
          <w:bCs/>
          <w:sz w:val="24"/>
        </w:rPr>
        <w:t>法律法规及中国证监会规定的和《基金合同》约定的其他投资限制。</w:t>
      </w:r>
    </w:p>
    <w:p>
      <w:pPr>
        <w:spacing w:line="360" w:lineRule="auto"/>
        <w:ind w:firstLine="480" w:firstLineChars="200"/>
        <w:rPr>
          <w:bCs/>
          <w:sz w:val="24"/>
        </w:rPr>
      </w:pPr>
      <w:r>
        <w:rPr>
          <w:bCs/>
          <w:sz w:val="24"/>
        </w:rPr>
        <w:t>除上述（2）、（9）、（</w:t>
      </w:r>
      <w:r>
        <w:rPr>
          <w:rFonts w:hint="eastAsia"/>
          <w:bCs/>
          <w:sz w:val="24"/>
        </w:rPr>
        <w:t>12</w:t>
      </w:r>
      <w:r>
        <w:rPr>
          <w:bCs/>
          <w:sz w:val="24"/>
        </w:rPr>
        <w:t>）、（</w:t>
      </w:r>
      <w:r>
        <w:rPr>
          <w:rFonts w:hint="eastAsia"/>
          <w:bCs/>
          <w:sz w:val="24"/>
        </w:rPr>
        <w:t>13</w:t>
      </w:r>
      <w:r>
        <w:rPr>
          <w:bCs/>
          <w:sz w:val="24"/>
        </w:rPr>
        <w:t>）情形之外，因证券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合并、基金规模变动等基金管理人之外的因素致使基金投资比例不符合上述规定投资比例的，基金管理人应当在10个交易日内进行调整</w:t>
      </w:r>
      <w:r>
        <w:rPr>
          <w:rFonts w:hint="eastAsia"/>
          <w:bCs/>
          <w:sz w:val="24"/>
        </w:rPr>
        <w:t>，</w:t>
      </w:r>
      <w:r>
        <w:rPr>
          <w:bCs/>
          <w:sz w:val="24"/>
        </w:rPr>
        <w:t>但中国证监会规定的特殊情形除外。</w:t>
      </w:r>
      <w:r>
        <w:rPr>
          <w:rFonts w:hint="eastAsia"/>
          <w:bCs/>
          <w:sz w:val="24"/>
        </w:rPr>
        <w:t>法律法规另有规定的，从其规定。</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sz w:val="24"/>
        </w:rPr>
      </w:pPr>
      <w:r>
        <w:rPr>
          <w:rFonts w:hint="eastAsia"/>
          <w:bCs/>
          <w:sz w:val="24"/>
        </w:rPr>
        <w:t>法律法规或监管部门取消或者变更上述限制，如适用于本基金，基金管理人在履行适当程序后，则本基金投资不再受相关限制或以变更后的规定为准。</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rFonts w:hint="eastAsia"/>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hint="eastAsia"/>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pPr>
        <w:spacing w:line="360" w:lineRule="auto"/>
        <w:ind w:firstLine="480" w:firstLineChars="200"/>
        <w:outlineLvl w:val="2"/>
        <w:rPr>
          <w:bCs/>
          <w:sz w:val="24"/>
        </w:rPr>
      </w:pPr>
      <w:r>
        <w:rPr>
          <w:rFonts w:hint="eastAsia"/>
          <w:bCs/>
          <w:sz w:val="24"/>
        </w:rPr>
        <w:t>（</w:t>
      </w:r>
      <w:r>
        <w:rPr>
          <w:bCs/>
          <w:sz w:val="24"/>
        </w:rPr>
        <w:t>五</w:t>
      </w:r>
      <w:r>
        <w:rPr>
          <w:rFonts w:hint="eastAsia"/>
          <w:bCs/>
          <w:sz w:val="24"/>
        </w:rPr>
        <w:t>）</w:t>
      </w:r>
      <w:r>
        <w:rPr>
          <w:bCs/>
          <w:sz w:val="24"/>
        </w:rPr>
        <w:t>业绩比较基准</w:t>
      </w:r>
    </w:p>
    <w:p>
      <w:pPr>
        <w:spacing w:line="360" w:lineRule="auto"/>
        <w:ind w:firstLine="480" w:firstLineChars="200"/>
        <w:rPr>
          <w:rFonts w:hint="eastAsia"/>
          <w:bCs/>
          <w:sz w:val="24"/>
        </w:rPr>
      </w:pPr>
      <w:r>
        <w:rPr>
          <w:rFonts w:hint="eastAsia"/>
          <w:bCs/>
          <w:sz w:val="24"/>
        </w:rPr>
        <w:t>沪深300指数收益率×70%+恒生指数收益率（人民币计价）×5%+中证综合债券指数收益率×25%</w:t>
      </w:r>
    </w:p>
    <w:p>
      <w:pPr>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spacing w:line="360" w:lineRule="auto"/>
        <w:ind w:firstLine="480" w:firstLineChars="200"/>
        <w:rPr>
          <w:rFonts w:hint="eastAsia"/>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spacing w:line="360" w:lineRule="auto"/>
        <w:ind w:firstLine="480" w:firstLineChars="200"/>
        <w:rPr>
          <w:rFonts w:hint="eastAsia"/>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pacing w:line="360" w:lineRule="auto"/>
        <w:ind w:firstLine="480" w:firstLineChars="200"/>
        <w:rPr>
          <w:rFonts w:hint="eastAsia"/>
          <w:bCs/>
          <w:sz w:val="24"/>
        </w:rPr>
      </w:pPr>
      <w:r>
        <w:rPr>
          <w:rFonts w:hint="eastAsia"/>
          <w:bCs/>
          <w:sz w:val="24"/>
        </w:rPr>
        <w:t>如果上述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
    </w:p>
    <w:p>
      <w:pPr>
        <w:spacing w:line="360" w:lineRule="auto"/>
        <w:ind w:firstLine="480" w:firstLineChars="200"/>
        <w:outlineLvl w:val="2"/>
        <w:rPr>
          <w:rFonts w:hint="eastAsia"/>
          <w:bCs/>
          <w:sz w:val="24"/>
        </w:rPr>
      </w:pPr>
      <w:r>
        <w:rPr>
          <w:rFonts w:hint="eastAsia"/>
          <w:bCs/>
          <w:sz w:val="24"/>
        </w:rPr>
        <w:t>（六）侧袋机制的实施和投资运作安排</w:t>
      </w:r>
    </w:p>
    <w:p>
      <w:pPr>
        <w:spacing w:line="360" w:lineRule="auto"/>
        <w:ind w:firstLine="480" w:firstLineChars="200"/>
        <w:rPr>
          <w:rFonts w:hint="eastAsia"/>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rFonts w:hint="eastAsia"/>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rFonts w:hint="eastAsia"/>
          <w:bCs/>
          <w:sz w:val="24"/>
        </w:rPr>
      </w:pPr>
      <w:r>
        <w:rPr>
          <w:rFonts w:hint="eastAsia"/>
          <w:bCs/>
          <w:sz w:val="24"/>
        </w:rPr>
        <w:t>侧袋账户的实施条件、实施程序、运作安排、投资安排、特定资产的处置变现和支付等对投资者权益有重大影响的事项详见招募说明书的规定。</w:t>
      </w:r>
    </w:p>
    <w:p>
      <w:pPr>
        <w:spacing w:line="360" w:lineRule="auto"/>
        <w:ind w:firstLine="482" w:firstLineChars="200"/>
        <w:outlineLvl w:val="1"/>
        <w:rPr>
          <w:b/>
          <w:bCs/>
          <w:sz w:val="24"/>
        </w:rPr>
      </w:pPr>
      <w:r>
        <w:rPr>
          <w:b/>
          <w:bCs/>
          <w:sz w:val="24"/>
        </w:rPr>
        <w:t>六、基金资产净值的计算方法和公告方式</w:t>
      </w:r>
    </w:p>
    <w:p>
      <w:pPr>
        <w:spacing w:line="360" w:lineRule="auto"/>
        <w:ind w:firstLine="480" w:firstLineChars="200"/>
        <w:outlineLvl w:val="2"/>
        <w:rPr>
          <w:bCs/>
          <w:sz w:val="24"/>
        </w:rPr>
      </w:pPr>
      <w:bookmarkStart w:id="2" w:name="_Hlk50386096"/>
      <w:r>
        <w:rPr>
          <w:bCs/>
          <w:sz w:val="24"/>
        </w:rPr>
        <w:t>（一）估值方法</w:t>
      </w:r>
    </w:p>
    <w:p>
      <w:pPr>
        <w:spacing w:line="360" w:lineRule="auto"/>
        <w:ind w:firstLine="480" w:firstLineChars="200"/>
        <w:rPr>
          <w:rFonts w:hint="eastAsia"/>
          <w:bCs/>
          <w:sz w:val="24"/>
        </w:rPr>
      </w:pPr>
      <w:r>
        <w:rPr>
          <w:rFonts w:hint="eastAsia"/>
          <w:bCs/>
          <w:sz w:val="24"/>
        </w:rPr>
        <w:t>1、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rFonts w:hint="eastAsia"/>
          <w:bCs/>
          <w:sz w:val="24"/>
        </w:rPr>
      </w:pPr>
      <w:r>
        <w:rPr>
          <w:rFonts w:hint="eastAsia"/>
          <w:bCs/>
          <w:sz w:val="24"/>
        </w:rPr>
        <w:t>2、处于未上市期间的有价证券应区分如下情况处理：</w:t>
      </w:r>
    </w:p>
    <w:p>
      <w:pPr>
        <w:spacing w:line="360" w:lineRule="auto"/>
        <w:ind w:firstLine="480" w:firstLineChars="200"/>
        <w:rPr>
          <w:rFonts w:hint="eastAsia"/>
          <w:bCs/>
          <w:sz w:val="24"/>
        </w:rPr>
      </w:pPr>
      <w:r>
        <w:rPr>
          <w:rFonts w:hint="eastAsia"/>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rFonts w:hint="eastAsia"/>
          <w:bCs/>
          <w:sz w:val="24"/>
        </w:rPr>
      </w:pPr>
      <w:r>
        <w:rPr>
          <w:rFonts w:hint="eastAsia"/>
          <w:bCs/>
          <w:sz w:val="24"/>
        </w:rPr>
        <w:t>（2）首次公开发行未上市的股票和债券，采用估值技术确定公允价值；</w:t>
      </w:r>
    </w:p>
    <w:p>
      <w:pPr>
        <w:spacing w:line="360" w:lineRule="auto"/>
        <w:ind w:firstLine="480" w:firstLineChars="200"/>
        <w:rPr>
          <w:rFonts w:hint="eastAsia"/>
          <w:bCs/>
          <w:sz w:val="24"/>
        </w:rPr>
      </w:pPr>
      <w:r>
        <w:rPr>
          <w:rFonts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rFonts w:hint="eastAsia"/>
          <w:bCs/>
          <w:sz w:val="24"/>
        </w:rPr>
      </w:pPr>
      <w:r>
        <w:rPr>
          <w:rFonts w:hint="eastAsia"/>
          <w:bCs/>
          <w:sz w:val="24"/>
        </w:rPr>
        <w:t>3、对于已上市或已挂牌转让的不含权固定收益品种（另有规定的除外），选取第三方估值基准服务机构提供的相应品种当日的估值全价进行估值。</w:t>
      </w:r>
    </w:p>
    <w:p>
      <w:pPr>
        <w:spacing w:line="360" w:lineRule="auto"/>
        <w:ind w:firstLine="480" w:firstLineChars="200"/>
        <w:rPr>
          <w:rFonts w:hint="eastAsia"/>
          <w:bCs/>
          <w:sz w:val="24"/>
        </w:rPr>
      </w:pPr>
      <w:r>
        <w:rPr>
          <w:rFonts w:hint="eastAsia"/>
          <w:bCs/>
          <w:sz w:val="24"/>
        </w:rPr>
        <w:t>4、对于已上市或已挂牌转让的含权固定收益品种（另有规定的除外），选取第三方估值基准服务机构提供的相应品种当日的唯一估值全价或推荐估值全价进行估值。</w:t>
      </w:r>
    </w:p>
    <w:p>
      <w:pPr>
        <w:spacing w:line="360" w:lineRule="auto"/>
        <w:ind w:firstLine="480" w:firstLineChars="200"/>
        <w:rPr>
          <w:rFonts w:hint="eastAsia"/>
          <w:bCs/>
          <w:sz w:val="24"/>
        </w:rPr>
      </w:pPr>
      <w:r>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pPr>
        <w:spacing w:line="360" w:lineRule="auto"/>
        <w:ind w:firstLine="480" w:firstLineChars="200"/>
        <w:rPr>
          <w:rFonts w:hint="eastAsia"/>
          <w:bCs/>
          <w:sz w:val="24"/>
        </w:rPr>
      </w:pPr>
      <w:r>
        <w:rPr>
          <w:rFonts w:hint="eastAsia"/>
          <w:bCs/>
          <w:sz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spacing w:line="360" w:lineRule="auto"/>
        <w:ind w:firstLine="480" w:firstLineChars="200"/>
        <w:rPr>
          <w:rFonts w:hint="eastAsia"/>
          <w:bCs/>
          <w:sz w:val="24"/>
        </w:rPr>
      </w:pPr>
      <w:r>
        <w:rPr>
          <w:rFonts w:hint="eastAsia"/>
          <w:bCs/>
          <w:sz w:val="24"/>
        </w:rPr>
        <w:t>6、对于未上市或未挂牌转让且不存在活跃市场的固定收益品种，采用在当前情况下适用并且有足够可利用数据和其他信息支持的估值技术确定其公允价值。</w:t>
      </w:r>
    </w:p>
    <w:p>
      <w:pPr>
        <w:spacing w:line="360" w:lineRule="auto"/>
        <w:ind w:firstLine="480" w:firstLineChars="200"/>
        <w:rPr>
          <w:rFonts w:hint="eastAsia"/>
          <w:bCs/>
          <w:sz w:val="24"/>
        </w:rPr>
      </w:pPr>
      <w:r>
        <w:rPr>
          <w:rFonts w:hint="eastAsia"/>
          <w:bCs/>
          <w:sz w:val="24"/>
        </w:rPr>
        <w:t>7、本基金投资股指期货合约，一般以估值当日结算价进行估值，估值当日无结算价的，且最近交易日后经济环境未发生重大变化的，采用最近交易日结算价估值。</w:t>
      </w:r>
    </w:p>
    <w:p>
      <w:pPr>
        <w:spacing w:line="360" w:lineRule="auto"/>
        <w:ind w:firstLine="480" w:firstLineChars="200"/>
        <w:rPr>
          <w:rFonts w:hint="eastAsia"/>
          <w:bCs/>
          <w:sz w:val="24"/>
        </w:rPr>
      </w:pPr>
      <w:r>
        <w:rPr>
          <w:rFonts w:hint="eastAsia"/>
          <w:bCs/>
          <w:sz w:val="24"/>
        </w:rPr>
        <w:t>8、同一证券同时在两个或两个以上市场交易的，按证券所处的市场分别估值。</w:t>
      </w:r>
    </w:p>
    <w:p>
      <w:pPr>
        <w:spacing w:line="360" w:lineRule="auto"/>
        <w:ind w:firstLine="480" w:firstLineChars="200"/>
        <w:rPr>
          <w:rFonts w:hint="eastAsia"/>
          <w:bCs/>
          <w:sz w:val="24"/>
        </w:rPr>
      </w:pPr>
      <w:r>
        <w:rPr>
          <w:rFonts w:hint="eastAsia"/>
          <w:bCs/>
          <w:sz w:val="24"/>
        </w:rPr>
        <w:t>9、估值计算中涉及港币对人民币汇率的，将依据下列信息提供机构所提供的汇率为基准：当日中国人民银行或其授权机构公布的人民币与港币的中间价。</w:t>
      </w:r>
    </w:p>
    <w:p>
      <w:pPr>
        <w:spacing w:line="360" w:lineRule="auto"/>
        <w:ind w:firstLine="480" w:firstLineChars="200"/>
        <w:rPr>
          <w:rFonts w:hint="eastAsia"/>
          <w:bCs/>
          <w:sz w:val="24"/>
        </w:rPr>
      </w:pPr>
      <w:r>
        <w:rPr>
          <w:rFonts w:hint="eastAsia"/>
          <w:bCs/>
          <w:sz w:val="24"/>
        </w:rPr>
        <w:t>10、对于因税收规定调整或其他原因导致本基金实际交纳税金与估算的应交税金有差异的，本基金将在相关税金调整日或实际支付日进行相应的会计处理。</w:t>
      </w:r>
    </w:p>
    <w:p>
      <w:pPr>
        <w:spacing w:line="360" w:lineRule="auto"/>
        <w:ind w:firstLine="480" w:firstLineChars="200"/>
        <w:rPr>
          <w:rFonts w:hint="eastAsia"/>
          <w:bCs/>
          <w:sz w:val="24"/>
        </w:rPr>
      </w:pPr>
      <w:r>
        <w:rPr>
          <w:rFonts w:hint="eastAsia"/>
          <w:bCs/>
          <w:sz w:val="24"/>
        </w:rPr>
        <w:t>11、本基金投资存托凭证的估值核算依照境内上市交易的股票执行。</w:t>
      </w:r>
    </w:p>
    <w:p>
      <w:pPr>
        <w:spacing w:line="360" w:lineRule="auto"/>
        <w:ind w:firstLine="480" w:firstLineChars="200"/>
        <w:rPr>
          <w:rFonts w:hint="eastAsia"/>
          <w:bCs/>
          <w:sz w:val="24"/>
        </w:rPr>
      </w:pPr>
      <w:r>
        <w:rPr>
          <w:rFonts w:hint="eastAsia"/>
          <w:bCs/>
          <w:sz w:val="24"/>
        </w:rPr>
        <w:t>12、如有确凿证据表明按上述方法进行估值不能客观反映其公允价值的，基金管理人可根据具体情况与基金托管人商定后，按最能反映公允价值的价格估值。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rFonts w:hint="eastAsia"/>
          <w:bCs/>
          <w:sz w:val="24"/>
        </w:rPr>
      </w:pPr>
      <w:r>
        <w:rPr>
          <w:rFonts w:hint="eastAsia"/>
          <w:bCs/>
          <w:sz w:val="24"/>
        </w:rPr>
        <w:t>13、当发生大额申购或赎回情形时，基金管理人可以采用摆动定价机制，以确保基金估值的公平性。</w:t>
      </w:r>
    </w:p>
    <w:p>
      <w:pPr>
        <w:spacing w:line="360" w:lineRule="auto"/>
        <w:ind w:firstLine="480" w:firstLineChars="200"/>
        <w:rPr>
          <w:bCs/>
          <w:sz w:val="24"/>
        </w:rPr>
      </w:pPr>
      <w:r>
        <w:rPr>
          <w:rFonts w:hint="eastAsia"/>
          <w:bCs/>
          <w:sz w:val="24"/>
        </w:rPr>
        <w:t>14、相关法律法规以及监管部门有强制规定的，从其规定。如有新增事项，按国家最新规定估值。</w:t>
      </w:r>
    </w:p>
    <w:p>
      <w:pPr>
        <w:spacing w:line="360" w:lineRule="auto"/>
        <w:ind w:firstLine="480" w:firstLineChars="200"/>
        <w:rPr>
          <w:rStyle w:val="32"/>
          <w:bCs/>
          <w:sz w:val="24"/>
        </w:rPr>
      </w:pPr>
      <w:r>
        <w:rPr>
          <w:rStyle w:val="32"/>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outlineLvl w:val="2"/>
        <w:rPr>
          <w:bCs/>
          <w:sz w:val="24"/>
        </w:rPr>
      </w:pPr>
      <w:r>
        <w:rPr>
          <w:bCs/>
          <w:sz w:val="24"/>
        </w:rPr>
        <w:t>（二）估值程序</w:t>
      </w:r>
    </w:p>
    <w:p>
      <w:pPr>
        <w:spacing w:line="360" w:lineRule="auto"/>
        <w:ind w:firstLine="480" w:firstLineChars="200"/>
        <w:rPr>
          <w:rFonts w:hint="eastAsia"/>
          <w:bCs/>
          <w:sz w:val="24"/>
        </w:rPr>
      </w:pPr>
      <w:r>
        <w:rPr>
          <w:rFonts w:hint="eastAsia"/>
          <w:bCs/>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spacing w:line="360" w:lineRule="auto"/>
        <w:ind w:firstLine="480" w:firstLineChars="200"/>
        <w:rPr>
          <w:rFonts w:hint="eastAsia"/>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pPr>
        <w:spacing w:line="360" w:lineRule="auto"/>
        <w:ind w:firstLine="480" w:firstLineChars="200"/>
        <w:rPr>
          <w:bCs/>
          <w:sz w:val="24"/>
        </w:rPr>
      </w:pPr>
      <w:r>
        <w:rPr>
          <w:rFonts w:hint="eastAsia"/>
          <w:bCs/>
          <w:sz w:val="24"/>
        </w:rPr>
        <w:t>2、基金管理人应每个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r>
        <w:rPr>
          <w:bCs/>
          <w:sz w:val="24"/>
        </w:rPr>
        <w:t>。</w:t>
      </w:r>
    </w:p>
    <w:p>
      <w:pPr>
        <w:spacing w:line="360" w:lineRule="auto"/>
        <w:ind w:firstLine="480" w:firstLineChars="200"/>
        <w:outlineLvl w:val="2"/>
        <w:rPr>
          <w:bCs/>
          <w:sz w:val="24"/>
        </w:rPr>
      </w:pPr>
      <w:r>
        <w:rPr>
          <w:bCs/>
          <w:sz w:val="24"/>
        </w:rPr>
        <w:t>（三）暂停估值的情形</w:t>
      </w:r>
    </w:p>
    <w:p>
      <w:pPr>
        <w:spacing w:line="360" w:lineRule="auto"/>
        <w:ind w:firstLine="480" w:firstLineChars="200"/>
        <w:rPr>
          <w:bCs/>
          <w:sz w:val="24"/>
        </w:rPr>
      </w:pPr>
      <w:r>
        <w:rPr>
          <w:bCs/>
          <w:sz w:val="24"/>
        </w:rPr>
        <w:t>1、基金投资所涉及的证券</w:t>
      </w:r>
      <w:r>
        <w:rPr>
          <w:rFonts w:hint="eastAsia"/>
          <w:bCs/>
          <w:sz w:val="24"/>
        </w:rPr>
        <w:t>、</w:t>
      </w:r>
      <w:r>
        <w:rPr>
          <w:bCs/>
          <w:sz w:val="24"/>
        </w:rPr>
        <w:t>期货交易市场遇法定节假日或因其他原因暂停营业时；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3、当特定资产占前一估值日基金资产净值50%以上的</w:t>
      </w:r>
      <w:r>
        <w:rPr>
          <w:bCs/>
          <w:sz w:val="24"/>
        </w:rPr>
        <w:t>，经与基金托管人协商确认后，基金管理人应当暂停估值</w:t>
      </w:r>
      <w:r>
        <w:rPr>
          <w:rFonts w:hint="eastAsia"/>
          <w:bCs/>
          <w:sz w:val="24"/>
        </w:rPr>
        <w:t>；</w:t>
      </w:r>
    </w:p>
    <w:p>
      <w:pPr>
        <w:spacing w:line="360" w:lineRule="auto"/>
        <w:ind w:firstLine="480" w:firstLineChars="20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pPr>
        <w:spacing w:line="360" w:lineRule="auto"/>
        <w:ind w:firstLine="480" w:firstLineChars="200"/>
        <w:outlineLvl w:val="2"/>
        <w:rPr>
          <w:bCs/>
          <w:sz w:val="24"/>
        </w:rPr>
      </w:pPr>
      <w:r>
        <w:rPr>
          <w:bCs/>
          <w:sz w:val="24"/>
        </w:rPr>
        <w:t>（四）基金资产净值、基金份额净值</w:t>
      </w:r>
      <w:r>
        <w:rPr>
          <w:rFonts w:hint="eastAsia"/>
          <w:bCs/>
          <w:sz w:val="24"/>
        </w:rPr>
        <w:t>的</w:t>
      </w:r>
      <w:r>
        <w:rPr>
          <w:bCs/>
          <w:sz w:val="24"/>
        </w:rPr>
        <w:t>公告方式</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在规定网站分别披露一次A类基金份额和C类基金份额所对应的基金份额净值和基金份额累计净值</w:t>
      </w:r>
      <w:r>
        <w:rPr>
          <w:bCs/>
          <w:sz w:val="24"/>
        </w:rPr>
        <w:t>。</w:t>
      </w:r>
    </w:p>
    <w:p>
      <w:pPr>
        <w:spacing w:line="360" w:lineRule="auto"/>
        <w:ind w:firstLine="480" w:firstLineChars="20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int="eastAsia" w:hAnsi="宋体"/>
          <w:sz w:val="24"/>
        </w:rPr>
        <w:t>的</w:t>
      </w:r>
      <w:r>
        <w:rPr>
          <w:bCs/>
          <w:sz w:val="24"/>
        </w:rPr>
        <w:t>基金份额净值和基金份额累计净值。</w:t>
      </w:r>
    </w:p>
    <w:p>
      <w:pPr>
        <w:spacing w:line="360" w:lineRule="auto"/>
        <w:ind w:firstLine="480" w:firstLineChars="200"/>
        <w:rPr>
          <w:rFonts w:hint="eastAsia"/>
          <w:bCs/>
          <w:sz w:val="24"/>
        </w:rPr>
      </w:pPr>
      <w:r>
        <w:rPr>
          <w:bCs/>
          <w:sz w:val="24"/>
        </w:rPr>
        <w:t>基金管理人应当</w:t>
      </w:r>
      <w:r>
        <w:rPr>
          <w:rFonts w:hint="eastAsia"/>
          <w:bCs/>
          <w:sz w:val="24"/>
        </w:rPr>
        <w:t>在不晚于半年度和年度最后一日的次日，在规定网站披露半年度和年度最后一日A类基金份额和C类基金份额所对应的基金份额净值和基金份额累计净值。</w:t>
      </w:r>
      <w:bookmarkEnd w:id="2"/>
    </w:p>
    <w:p>
      <w:pPr>
        <w:spacing w:line="360" w:lineRule="auto"/>
        <w:ind w:firstLine="482" w:firstLineChars="200"/>
        <w:outlineLvl w:val="1"/>
        <w:rPr>
          <w:rFonts w:ascii="宋体" w:hAnsi="宋体"/>
          <w:b/>
          <w:sz w:val="24"/>
          <w:szCs w:val="24"/>
        </w:rPr>
      </w:pPr>
      <w:r>
        <w:rPr>
          <w:rFonts w:ascii="宋体" w:hAnsi="宋体"/>
          <w:b/>
          <w:sz w:val="24"/>
          <w:szCs w:val="24"/>
        </w:rPr>
        <w:t>七、基金合同</w:t>
      </w:r>
      <w:r>
        <w:rPr>
          <w:rFonts w:hint="eastAsia" w:ascii="宋体" w:hAnsi="宋体"/>
          <w:b/>
          <w:sz w:val="24"/>
          <w:szCs w:val="24"/>
        </w:rPr>
        <w:t>变更、</w:t>
      </w:r>
      <w:r>
        <w:rPr>
          <w:rFonts w:ascii="宋体" w:hAnsi="宋体"/>
          <w:b/>
          <w:sz w:val="24"/>
          <w:szCs w:val="24"/>
        </w:rPr>
        <w:t>解除和终止的事由、程序以及基金财产清算方式</w:t>
      </w:r>
    </w:p>
    <w:p>
      <w:pPr>
        <w:spacing w:line="360" w:lineRule="auto"/>
        <w:ind w:firstLine="480" w:firstLineChars="200"/>
        <w:outlineLvl w:val="2"/>
        <w:rPr>
          <w:bCs/>
          <w:sz w:val="24"/>
        </w:rPr>
      </w:pPr>
      <w:r>
        <w:rPr>
          <w:bCs/>
          <w:sz w:val="24"/>
        </w:rPr>
        <w:t>（一）</w:t>
      </w:r>
      <w:r>
        <w:rPr>
          <w:rFonts w:hint="eastAsia"/>
          <w:bCs/>
          <w:sz w:val="24"/>
        </w:rPr>
        <w:t>《基金合同》的变更</w:t>
      </w:r>
    </w:p>
    <w:p>
      <w:pPr>
        <w:autoSpaceDE w:val="0"/>
        <w:autoSpaceDN w:val="0"/>
        <w:adjustRightInd w:val="0"/>
        <w:spacing w:line="360" w:lineRule="auto"/>
        <w:ind w:firstLine="720" w:firstLineChars="3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Pr>
          <w:rFonts w:hint="eastAsia"/>
          <w:bCs/>
          <w:sz w:val="24"/>
        </w:rPr>
        <w:t>按规定</w:t>
      </w:r>
      <w:r>
        <w:rPr>
          <w:bCs/>
          <w:sz w:val="24"/>
        </w:rPr>
        <w:t>报中国证监会备案。</w:t>
      </w:r>
    </w:p>
    <w:p>
      <w:pPr>
        <w:autoSpaceDE w:val="0"/>
        <w:autoSpaceDN w:val="0"/>
        <w:adjustRightInd w:val="0"/>
        <w:spacing w:line="360" w:lineRule="auto"/>
        <w:ind w:firstLine="720" w:firstLineChars="300"/>
        <w:jc w:val="left"/>
        <w:rPr>
          <w:bCs/>
          <w:sz w:val="24"/>
        </w:rPr>
      </w:pPr>
      <w:r>
        <w:rPr>
          <w:bCs/>
          <w:sz w:val="24"/>
        </w:rPr>
        <w:t>2、关于《基金合同》变更的基金份额持有人大会决议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pPr>
        <w:spacing w:line="360" w:lineRule="auto"/>
        <w:ind w:firstLine="480" w:firstLineChars="200"/>
        <w:outlineLvl w:val="2"/>
        <w:rPr>
          <w:bCs/>
          <w:sz w:val="24"/>
        </w:rPr>
      </w:pPr>
      <w:r>
        <w:rPr>
          <w:rFonts w:hint="eastAsia"/>
          <w:bCs/>
          <w:sz w:val="24"/>
        </w:rPr>
        <w:t>（二）《</w:t>
      </w:r>
      <w:r>
        <w:rPr>
          <w:bCs/>
          <w:sz w:val="24"/>
        </w:rPr>
        <w:t>基金合同</w:t>
      </w:r>
      <w:r>
        <w:rPr>
          <w:rFonts w:hint="eastAsia"/>
          <w:bCs/>
          <w:sz w:val="24"/>
        </w:rPr>
        <w:t>》</w:t>
      </w:r>
      <w:r>
        <w:rPr>
          <w:bCs/>
          <w:sz w:val="24"/>
        </w:rPr>
        <w:t>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outlineLvl w:val="2"/>
        <w:rPr>
          <w:bCs/>
          <w:sz w:val="24"/>
        </w:rPr>
      </w:pPr>
      <w:r>
        <w:rPr>
          <w:bCs/>
          <w:sz w:val="24"/>
        </w:rPr>
        <w:t>（</w:t>
      </w:r>
      <w:r>
        <w:rPr>
          <w:rFonts w:hint="eastAsia"/>
          <w:bCs/>
          <w:sz w:val="24"/>
        </w:rPr>
        <w:t>三</w:t>
      </w:r>
      <w:r>
        <w:rPr>
          <w:bCs/>
          <w:sz w:val="24"/>
        </w:rPr>
        <w:t>）基金财产的清算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r>
        <w:rPr>
          <w:rFonts w:hint="eastAsia"/>
          <w:bCs/>
          <w:sz w:val="24"/>
        </w:rPr>
        <w:t>财产</w:t>
      </w:r>
      <w:r>
        <w:rPr>
          <w:bCs/>
          <w:sz w:val="24"/>
        </w:rPr>
        <w:t>；</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个月，但因本基金所持证券的流动性受到限制而不能及时变现的，清算期限相应顺延。</w:t>
      </w:r>
    </w:p>
    <w:p>
      <w:pPr>
        <w:widowControl w:val="0"/>
        <w:spacing w:after="78" w:afterLines="0" w:afterAutospacing="0" w:line="360" w:lineRule="auto"/>
        <w:ind w:firstLine="482" w:firstLineChars="200"/>
        <w:jc w:val="both"/>
        <w:outlineLvl w:val="1"/>
        <w:rPr>
          <w:rFonts w:ascii="宋体" w:hAnsi="宋体" w:eastAsia="宋体" w:cs="Times New Roman"/>
          <w:b/>
          <w:kern w:val="2"/>
          <w:sz w:val="24"/>
          <w:szCs w:val="24"/>
          <w:lang w:val="en-US" w:eastAsia="zh-CN" w:bidi="ar-SA"/>
        </w:rPr>
      </w:pPr>
      <w:r>
        <w:rPr>
          <w:rFonts w:ascii="宋体" w:hAnsi="宋体" w:eastAsia="宋体" w:cs="Times New Roman"/>
          <w:b/>
          <w:kern w:val="2"/>
          <w:sz w:val="24"/>
          <w:szCs w:val="24"/>
          <w:lang w:val="en-US" w:eastAsia="zh-CN" w:bidi="ar-SA"/>
        </w:rPr>
        <w:t>八、</w:t>
      </w:r>
      <w:r>
        <w:rPr>
          <w:rFonts w:hint="eastAsia" w:ascii="宋体" w:hAnsi="宋体" w:eastAsia="宋体" w:cs="Times New Roman"/>
          <w:b/>
          <w:kern w:val="2"/>
          <w:sz w:val="24"/>
          <w:szCs w:val="24"/>
          <w:lang w:val="en-US" w:eastAsia="zh-CN" w:bidi="ar-SA"/>
        </w:rPr>
        <w:t>争议解决方式</w:t>
      </w:r>
    </w:p>
    <w:p>
      <w:pPr>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r>
        <w:rPr>
          <w:bCs/>
          <w:sz w:val="24"/>
        </w:rPr>
        <w:t>。</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（为本基金合同之目的，不含港澳台地区法律）</w:t>
      </w:r>
      <w:r>
        <w:rPr>
          <w:bCs/>
          <w:sz w:val="24"/>
        </w:rPr>
        <w:t>管辖</w:t>
      </w:r>
      <w:r>
        <w:rPr>
          <w:rFonts w:hint="eastAsia"/>
          <w:bCs/>
          <w:sz w:val="24"/>
        </w:rPr>
        <w:t>并从其解释</w:t>
      </w:r>
      <w:r>
        <w:rPr>
          <w:bCs/>
          <w:sz w:val="24"/>
        </w:rPr>
        <w:t>。</w:t>
      </w:r>
    </w:p>
    <w:p>
      <w:pPr>
        <w:widowControl w:val="0"/>
        <w:spacing w:after="78" w:afterLines="0" w:afterAutospacing="0" w:line="360" w:lineRule="auto"/>
        <w:ind w:firstLine="482" w:firstLineChars="200"/>
        <w:jc w:val="both"/>
        <w:outlineLvl w:val="1"/>
        <w:rPr>
          <w:rFonts w:ascii="宋体" w:hAnsi="宋体" w:eastAsia="宋体" w:cs="Times New Roman"/>
          <w:kern w:val="2"/>
          <w:sz w:val="24"/>
          <w:szCs w:val="24"/>
          <w:lang w:val="en-US" w:eastAsia="zh-CN" w:bidi="ar-SA"/>
        </w:rPr>
      </w:pPr>
      <w:r>
        <w:rPr>
          <w:rFonts w:ascii="宋体" w:hAnsi="宋体" w:eastAsia="宋体" w:cs="Times New Roman"/>
          <w:b/>
          <w:kern w:val="2"/>
          <w:sz w:val="24"/>
          <w:szCs w:val="24"/>
          <w:lang w:val="en-US" w:eastAsia="zh-CN" w:bidi="ar-SA"/>
        </w:rPr>
        <w:t>九、基金合同存放地和投资者取得基金合同的方式</w:t>
      </w:r>
    </w:p>
    <w:p>
      <w:pPr>
        <w:spacing w:line="360" w:lineRule="auto"/>
        <w:ind w:firstLine="480" w:firstLineChars="200"/>
        <w:rPr>
          <w:bCs/>
          <w:sz w:val="24"/>
        </w:rPr>
      </w:pP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pPr>
        <w:spacing w:line="360" w:lineRule="auto"/>
        <w:ind w:firstLine="480" w:firstLineChars="200"/>
        <w:rPr>
          <w:rFonts w:asciiTheme="minorEastAsia" w:hAnsiTheme="minorEastAsia" w:eastAsiaTheme="minorEastAsia"/>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001407"/>
      <w:docPartObj>
        <w:docPartGallery w:val="autotext"/>
      </w:docPartObj>
    </w:sdtPr>
    <w:sdtContent>
      <w:p>
        <w:pPr>
          <w:pStyle w:val="13"/>
          <w:jc w:val="center"/>
        </w:pPr>
        <w:r>
          <w:fldChar w:fldCharType="begin"/>
        </w:r>
        <w:r>
          <w:instrText xml:space="preserve">PAGE   \* MERGEFORMAT</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r>
      <w:rPr>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Pr>
        <w:rFonts w:hint="eastAsia"/>
        <w:szCs w:val="18"/>
        <w:lang w:val="en-US" w:eastAsia="zh-CN"/>
      </w:rPr>
      <w:t>瑞安</w:t>
    </w:r>
    <w:r>
      <w:rPr>
        <w:rFonts w:hint="eastAsia"/>
        <w:szCs w:val="18"/>
      </w:rPr>
      <w:t>混合型证券投资基金基金合同摘要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49"/>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127EAD"/>
    <w:multiLevelType w:val="multilevel"/>
    <w:tmpl w:val="58127EA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27A4AA0"/>
    <w:rsid w:val="0BA36386"/>
    <w:rsid w:val="1F814BEC"/>
    <w:rsid w:val="30AE0031"/>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0"/>
    <w:qFormat/>
    <w:uiPriority w:val="0"/>
    <w:pPr>
      <w:jc w:val="left"/>
    </w:pPr>
  </w:style>
  <w:style w:type="paragraph" w:styleId="8">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link w:val="51"/>
    <w:qFormat/>
    <w:uiPriority w:val="99"/>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7"/>
    <w:qFormat/>
    <w:uiPriority w:val="99"/>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link w:val="74"/>
    <w:qFormat/>
    <w:uiPriority w:val="99"/>
    <w:rPr>
      <w:b/>
    </w:rPr>
  </w:style>
  <w:style w:type="paragraph" w:styleId="21">
    <w:name w:val="Body Text First Indent"/>
    <w:basedOn w:val="8"/>
    <w:link w:val="48"/>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99"/>
    <w:rPr>
      <w:sz w:val="21"/>
    </w:rPr>
  </w:style>
  <w:style w:type="character" w:styleId="27">
    <w:name w:val="footnote reference"/>
    <w:qFormat/>
    <w:uiPriority w:val="0"/>
    <w:rPr>
      <w:vertAlign w:val="superscript"/>
    </w:rPr>
  </w:style>
  <w:style w:type="character" w:customStyle="1" w:styleId="28">
    <w:name w:val="正文文本 Char"/>
    <w:link w:val="8"/>
    <w:qFormat/>
    <w:uiPriority w:val="0"/>
    <w:rPr>
      <w:rFonts w:ascii="宋体"/>
      <w:kern w:val="0"/>
    </w:rPr>
  </w:style>
  <w:style w:type="character" w:customStyle="1" w:styleId="29">
    <w:name w:val="unnamed11"/>
    <w:qFormat/>
    <w:uiPriority w:val="0"/>
    <w:rPr>
      <w:rFonts w:hint="eastAsia" w:ascii="宋体" w:hAnsi="宋体" w:eastAsia="宋体"/>
      <w:sz w:val="18"/>
    </w:rPr>
  </w:style>
  <w:style w:type="character" w:customStyle="1" w:styleId="30">
    <w:name w:val="标题 Char"/>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character" w:customStyle="1" w:styleId="32">
    <w:name w:val="read"/>
    <w:basedOn w:val="23"/>
    <w:qFormat/>
    <w:uiPriority w:val="0"/>
  </w:style>
  <w:style w:type="paragraph" w:customStyle="1" w:styleId="33">
    <w:name w:val="Char Char"/>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List_bullet"/>
    <w:basedOn w:val="1"/>
    <w:qFormat/>
    <w:uiPriority w:val="0"/>
    <w:pPr>
      <w:widowControl/>
      <w:tabs>
        <w:tab w:val="left" w:pos="360"/>
      </w:tabs>
      <w:ind w:left="360" w:hanging="360"/>
      <w:jc w:val="left"/>
    </w:pPr>
    <w:rPr>
      <w:kern w:val="0"/>
      <w:sz w:val="24"/>
    </w:rPr>
  </w:style>
  <w:style w:type="paragraph" w:customStyle="1" w:styleId="3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正文"/>
    <w:basedOn w:val="1"/>
    <w:qFormat/>
    <w:uiPriority w:val="0"/>
    <w:pPr>
      <w:spacing w:afterLines="25" w:line="360" w:lineRule="auto"/>
      <w:ind w:firstLine="200" w:firstLineChars="200"/>
    </w:pPr>
    <w:rPr>
      <w:sz w:val="24"/>
    </w:rPr>
  </w:style>
  <w:style w:type="paragraph" w:customStyle="1" w:styleId="39">
    <w:name w:val="Char"/>
    <w:basedOn w:val="1"/>
    <w:qFormat/>
    <w:uiPriority w:val="0"/>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
    <w:basedOn w:val="1"/>
    <w:qFormat/>
    <w:uiPriority w:val="0"/>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页脚 Char1"/>
    <w:link w:val="13"/>
    <w:qFormat/>
    <w:uiPriority w:val="99"/>
    <w:rPr>
      <w:kern w:val="2"/>
      <w:sz w:val="18"/>
    </w:rPr>
  </w:style>
  <w:style w:type="character" w:customStyle="1" w:styleId="48">
    <w:name w:val="正文首行缩进 Char"/>
    <w:link w:val="21"/>
    <w:qFormat/>
    <w:uiPriority w:val="0"/>
    <w:rPr>
      <w:rFonts w:ascii="宋体"/>
      <w:kern w:val="2"/>
      <w:sz w:val="21"/>
    </w:rPr>
  </w:style>
  <w:style w:type="paragraph" w:customStyle="1" w:styleId="49">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0">
    <w:name w:val="批注文字 Char"/>
    <w:link w:val="7"/>
    <w:qFormat/>
    <w:uiPriority w:val="0"/>
    <w:rPr>
      <w:kern w:val="2"/>
      <w:sz w:val="21"/>
    </w:rPr>
  </w:style>
  <w:style w:type="character" w:customStyle="1" w:styleId="51">
    <w:name w:val="纯文本 Char"/>
    <w:basedOn w:val="23"/>
    <w:link w:val="10"/>
    <w:qFormat/>
    <w:uiPriority w:val="99"/>
    <w:rPr>
      <w:rFonts w:ascii="宋体" w:hAnsi="Courier New"/>
      <w:sz w:val="21"/>
    </w:rPr>
  </w:style>
  <w:style w:type="paragraph" w:customStyle="1" w:styleId="52">
    <w:name w:val="列出段落1"/>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HTML 预设格式1"/>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56">
    <w:name w:val="修订11"/>
    <w:qFormat/>
    <w:uiPriority w:val="0"/>
    <w:rPr>
      <w:rFonts w:ascii="Times New Roman" w:hAnsi="Times New Roman" w:eastAsia="宋体" w:cs="Times New Roman"/>
      <w:kern w:val="2"/>
      <w:sz w:val="21"/>
      <w:lang w:val="en-US" w:eastAsia="zh-CN" w:bidi="ar-SA"/>
    </w:rPr>
  </w:style>
  <w:style w:type="paragraph" w:customStyle="1" w:styleId="57">
    <w:name w:val="正文文本缩进 31"/>
    <w:basedOn w:val="1"/>
    <w:qFormat/>
    <w:uiPriority w:val="0"/>
    <w:pPr>
      <w:autoSpaceDE w:val="0"/>
      <w:autoSpaceDN w:val="0"/>
      <w:adjustRightInd w:val="0"/>
      <w:spacing w:line="360" w:lineRule="auto"/>
      <w:ind w:left="420" w:firstLine="435"/>
    </w:pPr>
    <w:rPr>
      <w:color w:val="0000FF"/>
    </w:rPr>
  </w:style>
  <w:style w:type="paragraph" w:customStyle="1" w:styleId="58">
    <w:name w:val="正文文本缩进 21"/>
    <w:basedOn w:val="1"/>
    <w:qFormat/>
    <w:uiPriority w:val="0"/>
    <w:pPr>
      <w:spacing w:line="360" w:lineRule="auto"/>
      <w:ind w:firstLine="425"/>
    </w:pPr>
    <w:rPr>
      <w:rFonts w:ascii="仿宋_GB2312" w:eastAsia="仿宋_GB2312"/>
      <w:sz w:val="28"/>
    </w:rPr>
  </w:style>
  <w:style w:type="paragraph" w:customStyle="1" w:styleId="59">
    <w:name w:val="修订2"/>
    <w:qFormat/>
    <w:uiPriority w:val="0"/>
    <w:rPr>
      <w:rFonts w:ascii="Times New Roman" w:hAnsi="Times New Roman" w:eastAsia="宋体" w:cs="Times New Roman"/>
      <w:kern w:val="2"/>
      <w:sz w:val="21"/>
      <w:lang w:val="en-US" w:eastAsia="zh-CN" w:bidi="ar-SA"/>
    </w:rPr>
  </w:style>
  <w:style w:type="paragraph" w:customStyle="1" w:styleId="60">
    <w:name w:val="纯文本1"/>
    <w:basedOn w:val="1"/>
    <w:qFormat/>
    <w:uiPriority w:val="0"/>
    <w:pPr>
      <w:adjustRightInd w:val="0"/>
      <w:spacing w:line="312" w:lineRule="atLeast"/>
      <w:textAlignment w:val="baseline"/>
    </w:pPr>
    <w:rPr>
      <w:rFonts w:ascii="宋体" w:hAnsi="Courier New"/>
      <w:kern w:val="0"/>
    </w:rPr>
  </w:style>
  <w:style w:type="paragraph" w:customStyle="1" w:styleId="61">
    <w:name w:val="批注主题1"/>
    <w:basedOn w:val="7"/>
    <w:next w:val="7"/>
    <w:qFormat/>
    <w:uiPriority w:val="0"/>
    <w:rPr>
      <w:b/>
    </w:rPr>
  </w:style>
  <w:style w:type="paragraph" w:customStyle="1" w:styleId="62">
    <w:name w:val="Char2"/>
    <w:basedOn w:val="1"/>
    <w:qFormat/>
    <w:uiPriority w:val="0"/>
  </w:style>
  <w:style w:type="paragraph" w:customStyle="1" w:styleId="63">
    <w:name w:val="正文首行缩进1"/>
    <w:basedOn w:val="8"/>
    <w:qFormat/>
    <w:uiPriority w:val="0"/>
    <w:pPr>
      <w:adjustRightInd/>
      <w:spacing w:after="120" w:line="240" w:lineRule="auto"/>
      <w:ind w:firstLine="420" w:firstLineChars="100"/>
      <w:jc w:val="both"/>
    </w:pPr>
    <w:rPr>
      <w:kern w:val="2"/>
      <w:sz w:val="21"/>
    </w:rPr>
  </w:style>
  <w:style w:type="paragraph" w:customStyle="1" w:styleId="64">
    <w:name w:val="文档结构图1"/>
    <w:basedOn w:val="1"/>
    <w:link w:val="68"/>
    <w:qFormat/>
    <w:uiPriority w:val="0"/>
    <w:rPr>
      <w:rFonts w:ascii="宋体"/>
      <w:sz w:val="18"/>
      <w:szCs w:val="18"/>
    </w:rPr>
  </w:style>
  <w:style w:type="paragraph" w:customStyle="1" w:styleId="65">
    <w:name w:val="批注主题2"/>
    <w:basedOn w:val="7"/>
    <w:next w:val="7"/>
    <w:link w:val="69"/>
    <w:qFormat/>
    <w:uiPriority w:val="0"/>
    <w:rPr>
      <w:b/>
      <w:bCs/>
    </w:rPr>
  </w:style>
  <w:style w:type="paragraph" w:customStyle="1" w:styleId="66">
    <w:name w:val="文档结构图11"/>
    <w:basedOn w:val="1"/>
    <w:qFormat/>
    <w:uiPriority w:val="0"/>
    <w:pPr>
      <w:shd w:val="clear" w:color="auto" w:fill="000080"/>
    </w:p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character" w:customStyle="1" w:styleId="68">
    <w:name w:val="文档结构图 Char"/>
    <w:link w:val="64"/>
    <w:qFormat/>
    <w:uiPriority w:val="0"/>
    <w:rPr>
      <w:rFonts w:ascii="宋体"/>
      <w:kern w:val="2"/>
      <w:sz w:val="18"/>
      <w:szCs w:val="18"/>
    </w:rPr>
  </w:style>
  <w:style w:type="character" w:customStyle="1" w:styleId="69">
    <w:name w:val="批注主题 Char"/>
    <w:link w:val="65"/>
    <w:qFormat/>
    <w:uiPriority w:val="0"/>
    <w:rPr>
      <w:b/>
      <w:bCs/>
      <w:kern w:val="2"/>
      <w:sz w:val="21"/>
    </w:rPr>
  </w:style>
  <w:style w:type="character" w:customStyle="1" w:styleId="70">
    <w:name w:val="HTML 预设格式 Char"/>
    <w:link w:val="54"/>
    <w:qFormat/>
    <w:uiPriority w:val="0"/>
    <w:rPr>
      <w:rFonts w:ascii="宋体" w:hAnsi="宋体"/>
      <w:sz w:val="24"/>
      <w:szCs w:val="24"/>
    </w:rPr>
  </w:style>
  <w:style w:type="character" w:customStyle="1" w:styleId="71">
    <w:name w:val="批注引用1"/>
    <w:qFormat/>
    <w:uiPriority w:val="0"/>
    <w:rPr>
      <w:sz w:val="21"/>
    </w:rPr>
  </w:style>
  <w:style w:type="character" w:customStyle="1" w:styleId="72">
    <w:name w:val="批注引用2"/>
    <w:qFormat/>
    <w:uiPriority w:val="0"/>
    <w:rPr>
      <w:sz w:val="21"/>
      <w:szCs w:val="21"/>
    </w:rPr>
  </w:style>
  <w:style w:type="character" w:customStyle="1" w:styleId="73">
    <w:name w:val="页码1"/>
    <w:basedOn w:val="23"/>
    <w:qFormat/>
    <w:uiPriority w:val="0"/>
  </w:style>
  <w:style w:type="character" w:customStyle="1" w:styleId="74">
    <w:name w:val="批注主题 Char1"/>
    <w:basedOn w:val="50"/>
    <w:link w:val="20"/>
    <w:qFormat/>
    <w:uiPriority w:val="99"/>
    <w:rPr>
      <w:b/>
      <w:kern w:val="2"/>
      <w:sz w:val="21"/>
    </w:rPr>
  </w:style>
  <w:style w:type="paragraph" w:customStyle="1" w:styleId="75">
    <w:name w:val="修订4"/>
    <w:hidden/>
    <w:semiHidden/>
    <w:qFormat/>
    <w:uiPriority w:val="99"/>
    <w:rPr>
      <w:rFonts w:ascii="Times New Roman" w:hAnsi="Times New Roman" w:eastAsia="宋体" w:cs="Times New Roman"/>
      <w:kern w:val="2"/>
      <w:sz w:val="21"/>
      <w:lang w:val="en-US" w:eastAsia="zh-CN" w:bidi="ar-SA"/>
    </w:rPr>
  </w:style>
  <w:style w:type="character" w:customStyle="1" w:styleId="76">
    <w:name w:val="页眉 Char"/>
    <w:qFormat/>
    <w:uiPriority w:val="0"/>
    <w:rPr>
      <w:rFonts w:eastAsia="宋体"/>
      <w:kern w:val="2"/>
      <w:sz w:val="18"/>
      <w:lang w:val="en-US" w:eastAsia="zh-CN"/>
    </w:rPr>
  </w:style>
  <w:style w:type="character" w:customStyle="1" w:styleId="77">
    <w:name w:val="页脚 Char"/>
    <w:qFormat/>
    <w:uiPriority w:val="99"/>
    <w:rPr>
      <w:kern w:val="2"/>
      <w:sz w:val="18"/>
    </w:rPr>
  </w:style>
  <w:style w:type="character" w:customStyle="1" w:styleId="78">
    <w:name w:val="页脚 字符"/>
    <w:qFormat/>
    <w:uiPriority w:val="99"/>
    <w:rPr>
      <w:kern w:val="2"/>
      <w:sz w:val="18"/>
    </w:rPr>
  </w:style>
  <w:style w:type="character" w:customStyle="1" w:styleId="79">
    <w:name w:val="页眉 字符"/>
    <w:qFormat/>
    <w:uiPriority w:val="0"/>
    <w:rPr>
      <w:rFonts w:eastAsia="宋体"/>
      <w:kern w:val="2"/>
      <w:sz w:val="18"/>
      <w:lang w:val="en-US" w:eastAsia="zh-CN"/>
    </w:rPr>
  </w:style>
  <w:style w:type="character" w:customStyle="1" w:styleId="80">
    <w:name w:val="15"/>
    <w:basedOn w:val="2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4DD0A-0D22-469A-915F-E78954DFCFF4}">
  <ds:schemaRefs/>
</ds:datastoreItem>
</file>

<file path=customXml/itemProps2.xml><?xml version="1.0" encoding="utf-8"?>
<ds:datastoreItem xmlns:ds="http://schemas.openxmlformats.org/officeDocument/2006/customXml" ds:itemID="{D51E5AA3-4163-41CA-BC7E-D56C513A7AB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3488</Words>
  <Characters>19886</Characters>
  <Lines>1</Lines>
  <Paragraphs>1</Paragraphs>
  <TotalTime>0</TotalTime>
  <ScaleCrop>false</ScaleCrop>
  <LinksUpToDate>false</LinksUpToDate>
  <CharactersWithSpaces>23328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2023-01-30T02:31:00Z</dcterms:created>
  <dc:creator>zhangminjun</dc:creator>
  <cp:lastModifiedBy>喻秋燕</cp:lastModifiedBy>
  <dcterms:modified xsi:type="dcterms:W3CDTF">2025-05-23T01:09:28Z</dcterms:modified>
  <dc:title>___证券投资基金招募说明书1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1E4BFE08FC83406BADC221713E561B15</vt:lpwstr>
  </property>
</Properties>
</file>