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58CEC" w14:textId="77777777" w:rsidR="00647E97" w:rsidRDefault="00647E97">
      <w:pPr>
        <w:rPr>
          <w:sz w:val="32"/>
        </w:rPr>
      </w:pPr>
    </w:p>
    <w:p w14:paraId="74BC1153" w14:textId="77777777" w:rsidR="00647E97" w:rsidRDefault="00647E97">
      <w:pPr>
        <w:rPr>
          <w:sz w:val="32"/>
        </w:rPr>
      </w:pPr>
    </w:p>
    <w:p w14:paraId="6DF183F4" w14:textId="77777777" w:rsidR="00647E97" w:rsidRDefault="00647E97">
      <w:pPr>
        <w:rPr>
          <w:sz w:val="32"/>
        </w:rPr>
      </w:pPr>
    </w:p>
    <w:p w14:paraId="65600992" w14:textId="711D1726" w:rsidR="00647E97" w:rsidRDefault="00F56CEC">
      <w:pPr>
        <w:jc w:val="center"/>
        <w:rPr>
          <w:sz w:val="32"/>
        </w:rPr>
      </w:pPr>
      <w:r>
        <w:rPr>
          <w:noProof/>
        </w:rPr>
        <w:drawing>
          <wp:inline distT="0" distB="0" distL="0" distR="0" wp14:anchorId="48552D2B" wp14:editId="360ECEB7">
            <wp:extent cx="4343400" cy="57150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17570D9" w14:textId="77777777" w:rsidR="00647E97" w:rsidRDefault="00647E97">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176F558" w14:textId="77777777" w:rsidR="00647E97" w:rsidRDefault="00647E97">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BAF19DF" w14:textId="77777777" w:rsidR="00647E97" w:rsidRDefault="00022CF9">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w:t>
      </w:r>
      <w:proofErr w:type="gramStart"/>
      <w:r>
        <w:rPr>
          <w:rFonts w:ascii="Times New Roman" w:hAnsi="Times New Roman"/>
          <w:b/>
          <w:spacing w:val="2"/>
          <w:w w:val="99"/>
          <w:kern w:val="0"/>
          <w:position w:val="-4"/>
          <w:sz w:val="44"/>
          <w:szCs w:val="44"/>
        </w:rPr>
        <w:t>裕道纯债</w:t>
      </w:r>
      <w:proofErr w:type="gramEnd"/>
      <w:r>
        <w:rPr>
          <w:rFonts w:ascii="Times New Roman" w:hAnsi="Times New Roman"/>
          <w:b/>
          <w:spacing w:val="2"/>
          <w:w w:val="99"/>
          <w:kern w:val="0"/>
          <w:position w:val="-4"/>
          <w:sz w:val="44"/>
          <w:szCs w:val="44"/>
        </w:rPr>
        <w:t>一年定期开放债券型发起式证券投资基金</w:t>
      </w:r>
    </w:p>
    <w:p w14:paraId="77803EE0" w14:textId="77777777" w:rsidR="00647E97" w:rsidRDefault="00022CF9">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招募说明书(更新)</w:t>
      </w:r>
    </w:p>
    <w:p w14:paraId="0DF9006E" w14:textId="77777777" w:rsidR="00647E97" w:rsidRDefault="00647E97">
      <w:pPr>
        <w:snapToGrid w:val="0"/>
        <w:spacing w:line="360" w:lineRule="auto"/>
        <w:jc w:val="center"/>
        <w:rPr>
          <w:rFonts w:ascii="宋体" w:hAnsi="宋体"/>
          <w:b/>
          <w:sz w:val="30"/>
          <w:szCs w:val="30"/>
        </w:rPr>
      </w:pPr>
    </w:p>
    <w:p w14:paraId="2492228D" w14:textId="77777777" w:rsidR="00647E97" w:rsidRDefault="00647E9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544439B" w14:textId="77777777" w:rsidR="00647E97" w:rsidRDefault="00647E9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6E2569D" w14:textId="77777777" w:rsidR="00647E97" w:rsidRDefault="00647E9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421C5E9" w14:textId="77777777" w:rsidR="00647E97" w:rsidRDefault="00647E9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EB265AA" w14:textId="77777777" w:rsidR="00647E97" w:rsidRDefault="00647E9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CF32BC9" w14:textId="77777777" w:rsidR="00647E97" w:rsidRDefault="00647E9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7E38FC4" w14:textId="77777777" w:rsidR="00647E97" w:rsidRDefault="00022CF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00F3290" w14:textId="77777777" w:rsidR="00647E97" w:rsidRDefault="00022CF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基金托管人：兴业银行股份有限公司</w:t>
      </w:r>
    </w:p>
    <w:p w14:paraId="5213886A" w14:textId="77777777" w:rsidR="00647E97" w:rsidRDefault="00647E9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2653CFF" w14:textId="77777777" w:rsidR="00647E97" w:rsidRDefault="00647E9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0E1F175" w14:textId="29780102" w:rsidR="00647E97" w:rsidRDefault="00022CF9">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二〇二五年</w:t>
      </w:r>
      <w:r>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月</w:t>
      </w:r>
    </w:p>
    <w:p w14:paraId="1AE6282F" w14:textId="77777777" w:rsidR="00647E97" w:rsidRDefault="00647E97">
      <w:pPr>
        <w:autoSpaceDE w:val="0"/>
        <w:autoSpaceDN w:val="0"/>
        <w:adjustRightInd w:val="0"/>
        <w:snapToGrid w:val="0"/>
        <w:spacing w:line="360" w:lineRule="auto"/>
        <w:ind w:left="1347" w:rightChars="6" w:right="13"/>
        <w:rPr>
          <w:rFonts w:ascii="宋体" w:hAnsi="宋体"/>
          <w:kern w:val="0"/>
          <w:sz w:val="32"/>
          <w:szCs w:val="32"/>
        </w:rPr>
        <w:sectPr w:rsidR="00647E97">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0AA05F0E" w14:textId="77777777" w:rsidR="00647E97" w:rsidRDefault="00022CF9">
      <w:pPr>
        <w:pStyle w:val="1"/>
        <w:snapToGrid w:val="0"/>
        <w:spacing w:beforeLines="0" w:before="240" w:after="240"/>
        <w:rPr>
          <w:rFonts w:ascii="宋体" w:hAnsi="宋体"/>
          <w:kern w:val="0"/>
        </w:rPr>
      </w:pPr>
      <w:bookmarkStart w:id="0" w:name="_Toc193101039"/>
      <w:bookmarkStart w:id="1" w:name="_Toc324920538"/>
      <w:bookmarkStart w:id="2" w:name="_Toc496884613"/>
      <w:r>
        <w:rPr>
          <w:rFonts w:ascii="Times New Roman" w:hAnsi="Times New Roman"/>
          <w:kern w:val="0"/>
        </w:rPr>
        <w:lastRenderedPageBreak/>
        <w:t>重要提示</w:t>
      </w:r>
      <w:bookmarkEnd w:id="0"/>
      <w:bookmarkEnd w:id="1"/>
      <w:bookmarkEnd w:id="2"/>
    </w:p>
    <w:p w14:paraId="456B569B" w14:textId="77777777" w:rsidR="00647E97" w:rsidRDefault="00022C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w:t>
      </w:r>
      <w:proofErr w:type="gramStart"/>
      <w:r>
        <w:rPr>
          <w:rFonts w:ascii="Times New Roman" w:hAnsi="Times New Roman"/>
          <w:kern w:val="0"/>
          <w:sz w:val="24"/>
        </w:rPr>
        <w:t>裕道纯债</w:t>
      </w:r>
      <w:proofErr w:type="gramEnd"/>
      <w:r>
        <w:rPr>
          <w:rFonts w:ascii="Times New Roman" w:hAnsi="Times New Roman"/>
          <w:kern w:val="0"/>
          <w:sz w:val="24"/>
        </w:rPr>
        <w:t>一年定期开放债券型发起式证券投资基金（以下简称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2021</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17</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2021</w:t>
      </w:r>
      <w:r>
        <w:rPr>
          <w:rFonts w:ascii="Times New Roman" w:hAnsi="Times New Roman"/>
          <w:kern w:val="0"/>
          <w:sz w:val="24"/>
        </w:rPr>
        <w:t>】</w:t>
      </w:r>
      <w:r>
        <w:rPr>
          <w:rFonts w:ascii="Times New Roman" w:hAnsi="Times New Roman"/>
          <w:kern w:val="0"/>
          <w:sz w:val="24"/>
        </w:rPr>
        <w:t>3663</w:t>
      </w:r>
      <w:r>
        <w:rPr>
          <w:rFonts w:ascii="Times New Roman" w:hAnsi="Times New Roman"/>
          <w:kern w:val="0"/>
          <w:sz w:val="24"/>
        </w:rPr>
        <w:t>号文准予募集注册。本</w:t>
      </w:r>
      <w:proofErr w:type="gramStart"/>
      <w:r>
        <w:rPr>
          <w:rFonts w:ascii="Times New Roman" w:hAnsi="Times New Roman"/>
          <w:kern w:val="0"/>
          <w:sz w:val="24"/>
        </w:rPr>
        <w:t>基金基金</w:t>
      </w:r>
      <w:proofErr w:type="gramEnd"/>
      <w:r>
        <w:rPr>
          <w:rFonts w:ascii="Times New Roman" w:hAnsi="Times New Roman"/>
          <w:kern w:val="0"/>
          <w:sz w:val="24"/>
        </w:rPr>
        <w:t>合同于</w:t>
      </w:r>
      <w:r>
        <w:rPr>
          <w:rFonts w:ascii="Times New Roman" w:hAnsi="Times New Roman"/>
          <w:kern w:val="0"/>
          <w:sz w:val="24"/>
        </w:rPr>
        <w:t>2022</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29</w:t>
      </w:r>
      <w:r>
        <w:rPr>
          <w:rFonts w:ascii="Times New Roman" w:hAnsi="Times New Roman"/>
          <w:kern w:val="0"/>
          <w:sz w:val="24"/>
        </w:rPr>
        <w:t>日正式生效。</w:t>
      </w:r>
    </w:p>
    <w:p w14:paraId="41E64CD4" w14:textId="77777777" w:rsidR="00647E97" w:rsidRDefault="00022C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14:paraId="3B1E36A9" w14:textId="77777777" w:rsidR="00647E97" w:rsidRDefault="00022C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1123BC7A" w14:textId="77777777" w:rsidR="00647E97" w:rsidRDefault="00022C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w:t>
      </w:r>
      <w:proofErr w:type="gramStart"/>
      <w:r>
        <w:rPr>
          <w:rFonts w:ascii="Times New Roman" w:hAnsi="Times New Roman"/>
          <w:kern w:val="0"/>
          <w:sz w:val="24"/>
        </w:rPr>
        <w:t>侧袋机制</w:t>
      </w:r>
      <w:proofErr w:type="gramEnd"/>
      <w:r>
        <w:rPr>
          <w:rFonts w:ascii="Times New Roman" w:hAnsi="Times New Roman"/>
          <w:kern w:val="0"/>
          <w:sz w:val="24"/>
        </w:rPr>
        <w:t>时的特定风险）；交易对手违约风险；本基金的特有风险；投资资产支持证券的特定风险；投资本基金的其他风险等等。</w:t>
      </w:r>
    </w:p>
    <w:p w14:paraId="230247F3" w14:textId="77777777" w:rsidR="00647E97" w:rsidRDefault="00022C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ascii="Times New Roman" w:hAnsi="Times New Roman"/>
          <w:kern w:val="0"/>
          <w:sz w:val="24"/>
        </w:rPr>
        <w:t>请基金</w:t>
      </w:r>
      <w:proofErr w:type="gramEnd"/>
      <w:r>
        <w:rPr>
          <w:rFonts w:ascii="Times New Roman" w:hAnsi="Times New Roman"/>
          <w:kern w:val="0"/>
          <w:sz w:val="24"/>
        </w:rPr>
        <w:t>份额持有人关注包括投资资产支持证券可能导致的基金净值波动在内的各项风险。</w:t>
      </w:r>
    </w:p>
    <w:p w14:paraId="298EEE86" w14:textId="77777777" w:rsidR="00647E97" w:rsidRDefault="00022C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本基金面临特定运作方式的风险：本基金以封闭期和开放期滚动的方式运作，投资者需在开放</w:t>
      </w:r>
      <w:proofErr w:type="gramStart"/>
      <w:r>
        <w:rPr>
          <w:rFonts w:ascii="Times New Roman" w:hAnsi="Times New Roman"/>
          <w:kern w:val="0"/>
          <w:sz w:val="24"/>
        </w:rPr>
        <w:t>期提出</w:t>
      </w:r>
      <w:proofErr w:type="gramEnd"/>
      <w:r>
        <w:rPr>
          <w:rFonts w:ascii="Times New Roman" w:hAnsi="Times New Roman"/>
          <w:kern w:val="0"/>
          <w:sz w:val="24"/>
        </w:rPr>
        <w:t>申购、赎回申请，每个开放</w:t>
      </w:r>
      <w:proofErr w:type="gramStart"/>
      <w:r>
        <w:rPr>
          <w:rFonts w:ascii="Times New Roman" w:hAnsi="Times New Roman"/>
          <w:kern w:val="0"/>
          <w:sz w:val="24"/>
        </w:rPr>
        <w:t>期办理</w:t>
      </w:r>
      <w:proofErr w:type="gramEnd"/>
      <w:r>
        <w:rPr>
          <w:rFonts w:ascii="Times New Roman" w:hAnsi="Times New Roman"/>
          <w:kern w:val="0"/>
          <w:sz w:val="24"/>
        </w:rPr>
        <w:t>申购或赎回业务的时间分别至少为</w:t>
      </w:r>
      <w:r>
        <w:rPr>
          <w:rFonts w:ascii="Times New Roman" w:hAnsi="Times New Roman"/>
          <w:kern w:val="0"/>
          <w:sz w:val="24"/>
        </w:rPr>
        <w:t>2</w:t>
      </w:r>
      <w:r>
        <w:rPr>
          <w:rFonts w:ascii="Times New Roman" w:hAnsi="Times New Roman"/>
          <w:kern w:val="0"/>
          <w:sz w:val="24"/>
        </w:rPr>
        <w:t>个工作日最长不超过</w:t>
      </w:r>
      <w:r>
        <w:rPr>
          <w:rFonts w:ascii="Times New Roman" w:hAnsi="Times New Roman"/>
          <w:kern w:val="0"/>
          <w:sz w:val="24"/>
        </w:rPr>
        <w:t>10</w:t>
      </w:r>
      <w:r>
        <w:rPr>
          <w:rFonts w:ascii="Times New Roman" w:hAnsi="Times New Roman"/>
          <w:kern w:val="0"/>
          <w:sz w:val="24"/>
        </w:rPr>
        <w:t>个工作日。在非开放期间将无法按照基金份额净值进行申购和赎回。基金份额持有人面临封闭期内无法赎回的风险。</w:t>
      </w:r>
    </w:p>
    <w:p w14:paraId="6B615BD3" w14:textId="77777777" w:rsidR="00647E97" w:rsidRDefault="00022C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本基金还面临基金合同提前终止的风险：（</w:t>
      </w:r>
      <w:r>
        <w:rPr>
          <w:rFonts w:ascii="Times New Roman" w:hAnsi="Times New Roman"/>
          <w:kern w:val="0"/>
          <w:sz w:val="24"/>
        </w:rPr>
        <w:t>1</w:t>
      </w:r>
      <w:r>
        <w:rPr>
          <w:rFonts w:ascii="Times New Roman" w:hAnsi="Times New Roman"/>
          <w:kern w:val="0"/>
          <w:sz w:val="24"/>
        </w:rPr>
        <w:t>）本基金为发起式基金，《基金合同》生效之日起三年后的对应日，</w:t>
      </w:r>
      <w:proofErr w:type="gramStart"/>
      <w:r>
        <w:rPr>
          <w:rFonts w:ascii="Times New Roman" w:hAnsi="Times New Roman"/>
          <w:kern w:val="0"/>
          <w:sz w:val="24"/>
        </w:rPr>
        <w:t>若基金</w:t>
      </w:r>
      <w:proofErr w:type="gramEnd"/>
      <w:r>
        <w:rPr>
          <w:rFonts w:ascii="Times New Roman" w:hAnsi="Times New Roman"/>
          <w:kern w:val="0"/>
          <w:sz w:val="24"/>
        </w:rPr>
        <w:t>资产净值低于</w:t>
      </w:r>
      <w:r>
        <w:rPr>
          <w:rFonts w:ascii="Times New Roman" w:hAnsi="Times New Roman"/>
          <w:kern w:val="0"/>
          <w:sz w:val="24"/>
        </w:rPr>
        <w:t>2</w:t>
      </w:r>
      <w:r>
        <w:rPr>
          <w:rFonts w:ascii="Times New Roman" w:hAnsi="Times New Roman"/>
          <w:kern w:val="0"/>
          <w:sz w:val="24"/>
        </w:rPr>
        <w:t>亿元，基金合同自</w:t>
      </w:r>
      <w:r>
        <w:rPr>
          <w:rFonts w:ascii="Times New Roman" w:hAnsi="Times New Roman"/>
          <w:kern w:val="0"/>
          <w:sz w:val="24"/>
        </w:rPr>
        <w:lastRenderedPageBreak/>
        <w:t>动终止，且不得通过召开基金份额持有人大会的方式延续《基金合同》期限。（</w:t>
      </w:r>
      <w:r>
        <w:rPr>
          <w:rFonts w:ascii="Times New Roman" w:hAnsi="Times New Roman"/>
          <w:kern w:val="0"/>
          <w:sz w:val="24"/>
        </w:rPr>
        <w:t>2</w:t>
      </w:r>
      <w:r>
        <w:rPr>
          <w:rFonts w:ascii="Times New Roman" w:hAnsi="Times New Roman"/>
          <w:kern w:val="0"/>
          <w:sz w:val="24"/>
        </w:rPr>
        <w:t>）《基金合同》生效三年后继续存续的，基金存续期内，连续</w:t>
      </w:r>
      <w:r>
        <w:rPr>
          <w:rFonts w:ascii="Times New Roman" w:hAnsi="Times New Roman"/>
          <w:kern w:val="0"/>
          <w:sz w:val="24"/>
        </w:rPr>
        <w:t>20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人或者基金资产净值低于</w:t>
      </w:r>
      <w:r>
        <w:rPr>
          <w:rFonts w:ascii="Times New Roman" w:hAnsi="Times New Roman"/>
          <w:kern w:val="0"/>
          <w:sz w:val="24"/>
        </w:rPr>
        <w:t>5000</w:t>
      </w:r>
      <w:r>
        <w:rPr>
          <w:rFonts w:ascii="Times New Roman" w:hAnsi="Times New Roman"/>
          <w:kern w:val="0"/>
          <w:sz w:val="24"/>
        </w:rPr>
        <w:t>万元情形的，基金管理人应当在定期报告中予以披露；连续</w:t>
      </w:r>
      <w:r>
        <w:rPr>
          <w:rFonts w:ascii="Times New Roman" w:hAnsi="Times New Roman"/>
          <w:kern w:val="0"/>
          <w:sz w:val="24"/>
        </w:rPr>
        <w:t>50</w:t>
      </w:r>
      <w:r>
        <w:rPr>
          <w:rFonts w:ascii="Times New Roman" w:hAnsi="Times New Roman"/>
          <w:kern w:val="0"/>
          <w:sz w:val="24"/>
        </w:rPr>
        <w:t>个工作日出现前述情形的，基金合同终止，不需召开基金份额持有人大会。（</w:t>
      </w:r>
      <w:r>
        <w:rPr>
          <w:rFonts w:ascii="Times New Roman" w:hAnsi="Times New Roman"/>
          <w:kern w:val="0"/>
          <w:sz w:val="24"/>
        </w:rPr>
        <w:t>3</w:t>
      </w:r>
      <w:r>
        <w:rPr>
          <w:rFonts w:ascii="Times New Roman" w:hAnsi="Times New Roman"/>
          <w:kern w:val="0"/>
          <w:sz w:val="24"/>
        </w:rPr>
        <w:t>）《基金合同》生效之日起满三年后继续存续的，在任一开放期最后一日日终（登记机构完成最后一日申购、赎回业务申请的确认以后），出现基金份额持有人数量不满</w:t>
      </w:r>
      <w:r>
        <w:rPr>
          <w:rFonts w:ascii="Times New Roman" w:hAnsi="Times New Roman"/>
          <w:kern w:val="0"/>
          <w:sz w:val="24"/>
        </w:rPr>
        <w:t>200</w:t>
      </w:r>
      <w:r>
        <w:rPr>
          <w:rFonts w:ascii="Times New Roman" w:hAnsi="Times New Roman"/>
          <w:kern w:val="0"/>
          <w:sz w:val="24"/>
        </w:rPr>
        <w:t>人或当日基金资产净值加上当日净申购金额或者减去当日净赎回金额后低于</w:t>
      </w:r>
      <w:r>
        <w:rPr>
          <w:rFonts w:ascii="Times New Roman" w:hAnsi="Times New Roman"/>
          <w:kern w:val="0"/>
          <w:sz w:val="24"/>
        </w:rPr>
        <w:t>5000</w:t>
      </w:r>
      <w:r>
        <w:rPr>
          <w:rFonts w:ascii="Times New Roman" w:hAnsi="Times New Roman"/>
          <w:kern w:val="0"/>
          <w:sz w:val="24"/>
        </w:rPr>
        <w:t>万元情形的，本基金将自动终止基金合同并进行基金财产清算，无需召开基金份额持有人大会。</w:t>
      </w:r>
    </w:p>
    <w:p w14:paraId="110CA2FE" w14:textId="77777777" w:rsidR="00647E97" w:rsidRDefault="00022C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w:t>
      </w:r>
    </w:p>
    <w:p w14:paraId="2CD5AF22" w14:textId="77777777" w:rsidR="00647E97" w:rsidRDefault="00022C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w:t>
      </w:r>
      <w:proofErr w:type="gramStart"/>
      <w:r>
        <w:rPr>
          <w:rFonts w:ascii="Times New Roman" w:hAnsi="Times New Roman"/>
          <w:kern w:val="0"/>
          <w:sz w:val="24"/>
        </w:rPr>
        <w:t>作出</w:t>
      </w:r>
      <w:proofErr w:type="gramEnd"/>
      <w:r>
        <w:rPr>
          <w:rFonts w:ascii="Times New Roman" w:hAnsi="Times New Roman"/>
          <w:kern w:val="0"/>
          <w:sz w:val="24"/>
        </w:rPr>
        <w:t>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14:paraId="1CAC826C" w14:textId="77777777" w:rsidR="00647E97" w:rsidRDefault="00022C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本基金单一投资者持有基金份额数可达到或者超过基金份额总数的</w:t>
      </w:r>
      <w:r>
        <w:rPr>
          <w:rFonts w:ascii="Times New Roman" w:hAnsi="Times New Roman"/>
          <w:kern w:val="0"/>
          <w:sz w:val="24"/>
        </w:rPr>
        <w:t>50%</w:t>
      </w:r>
      <w:r>
        <w:rPr>
          <w:rFonts w:ascii="Times New Roman" w:hAnsi="Times New Roman"/>
          <w:kern w:val="0"/>
          <w:sz w:val="24"/>
        </w:rPr>
        <w:t>。本基金不向个人投资者公开销售，法律法规或监管机构另有规定的除外。</w:t>
      </w:r>
    </w:p>
    <w:p w14:paraId="21141F43" w14:textId="1ADFDA27" w:rsidR="00647E97" w:rsidRDefault="00022CF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本次更新招募说明书主要对本基金增设</w:t>
      </w:r>
      <w:r>
        <w:rPr>
          <w:rFonts w:ascii="Times New Roman" w:hAnsi="Times New Roman" w:hint="eastAsia"/>
          <w:kern w:val="0"/>
          <w:sz w:val="24"/>
        </w:rPr>
        <w:t>C</w:t>
      </w:r>
      <w:r>
        <w:rPr>
          <w:rFonts w:ascii="Times New Roman" w:hAnsi="Times New Roman" w:hint="eastAsia"/>
          <w:kern w:val="0"/>
          <w:sz w:val="24"/>
        </w:rPr>
        <w:t>类基金份额的相关信息进行更新，更新截止日为</w:t>
      </w:r>
      <w:r>
        <w:rPr>
          <w:rFonts w:ascii="Times New Roman" w:hAnsi="Times New Roman" w:hint="eastAsia"/>
          <w:kern w:val="0"/>
          <w:sz w:val="24"/>
        </w:rPr>
        <w:t>202</w:t>
      </w:r>
      <w:r>
        <w:rPr>
          <w:rFonts w:ascii="Times New Roman" w:hAnsi="Times New Roman"/>
          <w:kern w:val="0"/>
          <w:sz w:val="24"/>
        </w:rPr>
        <w:t>5</w:t>
      </w:r>
      <w:r>
        <w:rPr>
          <w:rFonts w:ascii="Times New Roman" w:hAnsi="Times New Roman" w:hint="eastAsia"/>
          <w:kern w:val="0"/>
          <w:sz w:val="24"/>
        </w:rPr>
        <w:t>年</w:t>
      </w:r>
      <w:r>
        <w:rPr>
          <w:rFonts w:ascii="Times New Roman" w:hAnsi="Times New Roman"/>
          <w:kern w:val="0"/>
          <w:sz w:val="24"/>
        </w:rPr>
        <w:t>4</w:t>
      </w:r>
      <w:r>
        <w:rPr>
          <w:rFonts w:ascii="Times New Roman" w:hAnsi="Times New Roman" w:hint="eastAsia"/>
          <w:kern w:val="0"/>
          <w:sz w:val="24"/>
        </w:rPr>
        <w:t>月</w:t>
      </w:r>
      <w:r>
        <w:rPr>
          <w:rFonts w:ascii="Times New Roman" w:hAnsi="Times New Roman"/>
          <w:kern w:val="0"/>
          <w:sz w:val="24"/>
        </w:rPr>
        <w:t>8</w:t>
      </w:r>
      <w:r>
        <w:rPr>
          <w:rFonts w:ascii="Times New Roman" w:hAnsi="Times New Roman" w:hint="eastAsia"/>
          <w:kern w:val="0"/>
          <w:sz w:val="24"/>
        </w:rPr>
        <w:t>日，基金经理信息更新截止日为</w:t>
      </w:r>
      <w:r>
        <w:rPr>
          <w:rFonts w:ascii="Times New Roman" w:hAnsi="Times New Roman" w:hint="eastAsia"/>
          <w:kern w:val="0"/>
          <w:sz w:val="24"/>
        </w:rPr>
        <w:t>2025</w:t>
      </w:r>
      <w:r>
        <w:rPr>
          <w:rFonts w:ascii="Times New Roman" w:hAnsi="Times New Roman" w:hint="eastAsia"/>
          <w:kern w:val="0"/>
          <w:sz w:val="24"/>
        </w:rPr>
        <w:t>年</w:t>
      </w:r>
      <w:r>
        <w:rPr>
          <w:rFonts w:ascii="Times New Roman" w:hAnsi="Times New Roman" w:hint="eastAsia"/>
          <w:kern w:val="0"/>
          <w:sz w:val="24"/>
        </w:rPr>
        <w:t>03</w:t>
      </w:r>
      <w:r>
        <w:rPr>
          <w:rFonts w:ascii="Times New Roman" w:hAnsi="Times New Roman" w:hint="eastAsia"/>
          <w:kern w:val="0"/>
          <w:sz w:val="24"/>
        </w:rPr>
        <w:t>月</w:t>
      </w:r>
      <w:r>
        <w:rPr>
          <w:rFonts w:ascii="Times New Roman" w:hAnsi="Times New Roman" w:hint="eastAsia"/>
          <w:kern w:val="0"/>
          <w:sz w:val="24"/>
        </w:rPr>
        <w:t>15</w:t>
      </w:r>
      <w:r>
        <w:rPr>
          <w:rFonts w:ascii="Times New Roman" w:hAnsi="Times New Roman" w:hint="eastAsia"/>
          <w:kern w:val="0"/>
          <w:sz w:val="24"/>
        </w:rPr>
        <w:t>日，</w:t>
      </w:r>
      <w:r>
        <w:rPr>
          <w:rFonts w:ascii="Times New Roman" w:hAnsi="Times New Roman"/>
          <w:kern w:val="0"/>
          <w:sz w:val="24"/>
        </w:rPr>
        <w:t>除非另有说明，本招募说明书其他所载内容截止日为</w:t>
      </w:r>
      <w:r>
        <w:rPr>
          <w:rFonts w:ascii="Times New Roman" w:hAnsi="Times New Roman"/>
          <w:kern w:val="0"/>
          <w:sz w:val="24"/>
        </w:rPr>
        <w:t>2024</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03</w:t>
      </w:r>
      <w:r>
        <w:rPr>
          <w:rFonts w:ascii="Times New Roman" w:hAnsi="Times New Roman"/>
          <w:kern w:val="0"/>
          <w:sz w:val="24"/>
        </w:rPr>
        <w:t>日，有关财务和业绩表现数据截止日为</w:t>
      </w:r>
      <w:r>
        <w:rPr>
          <w:rFonts w:ascii="Times New Roman" w:hAnsi="Times New Roman"/>
          <w:kern w:val="0"/>
          <w:sz w:val="24"/>
        </w:rPr>
        <w:t>2024</w:t>
      </w:r>
      <w:r>
        <w:rPr>
          <w:rFonts w:ascii="Times New Roman" w:hAnsi="Times New Roman"/>
          <w:kern w:val="0"/>
          <w:sz w:val="24"/>
        </w:rPr>
        <w:t>年</w:t>
      </w:r>
      <w:r>
        <w:rPr>
          <w:rFonts w:ascii="Times New Roman" w:hAnsi="Times New Roman"/>
          <w:kern w:val="0"/>
          <w:sz w:val="24"/>
        </w:rPr>
        <w:t>09</w:t>
      </w:r>
      <w:r>
        <w:rPr>
          <w:rFonts w:ascii="Times New Roman" w:hAnsi="Times New Roman"/>
          <w:kern w:val="0"/>
          <w:sz w:val="24"/>
        </w:rPr>
        <w:t>月</w:t>
      </w:r>
      <w:r>
        <w:rPr>
          <w:rFonts w:ascii="Times New Roman" w:hAnsi="Times New Roman"/>
          <w:kern w:val="0"/>
          <w:sz w:val="24"/>
        </w:rPr>
        <w:t>30</w:t>
      </w:r>
      <w:r>
        <w:rPr>
          <w:rFonts w:ascii="Times New Roman" w:hAnsi="Times New Roman"/>
          <w:kern w:val="0"/>
          <w:sz w:val="24"/>
        </w:rPr>
        <w:t>日，财务和业绩表现数据未经审计。</w:t>
      </w:r>
    </w:p>
    <w:p w14:paraId="537F91B5" w14:textId="77777777" w:rsidR="00647E97" w:rsidRDefault="00647E97">
      <w:pPr>
        <w:autoSpaceDE w:val="0"/>
        <w:autoSpaceDN w:val="0"/>
        <w:adjustRightInd w:val="0"/>
        <w:snapToGrid w:val="0"/>
        <w:spacing w:before="51" w:line="360" w:lineRule="auto"/>
        <w:ind w:left="120" w:rightChars="6" w:right="13" w:firstLine="480"/>
        <w:rPr>
          <w:rFonts w:ascii="宋体" w:hAnsi="宋体"/>
          <w:kern w:val="0"/>
          <w:szCs w:val="24"/>
        </w:rPr>
        <w:sectPr w:rsidR="00647E97">
          <w:headerReference w:type="default" r:id="rId12"/>
          <w:pgSz w:w="11920" w:h="16840"/>
          <w:pgMar w:top="1440" w:right="1680" w:bottom="280" w:left="1680" w:header="0" w:footer="1073" w:gutter="0"/>
          <w:pgNumType w:start="1"/>
          <w:cols w:space="720"/>
        </w:sectPr>
      </w:pPr>
    </w:p>
    <w:p w14:paraId="6005A5B1" w14:textId="77777777" w:rsidR="00647E97" w:rsidRDefault="00022CF9">
      <w:pPr>
        <w:pStyle w:val="Style19"/>
        <w:snapToGrid w:val="0"/>
        <w:spacing w:after="240" w:line="360" w:lineRule="auto"/>
        <w:jc w:val="center"/>
        <w:rPr>
          <w:rFonts w:ascii="宋体" w:hAnsi="宋体"/>
          <w:sz w:val="24"/>
        </w:rPr>
      </w:pPr>
      <w:r>
        <w:rPr>
          <w:rFonts w:ascii="宋体" w:hAnsi="宋体"/>
          <w:color w:val="000000"/>
          <w:position w:val="-4"/>
          <w:sz w:val="24"/>
          <w:szCs w:val="30"/>
        </w:rPr>
        <w:lastRenderedPageBreak/>
        <w:t>目</w:t>
      </w:r>
      <w:r>
        <w:rPr>
          <w:rFonts w:ascii="宋体" w:hAnsi="宋体"/>
          <w:color w:val="000000"/>
          <w:position w:val="-4"/>
          <w:sz w:val="24"/>
          <w:szCs w:val="30"/>
        </w:rPr>
        <w:tab/>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14:paraId="53B26871" w14:textId="77777777" w:rsidR="00647E97" w:rsidRDefault="00B9259F">
      <w:pPr>
        <w:pStyle w:val="11"/>
        <w:tabs>
          <w:tab w:val="right" w:leader="dot" w:pos="8550"/>
        </w:tabs>
        <w:spacing w:line="360" w:lineRule="auto"/>
        <w:rPr>
          <w:rFonts w:ascii="宋体" w:hAnsi="宋体"/>
          <w:sz w:val="24"/>
        </w:rPr>
      </w:pPr>
      <w:hyperlink w:anchor="_Toc193101039" w:history="1">
        <w:r w:rsidR="00022CF9">
          <w:rPr>
            <w:rStyle w:val="af1"/>
            <w:rFonts w:ascii="宋体" w:hAnsi="宋体" w:hint="eastAsia"/>
            <w:kern w:val="0"/>
            <w:sz w:val="24"/>
          </w:rPr>
          <w:t>重要提示</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_Toc193101039 \h </w:instrText>
        </w:r>
        <w:r w:rsidR="00022CF9">
          <w:rPr>
            <w:rFonts w:ascii="宋体" w:hAnsi="宋体"/>
            <w:sz w:val="24"/>
          </w:rPr>
        </w:r>
        <w:r w:rsidR="00022CF9">
          <w:rPr>
            <w:rFonts w:ascii="宋体" w:hAnsi="宋体"/>
            <w:sz w:val="24"/>
          </w:rPr>
          <w:fldChar w:fldCharType="separate"/>
        </w:r>
        <w:r w:rsidR="00022CF9">
          <w:rPr>
            <w:rFonts w:ascii="宋体" w:hAnsi="宋体"/>
            <w:sz w:val="24"/>
          </w:rPr>
          <w:t>1</w:t>
        </w:r>
        <w:r w:rsidR="00022CF9">
          <w:rPr>
            <w:rFonts w:ascii="宋体" w:hAnsi="宋体"/>
            <w:sz w:val="24"/>
          </w:rPr>
          <w:fldChar w:fldCharType="end"/>
        </w:r>
      </w:hyperlink>
    </w:p>
    <w:p w14:paraId="7E5D9B87" w14:textId="77777777" w:rsidR="00647E97" w:rsidRDefault="00B9259F">
      <w:pPr>
        <w:pStyle w:val="11"/>
        <w:tabs>
          <w:tab w:val="right" w:leader="dot" w:pos="8550"/>
        </w:tabs>
        <w:spacing w:line="360" w:lineRule="auto"/>
        <w:rPr>
          <w:rFonts w:ascii="宋体" w:hAnsi="宋体"/>
          <w:sz w:val="24"/>
        </w:rPr>
      </w:pPr>
      <w:hyperlink w:anchor="_Toc193101040" w:history="1">
        <w:r w:rsidR="00022CF9">
          <w:rPr>
            <w:rStyle w:val="af1"/>
            <w:rFonts w:ascii="宋体" w:hAnsi="宋体" w:hint="eastAsia"/>
            <w:sz w:val="24"/>
          </w:rPr>
          <w:t>一、绪言</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_Toc193101040 \h </w:instrText>
        </w:r>
        <w:r w:rsidR="00022CF9">
          <w:rPr>
            <w:rFonts w:ascii="宋体" w:hAnsi="宋体"/>
            <w:sz w:val="24"/>
          </w:rPr>
        </w:r>
        <w:r w:rsidR="00022CF9">
          <w:rPr>
            <w:rFonts w:ascii="宋体" w:hAnsi="宋体"/>
            <w:sz w:val="24"/>
          </w:rPr>
          <w:fldChar w:fldCharType="separate"/>
        </w:r>
        <w:r w:rsidR="00022CF9">
          <w:rPr>
            <w:rFonts w:ascii="宋体" w:hAnsi="宋体"/>
            <w:sz w:val="24"/>
          </w:rPr>
          <w:t>4</w:t>
        </w:r>
        <w:r w:rsidR="00022CF9">
          <w:rPr>
            <w:rFonts w:ascii="宋体" w:hAnsi="宋体"/>
            <w:sz w:val="24"/>
          </w:rPr>
          <w:fldChar w:fldCharType="end"/>
        </w:r>
      </w:hyperlink>
    </w:p>
    <w:p w14:paraId="68247A22" w14:textId="77777777" w:rsidR="00647E97" w:rsidRDefault="00B9259F">
      <w:pPr>
        <w:pStyle w:val="11"/>
        <w:tabs>
          <w:tab w:val="right" w:leader="dot" w:pos="8550"/>
        </w:tabs>
        <w:spacing w:line="360" w:lineRule="auto"/>
        <w:rPr>
          <w:rFonts w:ascii="宋体" w:hAnsi="宋体"/>
          <w:sz w:val="24"/>
        </w:rPr>
      </w:pPr>
      <w:hyperlink w:anchor="_Toc193101041" w:history="1">
        <w:r w:rsidR="00022CF9">
          <w:rPr>
            <w:rStyle w:val="af1"/>
            <w:rFonts w:ascii="宋体" w:hAnsi="宋体" w:hint="eastAsia"/>
            <w:sz w:val="24"/>
          </w:rPr>
          <w:t>二、释义</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_Toc193101041 \h </w:instrText>
        </w:r>
        <w:r w:rsidR="00022CF9">
          <w:rPr>
            <w:rFonts w:ascii="宋体" w:hAnsi="宋体"/>
            <w:sz w:val="24"/>
          </w:rPr>
        </w:r>
        <w:r w:rsidR="00022CF9">
          <w:rPr>
            <w:rFonts w:ascii="宋体" w:hAnsi="宋体"/>
            <w:sz w:val="24"/>
          </w:rPr>
          <w:fldChar w:fldCharType="separate"/>
        </w:r>
        <w:r w:rsidR="00022CF9">
          <w:rPr>
            <w:rFonts w:ascii="宋体" w:hAnsi="宋体"/>
            <w:sz w:val="24"/>
          </w:rPr>
          <w:t>5</w:t>
        </w:r>
        <w:r w:rsidR="00022CF9">
          <w:rPr>
            <w:rFonts w:ascii="宋体" w:hAnsi="宋体"/>
            <w:sz w:val="24"/>
          </w:rPr>
          <w:fldChar w:fldCharType="end"/>
        </w:r>
      </w:hyperlink>
    </w:p>
    <w:p w14:paraId="5A6E605D" w14:textId="77777777" w:rsidR="00647E97" w:rsidRDefault="00B9259F">
      <w:pPr>
        <w:pStyle w:val="11"/>
        <w:tabs>
          <w:tab w:val="right" w:leader="dot" w:pos="8550"/>
        </w:tabs>
        <w:spacing w:line="360" w:lineRule="auto"/>
        <w:rPr>
          <w:rFonts w:ascii="宋体" w:hAnsi="宋体"/>
          <w:sz w:val="24"/>
        </w:rPr>
      </w:pPr>
      <w:hyperlink w:anchor="_Toc193101042" w:history="1">
        <w:r w:rsidR="00022CF9">
          <w:rPr>
            <w:rStyle w:val="af1"/>
            <w:rFonts w:ascii="宋体" w:hAnsi="宋体" w:hint="eastAsia"/>
            <w:sz w:val="24"/>
          </w:rPr>
          <w:t>三、基金管理人</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_Toc193101042 \h </w:instrText>
        </w:r>
        <w:r w:rsidR="00022CF9">
          <w:rPr>
            <w:rFonts w:ascii="宋体" w:hAnsi="宋体"/>
            <w:sz w:val="24"/>
          </w:rPr>
        </w:r>
        <w:r w:rsidR="00022CF9">
          <w:rPr>
            <w:rFonts w:ascii="宋体" w:hAnsi="宋体"/>
            <w:sz w:val="24"/>
          </w:rPr>
          <w:fldChar w:fldCharType="separate"/>
        </w:r>
        <w:r w:rsidR="00022CF9">
          <w:rPr>
            <w:rFonts w:ascii="宋体" w:hAnsi="宋体"/>
            <w:sz w:val="24"/>
          </w:rPr>
          <w:t>11</w:t>
        </w:r>
        <w:r w:rsidR="00022CF9">
          <w:rPr>
            <w:rFonts w:ascii="宋体" w:hAnsi="宋体"/>
            <w:sz w:val="24"/>
          </w:rPr>
          <w:fldChar w:fldCharType="end"/>
        </w:r>
      </w:hyperlink>
    </w:p>
    <w:p w14:paraId="5773ACD8" w14:textId="77777777" w:rsidR="00647E97" w:rsidRDefault="00B9259F">
      <w:pPr>
        <w:pStyle w:val="11"/>
        <w:tabs>
          <w:tab w:val="right" w:leader="dot" w:pos="8550"/>
        </w:tabs>
        <w:spacing w:line="360" w:lineRule="auto"/>
        <w:rPr>
          <w:rFonts w:ascii="宋体" w:hAnsi="宋体"/>
          <w:sz w:val="24"/>
        </w:rPr>
      </w:pPr>
      <w:hyperlink w:anchor="_Toc193101043" w:history="1">
        <w:r w:rsidR="00022CF9">
          <w:rPr>
            <w:rStyle w:val="af1"/>
            <w:rFonts w:ascii="宋体" w:hAnsi="宋体" w:hint="eastAsia"/>
            <w:sz w:val="24"/>
          </w:rPr>
          <w:t>四、基金托管人</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_Toc193101043 \h </w:instrText>
        </w:r>
        <w:r w:rsidR="00022CF9">
          <w:rPr>
            <w:rFonts w:ascii="宋体" w:hAnsi="宋体"/>
            <w:sz w:val="24"/>
          </w:rPr>
        </w:r>
        <w:r w:rsidR="00022CF9">
          <w:rPr>
            <w:rFonts w:ascii="宋体" w:hAnsi="宋体"/>
            <w:sz w:val="24"/>
          </w:rPr>
          <w:fldChar w:fldCharType="separate"/>
        </w:r>
        <w:r w:rsidR="00022CF9">
          <w:rPr>
            <w:rFonts w:ascii="宋体" w:hAnsi="宋体"/>
            <w:sz w:val="24"/>
          </w:rPr>
          <w:t>20</w:t>
        </w:r>
        <w:r w:rsidR="00022CF9">
          <w:rPr>
            <w:rFonts w:ascii="宋体" w:hAnsi="宋体"/>
            <w:sz w:val="24"/>
          </w:rPr>
          <w:fldChar w:fldCharType="end"/>
        </w:r>
      </w:hyperlink>
    </w:p>
    <w:p w14:paraId="0BBACB3D" w14:textId="77777777" w:rsidR="00647E97" w:rsidRDefault="00B9259F">
      <w:pPr>
        <w:pStyle w:val="11"/>
        <w:tabs>
          <w:tab w:val="right" w:leader="dot" w:pos="8550"/>
        </w:tabs>
        <w:spacing w:line="360" w:lineRule="auto"/>
        <w:rPr>
          <w:rFonts w:ascii="宋体" w:hAnsi="宋体"/>
          <w:sz w:val="24"/>
        </w:rPr>
      </w:pPr>
      <w:hyperlink w:anchor="_Toc193101044" w:history="1">
        <w:r w:rsidR="00022CF9">
          <w:rPr>
            <w:rStyle w:val="af1"/>
            <w:rFonts w:ascii="宋体" w:hAnsi="宋体" w:hint="eastAsia"/>
            <w:sz w:val="24"/>
          </w:rPr>
          <w:t>五、相关服务机构</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_Toc193101044 \h </w:instrText>
        </w:r>
        <w:r w:rsidR="00022CF9">
          <w:rPr>
            <w:rFonts w:ascii="宋体" w:hAnsi="宋体"/>
            <w:sz w:val="24"/>
          </w:rPr>
        </w:r>
        <w:r w:rsidR="00022CF9">
          <w:rPr>
            <w:rFonts w:ascii="宋体" w:hAnsi="宋体"/>
            <w:sz w:val="24"/>
          </w:rPr>
          <w:fldChar w:fldCharType="separate"/>
        </w:r>
        <w:r w:rsidR="00022CF9">
          <w:rPr>
            <w:rFonts w:ascii="宋体" w:hAnsi="宋体"/>
            <w:sz w:val="24"/>
          </w:rPr>
          <w:t>23</w:t>
        </w:r>
        <w:r w:rsidR="00022CF9">
          <w:rPr>
            <w:rFonts w:ascii="宋体" w:hAnsi="宋体"/>
            <w:sz w:val="24"/>
          </w:rPr>
          <w:fldChar w:fldCharType="end"/>
        </w:r>
      </w:hyperlink>
    </w:p>
    <w:p w14:paraId="1813A4CD" w14:textId="77777777" w:rsidR="00647E97" w:rsidRDefault="00B9259F">
      <w:pPr>
        <w:pStyle w:val="11"/>
        <w:tabs>
          <w:tab w:val="right" w:leader="dot" w:pos="8550"/>
        </w:tabs>
        <w:spacing w:line="360" w:lineRule="auto"/>
        <w:rPr>
          <w:rFonts w:ascii="宋体" w:hAnsi="宋体"/>
          <w:sz w:val="24"/>
        </w:rPr>
      </w:pPr>
      <w:hyperlink w:anchor="_Toc193101045" w:history="1">
        <w:r w:rsidR="00022CF9">
          <w:rPr>
            <w:rStyle w:val="af1"/>
            <w:rFonts w:ascii="宋体" w:hAnsi="宋体" w:hint="eastAsia"/>
            <w:sz w:val="24"/>
          </w:rPr>
          <w:t>六、基金的募集</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_Toc193101045 \h </w:instrText>
        </w:r>
        <w:r w:rsidR="00022CF9">
          <w:rPr>
            <w:rFonts w:ascii="宋体" w:hAnsi="宋体"/>
            <w:sz w:val="24"/>
          </w:rPr>
        </w:r>
        <w:r w:rsidR="00022CF9">
          <w:rPr>
            <w:rFonts w:ascii="宋体" w:hAnsi="宋体"/>
            <w:sz w:val="24"/>
          </w:rPr>
          <w:fldChar w:fldCharType="separate"/>
        </w:r>
        <w:r w:rsidR="00022CF9">
          <w:rPr>
            <w:rFonts w:ascii="宋体" w:hAnsi="宋体"/>
            <w:sz w:val="24"/>
          </w:rPr>
          <w:t>25</w:t>
        </w:r>
        <w:r w:rsidR="00022CF9">
          <w:rPr>
            <w:rFonts w:ascii="宋体" w:hAnsi="宋体"/>
            <w:sz w:val="24"/>
          </w:rPr>
          <w:fldChar w:fldCharType="end"/>
        </w:r>
      </w:hyperlink>
    </w:p>
    <w:p w14:paraId="44A60472" w14:textId="77777777" w:rsidR="00647E97" w:rsidRDefault="00B9259F">
      <w:pPr>
        <w:pStyle w:val="11"/>
        <w:tabs>
          <w:tab w:val="right" w:leader="dot" w:pos="8550"/>
        </w:tabs>
        <w:spacing w:line="360" w:lineRule="auto"/>
        <w:rPr>
          <w:rFonts w:ascii="宋体" w:hAnsi="宋体"/>
          <w:sz w:val="24"/>
        </w:rPr>
      </w:pPr>
      <w:hyperlink w:anchor="_Toc193101046" w:history="1">
        <w:r w:rsidR="00022CF9">
          <w:rPr>
            <w:rStyle w:val="af1"/>
            <w:rFonts w:ascii="宋体" w:hAnsi="宋体" w:hint="eastAsia"/>
            <w:sz w:val="24"/>
          </w:rPr>
          <w:t>七、基金合同的生效</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_Toc193101046 \h </w:instrText>
        </w:r>
        <w:r w:rsidR="00022CF9">
          <w:rPr>
            <w:rFonts w:ascii="宋体" w:hAnsi="宋体"/>
            <w:sz w:val="24"/>
          </w:rPr>
        </w:r>
        <w:r w:rsidR="00022CF9">
          <w:rPr>
            <w:rFonts w:ascii="宋体" w:hAnsi="宋体"/>
            <w:sz w:val="24"/>
          </w:rPr>
          <w:fldChar w:fldCharType="separate"/>
        </w:r>
        <w:r w:rsidR="00022CF9">
          <w:rPr>
            <w:rFonts w:ascii="宋体" w:hAnsi="宋体"/>
            <w:sz w:val="24"/>
          </w:rPr>
          <w:t>26</w:t>
        </w:r>
        <w:r w:rsidR="00022CF9">
          <w:rPr>
            <w:rFonts w:ascii="宋体" w:hAnsi="宋体"/>
            <w:sz w:val="24"/>
          </w:rPr>
          <w:fldChar w:fldCharType="end"/>
        </w:r>
      </w:hyperlink>
    </w:p>
    <w:p w14:paraId="30055731" w14:textId="77777777" w:rsidR="00647E97" w:rsidRDefault="00B9259F">
      <w:pPr>
        <w:pStyle w:val="11"/>
        <w:tabs>
          <w:tab w:val="right" w:leader="dot" w:pos="8550"/>
        </w:tabs>
        <w:spacing w:line="360" w:lineRule="auto"/>
        <w:rPr>
          <w:rFonts w:ascii="宋体" w:hAnsi="宋体"/>
          <w:sz w:val="24"/>
        </w:rPr>
      </w:pPr>
      <w:hyperlink w:anchor="_Toc193101047" w:history="1">
        <w:r w:rsidR="00022CF9">
          <w:rPr>
            <w:rStyle w:val="af1"/>
            <w:rFonts w:ascii="宋体" w:hAnsi="宋体" w:hint="eastAsia"/>
            <w:sz w:val="24"/>
          </w:rPr>
          <w:t>八、基金份额的申购与赎回</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_Toc193101047 \h </w:instrText>
        </w:r>
        <w:r w:rsidR="00022CF9">
          <w:rPr>
            <w:rFonts w:ascii="宋体" w:hAnsi="宋体"/>
            <w:sz w:val="24"/>
          </w:rPr>
        </w:r>
        <w:r w:rsidR="00022CF9">
          <w:rPr>
            <w:rFonts w:ascii="宋体" w:hAnsi="宋体"/>
            <w:sz w:val="24"/>
          </w:rPr>
          <w:fldChar w:fldCharType="separate"/>
        </w:r>
        <w:r w:rsidR="00022CF9">
          <w:rPr>
            <w:rFonts w:ascii="宋体" w:hAnsi="宋体"/>
            <w:sz w:val="24"/>
          </w:rPr>
          <w:t>27</w:t>
        </w:r>
        <w:r w:rsidR="00022CF9">
          <w:rPr>
            <w:rFonts w:ascii="宋体" w:hAnsi="宋体"/>
            <w:sz w:val="24"/>
          </w:rPr>
          <w:fldChar w:fldCharType="end"/>
        </w:r>
      </w:hyperlink>
    </w:p>
    <w:p w14:paraId="57EEBB1B" w14:textId="77777777" w:rsidR="00647E97" w:rsidRDefault="00B9259F">
      <w:pPr>
        <w:pStyle w:val="11"/>
        <w:tabs>
          <w:tab w:val="right" w:leader="dot" w:pos="8550"/>
        </w:tabs>
        <w:spacing w:line="360" w:lineRule="auto"/>
        <w:rPr>
          <w:rFonts w:ascii="宋体" w:hAnsi="宋体"/>
          <w:sz w:val="24"/>
        </w:rPr>
      </w:pPr>
      <w:hyperlink w:anchor="_Toc193101048" w:history="1">
        <w:r w:rsidR="00022CF9">
          <w:rPr>
            <w:rStyle w:val="af1"/>
            <w:rFonts w:ascii="宋体" w:hAnsi="宋体" w:hint="eastAsia"/>
            <w:sz w:val="24"/>
          </w:rPr>
          <w:t>九、基金的投资</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_Toc193101048 \h </w:instrText>
        </w:r>
        <w:r w:rsidR="00022CF9">
          <w:rPr>
            <w:rFonts w:ascii="宋体" w:hAnsi="宋体"/>
            <w:sz w:val="24"/>
          </w:rPr>
        </w:r>
        <w:r w:rsidR="00022CF9">
          <w:rPr>
            <w:rFonts w:ascii="宋体" w:hAnsi="宋体"/>
            <w:sz w:val="24"/>
          </w:rPr>
          <w:fldChar w:fldCharType="separate"/>
        </w:r>
        <w:r w:rsidR="00022CF9">
          <w:rPr>
            <w:rFonts w:ascii="宋体" w:hAnsi="宋体"/>
            <w:sz w:val="24"/>
          </w:rPr>
          <w:t>39</w:t>
        </w:r>
        <w:r w:rsidR="00022CF9">
          <w:rPr>
            <w:rFonts w:ascii="宋体" w:hAnsi="宋体"/>
            <w:sz w:val="24"/>
          </w:rPr>
          <w:fldChar w:fldCharType="end"/>
        </w:r>
      </w:hyperlink>
    </w:p>
    <w:p w14:paraId="7C8CDF82" w14:textId="77777777" w:rsidR="00647E97" w:rsidRDefault="00B9259F">
      <w:pPr>
        <w:pStyle w:val="11"/>
        <w:tabs>
          <w:tab w:val="right" w:leader="dot" w:pos="8550"/>
        </w:tabs>
        <w:spacing w:line="360" w:lineRule="auto"/>
        <w:rPr>
          <w:rFonts w:ascii="宋体" w:hAnsi="宋体"/>
          <w:sz w:val="24"/>
        </w:rPr>
      </w:pPr>
      <w:hyperlink w:anchor="_Toc193101049" w:history="1">
        <w:r w:rsidR="00022CF9">
          <w:rPr>
            <w:rStyle w:val="af1"/>
            <w:rFonts w:ascii="宋体" w:hAnsi="宋体" w:hint="eastAsia"/>
            <w:sz w:val="24"/>
          </w:rPr>
          <w:t>十、基金的业绩</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_Toc193101049 \h </w:instrText>
        </w:r>
        <w:r w:rsidR="00022CF9">
          <w:rPr>
            <w:rFonts w:ascii="宋体" w:hAnsi="宋体"/>
            <w:sz w:val="24"/>
          </w:rPr>
        </w:r>
        <w:r w:rsidR="00022CF9">
          <w:rPr>
            <w:rFonts w:ascii="宋体" w:hAnsi="宋体"/>
            <w:sz w:val="24"/>
          </w:rPr>
          <w:fldChar w:fldCharType="separate"/>
        </w:r>
        <w:r w:rsidR="00022CF9">
          <w:rPr>
            <w:rFonts w:ascii="宋体" w:hAnsi="宋体"/>
            <w:sz w:val="24"/>
          </w:rPr>
          <w:t>49</w:t>
        </w:r>
        <w:r w:rsidR="00022CF9">
          <w:rPr>
            <w:rFonts w:ascii="宋体" w:hAnsi="宋体"/>
            <w:sz w:val="24"/>
          </w:rPr>
          <w:fldChar w:fldCharType="end"/>
        </w:r>
      </w:hyperlink>
    </w:p>
    <w:p w14:paraId="43678339" w14:textId="77777777" w:rsidR="00647E97" w:rsidRDefault="00B9259F">
      <w:pPr>
        <w:pStyle w:val="11"/>
        <w:tabs>
          <w:tab w:val="right" w:leader="dot" w:pos="8550"/>
        </w:tabs>
        <w:spacing w:line="360" w:lineRule="auto"/>
        <w:rPr>
          <w:rFonts w:ascii="宋体" w:hAnsi="宋体"/>
          <w:sz w:val="24"/>
        </w:rPr>
      </w:pPr>
      <w:hyperlink w:anchor="_Toc193101050" w:history="1">
        <w:r w:rsidR="00022CF9">
          <w:rPr>
            <w:rStyle w:val="af1"/>
            <w:rFonts w:ascii="宋体" w:hAnsi="宋体" w:hint="eastAsia"/>
            <w:sz w:val="24"/>
          </w:rPr>
          <w:t>十一、基金的财产</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_Toc193101050 \h </w:instrText>
        </w:r>
        <w:r w:rsidR="00022CF9">
          <w:rPr>
            <w:rFonts w:ascii="宋体" w:hAnsi="宋体"/>
            <w:sz w:val="24"/>
          </w:rPr>
        </w:r>
        <w:r w:rsidR="00022CF9">
          <w:rPr>
            <w:rFonts w:ascii="宋体" w:hAnsi="宋体"/>
            <w:sz w:val="24"/>
          </w:rPr>
          <w:fldChar w:fldCharType="separate"/>
        </w:r>
        <w:r w:rsidR="00022CF9">
          <w:rPr>
            <w:rFonts w:ascii="宋体" w:hAnsi="宋体"/>
            <w:sz w:val="24"/>
          </w:rPr>
          <w:t>51</w:t>
        </w:r>
        <w:r w:rsidR="00022CF9">
          <w:rPr>
            <w:rFonts w:ascii="宋体" w:hAnsi="宋体"/>
            <w:sz w:val="24"/>
          </w:rPr>
          <w:fldChar w:fldCharType="end"/>
        </w:r>
      </w:hyperlink>
    </w:p>
    <w:p w14:paraId="75220B6E" w14:textId="77777777" w:rsidR="00647E97" w:rsidRDefault="00B9259F">
      <w:pPr>
        <w:pStyle w:val="11"/>
        <w:tabs>
          <w:tab w:val="right" w:leader="dot" w:pos="8550"/>
        </w:tabs>
        <w:spacing w:line="360" w:lineRule="auto"/>
        <w:rPr>
          <w:rFonts w:ascii="宋体" w:hAnsi="宋体"/>
          <w:sz w:val="24"/>
        </w:rPr>
      </w:pPr>
      <w:hyperlink w:anchor="_Toc193101051" w:history="1">
        <w:r w:rsidR="00022CF9">
          <w:rPr>
            <w:rStyle w:val="af1"/>
            <w:rFonts w:ascii="宋体" w:hAnsi="宋体" w:hint="eastAsia"/>
            <w:sz w:val="24"/>
          </w:rPr>
          <w:t>十二、基金资产的估值</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_Toc193101051 \h </w:instrText>
        </w:r>
        <w:r w:rsidR="00022CF9">
          <w:rPr>
            <w:rFonts w:ascii="宋体" w:hAnsi="宋体"/>
            <w:sz w:val="24"/>
          </w:rPr>
        </w:r>
        <w:r w:rsidR="00022CF9">
          <w:rPr>
            <w:rFonts w:ascii="宋体" w:hAnsi="宋体"/>
            <w:sz w:val="24"/>
          </w:rPr>
          <w:fldChar w:fldCharType="separate"/>
        </w:r>
        <w:r w:rsidR="00022CF9">
          <w:rPr>
            <w:rFonts w:ascii="宋体" w:hAnsi="宋体"/>
            <w:sz w:val="24"/>
          </w:rPr>
          <w:t>52</w:t>
        </w:r>
        <w:r w:rsidR="00022CF9">
          <w:rPr>
            <w:rFonts w:ascii="宋体" w:hAnsi="宋体"/>
            <w:sz w:val="24"/>
          </w:rPr>
          <w:fldChar w:fldCharType="end"/>
        </w:r>
      </w:hyperlink>
    </w:p>
    <w:p w14:paraId="361D601D" w14:textId="77777777" w:rsidR="00647E97" w:rsidRDefault="00B9259F">
      <w:pPr>
        <w:pStyle w:val="11"/>
        <w:tabs>
          <w:tab w:val="right" w:leader="dot" w:pos="8550"/>
        </w:tabs>
        <w:spacing w:line="360" w:lineRule="auto"/>
        <w:rPr>
          <w:rFonts w:ascii="宋体" w:hAnsi="宋体"/>
          <w:sz w:val="24"/>
        </w:rPr>
      </w:pPr>
      <w:hyperlink w:anchor="_Toc193101052" w:history="1">
        <w:r w:rsidR="00022CF9">
          <w:rPr>
            <w:rStyle w:val="af1"/>
            <w:rFonts w:ascii="宋体" w:hAnsi="宋体" w:hint="eastAsia"/>
            <w:sz w:val="24"/>
          </w:rPr>
          <w:t>十三、基金收益与分配</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_Toc193101052 \h </w:instrText>
        </w:r>
        <w:r w:rsidR="00022CF9">
          <w:rPr>
            <w:rFonts w:ascii="宋体" w:hAnsi="宋体"/>
            <w:sz w:val="24"/>
          </w:rPr>
        </w:r>
        <w:r w:rsidR="00022CF9">
          <w:rPr>
            <w:rFonts w:ascii="宋体" w:hAnsi="宋体"/>
            <w:sz w:val="24"/>
          </w:rPr>
          <w:fldChar w:fldCharType="separate"/>
        </w:r>
        <w:r w:rsidR="00022CF9">
          <w:rPr>
            <w:rFonts w:ascii="宋体" w:hAnsi="宋体"/>
            <w:sz w:val="24"/>
          </w:rPr>
          <w:t>58</w:t>
        </w:r>
        <w:r w:rsidR="00022CF9">
          <w:rPr>
            <w:rFonts w:ascii="宋体" w:hAnsi="宋体"/>
            <w:sz w:val="24"/>
          </w:rPr>
          <w:fldChar w:fldCharType="end"/>
        </w:r>
      </w:hyperlink>
    </w:p>
    <w:p w14:paraId="1FFD1AC5" w14:textId="77777777" w:rsidR="00647E97" w:rsidRDefault="00B9259F">
      <w:pPr>
        <w:pStyle w:val="11"/>
        <w:tabs>
          <w:tab w:val="right" w:leader="dot" w:pos="8550"/>
        </w:tabs>
        <w:spacing w:line="360" w:lineRule="auto"/>
        <w:rPr>
          <w:rFonts w:ascii="宋体" w:hAnsi="宋体"/>
          <w:sz w:val="24"/>
        </w:rPr>
      </w:pPr>
      <w:hyperlink w:anchor="_Toc193101053" w:history="1">
        <w:r w:rsidR="00022CF9">
          <w:rPr>
            <w:rStyle w:val="af1"/>
            <w:rFonts w:ascii="宋体" w:hAnsi="宋体" w:hint="eastAsia"/>
            <w:sz w:val="24"/>
          </w:rPr>
          <w:t>十四、基金的费用与税收</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_Toc193101053 \h </w:instrText>
        </w:r>
        <w:r w:rsidR="00022CF9">
          <w:rPr>
            <w:rFonts w:ascii="宋体" w:hAnsi="宋体"/>
            <w:sz w:val="24"/>
          </w:rPr>
        </w:r>
        <w:r w:rsidR="00022CF9">
          <w:rPr>
            <w:rFonts w:ascii="宋体" w:hAnsi="宋体"/>
            <w:sz w:val="24"/>
          </w:rPr>
          <w:fldChar w:fldCharType="separate"/>
        </w:r>
        <w:r w:rsidR="00022CF9">
          <w:rPr>
            <w:rFonts w:ascii="宋体" w:hAnsi="宋体"/>
            <w:sz w:val="24"/>
          </w:rPr>
          <w:t>60</w:t>
        </w:r>
        <w:r w:rsidR="00022CF9">
          <w:rPr>
            <w:rFonts w:ascii="宋体" w:hAnsi="宋体"/>
            <w:sz w:val="24"/>
          </w:rPr>
          <w:fldChar w:fldCharType="end"/>
        </w:r>
      </w:hyperlink>
    </w:p>
    <w:p w14:paraId="4BF8B010" w14:textId="77777777" w:rsidR="00647E97" w:rsidRDefault="00B9259F">
      <w:pPr>
        <w:pStyle w:val="11"/>
        <w:tabs>
          <w:tab w:val="right" w:leader="dot" w:pos="8550"/>
        </w:tabs>
        <w:spacing w:line="360" w:lineRule="auto"/>
        <w:rPr>
          <w:rFonts w:ascii="宋体" w:hAnsi="宋体"/>
          <w:sz w:val="24"/>
        </w:rPr>
      </w:pPr>
      <w:hyperlink w:anchor="_Toc193101054" w:history="1">
        <w:r w:rsidR="00022CF9">
          <w:rPr>
            <w:rStyle w:val="af1"/>
            <w:rFonts w:ascii="宋体" w:hAnsi="宋体" w:hint="eastAsia"/>
            <w:sz w:val="24"/>
          </w:rPr>
          <w:t>十五、基金的会计与审计</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_Toc193101054 \h </w:instrText>
        </w:r>
        <w:r w:rsidR="00022CF9">
          <w:rPr>
            <w:rFonts w:ascii="宋体" w:hAnsi="宋体"/>
            <w:sz w:val="24"/>
          </w:rPr>
        </w:r>
        <w:r w:rsidR="00022CF9">
          <w:rPr>
            <w:rFonts w:ascii="宋体" w:hAnsi="宋体"/>
            <w:sz w:val="24"/>
          </w:rPr>
          <w:fldChar w:fldCharType="separate"/>
        </w:r>
        <w:r w:rsidR="00022CF9">
          <w:rPr>
            <w:rFonts w:ascii="宋体" w:hAnsi="宋体"/>
            <w:sz w:val="24"/>
          </w:rPr>
          <w:t>62</w:t>
        </w:r>
        <w:r w:rsidR="00022CF9">
          <w:rPr>
            <w:rFonts w:ascii="宋体" w:hAnsi="宋体"/>
            <w:sz w:val="24"/>
          </w:rPr>
          <w:fldChar w:fldCharType="end"/>
        </w:r>
      </w:hyperlink>
    </w:p>
    <w:p w14:paraId="1E872E01" w14:textId="77777777" w:rsidR="00647E97" w:rsidRDefault="00B9259F">
      <w:pPr>
        <w:pStyle w:val="11"/>
        <w:tabs>
          <w:tab w:val="right" w:leader="dot" w:pos="8550"/>
        </w:tabs>
        <w:spacing w:line="360" w:lineRule="auto"/>
        <w:rPr>
          <w:rFonts w:ascii="宋体" w:hAnsi="宋体"/>
          <w:sz w:val="24"/>
        </w:rPr>
      </w:pPr>
      <w:hyperlink w:anchor="_Toc193101055" w:history="1">
        <w:r w:rsidR="00022CF9">
          <w:rPr>
            <w:rStyle w:val="af1"/>
            <w:rFonts w:ascii="宋体" w:hAnsi="宋体" w:hint="eastAsia"/>
            <w:sz w:val="24"/>
          </w:rPr>
          <w:t>十六、基金的信息披露</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_Toc193101055 \h </w:instrText>
        </w:r>
        <w:r w:rsidR="00022CF9">
          <w:rPr>
            <w:rFonts w:ascii="宋体" w:hAnsi="宋体"/>
            <w:sz w:val="24"/>
          </w:rPr>
        </w:r>
        <w:r w:rsidR="00022CF9">
          <w:rPr>
            <w:rFonts w:ascii="宋体" w:hAnsi="宋体"/>
            <w:sz w:val="24"/>
          </w:rPr>
          <w:fldChar w:fldCharType="separate"/>
        </w:r>
        <w:r w:rsidR="00022CF9">
          <w:rPr>
            <w:rFonts w:ascii="宋体" w:hAnsi="宋体"/>
            <w:sz w:val="24"/>
          </w:rPr>
          <w:t>63</w:t>
        </w:r>
        <w:r w:rsidR="00022CF9">
          <w:rPr>
            <w:rFonts w:ascii="宋体" w:hAnsi="宋体"/>
            <w:sz w:val="24"/>
          </w:rPr>
          <w:fldChar w:fldCharType="end"/>
        </w:r>
      </w:hyperlink>
    </w:p>
    <w:p w14:paraId="42FCAE2F" w14:textId="77777777" w:rsidR="00647E97" w:rsidRDefault="00B9259F">
      <w:pPr>
        <w:pStyle w:val="11"/>
        <w:tabs>
          <w:tab w:val="right" w:leader="dot" w:pos="8550"/>
        </w:tabs>
        <w:spacing w:line="360" w:lineRule="auto"/>
        <w:rPr>
          <w:rFonts w:ascii="宋体" w:hAnsi="宋体"/>
          <w:sz w:val="24"/>
        </w:rPr>
      </w:pPr>
      <w:hyperlink w:anchor="_Toc193101056" w:history="1">
        <w:r w:rsidR="00022CF9">
          <w:rPr>
            <w:rStyle w:val="af1"/>
            <w:rFonts w:ascii="宋体" w:hAnsi="宋体" w:hint="eastAsia"/>
            <w:sz w:val="24"/>
          </w:rPr>
          <w:t>十七、侧袋机制</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_Toc193101056 \h </w:instrText>
        </w:r>
        <w:r w:rsidR="00022CF9">
          <w:rPr>
            <w:rFonts w:ascii="宋体" w:hAnsi="宋体"/>
            <w:sz w:val="24"/>
          </w:rPr>
        </w:r>
        <w:r w:rsidR="00022CF9">
          <w:rPr>
            <w:rFonts w:ascii="宋体" w:hAnsi="宋体"/>
            <w:sz w:val="24"/>
          </w:rPr>
          <w:fldChar w:fldCharType="separate"/>
        </w:r>
        <w:r w:rsidR="00022CF9">
          <w:rPr>
            <w:rFonts w:ascii="宋体" w:hAnsi="宋体"/>
            <w:sz w:val="24"/>
          </w:rPr>
          <w:t>70</w:t>
        </w:r>
        <w:r w:rsidR="00022CF9">
          <w:rPr>
            <w:rFonts w:ascii="宋体" w:hAnsi="宋体"/>
            <w:sz w:val="24"/>
          </w:rPr>
          <w:fldChar w:fldCharType="end"/>
        </w:r>
      </w:hyperlink>
    </w:p>
    <w:p w14:paraId="72B32866" w14:textId="77777777" w:rsidR="00647E97" w:rsidRDefault="00B9259F">
      <w:pPr>
        <w:pStyle w:val="11"/>
        <w:tabs>
          <w:tab w:val="right" w:leader="dot" w:pos="8550"/>
        </w:tabs>
        <w:spacing w:line="360" w:lineRule="auto"/>
        <w:rPr>
          <w:rFonts w:ascii="宋体" w:hAnsi="宋体"/>
          <w:sz w:val="24"/>
        </w:rPr>
      </w:pPr>
      <w:hyperlink w:anchor="_Toc193101057" w:history="1">
        <w:r w:rsidR="00022CF9">
          <w:rPr>
            <w:rStyle w:val="af1"/>
            <w:rFonts w:ascii="宋体" w:hAnsi="宋体" w:hint="eastAsia"/>
            <w:sz w:val="24"/>
          </w:rPr>
          <w:t>十八、风险揭示</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_Toc193101057 \h </w:instrText>
        </w:r>
        <w:r w:rsidR="00022CF9">
          <w:rPr>
            <w:rFonts w:ascii="宋体" w:hAnsi="宋体"/>
            <w:sz w:val="24"/>
          </w:rPr>
        </w:r>
        <w:r w:rsidR="00022CF9">
          <w:rPr>
            <w:rFonts w:ascii="宋体" w:hAnsi="宋体"/>
            <w:sz w:val="24"/>
          </w:rPr>
          <w:fldChar w:fldCharType="separate"/>
        </w:r>
        <w:r w:rsidR="00022CF9">
          <w:rPr>
            <w:rFonts w:ascii="宋体" w:hAnsi="宋体"/>
            <w:sz w:val="24"/>
          </w:rPr>
          <w:t>73</w:t>
        </w:r>
        <w:r w:rsidR="00022CF9">
          <w:rPr>
            <w:rFonts w:ascii="宋体" w:hAnsi="宋体"/>
            <w:sz w:val="24"/>
          </w:rPr>
          <w:fldChar w:fldCharType="end"/>
        </w:r>
      </w:hyperlink>
    </w:p>
    <w:p w14:paraId="5E21BD66" w14:textId="77777777" w:rsidR="00647E97" w:rsidRDefault="00B9259F">
      <w:pPr>
        <w:pStyle w:val="11"/>
        <w:tabs>
          <w:tab w:val="right" w:leader="dot" w:pos="8550"/>
        </w:tabs>
        <w:spacing w:line="360" w:lineRule="auto"/>
        <w:rPr>
          <w:rFonts w:ascii="宋体" w:hAnsi="宋体"/>
          <w:sz w:val="24"/>
        </w:rPr>
      </w:pPr>
      <w:hyperlink w:anchor="_Toc193101058" w:history="1">
        <w:r w:rsidR="00022CF9">
          <w:rPr>
            <w:rStyle w:val="af1"/>
            <w:rFonts w:ascii="宋体" w:hAnsi="宋体" w:hint="eastAsia"/>
            <w:sz w:val="24"/>
          </w:rPr>
          <w:t>十九、基金合同的变更、终止与基金财产的清算</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_Toc193101058 \h </w:instrText>
        </w:r>
        <w:r w:rsidR="00022CF9">
          <w:rPr>
            <w:rFonts w:ascii="宋体" w:hAnsi="宋体"/>
            <w:sz w:val="24"/>
          </w:rPr>
        </w:r>
        <w:r w:rsidR="00022CF9">
          <w:rPr>
            <w:rFonts w:ascii="宋体" w:hAnsi="宋体"/>
            <w:sz w:val="24"/>
          </w:rPr>
          <w:fldChar w:fldCharType="separate"/>
        </w:r>
        <w:r w:rsidR="00022CF9">
          <w:rPr>
            <w:rFonts w:ascii="宋体" w:hAnsi="宋体"/>
            <w:sz w:val="24"/>
          </w:rPr>
          <w:t>80</w:t>
        </w:r>
        <w:r w:rsidR="00022CF9">
          <w:rPr>
            <w:rFonts w:ascii="宋体" w:hAnsi="宋体"/>
            <w:sz w:val="24"/>
          </w:rPr>
          <w:fldChar w:fldCharType="end"/>
        </w:r>
      </w:hyperlink>
    </w:p>
    <w:p w14:paraId="4F6BE512" w14:textId="77777777" w:rsidR="00647E97" w:rsidRDefault="00B9259F">
      <w:pPr>
        <w:pStyle w:val="11"/>
        <w:tabs>
          <w:tab w:val="right" w:leader="dot" w:pos="8550"/>
        </w:tabs>
        <w:spacing w:line="360" w:lineRule="auto"/>
        <w:rPr>
          <w:rFonts w:ascii="宋体" w:hAnsi="宋体"/>
          <w:sz w:val="24"/>
        </w:rPr>
      </w:pPr>
      <w:hyperlink w:anchor="_Toc193101059" w:history="1">
        <w:r w:rsidR="00022CF9">
          <w:rPr>
            <w:rStyle w:val="af1"/>
            <w:rFonts w:ascii="宋体" w:hAnsi="宋体" w:hint="eastAsia"/>
            <w:sz w:val="24"/>
          </w:rPr>
          <w:t>二十、基金合同内容摘要</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_Toc193101059 \h </w:instrText>
        </w:r>
        <w:r w:rsidR="00022CF9">
          <w:rPr>
            <w:rFonts w:ascii="宋体" w:hAnsi="宋体"/>
            <w:sz w:val="24"/>
          </w:rPr>
        </w:r>
        <w:r w:rsidR="00022CF9">
          <w:rPr>
            <w:rFonts w:ascii="宋体" w:hAnsi="宋体"/>
            <w:sz w:val="24"/>
          </w:rPr>
          <w:fldChar w:fldCharType="separate"/>
        </w:r>
        <w:r w:rsidR="00022CF9">
          <w:rPr>
            <w:rFonts w:ascii="宋体" w:hAnsi="宋体"/>
            <w:sz w:val="24"/>
          </w:rPr>
          <w:t>83</w:t>
        </w:r>
        <w:r w:rsidR="00022CF9">
          <w:rPr>
            <w:rFonts w:ascii="宋体" w:hAnsi="宋体"/>
            <w:sz w:val="24"/>
          </w:rPr>
          <w:fldChar w:fldCharType="end"/>
        </w:r>
      </w:hyperlink>
    </w:p>
    <w:p w14:paraId="793FB668" w14:textId="77777777" w:rsidR="00647E97" w:rsidRDefault="00B9259F">
      <w:pPr>
        <w:pStyle w:val="11"/>
        <w:tabs>
          <w:tab w:val="right" w:leader="dot" w:pos="8550"/>
        </w:tabs>
        <w:spacing w:line="360" w:lineRule="auto"/>
        <w:rPr>
          <w:rFonts w:ascii="宋体" w:hAnsi="宋体"/>
          <w:sz w:val="24"/>
        </w:rPr>
      </w:pPr>
      <w:hyperlink w:anchor="_Toc193101060" w:history="1">
        <w:r w:rsidR="00022CF9">
          <w:rPr>
            <w:rStyle w:val="af1"/>
            <w:rFonts w:ascii="宋体" w:hAnsi="宋体" w:hint="eastAsia"/>
            <w:sz w:val="24"/>
          </w:rPr>
          <w:t>二十一、托管协议的内容摘要</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_Toc193101060 \h </w:instrText>
        </w:r>
        <w:r w:rsidR="00022CF9">
          <w:rPr>
            <w:rFonts w:ascii="宋体" w:hAnsi="宋体"/>
            <w:sz w:val="24"/>
          </w:rPr>
        </w:r>
        <w:r w:rsidR="00022CF9">
          <w:rPr>
            <w:rFonts w:ascii="宋体" w:hAnsi="宋体"/>
            <w:sz w:val="24"/>
          </w:rPr>
          <w:fldChar w:fldCharType="separate"/>
        </w:r>
        <w:r w:rsidR="00022CF9">
          <w:rPr>
            <w:rFonts w:ascii="宋体" w:hAnsi="宋体"/>
            <w:sz w:val="24"/>
          </w:rPr>
          <w:t>100</w:t>
        </w:r>
        <w:r w:rsidR="00022CF9">
          <w:rPr>
            <w:rFonts w:ascii="宋体" w:hAnsi="宋体"/>
            <w:sz w:val="24"/>
          </w:rPr>
          <w:fldChar w:fldCharType="end"/>
        </w:r>
      </w:hyperlink>
    </w:p>
    <w:p w14:paraId="1C45AFF1" w14:textId="77777777" w:rsidR="00647E97" w:rsidRDefault="00B9259F">
      <w:pPr>
        <w:pStyle w:val="11"/>
        <w:tabs>
          <w:tab w:val="right" w:leader="dot" w:pos="8550"/>
        </w:tabs>
        <w:spacing w:line="360" w:lineRule="auto"/>
        <w:rPr>
          <w:rFonts w:ascii="宋体" w:hAnsi="宋体"/>
          <w:sz w:val="24"/>
        </w:rPr>
      </w:pPr>
      <w:hyperlink w:anchor="_Toc193101061" w:history="1">
        <w:r w:rsidR="00022CF9">
          <w:rPr>
            <w:rStyle w:val="af1"/>
            <w:rFonts w:ascii="宋体" w:hAnsi="宋体" w:hint="eastAsia"/>
            <w:sz w:val="24"/>
          </w:rPr>
          <w:t>二十二、对基金份额持有人的服务</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_Toc193101061 \h </w:instrText>
        </w:r>
        <w:r w:rsidR="00022CF9">
          <w:rPr>
            <w:rFonts w:ascii="宋体" w:hAnsi="宋体"/>
            <w:sz w:val="24"/>
          </w:rPr>
        </w:r>
        <w:r w:rsidR="00022CF9">
          <w:rPr>
            <w:rFonts w:ascii="宋体" w:hAnsi="宋体"/>
            <w:sz w:val="24"/>
          </w:rPr>
          <w:fldChar w:fldCharType="separate"/>
        </w:r>
        <w:r w:rsidR="00022CF9">
          <w:rPr>
            <w:rFonts w:ascii="宋体" w:hAnsi="宋体"/>
            <w:sz w:val="24"/>
          </w:rPr>
          <w:t>117</w:t>
        </w:r>
        <w:r w:rsidR="00022CF9">
          <w:rPr>
            <w:rFonts w:ascii="宋体" w:hAnsi="宋体"/>
            <w:sz w:val="24"/>
          </w:rPr>
          <w:fldChar w:fldCharType="end"/>
        </w:r>
      </w:hyperlink>
    </w:p>
    <w:p w14:paraId="387B6347" w14:textId="77777777" w:rsidR="00647E97" w:rsidRDefault="00B9259F">
      <w:pPr>
        <w:pStyle w:val="11"/>
        <w:tabs>
          <w:tab w:val="right" w:leader="dot" w:pos="8550"/>
        </w:tabs>
        <w:spacing w:line="360" w:lineRule="auto"/>
        <w:rPr>
          <w:rFonts w:ascii="宋体" w:hAnsi="宋体"/>
          <w:sz w:val="24"/>
        </w:rPr>
      </w:pPr>
      <w:hyperlink w:anchor="_Toc193101062" w:history="1">
        <w:r w:rsidR="00022CF9">
          <w:rPr>
            <w:rStyle w:val="af1"/>
            <w:rFonts w:ascii="宋体" w:hAnsi="宋体" w:hint="eastAsia"/>
            <w:sz w:val="24"/>
          </w:rPr>
          <w:t>二十三、其他应披露事项</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_Toc193101062 \h </w:instrText>
        </w:r>
        <w:r w:rsidR="00022CF9">
          <w:rPr>
            <w:rFonts w:ascii="宋体" w:hAnsi="宋体"/>
            <w:sz w:val="24"/>
          </w:rPr>
        </w:r>
        <w:r w:rsidR="00022CF9">
          <w:rPr>
            <w:rFonts w:ascii="宋体" w:hAnsi="宋体"/>
            <w:sz w:val="24"/>
          </w:rPr>
          <w:fldChar w:fldCharType="separate"/>
        </w:r>
        <w:r w:rsidR="00022CF9">
          <w:rPr>
            <w:rFonts w:ascii="宋体" w:hAnsi="宋体"/>
            <w:sz w:val="24"/>
          </w:rPr>
          <w:t>119</w:t>
        </w:r>
        <w:r w:rsidR="00022CF9">
          <w:rPr>
            <w:rFonts w:ascii="宋体" w:hAnsi="宋体"/>
            <w:sz w:val="24"/>
          </w:rPr>
          <w:fldChar w:fldCharType="end"/>
        </w:r>
      </w:hyperlink>
    </w:p>
    <w:p w14:paraId="709C7381" w14:textId="77777777" w:rsidR="00647E97" w:rsidRDefault="00B9259F">
      <w:pPr>
        <w:pStyle w:val="11"/>
        <w:tabs>
          <w:tab w:val="right" w:leader="dot" w:pos="8550"/>
        </w:tabs>
        <w:spacing w:line="360" w:lineRule="auto"/>
        <w:rPr>
          <w:rFonts w:ascii="宋体" w:hAnsi="宋体"/>
          <w:sz w:val="24"/>
        </w:rPr>
      </w:pPr>
      <w:hyperlink w:anchor="_Toc193101063" w:history="1">
        <w:r w:rsidR="00022CF9">
          <w:rPr>
            <w:rStyle w:val="af1"/>
            <w:rFonts w:ascii="宋体" w:hAnsi="宋体" w:hint="eastAsia"/>
            <w:sz w:val="24"/>
          </w:rPr>
          <w:t>二十四、招募说明书的存放及查阅方式</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_Toc193101063 \h </w:instrText>
        </w:r>
        <w:r w:rsidR="00022CF9">
          <w:rPr>
            <w:rFonts w:ascii="宋体" w:hAnsi="宋体"/>
            <w:sz w:val="24"/>
          </w:rPr>
        </w:r>
        <w:r w:rsidR="00022CF9">
          <w:rPr>
            <w:rFonts w:ascii="宋体" w:hAnsi="宋体"/>
            <w:sz w:val="24"/>
          </w:rPr>
          <w:fldChar w:fldCharType="separate"/>
        </w:r>
        <w:r w:rsidR="00022CF9">
          <w:rPr>
            <w:rFonts w:ascii="宋体" w:hAnsi="宋体"/>
            <w:sz w:val="24"/>
          </w:rPr>
          <w:t>122</w:t>
        </w:r>
        <w:r w:rsidR="00022CF9">
          <w:rPr>
            <w:rFonts w:ascii="宋体" w:hAnsi="宋体"/>
            <w:sz w:val="24"/>
          </w:rPr>
          <w:fldChar w:fldCharType="end"/>
        </w:r>
      </w:hyperlink>
    </w:p>
    <w:p w14:paraId="3D081E77" w14:textId="77777777" w:rsidR="00647E97" w:rsidRDefault="00B9259F">
      <w:pPr>
        <w:pStyle w:val="11"/>
        <w:tabs>
          <w:tab w:val="right" w:leader="dot" w:pos="8550"/>
        </w:tabs>
        <w:spacing w:line="360" w:lineRule="auto"/>
        <w:rPr>
          <w:rFonts w:ascii="宋体" w:hAnsi="宋体"/>
          <w:sz w:val="24"/>
        </w:rPr>
      </w:pPr>
      <w:hyperlink w:anchor="_Toc193101064" w:history="1">
        <w:r w:rsidR="00022CF9">
          <w:rPr>
            <w:rStyle w:val="af1"/>
            <w:rFonts w:ascii="宋体" w:hAnsi="宋体" w:hint="eastAsia"/>
            <w:sz w:val="24"/>
          </w:rPr>
          <w:t>二十五、备查文件</w:t>
        </w:r>
        <w:r w:rsidR="00022CF9">
          <w:rPr>
            <w:rFonts w:ascii="宋体" w:hAnsi="宋体"/>
            <w:sz w:val="24"/>
          </w:rPr>
          <w:tab/>
        </w:r>
        <w:r w:rsidR="00022CF9">
          <w:rPr>
            <w:rFonts w:ascii="宋体" w:hAnsi="宋体"/>
            <w:sz w:val="24"/>
          </w:rPr>
          <w:fldChar w:fldCharType="begin"/>
        </w:r>
        <w:r w:rsidR="00022CF9">
          <w:rPr>
            <w:rFonts w:ascii="宋体" w:hAnsi="宋体"/>
            <w:sz w:val="24"/>
          </w:rPr>
          <w:instrText xml:space="preserve"> PAGEREF _Toc193101064 \h </w:instrText>
        </w:r>
        <w:r w:rsidR="00022CF9">
          <w:rPr>
            <w:rFonts w:ascii="宋体" w:hAnsi="宋体"/>
            <w:sz w:val="24"/>
          </w:rPr>
        </w:r>
        <w:r w:rsidR="00022CF9">
          <w:rPr>
            <w:rFonts w:ascii="宋体" w:hAnsi="宋体"/>
            <w:sz w:val="24"/>
          </w:rPr>
          <w:fldChar w:fldCharType="separate"/>
        </w:r>
        <w:r w:rsidR="00022CF9">
          <w:rPr>
            <w:rFonts w:ascii="宋体" w:hAnsi="宋体"/>
            <w:sz w:val="24"/>
          </w:rPr>
          <w:t>123</w:t>
        </w:r>
        <w:r w:rsidR="00022CF9">
          <w:rPr>
            <w:rFonts w:ascii="宋体" w:hAnsi="宋体"/>
            <w:sz w:val="24"/>
          </w:rPr>
          <w:fldChar w:fldCharType="end"/>
        </w:r>
      </w:hyperlink>
    </w:p>
    <w:p w14:paraId="7B8585C8" w14:textId="77777777" w:rsidR="00647E97" w:rsidRDefault="00022CF9">
      <w:pPr>
        <w:pStyle w:val="Style19"/>
        <w:snapToGrid w:val="0"/>
        <w:spacing w:after="240" w:line="360" w:lineRule="auto"/>
        <w:jc w:val="center"/>
        <w:rPr>
          <w:rFonts w:ascii="宋体" w:hAnsi="宋体"/>
          <w:color w:val="000000"/>
          <w:sz w:val="24"/>
        </w:rPr>
      </w:pPr>
      <w:r>
        <w:rPr>
          <w:rFonts w:ascii="宋体" w:hAnsi="宋体"/>
          <w:color w:val="000000"/>
          <w:position w:val="-4"/>
          <w:sz w:val="24"/>
          <w:szCs w:val="30"/>
        </w:rPr>
        <w:lastRenderedPageBreak/>
        <w:fldChar w:fldCharType="end"/>
      </w:r>
    </w:p>
    <w:p w14:paraId="4C6A3F98" w14:textId="77777777" w:rsidR="00647E97" w:rsidRDefault="00647E97">
      <w:pPr>
        <w:autoSpaceDE w:val="0"/>
        <w:autoSpaceDN w:val="0"/>
        <w:adjustRightInd w:val="0"/>
        <w:snapToGrid w:val="0"/>
        <w:spacing w:line="360" w:lineRule="auto"/>
        <w:ind w:left="120" w:rightChars="6" w:right="13"/>
        <w:rPr>
          <w:rFonts w:ascii="宋体" w:hAnsi="宋体"/>
          <w:kern w:val="0"/>
          <w:szCs w:val="24"/>
        </w:rPr>
        <w:sectPr w:rsidR="00647E97">
          <w:pgSz w:w="11920" w:h="16840"/>
          <w:pgMar w:top="1480" w:right="1680" w:bottom="280" w:left="1680" w:header="0" w:footer="1073" w:gutter="0"/>
          <w:cols w:space="720"/>
        </w:sectPr>
      </w:pPr>
    </w:p>
    <w:p w14:paraId="23168077" w14:textId="77777777" w:rsidR="00647E97" w:rsidRDefault="00022CF9">
      <w:pPr>
        <w:pStyle w:val="1"/>
        <w:snapToGrid w:val="0"/>
        <w:spacing w:beforeLines="0" w:before="240" w:after="240"/>
        <w:rPr>
          <w:rFonts w:ascii="宋体" w:hAnsi="宋体"/>
          <w:szCs w:val="30"/>
        </w:rPr>
      </w:pPr>
      <w:bookmarkStart w:id="3" w:name="_Toc193101040"/>
      <w:r>
        <w:rPr>
          <w:rFonts w:ascii="Times New Roman" w:hAnsi="Times New Roman"/>
          <w:sz w:val="30"/>
        </w:rPr>
        <w:lastRenderedPageBreak/>
        <w:t>一、绪言</w:t>
      </w:r>
      <w:bookmarkEnd w:id="3"/>
    </w:p>
    <w:p w14:paraId="314B0B5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裕道纯债一年定期开放债券型发起式证券投资基金招募说明书》（以下简称“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相关法律法规的规定以及《交银施罗德裕道纯债一年定期开放债券型发起式证券投资基金基金合同》（以下简称“基金合同”）编写。</w:t>
      </w:r>
    </w:p>
    <w:p w14:paraId="26FE74E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AD77E2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80FC63C"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034AF61" w14:textId="77777777" w:rsidR="00647E97" w:rsidRDefault="00022CF9">
      <w:pPr>
        <w:pStyle w:val="1"/>
        <w:snapToGrid w:val="0"/>
        <w:spacing w:beforeLines="0" w:before="240" w:after="240"/>
        <w:rPr>
          <w:rFonts w:ascii="宋体" w:hAnsi="宋体"/>
          <w:szCs w:val="30"/>
        </w:rPr>
      </w:pPr>
      <w:bookmarkStart w:id="4" w:name="_Toc193101041"/>
      <w:r>
        <w:rPr>
          <w:rFonts w:ascii="Times New Roman" w:hAnsi="Times New Roman"/>
          <w:sz w:val="30"/>
        </w:rPr>
        <w:lastRenderedPageBreak/>
        <w:t>二、释义</w:t>
      </w:r>
      <w:bookmarkEnd w:id="4"/>
    </w:p>
    <w:p w14:paraId="6039164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0919375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w:t>
      </w:r>
      <w:proofErr w:type="gramStart"/>
      <w:r>
        <w:rPr>
          <w:rFonts w:ascii="宋体" w:hAnsi="宋体"/>
          <w:sz w:val="24"/>
        </w:rPr>
        <w:t>裕道纯债</w:t>
      </w:r>
      <w:proofErr w:type="gramEnd"/>
      <w:r>
        <w:rPr>
          <w:rFonts w:ascii="宋体" w:hAnsi="宋体"/>
          <w:sz w:val="24"/>
        </w:rPr>
        <w:t>一年定期开放债券型发起式证券投资基金</w:t>
      </w:r>
    </w:p>
    <w:p w14:paraId="276C639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0434612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3、基金托管人或本基金托管人：指兴业银行股份有限公司</w:t>
      </w:r>
    </w:p>
    <w:p w14:paraId="688101B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4、基金合同或《基金合同》：指《交银施罗德裕道纯债一年定期开放债券型发起式证券投资基金基金合同》及对基金合同的任何有效修订和补充</w:t>
      </w:r>
    </w:p>
    <w:p w14:paraId="382AD74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5、托管协议：指基金管理人与基金托管人就本基金签订之《交银施罗德裕道纯债一年定期开放债券型发起式证券投资基金托管协议》及对该托管协议的任何有效修订和补充</w:t>
      </w:r>
    </w:p>
    <w:p w14:paraId="5E92129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6、招募说明书、本招募说明书或《招募说明书》：指《交银施罗德裕道纯债一年定期开放债券型发起式证券投资基金招募说明书》及其更新</w:t>
      </w:r>
    </w:p>
    <w:p w14:paraId="24E0FDF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7、基金产品资料概要：指《交银施罗德裕道纯债一年定期开放债券型发起式证券投资基金基金产品资料概要》及其更新</w:t>
      </w:r>
    </w:p>
    <w:p w14:paraId="667C641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8、基金份额发售公告：指《交银施罗德裕道纯债一年定期开放债券型发起式证券投资基金基金份额发售公告》</w:t>
      </w:r>
    </w:p>
    <w:p w14:paraId="4D17D0D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5B4B5A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20AAB6A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11、《销售办法》：指《公开募集证券投资基金销售机构监督管理办法》及颁布机关对其不时做出的修订</w:t>
      </w:r>
    </w:p>
    <w:p w14:paraId="502E8B8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24AB5F8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5D7BD12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721461B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15、中国证监会：指中国证券监督管理委员会</w:t>
      </w:r>
    </w:p>
    <w:p w14:paraId="12F6B14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16、银行业监督管理机构：指中国人民银行和/或中国银行保险监督管理委员会</w:t>
      </w:r>
    </w:p>
    <w:p w14:paraId="1CFBE95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0734058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18、个人投资者：指依据有关法律法规规定可投资于证券投资基金的自然人，本基金不向个人投资者公开销售，法律法规或监管机构另有规定的除外</w:t>
      </w:r>
    </w:p>
    <w:p w14:paraId="71C3D73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012533E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B44D86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投资人、投资者：指机构投资者、合格境外投资者、发起资金提供方以及法律法规或中国证监会允许购买证券投资基金的其他投资人的合称。本基金不向个人投资者公开销售，法律法规或监管机构另有规定的除外</w:t>
      </w:r>
    </w:p>
    <w:p w14:paraId="6B2E6C5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22、基金份额持有人：指依基金合同和招募说明书合法取得基金份额的投资人</w:t>
      </w:r>
    </w:p>
    <w:p w14:paraId="6F0010A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23、基金销售业务：指基金管理人或销售机构宣传推介基金，发售基金份额，办理基金份额的申购、赎回、转换、转托管及定期定额投资等业务</w:t>
      </w:r>
    </w:p>
    <w:p w14:paraId="708C99D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24、销售机构：指交银施罗德基金管理有限公司以及符合《销售办法》和中国证监会规定的其他条件，取得基金销售业务资格并与基金管理人签订了基金销售服务协议，办理基金销售业务的机构</w:t>
      </w:r>
    </w:p>
    <w:p w14:paraId="5CF66A4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sz w:val="24"/>
        </w:rPr>
        <w:t>非交易</w:t>
      </w:r>
      <w:proofErr w:type="gramEnd"/>
      <w:r>
        <w:rPr>
          <w:rFonts w:ascii="宋体" w:hAnsi="宋体"/>
          <w:sz w:val="24"/>
        </w:rPr>
        <w:t>过户等</w:t>
      </w:r>
    </w:p>
    <w:p w14:paraId="74570C6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26、登记机构：</w:t>
      </w:r>
      <w:proofErr w:type="gramStart"/>
      <w:r>
        <w:rPr>
          <w:rFonts w:ascii="宋体" w:hAnsi="宋体"/>
          <w:sz w:val="24"/>
        </w:rPr>
        <w:t>指办理</w:t>
      </w:r>
      <w:proofErr w:type="gramEnd"/>
      <w:r>
        <w:rPr>
          <w:rFonts w:ascii="宋体" w:hAnsi="宋体"/>
          <w:sz w:val="24"/>
        </w:rPr>
        <w:t>登记业务的机构。基金的登记机构为交银施罗德基金管理有限公司或接受交银施罗德基金管理有限公司委托办理登记业务的机构</w:t>
      </w:r>
    </w:p>
    <w:p w14:paraId="4A841F5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27、基金账户：指登记机构为投资人开立的、记录其持有的、基金管理人所管理的基金份额余额及其变动情况的账户</w:t>
      </w:r>
    </w:p>
    <w:p w14:paraId="49B233F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28、基金交易账户：指销售机构为投资人开立的、记录投资人通过该销售机构办理认购、申购、赎回、转换及转托管等业务而引起的基金份额变动及结余情况的账户</w:t>
      </w:r>
    </w:p>
    <w:p w14:paraId="5480D79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29、基金合同生效日：指基金募集达到法律法规规定及基金合同规定的条件，基金管理人向中国证监会办理基金备案手续完毕，并获得中国证监会书面确认的日期</w:t>
      </w:r>
    </w:p>
    <w:p w14:paraId="6DDB603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30、基金合同终止日：指基金合同规定的基金合同终止事由出现后，基金财产清算完毕，清算结果报中国证监会备案并予以公告的日期</w:t>
      </w:r>
    </w:p>
    <w:p w14:paraId="14063BA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31、基金募集期：指自基金份额发售之日起至发售结束之日止的期间，最长不得超过3个月</w:t>
      </w:r>
    </w:p>
    <w:p w14:paraId="4E2C29B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32、存续期：指基金合同生效至终止之间的不定期期限</w:t>
      </w:r>
    </w:p>
    <w:p w14:paraId="0F4887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33、工作日：指上海证券交易所、深圳证券交易所的正常交易日</w:t>
      </w:r>
    </w:p>
    <w:p w14:paraId="6C7B758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34、T日：指销售机构在规定时间受理投资人申购、赎回或其他业务申请的开放日</w:t>
      </w:r>
    </w:p>
    <w:p w14:paraId="5759A79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35、T+n日：指自T日起第n</w:t>
      </w:r>
      <w:proofErr w:type="gramStart"/>
      <w:r>
        <w:rPr>
          <w:rFonts w:ascii="宋体" w:hAnsi="宋体"/>
          <w:sz w:val="24"/>
        </w:rPr>
        <w:t>个</w:t>
      </w:r>
      <w:proofErr w:type="gramEnd"/>
      <w:r>
        <w:rPr>
          <w:rFonts w:ascii="宋体" w:hAnsi="宋体"/>
          <w:sz w:val="24"/>
        </w:rPr>
        <w:t>工作日（不包含T日）</w:t>
      </w:r>
    </w:p>
    <w:p w14:paraId="257F585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36、开放日：指为投资人办理基金份额申购、赎回或其他业务的工作日</w:t>
      </w:r>
    </w:p>
    <w:p w14:paraId="216D17E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封闭期：指本基金第一个封闭期的起始之日为基金合同生效日，结束之日为基金合同生效日所对应的一年后年度对日的前一日。第一个封闭期结束之后第一个工作日起进入第一个开放期，第二个封闭期的起始之日为第一个开放期结束之日次日，结束之日为第二个封闭期起始之日所对应的一年后年度对日的前一日，依此类推。本基金在封闭期内不办理申购与赎回业务，也不上市交易</w:t>
      </w:r>
    </w:p>
    <w:p w14:paraId="713B2DB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38、开放期：指本基金自封闭期结束之日的下一个工作日起进入开放期，期间可以办理申购及/或赎回业务。本基金每个开放</w:t>
      </w:r>
      <w:proofErr w:type="gramStart"/>
      <w:r>
        <w:rPr>
          <w:rFonts w:ascii="宋体" w:hAnsi="宋体"/>
          <w:sz w:val="24"/>
        </w:rPr>
        <w:t>期办理</w:t>
      </w:r>
      <w:proofErr w:type="gramEnd"/>
      <w:r>
        <w:rPr>
          <w:rFonts w:ascii="宋体" w:hAnsi="宋体"/>
          <w:sz w:val="24"/>
        </w:rPr>
        <w:t>申购或赎回业务的时间分别至少为2个工作日最长不超过10个工作日，开放期的具体时间以基金管理人届时公告为准，</w:t>
      </w:r>
      <w:proofErr w:type="gramStart"/>
      <w:r>
        <w:rPr>
          <w:rFonts w:ascii="宋体" w:hAnsi="宋体"/>
          <w:sz w:val="24"/>
        </w:rPr>
        <w:t>且基金</w:t>
      </w:r>
      <w:proofErr w:type="gramEnd"/>
      <w:r>
        <w:rPr>
          <w:rFonts w:ascii="宋体" w:hAnsi="宋体"/>
          <w:sz w:val="24"/>
        </w:rPr>
        <w:t>管理人最迟应于开放期开始前依照《信息披露办法》的规定进行公告。如封闭期结束后或在开放期内发生不可抗力或其他情形致使基金无法按时开放申购与赎回业务的，开放</w:t>
      </w:r>
      <w:proofErr w:type="gramStart"/>
      <w:r>
        <w:rPr>
          <w:rFonts w:ascii="宋体" w:hAnsi="宋体"/>
          <w:sz w:val="24"/>
        </w:rPr>
        <w:t>期时间</w:t>
      </w:r>
      <w:proofErr w:type="gramEnd"/>
      <w:r>
        <w:rPr>
          <w:rFonts w:ascii="宋体" w:hAnsi="宋体"/>
          <w:sz w:val="24"/>
        </w:rPr>
        <w:t>中止计算，在不可抗力或其他情形影响因素消除之日次</w:t>
      </w:r>
      <w:proofErr w:type="gramStart"/>
      <w:r>
        <w:rPr>
          <w:rFonts w:ascii="宋体" w:hAnsi="宋体"/>
          <w:sz w:val="24"/>
        </w:rPr>
        <w:t>一</w:t>
      </w:r>
      <w:proofErr w:type="gramEnd"/>
      <w:r>
        <w:rPr>
          <w:rFonts w:ascii="宋体" w:hAnsi="宋体"/>
          <w:sz w:val="24"/>
        </w:rPr>
        <w:t>工作日起，继续计算该开放期时间，直至满足开放期的时间要求</w:t>
      </w:r>
    </w:p>
    <w:p w14:paraId="0655D12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39、年度对日：指某一特定日期在后续日历年度中的对应日期，若该日历年度中不存在对应日期的，则该年度对日为该特定日期在后续日历年度中对应月度的最</w:t>
      </w:r>
      <w:r>
        <w:rPr>
          <w:rFonts w:ascii="宋体" w:hAnsi="宋体"/>
          <w:sz w:val="24"/>
        </w:rPr>
        <w:lastRenderedPageBreak/>
        <w:t>后一日。如该年度对日为非工作日的，则顺延至下一个工作日</w:t>
      </w:r>
    </w:p>
    <w:p w14:paraId="2545687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40、开放时间：指开放日基金接受申购、赎回或其他交易的时间段</w:t>
      </w:r>
    </w:p>
    <w:p w14:paraId="72C53F8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41、《业务规则》：指《交银施罗德基金管理有限公司开放式基金业务规则》，是规范基金管理人所管理的开放式证券投资基金登记方面的业务规则，由基金管理人和投资人共同遵守</w:t>
      </w:r>
    </w:p>
    <w:p w14:paraId="1423BF0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42、认购：指在基金募集期内，投资人根据基金合同和招募说明书的规定申请购买基金份额的行为</w:t>
      </w:r>
    </w:p>
    <w:p w14:paraId="3A64D31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43、申购：指基金合同生效后的开放期内，投资人根据基金合同和招募说明书的规定申请购买基金份额的行为</w:t>
      </w:r>
    </w:p>
    <w:p w14:paraId="4903589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44、赎回：指基金合同生效后的开放期内，基金份额持有人按基金合同和招募说明书规定的条件要求将基金份额兑换为现金的行为</w:t>
      </w:r>
    </w:p>
    <w:p w14:paraId="2069C7D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45、基金转换：指基金份额持有人按照基金合同和基金管理人届时有效公告规定的条件，申请将其持有基金管理人管理的、某一基金的基金份额转换为基金管理人管理的其他</w:t>
      </w:r>
      <w:proofErr w:type="gramStart"/>
      <w:r>
        <w:rPr>
          <w:rFonts w:ascii="宋体" w:hAnsi="宋体"/>
          <w:sz w:val="24"/>
        </w:rPr>
        <w:t>基金基金</w:t>
      </w:r>
      <w:proofErr w:type="gramEnd"/>
      <w:r>
        <w:rPr>
          <w:rFonts w:ascii="宋体" w:hAnsi="宋体"/>
          <w:sz w:val="24"/>
        </w:rPr>
        <w:t>份额的行为</w:t>
      </w:r>
    </w:p>
    <w:p w14:paraId="15250F3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46、转托管：指基金份额持有人在本基金的不同销售机构之间实施的变更所持基金份额销售机构的操作</w:t>
      </w:r>
    </w:p>
    <w:p w14:paraId="49C4EDE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2E83AC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巨额赎回：指本基金开放期单个开放日，基金净赎回申请（赎回申请份额总数加上基金转换中转出申请份额总数后扣除申购申请份额总数及基金转换中转入申请份额总数后的余额）超过上一工作日基金总份额的20%的情形</w:t>
      </w:r>
    </w:p>
    <w:p w14:paraId="42236EB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49、元：指人民币元</w:t>
      </w:r>
    </w:p>
    <w:p w14:paraId="645AF91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50、基金收益：指基金投资所得债券利息、买卖证券价差、银行存款利息、已实现的其他合法收入及因运用基金财产带来的成本和费用的节约</w:t>
      </w:r>
    </w:p>
    <w:p w14:paraId="11137B7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51、基金资产总值：指基金拥有的各类有价证券、银行存款本息、基金应收申购款及其他资产的价值总和</w:t>
      </w:r>
    </w:p>
    <w:p w14:paraId="33746B5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52、基金资产净值：指基金资产总值减去基金负债后的价值</w:t>
      </w:r>
    </w:p>
    <w:p w14:paraId="144673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53、基金份额净值：指计算日基金资产净值除以计算日基金份额总数</w:t>
      </w:r>
    </w:p>
    <w:p w14:paraId="6DC2E9A7"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54、基金资产估值：指计算评估基金资产和负债的价值，以确定基金资产净值</w:t>
      </w:r>
      <w:r>
        <w:rPr>
          <w:rFonts w:ascii="宋体" w:hAnsi="宋体"/>
          <w:sz w:val="24"/>
        </w:rPr>
        <w:lastRenderedPageBreak/>
        <w:t>和基金份额净值的过程</w:t>
      </w:r>
    </w:p>
    <w:p w14:paraId="698A95D7" w14:textId="77777777" w:rsidR="00647E97" w:rsidRPr="00E4243C" w:rsidRDefault="00022CF9" w:rsidP="00E4243C">
      <w:pPr>
        <w:autoSpaceDE w:val="0"/>
        <w:autoSpaceDN w:val="0"/>
        <w:adjustRightInd w:val="0"/>
        <w:snapToGrid w:val="0"/>
        <w:spacing w:line="360" w:lineRule="auto"/>
        <w:ind w:firstLineChars="200" w:firstLine="480"/>
        <w:jc w:val="left"/>
        <w:rPr>
          <w:rFonts w:ascii="宋体" w:hAnsi="宋体"/>
          <w:sz w:val="24"/>
        </w:rPr>
      </w:pPr>
      <w:r w:rsidRPr="00E4243C">
        <w:rPr>
          <w:rFonts w:ascii="宋体" w:hAnsi="宋体"/>
          <w:sz w:val="24"/>
        </w:rPr>
        <w:t>55、销售服务费：指从基金财产中计提的，用于本基金市场推广、销售以及基金份额持有人服务的费用</w:t>
      </w:r>
    </w:p>
    <w:p w14:paraId="04A341C9" w14:textId="77777777" w:rsidR="00647E97" w:rsidRPr="00E4243C" w:rsidRDefault="00022CF9" w:rsidP="00E4243C">
      <w:pPr>
        <w:autoSpaceDE w:val="0"/>
        <w:autoSpaceDN w:val="0"/>
        <w:adjustRightInd w:val="0"/>
        <w:snapToGrid w:val="0"/>
        <w:spacing w:line="360" w:lineRule="auto"/>
        <w:ind w:firstLineChars="200" w:firstLine="480"/>
        <w:jc w:val="left"/>
        <w:rPr>
          <w:rFonts w:ascii="宋体" w:hAnsi="宋体"/>
          <w:sz w:val="24"/>
        </w:rPr>
      </w:pPr>
      <w:r w:rsidRPr="00E4243C">
        <w:rPr>
          <w:rFonts w:ascii="宋体" w:hAnsi="宋体"/>
          <w:sz w:val="24"/>
        </w:rPr>
        <w:t>56、A类基金份额：指在投资人申购时收取申购费用且不从本类别基金资产中计</w:t>
      </w:r>
      <w:proofErr w:type="gramStart"/>
      <w:r w:rsidRPr="00E4243C">
        <w:rPr>
          <w:rFonts w:ascii="宋体" w:hAnsi="宋体"/>
          <w:sz w:val="24"/>
        </w:rPr>
        <w:t>提销售</w:t>
      </w:r>
      <w:proofErr w:type="gramEnd"/>
      <w:r w:rsidRPr="00E4243C">
        <w:rPr>
          <w:rFonts w:ascii="宋体" w:hAnsi="宋体"/>
          <w:sz w:val="24"/>
        </w:rPr>
        <w:t>服务费的基金份额</w:t>
      </w:r>
    </w:p>
    <w:p w14:paraId="061F65FC" w14:textId="77777777" w:rsidR="00647E97" w:rsidRDefault="00022CF9" w:rsidP="00E4243C">
      <w:pPr>
        <w:autoSpaceDE w:val="0"/>
        <w:autoSpaceDN w:val="0"/>
        <w:adjustRightInd w:val="0"/>
        <w:snapToGrid w:val="0"/>
        <w:spacing w:line="360" w:lineRule="auto"/>
        <w:ind w:firstLineChars="200" w:firstLine="480"/>
        <w:jc w:val="left"/>
        <w:rPr>
          <w:rFonts w:ascii="宋体" w:hAnsi="宋体"/>
          <w:szCs w:val="24"/>
        </w:rPr>
      </w:pPr>
      <w:r w:rsidRPr="00E4243C">
        <w:rPr>
          <w:rFonts w:ascii="宋体" w:hAnsi="宋体"/>
          <w:sz w:val="24"/>
        </w:rPr>
        <w:t>57、C类基金份额：指在投资人申购时不收取申购费用，并从本类别基金资产中计</w:t>
      </w:r>
      <w:proofErr w:type="gramStart"/>
      <w:r w:rsidRPr="00E4243C">
        <w:rPr>
          <w:rFonts w:ascii="宋体" w:hAnsi="宋体"/>
          <w:sz w:val="24"/>
        </w:rPr>
        <w:t>提销售</w:t>
      </w:r>
      <w:proofErr w:type="gramEnd"/>
      <w:r w:rsidRPr="00E4243C">
        <w:rPr>
          <w:rFonts w:ascii="宋体" w:hAnsi="宋体"/>
          <w:sz w:val="24"/>
        </w:rPr>
        <w:t>服务费的基金份额</w:t>
      </w:r>
    </w:p>
    <w:p w14:paraId="7D981D3B" w14:textId="18C0C823"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发起式基金：指符合《运作办法》和中国证监会规定的相关条件而募集、运作，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4FA65279" w14:textId="36CAA282"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发起资金：指基金管理人的股东资金、基金管理人固有资金、基金管理人高级管理人员或基金经理等人员参与认购的资金。发起资金认购本基金的金额不低于1000万元人民币，且发起资金认购的基金份额持有期限自基金合同生效日起不低于三年</w:t>
      </w:r>
    </w:p>
    <w:p w14:paraId="3AB6D77B" w14:textId="16C92D1F"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60、发起资金提供方：指以发起资金认购本基金且承诺以发起资金认购的基金份额持有期限不少于三年的基金管理人股东、基金管理人、基金管理人高级管理人员或基金经理等人员</w:t>
      </w:r>
    </w:p>
    <w:p w14:paraId="13755643" w14:textId="3ED4B436"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61、规定媒介：指符合中国证监会规定条件的用以进行信息披露的全国性报刊及《信息披露办法》规定的互联网网站（包括基金管理人网站、基金托管人网站、中国证监会基金电子披露网站）等媒介</w:t>
      </w:r>
    </w:p>
    <w:p w14:paraId="177B143F" w14:textId="01124D12"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62、流动性受限资产：指由于法律法规、监管、合同或操作障碍等原因无法以合理价格予以变现的资产，包括但不限于到期日在10个交易日以上的逆回购与银行定期存款（</w:t>
      </w:r>
      <w:proofErr w:type="gramStart"/>
      <w:r>
        <w:rPr>
          <w:rFonts w:ascii="宋体" w:hAnsi="宋体"/>
          <w:sz w:val="24"/>
        </w:rPr>
        <w:t>含协议</w:t>
      </w:r>
      <w:proofErr w:type="gramEnd"/>
      <w:r>
        <w:rPr>
          <w:rFonts w:ascii="宋体" w:hAnsi="宋体"/>
          <w:sz w:val="24"/>
        </w:rPr>
        <w:t>约定有条件提前支取的银行存款）、停牌股票、流通受限的新股及非公开发行股票、资产支持证券、因发行人债务违约无法进行转让或交易的债券等</w:t>
      </w:r>
    </w:p>
    <w:p w14:paraId="67C4686F" w14:textId="362349A9"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4E76953" w14:textId="02CDB2FD"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64、</w:t>
      </w:r>
      <w:proofErr w:type="gramStart"/>
      <w:r>
        <w:rPr>
          <w:rFonts w:ascii="宋体" w:hAnsi="宋体"/>
          <w:sz w:val="24"/>
        </w:rPr>
        <w:t>侧袋机制</w:t>
      </w:r>
      <w:proofErr w:type="gramEnd"/>
      <w:r>
        <w:rPr>
          <w:rFonts w:ascii="宋体" w:hAnsi="宋体"/>
          <w:sz w:val="24"/>
        </w:rPr>
        <w:t>：指将基金投资组合中的特定资产从原有账户分离至一个专门账户进行处置清算，目的在于有效隔离并化解风险，确保投资者得到公平对待，属于流动性风险管理工具。</w:t>
      </w:r>
      <w:proofErr w:type="gramStart"/>
      <w:r>
        <w:rPr>
          <w:rFonts w:ascii="宋体" w:hAnsi="宋体"/>
          <w:sz w:val="24"/>
        </w:rPr>
        <w:t>侧袋机制</w:t>
      </w:r>
      <w:proofErr w:type="gramEnd"/>
      <w:r>
        <w:rPr>
          <w:rFonts w:ascii="宋体" w:hAnsi="宋体"/>
          <w:sz w:val="24"/>
        </w:rPr>
        <w:t>实施期间，原有账户称为主袋账户，专门账户</w:t>
      </w:r>
      <w:proofErr w:type="gramStart"/>
      <w:r>
        <w:rPr>
          <w:rFonts w:ascii="宋体" w:hAnsi="宋体"/>
          <w:sz w:val="24"/>
        </w:rPr>
        <w:t>称为侧袋账户</w:t>
      </w:r>
      <w:proofErr w:type="gramEnd"/>
    </w:p>
    <w:p w14:paraId="6CC090C8" w14:textId="285843A4"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65、特定资产：包括：（一）无可参考的活跃市场价格且采用估值技术</w:t>
      </w:r>
      <w:proofErr w:type="gramStart"/>
      <w:r>
        <w:rPr>
          <w:rFonts w:ascii="宋体" w:hAnsi="宋体"/>
          <w:sz w:val="24"/>
        </w:rPr>
        <w:t>仍导致</w:t>
      </w:r>
      <w:proofErr w:type="gramEnd"/>
      <w:r>
        <w:rPr>
          <w:rFonts w:ascii="宋体" w:hAnsi="宋体"/>
          <w:sz w:val="24"/>
        </w:rPr>
        <w:t>公允价值存在重大不确定性的资产；（二）</w:t>
      </w:r>
      <w:proofErr w:type="gramStart"/>
      <w:r>
        <w:rPr>
          <w:rFonts w:ascii="宋体" w:hAnsi="宋体"/>
          <w:sz w:val="24"/>
        </w:rPr>
        <w:t>按摊余成本</w:t>
      </w:r>
      <w:proofErr w:type="gramEnd"/>
      <w:r>
        <w:rPr>
          <w:rFonts w:ascii="宋体" w:hAnsi="宋体"/>
          <w:sz w:val="24"/>
        </w:rPr>
        <w:t>计量且计提资产减值</w:t>
      </w:r>
      <w:proofErr w:type="gramStart"/>
      <w:r>
        <w:rPr>
          <w:rFonts w:ascii="宋体" w:hAnsi="宋体"/>
          <w:sz w:val="24"/>
        </w:rPr>
        <w:t>准备仍导致</w:t>
      </w:r>
      <w:proofErr w:type="gramEnd"/>
      <w:r>
        <w:rPr>
          <w:rFonts w:ascii="宋体" w:hAnsi="宋体"/>
          <w:sz w:val="24"/>
        </w:rPr>
        <w:t>资产价值存在重大不确定性的资产；（三）其他资产价值存在重大不确定性的资产</w:t>
      </w:r>
    </w:p>
    <w:p w14:paraId="327F3DC5" w14:textId="5D27B91B"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66、不可抗力：指基金合同当事人不能预见、不能避免且不能克服的客观事件</w:t>
      </w:r>
    </w:p>
    <w:p w14:paraId="567184CF"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C00D5A9" w14:textId="77777777" w:rsidR="00647E97" w:rsidRDefault="00022CF9">
      <w:pPr>
        <w:pStyle w:val="1"/>
        <w:snapToGrid w:val="0"/>
        <w:spacing w:beforeLines="0" w:before="240" w:after="240"/>
        <w:rPr>
          <w:rFonts w:ascii="宋体" w:hAnsi="宋体"/>
          <w:szCs w:val="30"/>
        </w:rPr>
      </w:pPr>
      <w:bookmarkStart w:id="5" w:name="_Toc193101042"/>
      <w:r>
        <w:rPr>
          <w:rFonts w:ascii="Times New Roman" w:hAnsi="Times New Roman"/>
          <w:sz w:val="30"/>
        </w:rPr>
        <w:lastRenderedPageBreak/>
        <w:t>三、基金管理人</w:t>
      </w:r>
      <w:bookmarkEnd w:id="5"/>
    </w:p>
    <w:p w14:paraId="271193C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685F1BE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3BE21E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02711C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05E1D2F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36809A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0946378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65CD58A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11CE453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141832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联系人：何佳妮</w:t>
      </w:r>
    </w:p>
    <w:p w14:paraId="39514FE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7F73177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7D59676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4A0" w:firstRow="1" w:lastRow="0" w:firstColumn="1" w:lastColumn="0" w:noHBand="0" w:noVBand="1"/>
      </w:tblPr>
      <w:tblGrid>
        <w:gridCol w:w="2162"/>
        <w:gridCol w:w="6488"/>
      </w:tblGrid>
      <w:tr w:rsidR="00647E97" w14:paraId="339F59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E00B5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5320FD39"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647E97" w14:paraId="3FDF0E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2691C0"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9B21510"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647E97" w14:paraId="4CF72F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36C074"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E820499"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647E97" w14:paraId="6A8E63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D8051E"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17491A9B"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738A4D5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1BC66B5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26107C9D"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张宏良先生，董事长，硕士，高级经济师。历任中国太平洋人寿保险公司乌鲁木齐分公司、河南（郑州）分公司、上海分公司党委书记、总经理，交银人寿保险有限公司党委书记、董事长、总裁，兼任交银康</w:t>
      </w:r>
      <w:proofErr w:type="gramStart"/>
      <w:r>
        <w:rPr>
          <w:rFonts w:ascii="宋体" w:hAnsi="宋体" w:hint="eastAsia"/>
          <w:sz w:val="24"/>
        </w:rPr>
        <w:t>联资产</w:t>
      </w:r>
      <w:proofErr w:type="gramEnd"/>
      <w:r>
        <w:rPr>
          <w:rFonts w:ascii="宋体" w:hAnsi="宋体" w:hint="eastAsia"/>
          <w:sz w:val="24"/>
        </w:rPr>
        <w:t>管理有限公司董事长，交银理财有限责任公司党委书记、董事长。</w:t>
      </w:r>
    </w:p>
    <w:p w14:paraId="6189599E"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夏华龙先生，董事，博士，现任交通银行选派子公司股权董事，历任交通银行</w:t>
      </w:r>
      <w:r>
        <w:rPr>
          <w:rFonts w:ascii="宋体" w:hAnsi="宋体" w:hint="eastAsia"/>
          <w:sz w:val="24"/>
        </w:rPr>
        <w:lastRenderedPageBreak/>
        <w:t>总行托管部基金业务部内控综合处副处长、资产委托高级经理、保险及养老金高级经理、资产托管部副总经理，交银施罗德基金管理有限公司党委委员、副总经理、首席信息官，交通银行总行养老金融部总经理。</w:t>
      </w:r>
    </w:p>
    <w:p w14:paraId="6D3FE048"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胡晓晖女士，董事，学士，现任交通银行总行监事会办公室副主任、资深专家，历任交通银行总行授信管理部副处长、处长，苏州分行副行长、高级信贷执行官，总行授信管理部副总经理。</w:t>
      </w:r>
    </w:p>
    <w:p w14:paraId="468C1AD9"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14:paraId="07EED7DE"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杜伟麒（Chris Durack）先生，董事，硕士。现任施罗德投资亚太区行政总裁。历任施罗德投资澳大利亚董事</w:t>
      </w:r>
      <w:proofErr w:type="gramStart"/>
      <w:r>
        <w:rPr>
          <w:rFonts w:ascii="宋体" w:hAnsi="宋体" w:hint="eastAsia"/>
          <w:sz w:val="24"/>
        </w:rPr>
        <w:t>兼产品</w:t>
      </w:r>
      <w:proofErr w:type="gramEnd"/>
      <w:r>
        <w:rPr>
          <w:rFonts w:ascii="宋体" w:hAnsi="宋体" w:hint="eastAsia"/>
          <w:sz w:val="24"/>
        </w:rPr>
        <w:t>及分销主管、香港行政总裁兼亚太区机构业务主管、澳大利亚行政总裁兼亚太区联席主管等职。</w:t>
      </w:r>
    </w:p>
    <w:p w14:paraId="70DC1BBD"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4721156D"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郝爱群女士，独立董事，学士。历任人民银行稽核司副处长、处长，合作司调研员，</w:t>
      </w:r>
      <w:proofErr w:type="gramStart"/>
      <w:r>
        <w:rPr>
          <w:rFonts w:ascii="宋体" w:hAnsi="宋体" w:hint="eastAsia"/>
          <w:sz w:val="24"/>
        </w:rPr>
        <w:t>非银司副</w:t>
      </w:r>
      <w:proofErr w:type="gramEnd"/>
      <w:r>
        <w:rPr>
          <w:rFonts w:ascii="宋体" w:hAnsi="宋体" w:hint="eastAsia"/>
          <w:sz w:val="24"/>
        </w:rPr>
        <w:t>巡视员、副司长，银监会</w:t>
      </w:r>
      <w:proofErr w:type="gramStart"/>
      <w:r>
        <w:rPr>
          <w:rFonts w:ascii="宋体" w:hAnsi="宋体" w:hint="eastAsia"/>
          <w:sz w:val="24"/>
        </w:rPr>
        <w:t>非银部副</w:t>
      </w:r>
      <w:proofErr w:type="gramEnd"/>
      <w:r>
        <w:rPr>
          <w:rFonts w:ascii="宋体" w:hAnsi="宋体" w:hint="eastAsia"/>
          <w:sz w:val="24"/>
        </w:rPr>
        <w:t>主任，银行监管一部副主任、巡视员，汇金公司派出董事。</w:t>
      </w:r>
    </w:p>
    <w:p w14:paraId="5B3FC280"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张子学先生，独立董事，博士。现任中国政法</w:t>
      </w:r>
      <w:proofErr w:type="gramStart"/>
      <w:r>
        <w:rPr>
          <w:rFonts w:ascii="宋体" w:hAnsi="宋体" w:hint="eastAsia"/>
          <w:sz w:val="24"/>
        </w:rPr>
        <w:t>大学民商经济</w:t>
      </w:r>
      <w:proofErr w:type="gramEnd"/>
      <w:r>
        <w:rPr>
          <w:rFonts w:ascii="宋体" w:hAnsi="宋体" w:hint="eastAsia"/>
          <w:sz w:val="24"/>
        </w:rPr>
        <w:t>法学院教授，兼任基金业协会自律监察委员会委员。历任证监会办公厅副处长、上市公司</w:t>
      </w:r>
      <w:proofErr w:type="gramStart"/>
      <w:r>
        <w:rPr>
          <w:rFonts w:ascii="宋体" w:hAnsi="宋体" w:hint="eastAsia"/>
          <w:sz w:val="24"/>
        </w:rPr>
        <w:t>监管部</w:t>
      </w:r>
      <w:proofErr w:type="gramEnd"/>
      <w:r>
        <w:rPr>
          <w:rFonts w:ascii="宋体" w:hAnsi="宋体" w:hint="eastAsia"/>
          <w:sz w:val="24"/>
        </w:rPr>
        <w:t>处长、行政处罚委员会专职委员、副主任审理员，兼任证监会上市公司并购重组审核委员会委员、行政复议委员会委员。</w:t>
      </w:r>
    </w:p>
    <w:p w14:paraId="3815826A"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黎建强先生，独立董事，博士，教育部长</w:t>
      </w:r>
      <w:proofErr w:type="gramStart"/>
      <w:r>
        <w:rPr>
          <w:rFonts w:ascii="宋体" w:hAnsi="宋体" w:hint="eastAsia"/>
          <w:sz w:val="24"/>
        </w:rPr>
        <w:t>江学者</w:t>
      </w:r>
      <w:proofErr w:type="gramEnd"/>
      <w:r>
        <w:rPr>
          <w:rFonts w:ascii="宋体" w:hAnsi="宋体" w:hint="eastAsia"/>
          <w:sz w:val="24"/>
        </w:rPr>
        <w:t>讲座教授。现任香港大学工业工程系荣誉教授，亚洲风险</w:t>
      </w:r>
      <w:proofErr w:type="gramStart"/>
      <w:r>
        <w:rPr>
          <w:rFonts w:ascii="宋体" w:hAnsi="宋体" w:hint="eastAsia"/>
          <w:sz w:val="24"/>
        </w:rPr>
        <w:t>及危机</w:t>
      </w:r>
      <w:proofErr w:type="gramEnd"/>
      <w:r>
        <w:rPr>
          <w:rFonts w:ascii="宋体" w:hAnsi="宋体" w:hint="eastAsia"/>
          <w:sz w:val="24"/>
        </w:rPr>
        <w:t>管理协会主席，兼任深交所上市的中联重科集团独立非执行董事。历任香港城市大学管理科学讲座教授，湖南省政协委员并兼任湖</w:t>
      </w:r>
      <w:r>
        <w:rPr>
          <w:rFonts w:ascii="宋体" w:hAnsi="宋体" w:hint="eastAsia"/>
          <w:sz w:val="24"/>
        </w:rPr>
        <w:lastRenderedPageBreak/>
        <w:t>南大学工商管理学院院长。</w:t>
      </w:r>
    </w:p>
    <w:p w14:paraId="2C38F526"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2、基金管理人监事会成员</w:t>
      </w:r>
    </w:p>
    <w:p w14:paraId="20218813"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林凯珊女士，监事，硕士。现任施罗德投资管理（香港）有限公司中国内地及中国香港法律部主管。历任香港证券及期货事务监察委员会发牌科经理、的</w:t>
      </w:r>
      <w:proofErr w:type="gramStart"/>
      <w:r>
        <w:rPr>
          <w:rFonts w:ascii="宋体" w:hAnsi="宋体" w:hint="eastAsia"/>
          <w:sz w:val="24"/>
        </w:rPr>
        <w:t>近律师</w:t>
      </w:r>
      <w:proofErr w:type="gramEnd"/>
      <w:r>
        <w:rPr>
          <w:rFonts w:ascii="宋体" w:hAnsi="宋体" w:hint="eastAsia"/>
          <w:sz w:val="24"/>
        </w:rPr>
        <w:t>行律师。</w:t>
      </w:r>
    </w:p>
    <w:p w14:paraId="416E0F81"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36559018"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w:t>
      </w:r>
      <w:proofErr w:type="gramStart"/>
      <w:r>
        <w:rPr>
          <w:rFonts w:ascii="宋体" w:hAnsi="宋体" w:hint="eastAsia"/>
          <w:sz w:val="24"/>
        </w:rPr>
        <w:t>兼产品</w:t>
      </w:r>
      <w:proofErr w:type="gramEnd"/>
      <w:r>
        <w:rPr>
          <w:rFonts w:ascii="宋体" w:hAnsi="宋体" w:hint="eastAsia"/>
          <w:sz w:val="24"/>
        </w:rPr>
        <w:t>开发部总经理。</w:t>
      </w:r>
    </w:p>
    <w:p w14:paraId="0B85C675"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3、基金管理人高级管理人员</w:t>
      </w:r>
    </w:p>
    <w:p w14:paraId="261B32E6"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谢卫先生，总经理。简历同上。</w:t>
      </w:r>
    </w:p>
    <w:p w14:paraId="7C7C6476"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宋体" w:hAnsi="宋体" w:hint="eastAsia"/>
          <w:sz w:val="24"/>
        </w:rPr>
        <w:t>风控副</w:t>
      </w:r>
      <w:proofErr w:type="gramEnd"/>
      <w:r>
        <w:rPr>
          <w:rFonts w:ascii="宋体" w:hAnsi="宋体" w:hint="eastAsia"/>
          <w:sz w:val="24"/>
        </w:rPr>
        <w:t>总监、投资运营总监。</w:t>
      </w:r>
    </w:p>
    <w:p w14:paraId="4B270AF0"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33DB6DA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3F1F8F6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14:paraId="38CC5C5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女士:基金经理。天津大学数量经济学硕士、经济学学士，19年证券投资行业从业经验。2004年至2006年任北方国际信托投资股份有限公司固定收益研究员，2006年至2010年任光大保德信基金管理有限公司交易员、基金经理助理、基金经理，2010年至</w:t>
      </w:r>
      <w:proofErr w:type="gramStart"/>
      <w:r>
        <w:rPr>
          <w:rFonts w:ascii="宋体" w:hAnsi="宋体"/>
          <w:sz w:val="24"/>
        </w:rPr>
        <w:t>2014年任银华</w:t>
      </w:r>
      <w:proofErr w:type="gramEnd"/>
      <w:r>
        <w:rPr>
          <w:rFonts w:ascii="宋体" w:hAnsi="宋体"/>
          <w:sz w:val="24"/>
        </w:rPr>
        <w:t>基金管理有限公司基金经理，2014年至2016年任五</w:t>
      </w:r>
      <w:proofErr w:type="gramStart"/>
      <w:r>
        <w:rPr>
          <w:rFonts w:ascii="宋体" w:hAnsi="宋体"/>
          <w:sz w:val="24"/>
        </w:rPr>
        <w:t>矿</w:t>
      </w:r>
      <w:r>
        <w:rPr>
          <w:rFonts w:ascii="宋体" w:hAnsi="宋体"/>
          <w:sz w:val="24"/>
        </w:rPr>
        <w:lastRenderedPageBreak/>
        <w:t>证券</w:t>
      </w:r>
      <w:proofErr w:type="gramEnd"/>
      <w:r>
        <w:rPr>
          <w:rFonts w:ascii="宋体" w:hAnsi="宋体"/>
          <w:sz w:val="24"/>
        </w:rPr>
        <w:t>有限公司固定收益事业部投资管理部总经理。于2007年11月9日至2010年8月30日任光大保德</w:t>
      </w:r>
      <w:proofErr w:type="gramStart"/>
      <w:r>
        <w:rPr>
          <w:rFonts w:ascii="宋体" w:hAnsi="宋体"/>
          <w:sz w:val="24"/>
        </w:rPr>
        <w:t>信货</w:t>
      </w:r>
      <w:proofErr w:type="gramEnd"/>
      <w:r>
        <w:rPr>
          <w:rFonts w:ascii="宋体" w:hAnsi="宋体"/>
          <w:sz w:val="24"/>
        </w:rPr>
        <w:t>币市场</w:t>
      </w:r>
      <w:proofErr w:type="gramStart"/>
      <w:r>
        <w:rPr>
          <w:rFonts w:ascii="宋体" w:hAnsi="宋体"/>
          <w:sz w:val="24"/>
        </w:rPr>
        <w:t>基金基金</w:t>
      </w:r>
      <w:proofErr w:type="gramEnd"/>
      <w:r>
        <w:rPr>
          <w:rFonts w:ascii="宋体" w:hAnsi="宋体"/>
          <w:sz w:val="24"/>
        </w:rPr>
        <w:t>经理，2008年10月29日至2010年8月30日任光大保德信增利收益债券型证券投资</w:t>
      </w:r>
      <w:proofErr w:type="gramStart"/>
      <w:r>
        <w:rPr>
          <w:rFonts w:ascii="宋体" w:hAnsi="宋体"/>
          <w:sz w:val="24"/>
        </w:rPr>
        <w:t>基金基金</w:t>
      </w:r>
      <w:proofErr w:type="gramEnd"/>
      <w:r>
        <w:rPr>
          <w:rFonts w:ascii="宋体" w:hAnsi="宋体"/>
          <w:sz w:val="24"/>
        </w:rPr>
        <w:t>经理，2011年6月28日至</w:t>
      </w:r>
      <w:proofErr w:type="gramStart"/>
      <w:r>
        <w:rPr>
          <w:rFonts w:ascii="宋体" w:hAnsi="宋体"/>
          <w:sz w:val="24"/>
        </w:rPr>
        <w:t>2013年6月16日任银华永祥</w:t>
      </w:r>
      <w:proofErr w:type="gramEnd"/>
      <w:r>
        <w:rPr>
          <w:rFonts w:ascii="宋体" w:hAnsi="宋体"/>
          <w:sz w:val="24"/>
        </w:rPr>
        <w:t>保本混合型证券投资</w:t>
      </w:r>
      <w:proofErr w:type="gramStart"/>
      <w:r>
        <w:rPr>
          <w:rFonts w:ascii="宋体" w:hAnsi="宋体"/>
          <w:sz w:val="24"/>
        </w:rPr>
        <w:t>基金基金</w:t>
      </w:r>
      <w:proofErr w:type="gramEnd"/>
      <w:r>
        <w:rPr>
          <w:rFonts w:ascii="宋体" w:hAnsi="宋体"/>
          <w:sz w:val="24"/>
        </w:rPr>
        <w:t>经理，2011年8月2日至</w:t>
      </w:r>
      <w:proofErr w:type="gramStart"/>
      <w:r>
        <w:rPr>
          <w:rFonts w:ascii="宋体" w:hAnsi="宋体"/>
          <w:sz w:val="24"/>
        </w:rPr>
        <w:t>2014年4月24日任银华</w:t>
      </w:r>
      <w:proofErr w:type="gramEnd"/>
      <w:r>
        <w:rPr>
          <w:rFonts w:ascii="宋体" w:hAnsi="宋体"/>
          <w:sz w:val="24"/>
        </w:rPr>
        <w:t>货币市场证券投资</w:t>
      </w:r>
      <w:proofErr w:type="gramStart"/>
      <w:r>
        <w:rPr>
          <w:rFonts w:ascii="宋体" w:hAnsi="宋体"/>
          <w:sz w:val="24"/>
        </w:rPr>
        <w:t>基金基金</w:t>
      </w:r>
      <w:proofErr w:type="gramEnd"/>
      <w:r>
        <w:rPr>
          <w:rFonts w:ascii="宋体" w:hAnsi="宋体"/>
          <w:sz w:val="24"/>
        </w:rPr>
        <w:t>经理,2012年8月9日至2014年10月7日</w:t>
      </w:r>
      <w:proofErr w:type="gramStart"/>
      <w:r>
        <w:rPr>
          <w:rFonts w:ascii="宋体" w:hAnsi="宋体"/>
          <w:sz w:val="24"/>
        </w:rPr>
        <w:t>任银华纯债</w:t>
      </w:r>
      <w:proofErr w:type="gramEnd"/>
      <w:r>
        <w:rPr>
          <w:rFonts w:ascii="宋体" w:hAnsi="宋体"/>
          <w:sz w:val="24"/>
        </w:rPr>
        <w:t>信用主题债券型证券投资基金（LOF）基金经理，2013年4月1日至2014年4月24日</w:t>
      </w:r>
      <w:proofErr w:type="gramStart"/>
      <w:r>
        <w:rPr>
          <w:rFonts w:ascii="宋体" w:hAnsi="宋体"/>
          <w:sz w:val="24"/>
        </w:rPr>
        <w:t>任银华交易</w:t>
      </w:r>
      <w:proofErr w:type="gramEnd"/>
      <w:r>
        <w:rPr>
          <w:rFonts w:ascii="宋体" w:hAnsi="宋体"/>
          <w:sz w:val="24"/>
        </w:rPr>
        <w:t>型货币市场</w:t>
      </w:r>
      <w:proofErr w:type="gramStart"/>
      <w:r>
        <w:rPr>
          <w:rFonts w:ascii="宋体" w:hAnsi="宋体"/>
          <w:sz w:val="24"/>
        </w:rPr>
        <w:t>基金基金</w:t>
      </w:r>
      <w:proofErr w:type="gramEnd"/>
      <w:r>
        <w:rPr>
          <w:rFonts w:ascii="宋体" w:hAnsi="宋体"/>
          <w:sz w:val="24"/>
        </w:rPr>
        <w:t>经理，2013年8月7日至</w:t>
      </w:r>
      <w:proofErr w:type="gramStart"/>
      <w:r>
        <w:rPr>
          <w:rFonts w:ascii="宋体" w:hAnsi="宋体"/>
          <w:sz w:val="24"/>
        </w:rPr>
        <w:t>2014年10月7日任银华</w:t>
      </w:r>
      <w:proofErr w:type="gramEnd"/>
      <w:r>
        <w:rPr>
          <w:rFonts w:ascii="宋体" w:hAnsi="宋体"/>
          <w:sz w:val="24"/>
        </w:rPr>
        <w:t>信用四季红债券型证券投资</w:t>
      </w:r>
      <w:proofErr w:type="gramStart"/>
      <w:r>
        <w:rPr>
          <w:rFonts w:ascii="宋体" w:hAnsi="宋体"/>
          <w:sz w:val="24"/>
        </w:rPr>
        <w:t>基金基金</w:t>
      </w:r>
      <w:proofErr w:type="gramEnd"/>
      <w:r>
        <w:rPr>
          <w:rFonts w:ascii="宋体" w:hAnsi="宋体"/>
          <w:sz w:val="24"/>
        </w:rPr>
        <w:t>经理，2013年9月18日至</w:t>
      </w:r>
      <w:proofErr w:type="gramStart"/>
      <w:r>
        <w:rPr>
          <w:rFonts w:ascii="宋体" w:hAnsi="宋体"/>
          <w:sz w:val="24"/>
        </w:rPr>
        <w:t>2014年10月7日任银华</w:t>
      </w:r>
      <w:proofErr w:type="gramEnd"/>
      <w:r>
        <w:rPr>
          <w:rFonts w:ascii="宋体" w:hAnsi="宋体"/>
          <w:sz w:val="24"/>
        </w:rPr>
        <w:t>信用季季红债券型证券投资</w:t>
      </w:r>
      <w:proofErr w:type="gramStart"/>
      <w:r>
        <w:rPr>
          <w:rFonts w:ascii="宋体" w:hAnsi="宋体"/>
          <w:sz w:val="24"/>
        </w:rPr>
        <w:t>基金基金</w:t>
      </w:r>
      <w:proofErr w:type="gramEnd"/>
      <w:r>
        <w:rPr>
          <w:rFonts w:ascii="宋体" w:hAnsi="宋体"/>
          <w:sz w:val="24"/>
        </w:rPr>
        <w:t>经理，2014年5月8日至</w:t>
      </w:r>
      <w:proofErr w:type="gramStart"/>
      <w:r>
        <w:rPr>
          <w:rFonts w:ascii="宋体" w:hAnsi="宋体"/>
          <w:sz w:val="24"/>
        </w:rPr>
        <w:t>2014年10月7日任银华</w:t>
      </w:r>
      <w:proofErr w:type="gramEnd"/>
      <w:r>
        <w:rPr>
          <w:rFonts w:ascii="宋体" w:hAnsi="宋体"/>
          <w:sz w:val="24"/>
        </w:rPr>
        <w:t>信用债券型证券投资基金(LOF)基金经理。2016年加入交银施罗德基金管理有限公司，曾</w:t>
      </w:r>
      <w:proofErr w:type="gramStart"/>
      <w:r>
        <w:rPr>
          <w:rFonts w:ascii="宋体" w:hAnsi="宋体"/>
          <w:sz w:val="24"/>
        </w:rPr>
        <w:t>任固定</w:t>
      </w:r>
      <w:proofErr w:type="gramEnd"/>
      <w:r>
        <w:rPr>
          <w:rFonts w:ascii="宋体" w:hAnsi="宋体"/>
          <w:sz w:val="24"/>
        </w:rPr>
        <w:t>收益（公募）投资总监，现任混合资产投资总监兼多元资产管理总监、基金经理。</w:t>
      </w:r>
      <w:proofErr w:type="gramStart"/>
      <w:r>
        <w:rPr>
          <w:rFonts w:ascii="宋体" w:hAnsi="宋体"/>
          <w:sz w:val="24"/>
        </w:rPr>
        <w:t>曾任交银</w:t>
      </w:r>
      <w:proofErr w:type="gramEnd"/>
      <w:r>
        <w:rPr>
          <w:rFonts w:ascii="宋体" w:hAnsi="宋体"/>
          <w:sz w:val="24"/>
        </w:rPr>
        <w:t>施罗德丰盈收益债券型证券投资基金(2016年12月29日至2020年08月21日)、交银施罗德增利增强债券型证券投资基金(2017年06月10日至2019年03月15日)、交银施罗德稳固收益债券型证券投资基金(2017年06月10日至2019年03月15日)、交银施罗德增利债券证券投资基金(2017年06月10日至2020年08月21日)、交银施罗德增强收益债券型证券投资基金(2017年06月10日至2019年03月15日)、交银施罗德丰硕收益债券型证券投资基金(2017年06月10日至2018年07月19日)、交银施罗德荣鑫灵活配置混合型证券投资基金(2017年06月10日至2019年03月15日)、交银施罗德定期支付月月丰债券型证券投资基金(2017年06月10日至2019年03月14日)、交银施罗德强化回报债券型证券投资基金(2017年06月10日至2019年03月14日)、交银施罗德</w:t>
      </w:r>
      <w:proofErr w:type="gramStart"/>
      <w:r>
        <w:rPr>
          <w:rFonts w:ascii="宋体" w:hAnsi="宋体"/>
          <w:sz w:val="24"/>
        </w:rPr>
        <w:t>裕如纯债债券</w:t>
      </w:r>
      <w:proofErr w:type="gramEnd"/>
      <w:r>
        <w:rPr>
          <w:rFonts w:ascii="宋体" w:hAnsi="宋体"/>
          <w:sz w:val="24"/>
        </w:rPr>
        <w:t>型证券投资基金(2018年05月25日至2021年01月15日)、交银施罗德裕泰两年定期开放债券型证券投资基金(2019年12月10日至2024年04月12日)、交银施罗德鸿福六个月持有期混合型证券投资基金(2021年03月30日至2025年01月24日)、交银施罗德</w:t>
      </w:r>
      <w:proofErr w:type="gramStart"/>
      <w:r>
        <w:rPr>
          <w:rFonts w:ascii="宋体" w:hAnsi="宋体"/>
          <w:sz w:val="24"/>
        </w:rPr>
        <w:t>裕如纯债债券</w:t>
      </w:r>
      <w:proofErr w:type="gramEnd"/>
      <w:r>
        <w:rPr>
          <w:rFonts w:ascii="宋体" w:hAnsi="宋体"/>
          <w:sz w:val="24"/>
        </w:rPr>
        <w:t>型证券投资基金(2023年09月07日至2024年11月23日)的基金经理。现任交银</w:t>
      </w:r>
      <w:proofErr w:type="gramStart"/>
      <w:r>
        <w:rPr>
          <w:rFonts w:ascii="宋体" w:hAnsi="宋体"/>
          <w:sz w:val="24"/>
        </w:rPr>
        <w:t>施罗德纯债债券</w:t>
      </w:r>
      <w:proofErr w:type="gramEnd"/>
      <w:r>
        <w:rPr>
          <w:rFonts w:ascii="宋体" w:hAnsi="宋体"/>
          <w:sz w:val="24"/>
        </w:rPr>
        <w:t>型发起式证券投资基金(2017年06月10日至今)、交银施罗德丰晟收益债券型证券投资基金(2018年05月23日至今)、交银施罗德</w:t>
      </w:r>
      <w:proofErr w:type="gramStart"/>
      <w:r>
        <w:rPr>
          <w:rFonts w:ascii="宋体" w:hAnsi="宋体"/>
          <w:sz w:val="24"/>
        </w:rPr>
        <w:t>裕坤纯债</w:t>
      </w:r>
      <w:proofErr w:type="gramEnd"/>
      <w:r>
        <w:rPr>
          <w:rFonts w:ascii="宋体" w:hAnsi="宋体"/>
          <w:sz w:val="24"/>
        </w:rPr>
        <w:t>一年定期开放债券型发起式证券投资基金(2019年12月26日至今)、交银施罗德鸿光一年持有期混合型证券投资基金(2021年03月08日至今)、交银施罗德鸿信一年持有期混合型证券投资基金(2021年08月06日至今)、交银施罗德鸿泰一年持有期混合型证券投资基金(2021年11月24日至今)、交银施罗德</w:t>
      </w:r>
      <w:proofErr w:type="gramStart"/>
      <w:r>
        <w:rPr>
          <w:rFonts w:ascii="宋体" w:hAnsi="宋体"/>
          <w:sz w:val="24"/>
        </w:rPr>
        <w:t>裕盈纯债</w:t>
      </w:r>
      <w:proofErr w:type="gramEnd"/>
      <w:r>
        <w:rPr>
          <w:rFonts w:ascii="宋体" w:hAnsi="宋体"/>
          <w:sz w:val="24"/>
        </w:rPr>
        <w:lastRenderedPageBreak/>
        <w:t>债券型证券投资基金(2022年11月12日至今)、交银施罗德</w:t>
      </w:r>
      <w:proofErr w:type="gramStart"/>
      <w:r>
        <w:rPr>
          <w:rFonts w:ascii="宋体" w:hAnsi="宋体"/>
          <w:sz w:val="24"/>
        </w:rPr>
        <w:t>裕道纯债</w:t>
      </w:r>
      <w:proofErr w:type="gramEnd"/>
      <w:r>
        <w:rPr>
          <w:rFonts w:ascii="宋体" w:hAnsi="宋体"/>
          <w:sz w:val="24"/>
        </w:rPr>
        <w:t>一年定期开放债券型发起式证券投资基金(2024年03月29日至今)、交银施罗德裕</w:t>
      </w:r>
      <w:proofErr w:type="gramStart"/>
      <w:r>
        <w:rPr>
          <w:rFonts w:ascii="宋体" w:hAnsi="宋体"/>
          <w:sz w:val="24"/>
        </w:rPr>
        <w:t>通纯债</w:t>
      </w:r>
      <w:proofErr w:type="gramEnd"/>
      <w:r>
        <w:rPr>
          <w:rFonts w:ascii="宋体" w:hAnsi="宋体"/>
          <w:sz w:val="24"/>
        </w:rPr>
        <w:t>债券型证券投资基金(2024年12月17日至今)的基金经理。</w:t>
      </w:r>
    </w:p>
    <w:p w14:paraId="1300841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苏建文女士: 基金经理。上海交通大学金融学硕士、北京大学国际政治经济学学士。6年证券投资行业从业经验。2019年加入交银施罗德基金管理有限公司，曾</w:t>
      </w:r>
      <w:proofErr w:type="gramStart"/>
      <w:r>
        <w:rPr>
          <w:rFonts w:ascii="宋体" w:hAnsi="宋体"/>
          <w:sz w:val="24"/>
        </w:rPr>
        <w:t>任固定</w:t>
      </w:r>
      <w:proofErr w:type="gramEnd"/>
      <w:r>
        <w:rPr>
          <w:rFonts w:ascii="宋体" w:hAnsi="宋体"/>
          <w:sz w:val="24"/>
        </w:rPr>
        <w:t>收益部研究员、基金经理助理、混合资产投资</w:t>
      </w:r>
      <w:proofErr w:type="gramStart"/>
      <w:r>
        <w:rPr>
          <w:rFonts w:ascii="宋体" w:hAnsi="宋体"/>
          <w:sz w:val="24"/>
        </w:rPr>
        <w:t>部基金</w:t>
      </w:r>
      <w:proofErr w:type="gramEnd"/>
      <w:r>
        <w:rPr>
          <w:rFonts w:ascii="宋体" w:hAnsi="宋体"/>
          <w:sz w:val="24"/>
        </w:rPr>
        <w:t>经理助理，现任混合资产投资</w:t>
      </w:r>
      <w:proofErr w:type="gramStart"/>
      <w:r>
        <w:rPr>
          <w:rFonts w:ascii="宋体" w:hAnsi="宋体"/>
          <w:sz w:val="24"/>
        </w:rPr>
        <w:t>部基金</w:t>
      </w:r>
      <w:proofErr w:type="gramEnd"/>
      <w:r>
        <w:rPr>
          <w:rFonts w:ascii="宋体" w:hAnsi="宋体"/>
          <w:sz w:val="24"/>
        </w:rPr>
        <w:t>经理。现任交银施罗德中债0-3年政策性金融</w:t>
      </w:r>
      <w:proofErr w:type="gramStart"/>
      <w:r>
        <w:rPr>
          <w:rFonts w:ascii="宋体" w:hAnsi="宋体"/>
          <w:sz w:val="24"/>
        </w:rPr>
        <w:t>债指数</w:t>
      </w:r>
      <w:proofErr w:type="gramEnd"/>
      <w:r>
        <w:rPr>
          <w:rFonts w:ascii="宋体" w:hAnsi="宋体"/>
          <w:sz w:val="24"/>
        </w:rPr>
        <w:t>证券投资基金(2025年01月23日至今)、交银施罗德中债1-3年政策性金融</w:t>
      </w:r>
      <w:proofErr w:type="gramStart"/>
      <w:r>
        <w:rPr>
          <w:rFonts w:ascii="宋体" w:hAnsi="宋体"/>
          <w:sz w:val="24"/>
        </w:rPr>
        <w:t>债指数</w:t>
      </w:r>
      <w:proofErr w:type="gramEnd"/>
      <w:r>
        <w:rPr>
          <w:rFonts w:ascii="宋体" w:hAnsi="宋体"/>
          <w:sz w:val="24"/>
        </w:rPr>
        <w:t>证券投资基金(2025年01月23日至今)、交银施罗德丰润收益债券型证券投资基金(2025年01月23日至今)、交银施罗德中债1-3年农发行债券指数证券投资基金(2025年01月23日至今)、交银施罗德</w:t>
      </w:r>
      <w:proofErr w:type="gramStart"/>
      <w:r>
        <w:rPr>
          <w:rFonts w:ascii="宋体" w:hAnsi="宋体"/>
          <w:sz w:val="24"/>
        </w:rPr>
        <w:t>裕盈纯债</w:t>
      </w:r>
      <w:proofErr w:type="gramEnd"/>
      <w:r>
        <w:rPr>
          <w:rFonts w:ascii="宋体" w:hAnsi="宋体"/>
          <w:sz w:val="24"/>
        </w:rPr>
        <w:t>债券型证券投资基金(2025年01月23日至今)、交银施罗德裕泰两年定期开放债券型证券投资基金(2025年01月23日至今)、交银施罗德</w:t>
      </w:r>
      <w:proofErr w:type="gramStart"/>
      <w:r>
        <w:rPr>
          <w:rFonts w:ascii="宋体" w:hAnsi="宋体"/>
          <w:sz w:val="24"/>
        </w:rPr>
        <w:t>裕道纯债</w:t>
      </w:r>
      <w:proofErr w:type="gramEnd"/>
      <w:r>
        <w:rPr>
          <w:rFonts w:ascii="宋体" w:hAnsi="宋体"/>
          <w:sz w:val="24"/>
        </w:rPr>
        <w:t>一年定期开放债券型发起式证券投资基金(2025年03月15日至今)的基金经理。</w:t>
      </w:r>
    </w:p>
    <w:p w14:paraId="15D7A56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0CF0DB0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季参平先生(2022年03月29日至2025年01月15日)。</w:t>
      </w:r>
    </w:p>
    <w:p w14:paraId="0F0F4C0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58E449A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48EABD2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7068269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王少成（权益部一级专家、基金经理）</w:t>
      </w:r>
    </w:p>
    <w:p w14:paraId="669D2E0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于海颖（混合资产投资总监兼多元资产管理总监、基金经理）</w:t>
      </w:r>
    </w:p>
    <w:p w14:paraId="36FB547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21E74B4C" w14:textId="77777777" w:rsidR="00E74945"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马韬（研究总监）</w:t>
      </w:r>
    </w:p>
    <w:p w14:paraId="6A0DC943" w14:textId="7E2D10B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上述人员之间不存在近亲属关系，上述各项人员信息更新截止日为2025年04月08日，期后变动（如有）敬请关注基金管理人发布的相关公告。</w:t>
      </w:r>
    </w:p>
    <w:p w14:paraId="2DEF102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474B182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26E9AF2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DF0A2E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43A7A72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w:t>
      </w:r>
      <w:r>
        <w:rPr>
          <w:rFonts w:ascii="宋体" w:hAnsi="宋体"/>
          <w:sz w:val="24"/>
        </w:rPr>
        <w:lastRenderedPageBreak/>
        <w:t>收益；</w:t>
      </w:r>
    </w:p>
    <w:p w14:paraId="11C3840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14AC5DE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339C2A1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0907516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78CBAEB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38FAA6C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02DDFE4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1970FB0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1E5A2FF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04EE854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4D7B9BE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1A18E61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83F5C1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41BCBB7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0071A22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226649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4917AD8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2C67DD4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279FEF5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3DAE9A1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6E59BC3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0395963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1CB0A3E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2、不利用职务之便为自己、受雇人或任何第三者谋取利益；</w:t>
      </w:r>
    </w:p>
    <w:p w14:paraId="3F8CD2A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1879FC3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1ACD1ED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4A24468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6CB202D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42366C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5D2B434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5FBFCF5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5C82BF7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EF8C15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481D7FB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2EB9854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1E3A703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42F0117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EDB35D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0AAD154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2D162A0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4656EAD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0F7D137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14:paraId="4C60039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lastRenderedPageBreak/>
        <w:t>性审议；对公司资产与基金资产的经营进行评估。</w:t>
      </w:r>
    </w:p>
    <w:p w14:paraId="1A765F0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4A2902C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225BBD8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34835B0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2E47299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7B12E20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1E767A3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423B6F1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14:paraId="7D20A5E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（8）内控合</w:t>
      </w:r>
      <w:proofErr w:type="gramStart"/>
      <w:r>
        <w:rPr>
          <w:rFonts w:ascii="宋体" w:hAnsi="宋体"/>
          <w:sz w:val="24"/>
        </w:rPr>
        <w:t>规</w:t>
      </w:r>
      <w:proofErr w:type="gramEnd"/>
      <w:r>
        <w:rPr>
          <w:rFonts w:ascii="宋体" w:hAnsi="宋体"/>
          <w:sz w:val="24"/>
        </w:rPr>
        <w:t>及法律事务部</w:t>
      </w:r>
    </w:p>
    <w:p w14:paraId="6889A11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内控合</w:t>
      </w:r>
      <w:proofErr w:type="gramStart"/>
      <w:r>
        <w:rPr>
          <w:rFonts w:ascii="宋体" w:hAnsi="宋体"/>
          <w:sz w:val="24"/>
        </w:rPr>
        <w:t>规</w:t>
      </w:r>
      <w:proofErr w:type="gramEnd"/>
      <w:r>
        <w:rPr>
          <w:rFonts w:ascii="宋体" w:hAnsi="宋体"/>
          <w:sz w:val="24"/>
        </w:rPr>
        <w:t>及法律事务部负责公司的法律、内控合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事务及协调实施信息披露事务，依法维护公司合法权益，评估并处理公司运营中发生的法律、内控合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14:paraId="02F64AF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3DA6F4D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490BD9C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66ADEFC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39D441E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w:t>
      </w:r>
      <w:r>
        <w:rPr>
          <w:rFonts w:ascii="宋体" w:hAnsi="宋体"/>
          <w:sz w:val="24"/>
        </w:rPr>
        <w:lastRenderedPageBreak/>
        <w:t>备操作手册，并定期更新。</w:t>
      </w:r>
    </w:p>
    <w:p w14:paraId="1EF196A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352E87E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5520519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53E772F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713318E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504FD46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14:paraId="21933B0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284C07F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07DB07D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78C9A7C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6B35D50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0B3B659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00B5DE54"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C1EE906" w14:textId="77777777" w:rsidR="00647E97" w:rsidRDefault="00022CF9">
      <w:pPr>
        <w:pStyle w:val="1"/>
        <w:snapToGrid w:val="0"/>
        <w:spacing w:beforeLines="0" w:before="240" w:after="240"/>
        <w:rPr>
          <w:rFonts w:ascii="宋体" w:hAnsi="宋体"/>
          <w:szCs w:val="30"/>
        </w:rPr>
      </w:pPr>
      <w:bookmarkStart w:id="6" w:name="_Toc193101043"/>
      <w:r>
        <w:rPr>
          <w:rFonts w:ascii="Times New Roman" w:hAnsi="Times New Roman"/>
          <w:sz w:val="30"/>
        </w:rPr>
        <w:lastRenderedPageBreak/>
        <w:t>四、基金托管人</w:t>
      </w:r>
      <w:bookmarkEnd w:id="6"/>
    </w:p>
    <w:p w14:paraId="28DE60FA"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（一）基金托管人情况</w:t>
      </w:r>
    </w:p>
    <w:p w14:paraId="763B14E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539F04E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名称：兴业银行股份有限公司</w:t>
      </w:r>
    </w:p>
    <w:p w14:paraId="168C7B0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注册地址：福建省福州市台江区江滨中大道398号兴业银行大厦</w:t>
      </w:r>
    </w:p>
    <w:p w14:paraId="26584BE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办公地址：上海市银城路167号</w:t>
      </w:r>
    </w:p>
    <w:p w14:paraId="2463C12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21F56A1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5EF35F9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成立日期：1988年8月22日</w:t>
      </w:r>
    </w:p>
    <w:p w14:paraId="39A764B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批准设立机关和批准设立文号：中国人民银行总行，银复[1988]347号</w:t>
      </w:r>
    </w:p>
    <w:p w14:paraId="65CFD58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w:t>
      </w:r>
      <w:proofErr w:type="gramStart"/>
      <w:r>
        <w:rPr>
          <w:rFonts w:ascii="宋体" w:hAnsi="宋体"/>
          <w:sz w:val="24"/>
        </w:rPr>
        <w:t>监基金字</w:t>
      </w:r>
      <w:proofErr w:type="gramEnd"/>
      <w:r>
        <w:rPr>
          <w:rFonts w:ascii="宋体" w:hAnsi="宋体"/>
          <w:sz w:val="24"/>
        </w:rPr>
        <w:t>[2005]74号</w:t>
      </w:r>
    </w:p>
    <w:p w14:paraId="713EE74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153C06E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注册资本：207.74亿元人民币</w:t>
      </w:r>
    </w:p>
    <w:p w14:paraId="3AE0CF7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D83C70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2、发展概况及财务状况</w:t>
      </w:r>
    </w:p>
    <w:p w14:paraId="2376ECE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成立于1988年8月，是经国务院、中国人民银行批准成立的首批股份制商业银行之一，总行设在福建省福州市，2007年2月5日正式在上海证券交易所挂牌上市（股票代码：601166），注册资本207.74亿元。截至2024年6月30日，兴业银行资产总额达10.35</w:t>
      </w:r>
      <w:proofErr w:type="gramStart"/>
      <w:r>
        <w:rPr>
          <w:rFonts w:ascii="宋体" w:hAnsi="宋体"/>
          <w:sz w:val="24"/>
        </w:rPr>
        <w:t>万亿</w:t>
      </w:r>
      <w:proofErr w:type="gramEnd"/>
      <w:r>
        <w:rPr>
          <w:rFonts w:ascii="宋体" w:hAnsi="宋体"/>
          <w:sz w:val="24"/>
        </w:rPr>
        <w:t>元，实现营业收入1130.43亿元，同比增长1.80%，实现归属于母公司股东的净利润430.49亿元。开业三十多年来，兴业银行始终坚持“真诚服务，相伴成长”的经营理念，致力于为客户提供全面、优质、高效的金融服务。</w:t>
      </w:r>
    </w:p>
    <w:p w14:paraId="246B047B"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（二）托管业务部部门设置及员工情况</w:t>
      </w:r>
    </w:p>
    <w:p w14:paraId="38979CC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兴业银行股份有限公司总行</w:t>
      </w:r>
      <w:proofErr w:type="gramStart"/>
      <w:r>
        <w:rPr>
          <w:rFonts w:ascii="宋体" w:hAnsi="宋体"/>
          <w:sz w:val="24"/>
        </w:rPr>
        <w:t>设资产</w:t>
      </w:r>
      <w:proofErr w:type="gramEnd"/>
      <w:r>
        <w:rPr>
          <w:rFonts w:ascii="宋体" w:hAnsi="宋体"/>
          <w:sz w:val="24"/>
        </w:rPr>
        <w:t>托管部，下设综合管理处、证券基金处、信托保险处、理财私募处、需求支持处、稽核监察处、投资监督处、运行管理处，共有员工100余人，业务岗位人员均具有基金从业资格。</w:t>
      </w:r>
    </w:p>
    <w:p w14:paraId="2B656930"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（三）基金托管业务经营情况</w:t>
      </w:r>
    </w:p>
    <w:p w14:paraId="6C811E7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兴业银行股份有限公司于2005年4月26日取得基金托管资格。基金托管业务批准文号：证</w:t>
      </w:r>
      <w:proofErr w:type="gramStart"/>
      <w:r>
        <w:rPr>
          <w:rFonts w:ascii="宋体" w:hAnsi="宋体"/>
          <w:sz w:val="24"/>
        </w:rPr>
        <w:t>监基金字</w:t>
      </w:r>
      <w:proofErr w:type="gramEnd"/>
      <w:r>
        <w:rPr>
          <w:rFonts w:ascii="宋体" w:hAnsi="宋体"/>
          <w:sz w:val="24"/>
        </w:rPr>
        <w:t>[2005]74号。截至2024年9月30日，兴业银行共托管证券投资基金743只，托管基金的基金资产净值合计25025.72亿元，基金份额合计23824.75</w:t>
      </w:r>
      <w:r>
        <w:rPr>
          <w:rFonts w:ascii="宋体" w:hAnsi="宋体"/>
          <w:sz w:val="24"/>
        </w:rPr>
        <w:lastRenderedPageBreak/>
        <w:t>亿份。</w:t>
      </w:r>
    </w:p>
    <w:p w14:paraId="3079C43F"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（四）基金托管人的内部控制制度</w:t>
      </w:r>
    </w:p>
    <w:p w14:paraId="4A6A6DA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6FFD14B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5B110FD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3899971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基金托管业务内部控制组织架构由总行内部控制委员会、总行风险管理部门、总行审计部、总行资产托管部、总行运营管理部及分行托管运营机构共同组成。各级内部控制组织依照本行相关制度对本行托管业务风险管理和内部控制实施管理。</w:t>
      </w:r>
    </w:p>
    <w:p w14:paraId="7745AA4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3、内部控制原则</w:t>
      </w:r>
    </w:p>
    <w:p w14:paraId="46A2B26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（1）全面性原则：内部控制贯穿资产托管业务的全过程，覆盖各项业务和产品，以及从事资产托管业务的各机构和从业人员；</w:t>
      </w:r>
    </w:p>
    <w:p w14:paraId="6AA3B57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（2）重要性原则：内部控制应当在全面控制的基础上，关注重要业务事项和高风险领域；</w:t>
      </w:r>
    </w:p>
    <w:p w14:paraId="2575AD7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（3）独立性原则：开展托管业务的部门和岗位的设置应权责分明、相对独立、相互制衡；</w:t>
      </w:r>
    </w:p>
    <w:p w14:paraId="2E8B6A4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（4）审慎性原则：内控与风险管理必须以防范风险，保证托管资产的安全与完整为出发点，“内控优先”，“制度优先”，审慎发展资产托管业务；</w:t>
      </w:r>
    </w:p>
    <w:p w14:paraId="3579997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（5）制衡性原则：内部控制应当在治理结构、机构设置及权责分配、业务流程等方面形成相互制约、相互监督，同时兼顾运营效率；</w:t>
      </w:r>
    </w:p>
    <w:p w14:paraId="1501120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适应性原则：内部控制体系应同所处的环境相适应，以合理的成本实现内控目标，内部制度的制订应当具有前瞻性，并应当根据国家政策、法律及经营管理的需要，适时进行相应修改和完善；内部控制存在的问题应当能够得到及时反馈和纠正；</w:t>
      </w:r>
    </w:p>
    <w:p w14:paraId="651D0E9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（7）成本效益原则：内部控制应当权衡实施成本与预期效益，以适当的成本实现有效控制。</w:t>
      </w:r>
    </w:p>
    <w:p w14:paraId="26C5FA0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4、内部控制制度及措施</w:t>
      </w:r>
    </w:p>
    <w:p w14:paraId="1416588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（1）制度建设：建立了明确的岗位职责、科学的业务流程、详细的操作手</w:t>
      </w:r>
      <w:r>
        <w:rPr>
          <w:rFonts w:ascii="宋体" w:hAnsi="宋体"/>
          <w:sz w:val="24"/>
        </w:rPr>
        <w:lastRenderedPageBreak/>
        <w:t>册、严格的人员行为规范等一系列规章制度。</w:t>
      </w:r>
    </w:p>
    <w:p w14:paraId="384E24E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（2）建立健全的组织管理结构：前后台分离，不同部门、岗位相互牵制。</w:t>
      </w:r>
    </w:p>
    <w:p w14:paraId="28EA9C2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（3）风险识别与评估：稽核监察</w:t>
      </w:r>
      <w:proofErr w:type="gramStart"/>
      <w:r>
        <w:rPr>
          <w:rFonts w:ascii="宋体" w:hAnsi="宋体"/>
          <w:sz w:val="24"/>
        </w:rPr>
        <w:t>处指导</w:t>
      </w:r>
      <w:proofErr w:type="gramEnd"/>
      <w:r>
        <w:rPr>
          <w:rFonts w:ascii="宋体" w:hAnsi="宋体"/>
          <w:sz w:val="24"/>
        </w:rPr>
        <w:t>业务处室进行风险识别、评估，制定并实施风险控制措施。</w:t>
      </w:r>
    </w:p>
    <w:p w14:paraId="4B75E6D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（4）相对独立的业务操作空间：业务</w:t>
      </w:r>
      <w:proofErr w:type="gramStart"/>
      <w:r>
        <w:rPr>
          <w:rFonts w:ascii="宋体" w:hAnsi="宋体"/>
          <w:sz w:val="24"/>
        </w:rPr>
        <w:t>操作区</w:t>
      </w:r>
      <w:proofErr w:type="gramEnd"/>
      <w:r>
        <w:rPr>
          <w:rFonts w:ascii="宋体" w:hAnsi="宋体"/>
          <w:sz w:val="24"/>
        </w:rPr>
        <w:t>相对独立，实施门禁管理和音像监控。</w:t>
      </w:r>
    </w:p>
    <w:p w14:paraId="0525184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（5）人员管理：进行定期的业务与职业道德培训，使员工树立风险防范与控制理念，并签订承诺书。</w:t>
      </w:r>
    </w:p>
    <w:p w14:paraId="7B2022C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（6）应急预案：制定完备的《应急预案》，并组织员工定期演练；建立</w:t>
      </w:r>
      <w:proofErr w:type="gramStart"/>
      <w:r>
        <w:rPr>
          <w:rFonts w:ascii="宋体" w:hAnsi="宋体"/>
          <w:sz w:val="24"/>
        </w:rPr>
        <w:t>异地灾备中心</w:t>
      </w:r>
      <w:proofErr w:type="gramEnd"/>
      <w:r>
        <w:rPr>
          <w:rFonts w:ascii="宋体" w:hAnsi="宋体"/>
          <w:sz w:val="24"/>
        </w:rPr>
        <w:t>，保证业务不中断。</w:t>
      </w:r>
    </w:p>
    <w:p w14:paraId="1AE3B3E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（五）基金托管人对基金管理人运作基金进行监督的方法和程序</w:t>
      </w:r>
    </w:p>
    <w:p w14:paraId="2C790C4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3AD86FC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1C44444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基金托管人发现基金管理人的指令违反法律、行政法规和其他有关规定，或者违反基金合同约定的，应当拒绝执行，立即通知基金管理人，并及时向中国证监会报告。</w:t>
      </w:r>
    </w:p>
    <w:p w14:paraId="01FB8F9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基金托管人发现基金管理人依据交易程序已经生效的投资指令违反法律、行政法规和其他有关规定，或者违反基金合同约定的，应当立即通知基金管理人，并及时向中国证监会报告。</w:t>
      </w:r>
    </w:p>
    <w:p w14:paraId="2ABF5D42"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696D92" w14:textId="77777777" w:rsidR="00647E97" w:rsidRDefault="00022CF9">
      <w:pPr>
        <w:pStyle w:val="1"/>
        <w:snapToGrid w:val="0"/>
        <w:spacing w:beforeLines="0" w:before="240" w:after="240"/>
        <w:rPr>
          <w:rFonts w:ascii="宋体" w:hAnsi="宋体"/>
          <w:szCs w:val="30"/>
        </w:rPr>
      </w:pPr>
      <w:bookmarkStart w:id="7" w:name="_Toc193101044"/>
      <w:r>
        <w:rPr>
          <w:rFonts w:ascii="Times New Roman" w:hAnsi="Times New Roman"/>
          <w:sz w:val="30"/>
        </w:rPr>
        <w:lastRenderedPageBreak/>
        <w:t>五、相关服务机构</w:t>
      </w:r>
      <w:bookmarkEnd w:id="7"/>
    </w:p>
    <w:p w14:paraId="099D343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6EE7C71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4CCE8DC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w:t>
      </w:r>
    </w:p>
    <w:p w14:paraId="2B22216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5767330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D1E1EA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778B284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3095722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70482E5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1C26649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7EEF76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7596543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23293FA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07BF81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2、其他销售机构</w:t>
      </w:r>
    </w:p>
    <w:p w14:paraId="2EEA091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（1）名称：兴业银行股份有限公司</w:t>
      </w:r>
    </w:p>
    <w:p w14:paraId="05EFA977" w14:textId="77777777" w:rsidR="00E74945"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注册地址：</w:t>
      </w:r>
      <w:r w:rsidR="005A3E8F" w:rsidRPr="005A3E8F">
        <w:rPr>
          <w:rFonts w:ascii="宋体" w:hAnsi="宋体" w:hint="eastAsia"/>
          <w:sz w:val="24"/>
        </w:rPr>
        <w:t>福建省福州市台江区江滨中大道398号兴业银行大厦</w:t>
      </w:r>
    </w:p>
    <w:p w14:paraId="3F81F2F6" w14:textId="2701AA51"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城路 167 号兴业银行大厦</w:t>
      </w:r>
    </w:p>
    <w:p w14:paraId="77528E8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3533802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13C741C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5E33A70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7E9B2CF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22195B9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（2）名称：上海天天基金销售有限公司</w:t>
      </w:r>
    </w:p>
    <w:p w14:paraId="41DAC77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0123928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4CB9EF0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1413EE8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5BB1C60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4E07858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联系人：潘世友</w:t>
      </w:r>
    </w:p>
    <w:p w14:paraId="1199D38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55557D59"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网址：www.1234567.com.cn</w:t>
      </w:r>
    </w:p>
    <w:p w14:paraId="4BB690D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（3）</w:t>
      </w:r>
      <w:r>
        <w:rPr>
          <w:rFonts w:ascii="宋体" w:hAnsi="宋体"/>
          <w:sz w:val="24"/>
        </w:rPr>
        <w:t>名称：上海基</w:t>
      </w:r>
      <w:proofErr w:type="gramStart"/>
      <w:r>
        <w:rPr>
          <w:rFonts w:ascii="宋体" w:hAnsi="宋体"/>
          <w:sz w:val="24"/>
        </w:rPr>
        <w:t>煜</w:t>
      </w:r>
      <w:proofErr w:type="gramEnd"/>
      <w:r>
        <w:rPr>
          <w:rFonts w:ascii="宋体" w:hAnsi="宋体"/>
          <w:sz w:val="24"/>
        </w:rPr>
        <w:t>基金销售有限公司</w:t>
      </w:r>
    </w:p>
    <w:p w14:paraId="35DFED0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6A94628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5995D2F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63CAADA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7175101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32F86C6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7F6357B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2128554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235C6A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（4）名称：蚂蚁（杭州）基金销售有限公司</w:t>
      </w:r>
    </w:p>
    <w:p w14:paraId="2B67AA5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w:t>
      </w:r>
      <w:proofErr w:type="gramStart"/>
      <w:r>
        <w:rPr>
          <w:rFonts w:ascii="宋体" w:hAnsi="宋体"/>
          <w:sz w:val="24"/>
        </w:rPr>
        <w:t>一</w:t>
      </w:r>
      <w:proofErr w:type="gramEnd"/>
      <w:r>
        <w:rPr>
          <w:rFonts w:ascii="宋体" w:hAnsi="宋体"/>
          <w:sz w:val="24"/>
        </w:rPr>
        <w:t>西路969号3幢5层599室</w:t>
      </w:r>
    </w:p>
    <w:p w14:paraId="42FEFB0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4AF0846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0813FC8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01CB4E6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6F8AFE2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42454EB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（5）名称：上海利得基金销售有限公司</w:t>
      </w:r>
    </w:p>
    <w:p w14:paraId="77E917D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14:paraId="4444AC1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w:t>
      </w:r>
      <w:proofErr w:type="gramStart"/>
      <w:r>
        <w:rPr>
          <w:rFonts w:ascii="宋体" w:hAnsi="宋体"/>
          <w:sz w:val="24"/>
        </w:rPr>
        <w:t>峨</w:t>
      </w:r>
      <w:proofErr w:type="gramEnd"/>
      <w:r>
        <w:rPr>
          <w:rFonts w:ascii="宋体" w:hAnsi="宋体"/>
          <w:sz w:val="24"/>
        </w:rPr>
        <w:t>山路91弄61号陆家</w:t>
      </w:r>
      <w:proofErr w:type="gramStart"/>
      <w:r>
        <w:rPr>
          <w:rFonts w:ascii="宋体" w:hAnsi="宋体"/>
          <w:sz w:val="24"/>
        </w:rPr>
        <w:t>嘴软件园10号</w:t>
      </w:r>
      <w:proofErr w:type="gramEnd"/>
      <w:r>
        <w:rPr>
          <w:rFonts w:ascii="宋体" w:hAnsi="宋体"/>
          <w:sz w:val="24"/>
        </w:rPr>
        <w:t>楼12楼</w:t>
      </w:r>
    </w:p>
    <w:p w14:paraId="198B84B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186F327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7CEF5B0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058472B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453289E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3EE193E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6EF3B9B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（6）名称：珠海盈米财富管理有限公司</w:t>
      </w:r>
    </w:p>
    <w:p w14:paraId="17298A0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住所：珠海市横琴新区宝华路6号105室-3491</w:t>
      </w:r>
    </w:p>
    <w:p w14:paraId="2FA1573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w:t>
      </w:r>
      <w:proofErr w:type="gramStart"/>
      <w:r>
        <w:rPr>
          <w:rFonts w:ascii="宋体" w:hAnsi="宋体"/>
          <w:sz w:val="24"/>
        </w:rPr>
        <w:t>琶</w:t>
      </w:r>
      <w:proofErr w:type="gramEnd"/>
      <w:r>
        <w:rPr>
          <w:rFonts w:ascii="宋体" w:hAnsi="宋体"/>
          <w:sz w:val="24"/>
        </w:rPr>
        <w:t>洲大道东1号保利国际广场南塔12楼B1201-1203</w:t>
      </w:r>
    </w:p>
    <w:p w14:paraId="5B9B613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72EDA0C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213E8AD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77609CE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w:t>
      </w:r>
      <w:proofErr w:type="gramStart"/>
      <w:r>
        <w:rPr>
          <w:rFonts w:ascii="宋体" w:hAnsi="宋体"/>
          <w:sz w:val="24"/>
        </w:rPr>
        <w:t>嫦</w:t>
      </w:r>
      <w:proofErr w:type="gramEnd"/>
    </w:p>
    <w:p w14:paraId="506FA1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658C1C74" w14:textId="77777777" w:rsidR="00647E97" w:rsidRPr="00E4243C"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4B2C764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基金管理人可根据有关法律法规的要求，选择其它符合要求的机构销售本基金，并在基金管理人网站公示。</w:t>
      </w:r>
    </w:p>
    <w:p w14:paraId="03C2E12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6644811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D18323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44BDF1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7DBA77A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758D3CF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电话：（021）61055461</w:t>
      </w:r>
    </w:p>
    <w:p w14:paraId="466A023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6BE4C4E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联系人：陈方强</w:t>
      </w:r>
    </w:p>
    <w:p w14:paraId="4262136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47902A3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00B0763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0CB40DF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7287E15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61DBD50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4989364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2FF32FF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1F849E4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3DB7F6E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5589081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名称：毕马威华</w:t>
      </w:r>
      <w:proofErr w:type="gramStart"/>
      <w:r>
        <w:rPr>
          <w:rFonts w:ascii="宋体" w:hAnsi="宋体"/>
          <w:sz w:val="24"/>
        </w:rPr>
        <w:t>振</w:t>
      </w:r>
      <w:proofErr w:type="gramEnd"/>
      <w:r>
        <w:rPr>
          <w:rFonts w:ascii="宋体" w:hAnsi="宋体"/>
          <w:sz w:val="24"/>
        </w:rPr>
        <w:t>会计师事务所(特殊普通合伙)</w:t>
      </w:r>
    </w:p>
    <w:p w14:paraId="0507347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住所：北京市东城区东长安街1号东方广场2座办公楼8层</w:t>
      </w:r>
    </w:p>
    <w:p w14:paraId="00748D3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办公地址：中国上海南京西路1266号恒</w:t>
      </w:r>
      <w:proofErr w:type="gramStart"/>
      <w:r>
        <w:rPr>
          <w:rFonts w:ascii="宋体" w:hAnsi="宋体"/>
          <w:sz w:val="24"/>
        </w:rPr>
        <w:t>隆广场</w:t>
      </w:r>
      <w:proofErr w:type="gramEnd"/>
      <w:r>
        <w:rPr>
          <w:rFonts w:ascii="宋体" w:hAnsi="宋体"/>
          <w:sz w:val="24"/>
        </w:rPr>
        <w:t>2期25楼</w:t>
      </w:r>
    </w:p>
    <w:p w14:paraId="125AB54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执行事务合伙人：邹俊</w:t>
      </w:r>
    </w:p>
    <w:p w14:paraId="3CEA0C8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电话：+86 (21) 2212 2888</w:t>
      </w:r>
    </w:p>
    <w:p w14:paraId="79EFC6A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 (21) 6288 1889</w:t>
      </w:r>
    </w:p>
    <w:p w14:paraId="7EA43BB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联系人：侯雯</w:t>
      </w:r>
    </w:p>
    <w:p w14:paraId="7D94003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经办注册会计师：王国</w:t>
      </w:r>
      <w:proofErr w:type="gramStart"/>
      <w:r>
        <w:rPr>
          <w:rFonts w:ascii="宋体" w:hAnsi="宋体"/>
          <w:sz w:val="24"/>
        </w:rPr>
        <w:t>蓓</w:t>
      </w:r>
      <w:proofErr w:type="gramEnd"/>
      <w:r>
        <w:rPr>
          <w:rFonts w:ascii="宋体" w:hAnsi="宋体"/>
          <w:sz w:val="24"/>
        </w:rPr>
        <w:t>、侯雯</w:t>
      </w:r>
    </w:p>
    <w:p w14:paraId="31DA5B36"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E9F6DE" w14:textId="77777777" w:rsidR="00647E97" w:rsidRDefault="00022CF9">
      <w:pPr>
        <w:pStyle w:val="1"/>
        <w:snapToGrid w:val="0"/>
        <w:spacing w:beforeLines="0" w:before="240" w:after="240"/>
        <w:rPr>
          <w:rFonts w:ascii="宋体" w:hAnsi="宋体"/>
          <w:szCs w:val="30"/>
        </w:rPr>
      </w:pPr>
      <w:bookmarkStart w:id="8" w:name="_Toc193101045"/>
      <w:r>
        <w:rPr>
          <w:rFonts w:ascii="Times New Roman" w:hAnsi="Times New Roman"/>
          <w:sz w:val="30"/>
        </w:rPr>
        <w:lastRenderedPageBreak/>
        <w:t>六、基金的募集</w:t>
      </w:r>
      <w:bookmarkEnd w:id="8"/>
    </w:p>
    <w:p w14:paraId="4AB06AB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本基金由基金管理人依照《基金法》、《运作办法》、《销售办法》、基金合同及其他有关规定，并经中国证监会2021年11月17日证监许可[2021]3663号文准予募集注册。</w:t>
      </w:r>
    </w:p>
    <w:p w14:paraId="6CFB57B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本基金为契约型开放式债券型基金。基金存续期间为不定期。</w:t>
      </w:r>
    </w:p>
    <w:p w14:paraId="01618BE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164211F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本基金于2022年3月23日至2022年3月28日进行发售，本基金设立募集期共募集2,509,999,000.00份基金份额，有效认购户数为2户。</w:t>
      </w:r>
    </w:p>
    <w:p w14:paraId="7FB8D94B"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1751B66" w14:textId="77777777" w:rsidR="00647E97" w:rsidRDefault="00022CF9">
      <w:pPr>
        <w:pStyle w:val="1"/>
        <w:snapToGrid w:val="0"/>
        <w:spacing w:beforeLines="0" w:before="240" w:after="240"/>
        <w:rPr>
          <w:rFonts w:ascii="宋体" w:hAnsi="宋体"/>
          <w:szCs w:val="30"/>
        </w:rPr>
      </w:pPr>
      <w:bookmarkStart w:id="9" w:name="_Toc193101046"/>
      <w:r>
        <w:rPr>
          <w:rFonts w:ascii="Times New Roman" w:hAnsi="Times New Roman"/>
          <w:sz w:val="30"/>
        </w:rPr>
        <w:lastRenderedPageBreak/>
        <w:t>七、基金合同的生效</w:t>
      </w:r>
      <w:bookmarkEnd w:id="9"/>
    </w:p>
    <w:p w14:paraId="34A9181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根据有关规定，本基金满足基金合同生效条件，基金合同已于2022年3月29日正式生效。自基金合同生效之日起，本基金管理人正式开始管理本基金。</w:t>
      </w:r>
    </w:p>
    <w:p w14:paraId="560EADF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《基金合同》生效之日起三年后的对应日，</w:t>
      </w:r>
      <w:proofErr w:type="gramStart"/>
      <w:r>
        <w:rPr>
          <w:rFonts w:ascii="宋体" w:hAnsi="宋体"/>
          <w:sz w:val="24"/>
        </w:rPr>
        <w:t>若基金</w:t>
      </w:r>
      <w:proofErr w:type="gramEnd"/>
      <w:r>
        <w:rPr>
          <w:rFonts w:ascii="宋体" w:hAnsi="宋体"/>
          <w:sz w:val="24"/>
        </w:rPr>
        <w:t>资产净值低于2亿元，基金合同自动终止，且不得通过召开基金份额持有人大会的方式延续《基金合同》期限。</w:t>
      </w:r>
    </w:p>
    <w:p w14:paraId="0C355EC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76820E5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之日起满3年后继续存续的，在任一开放期最后一日日终（登记机构完成最后一日申购、赎回业务申请的确认以后），发生下列情形之一的，本基金将自动终止基金合同并进行基金财产清算，无需召开基金份额持有人大会：</w:t>
      </w:r>
    </w:p>
    <w:p w14:paraId="766E4C0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1、基金份额持有人数量不满200人；</w:t>
      </w:r>
    </w:p>
    <w:p w14:paraId="006833D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2、当日基金资产净值加上当日净申购金额或者减去当日净赎回金额后低于5000万元。</w:t>
      </w:r>
    </w:p>
    <w:p w14:paraId="3898891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14:paraId="4ED0A2C8"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01AFF1" w14:textId="77777777" w:rsidR="00647E97" w:rsidRDefault="00022CF9">
      <w:pPr>
        <w:pStyle w:val="1"/>
        <w:snapToGrid w:val="0"/>
        <w:spacing w:beforeLines="0" w:before="240" w:after="240"/>
        <w:rPr>
          <w:rFonts w:ascii="宋体" w:hAnsi="宋体"/>
          <w:szCs w:val="30"/>
        </w:rPr>
      </w:pPr>
      <w:bookmarkStart w:id="10" w:name="_Toc193101047"/>
      <w:r>
        <w:rPr>
          <w:rFonts w:ascii="Times New Roman" w:hAnsi="Times New Roman"/>
          <w:sz w:val="30"/>
        </w:rPr>
        <w:lastRenderedPageBreak/>
        <w:t>八、基金份额的申购与赎回</w:t>
      </w:r>
      <w:bookmarkEnd w:id="10"/>
    </w:p>
    <w:p w14:paraId="1CC78FDD"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（一）申购和赎回的场所</w:t>
      </w:r>
    </w:p>
    <w:p w14:paraId="2EE6C68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665C3B6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B5FEE5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w:t>
      </w:r>
    </w:p>
    <w:p w14:paraId="2A47F04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4D997C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A9F974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677BB2F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0F8EB48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70B1963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67DC5B4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BA7701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184EBE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535A5E1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本基金除基金管理人之外的其他销售机构参见本招募说明书“五、相关服务机构”章节或拨打基金管理</w:t>
      </w:r>
      <w:proofErr w:type="gramStart"/>
      <w:r>
        <w:rPr>
          <w:rFonts w:ascii="宋体" w:hAnsi="宋体"/>
          <w:sz w:val="24"/>
        </w:rPr>
        <w:t>人客户</w:t>
      </w:r>
      <w:proofErr w:type="gramEnd"/>
      <w:r>
        <w:rPr>
          <w:rFonts w:ascii="宋体" w:hAnsi="宋体"/>
          <w:sz w:val="24"/>
        </w:rPr>
        <w:t>服务电话进行咨询。</w:t>
      </w:r>
    </w:p>
    <w:p w14:paraId="4CD9B25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投资人应当通过上述销售机构办理基金申购、赎回业务的营业场所或按上述销售机构提供的其他方式进行申购或赎回。本基金管理人可根据情况变更或增减基金销售机构，并在基金管理人网站公示。</w:t>
      </w:r>
    </w:p>
    <w:p w14:paraId="569C713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管理人或其指定的销售机构开通电话、传真或网上等交易方式，投资人可以通过上述方式进行申购与赎回。</w:t>
      </w:r>
    </w:p>
    <w:p w14:paraId="4AB096EF"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（二）申购和赎回的开放日及时间</w:t>
      </w:r>
    </w:p>
    <w:p w14:paraId="739B38F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24E6773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办理基金份额的申购及/或赎回的开放日为开放期内的每个工作日。投资人在开放日办理基金份额的申购及/或赎回，具体办理时间为上海证券交易所、深圳证券交易所的正常交易日的交易时间，但基金管理人根据法律法规、中国证监会的要求或基金合同的规定公告暂停申购、赎回时除外。封闭期内，本基金不办理申购和赎回业务，也不上市交易。</w:t>
      </w:r>
    </w:p>
    <w:p w14:paraId="3879288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w:t>
      </w:r>
      <w:r>
        <w:rPr>
          <w:rFonts w:ascii="宋体" w:hAnsi="宋体"/>
          <w:sz w:val="24"/>
        </w:rPr>
        <w:lastRenderedPageBreak/>
        <w:t>特殊情况，基金管理人将视情况对前述开放日及开放时间进行相应的调整，但应在实施日前依照《信息披露办法》的有关规定在规定媒介上公告。</w:t>
      </w:r>
    </w:p>
    <w:p w14:paraId="1B14232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6E944DE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本基金自封闭期结束之日的下一个工作日起进入开放期，期间可以办理申购及/或赎回业务。本基金每个开放</w:t>
      </w:r>
      <w:proofErr w:type="gramStart"/>
      <w:r>
        <w:rPr>
          <w:rFonts w:ascii="宋体" w:hAnsi="宋体"/>
          <w:sz w:val="24"/>
        </w:rPr>
        <w:t>期办理</w:t>
      </w:r>
      <w:proofErr w:type="gramEnd"/>
      <w:r>
        <w:rPr>
          <w:rFonts w:ascii="宋体" w:hAnsi="宋体"/>
          <w:sz w:val="24"/>
        </w:rPr>
        <w:t>申购或赎回业务的时间分别至少为2个工作日最长不超过10个工作日，开放期的具体时间以基金管理人届时公告为准。</w:t>
      </w:r>
    </w:p>
    <w:p w14:paraId="4A7E6BF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如封闭期结束后或在开放期内发生不可抗力或其他情形致使基金无法按时开放申购与赎回业务的，开放</w:t>
      </w:r>
      <w:proofErr w:type="gramStart"/>
      <w:r>
        <w:rPr>
          <w:rFonts w:ascii="宋体" w:hAnsi="宋体"/>
          <w:sz w:val="24"/>
        </w:rPr>
        <w:t>期时间</w:t>
      </w:r>
      <w:proofErr w:type="gramEnd"/>
      <w:r>
        <w:rPr>
          <w:rFonts w:ascii="宋体" w:hAnsi="宋体"/>
          <w:sz w:val="24"/>
        </w:rPr>
        <w:t>中止计算，在不可抗力或其他情形影响因素消除之日次</w:t>
      </w:r>
      <w:proofErr w:type="gramStart"/>
      <w:r>
        <w:rPr>
          <w:rFonts w:ascii="宋体" w:hAnsi="宋体"/>
          <w:sz w:val="24"/>
        </w:rPr>
        <w:t>一</w:t>
      </w:r>
      <w:proofErr w:type="gramEnd"/>
      <w:r>
        <w:rPr>
          <w:rFonts w:ascii="宋体" w:hAnsi="宋体"/>
          <w:sz w:val="24"/>
        </w:rPr>
        <w:t>工作日起，继续计算该开放期时间，直至满足开放期的时间要求。</w:t>
      </w:r>
    </w:p>
    <w:p w14:paraId="6F01C28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在确定申购开始与赎回开始时间后，基金管理人应在申购、赎回开放日前依照《信息披露办法》的有关规定在规定媒介上公告申购与赎回的开始时间。</w:t>
      </w:r>
    </w:p>
    <w:p w14:paraId="31903A9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基金管理人不得在基金合同约定之外的日期或者时间办理基金份额的申购、赎回或者转换。在开放期内，投资人在基金合同约定之外的日期和时间提出申购、赎回或转换申请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其基金份额申购、赎回或转换价格为该开放期内下一开放日基金份额申购、赎回或转换的价格；在开放期最后一个开放日，投资人在基金合同约定之外的时间提出申购、赎回或者转换申请的，视为无效申请。开放期以及开放</w:t>
      </w:r>
      <w:proofErr w:type="gramStart"/>
      <w:r>
        <w:rPr>
          <w:rFonts w:ascii="宋体" w:hAnsi="宋体"/>
          <w:sz w:val="24"/>
        </w:rPr>
        <w:t>期办理</w:t>
      </w:r>
      <w:proofErr w:type="gramEnd"/>
      <w:r>
        <w:rPr>
          <w:rFonts w:ascii="宋体" w:hAnsi="宋体"/>
          <w:sz w:val="24"/>
        </w:rPr>
        <w:t>申购、赎回业务的具体事宜见招募说明书及基金管理人届时发布的相关公告。</w:t>
      </w:r>
    </w:p>
    <w:p w14:paraId="0524776B"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（三）申购与赎回的原则</w:t>
      </w:r>
    </w:p>
    <w:p w14:paraId="6305FF1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7816F5A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23DC117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4C97DD3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90EB45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442A39C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基金管理人可在法律法规允许的情况下，对上述原则进行调整。基金管理人必须在新规则开始实施前依照《信息披露办法》的有关规定在规定媒介上公告。</w:t>
      </w:r>
    </w:p>
    <w:p w14:paraId="22F6CFEC"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（四）申购和赎回的数额限定</w:t>
      </w:r>
    </w:p>
    <w:p w14:paraId="719361A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E164A7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本基金直销机构单笔申购最低金额可由基金管理人酌情调整。其他销售机构接受申购申请的最低金额为单笔1元，如果销售机构业务规则规定的最低单笔申购金额高于1元，以该销售机构的规定为准。</w:t>
      </w:r>
    </w:p>
    <w:p w14:paraId="7833886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6C03C03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66F1C2D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63CC893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w:t>
      </w:r>
      <w:proofErr w:type="gramStart"/>
      <w:r>
        <w:rPr>
          <w:rFonts w:ascii="宋体" w:hAnsi="宋体"/>
          <w:sz w:val="24"/>
        </w:rPr>
        <w:t>则基金</w:t>
      </w:r>
      <w:proofErr w:type="gramEnd"/>
      <w:r>
        <w:rPr>
          <w:rFonts w:ascii="宋体" w:hAnsi="宋体"/>
          <w:sz w:val="24"/>
        </w:rPr>
        <w:t>管理人有权将投资人在该账户的本基金份额一次性全部赎回。</w:t>
      </w:r>
    </w:p>
    <w:p w14:paraId="38BA193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ascii="宋体" w:hAnsi="宋体"/>
          <w:sz w:val="24"/>
        </w:rPr>
        <w:t>见基金</w:t>
      </w:r>
      <w:proofErr w:type="gramEnd"/>
      <w:r>
        <w:rPr>
          <w:rFonts w:ascii="宋体" w:hAnsi="宋体"/>
          <w:sz w:val="24"/>
        </w:rPr>
        <w:t>管理人相关公告。</w:t>
      </w:r>
    </w:p>
    <w:p w14:paraId="566733D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5、基金管理人可在法律法规允许的情况下，调整上述规定申购金额和赎回份额以及最低基金份额余额的数量限制，基金管理人必须在调整实施前依照《信息披露办法》的有关规定在规定媒介上刊登公告。</w:t>
      </w:r>
    </w:p>
    <w:p w14:paraId="503BC007"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（五）申购和赎回的程序</w:t>
      </w:r>
    </w:p>
    <w:p w14:paraId="1F42A3F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5A99D36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A504D5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2、申购和赎回的款项支付</w:t>
      </w:r>
    </w:p>
    <w:p w14:paraId="55B3050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投资人申购基金份额时，必须全额交付申购款项，若申购资金在规定时间内未全额到账则申购不成立。投资人全额交付申购款项，申购成立；基金登记机构确认基金份额时，申购生效。</w:t>
      </w:r>
    </w:p>
    <w:p w14:paraId="4FD4A6E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2C1398B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06D6E2E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开放日规定的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7CCA73E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基金管理人可在法律法规允许的范围内，依法对上述申购和赎回申请的确认时间进行调整，并必须在调整实施日前按照《信息披露办法》的有关规定在规定媒介上公告。</w:t>
      </w:r>
    </w:p>
    <w:p w14:paraId="7DCD5E8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AB0336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64B04EC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（1）投资人T日申购基金成功后，正常情况下，登记机构在T＋1日为投资人增加权益并办理登记手续。投资人应及时查询有关申请的确认情况。</w:t>
      </w:r>
    </w:p>
    <w:p w14:paraId="5ACB251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3E5C07A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（3）基金管理人可在法律法规允许的范围内，对上述登记办理时间进行调整，并于开始实施前按照《信息披露办法》的有关规定在规定媒介上公告。</w:t>
      </w:r>
    </w:p>
    <w:p w14:paraId="6B9D7E8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（六）基金的申购费和赎回费</w:t>
      </w:r>
    </w:p>
    <w:p w14:paraId="140B24F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0A959BDB"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w:t>
      </w:r>
      <w:proofErr w:type="gramStart"/>
      <w:r>
        <w:rPr>
          <w:rFonts w:ascii="宋体" w:hAnsi="宋体" w:hint="eastAsia"/>
          <w:sz w:val="24"/>
        </w:rPr>
        <w:t>基金基金</w:t>
      </w:r>
      <w:proofErr w:type="gramEnd"/>
      <w:r>
        <w:rPr>
          <w:rFonts w:ascii="宋体" w:hAnsi="宋体" w:hint="eastAsia"/>
          <w:sz w:val="24"/>
        </w:rPr>
        <w:t>份额分为A类基金份额和C类基金份额。投资人申购A类基金份额在</w:t>
      </w:r>
      <w:r>
        <w:rPr>
          <w:rFonts w:ascii="宋体" w:hAnsi="宋体" w:hint="eastAsia"/>
          <w:sz w:val="24"/>
        </w:rPr>
        <w:lastRenderedPageBreak/>
        <w:t>申购时支付申购费用；申购C类基金份额不支付申购费用，并从该类别基金资产中计</w:t>
      </w:r>
      <w:proofErr w:type="gramStart"/>
      <w:r>
        <w:rPr>
          <w:rFonts w:ascii="宋体" w:hAnsi="宋体" w:hint="eastAsia"/>
          <w:sz w:val="24"/>
        </w:rPr>
        <w:t>提销售</w:t>
      </w:r>
      <w:proofErr w:type="gramEnd"/>
      <w:r>
        <w:rPr>
          <w:rFonts w:ascii="宋体" w:hAnsi="宋体" w:hint="eastAsia"/>
          <w:sz w:val="24"/>
        </w:rPr>
        <w:t>服务费。</w:t>
      </w:r>
    </w:p>
    <w:p w14:paraId="2888D3A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hint="eastAsia"/>
          <w:sz w:val="24"/>
        </w:rPr>
        <w:t>A类基金份额</w:t>
      </w:r>
      <w:r>
        <w:rPr>
          <w:rFonts w:ascii="宋体" w:hAnsi="宋体"/>
          <w:sz w:val="24"/>
        </w:rPr>
        <w:t>的申购费用由</w:t>
      </w:r>
      <w:r>
        <w:rPr>
          <w:rFonts w:ascii="宋体" w:hAnsi="宋体" w:hint="eastAsia"/>
          <w:sz w:val="24"/>
        </w:rPr>
        <w:t>申购A类基金份额的</w:t>
      </w:r>
      <w:r>
        <w:rPr>
          <w:rFonts w:ascii="宋体" w:hAnsi="宋体"/>
          <w:sz w:val="24"/>
        </w:rPr>
        <w:t>基金申购人承担，不列入基金财产，主要用于本基金的市场推广、销售、登记结算等各项费用。</w:t>
      </w:r>
    </w:p>
    <w:p w14:paraId="242CCF9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Pr>
          <w:rFonts w:ascii="宋体" w:hAnsi="宋体" w:hint="eastAsia"/>
          <w:sz w:val="24"/>
        </w:rPr>
        <w:t>A类基金份额的</w:t>
      </w:r>
      <w:r>
        <w:rPr>
          <w:rFonts w:ascii="宋体" w:hAnsi="宋体"/>
          <w:sz w:val="24"/>
        </w:rPr>
        <w:t>申购费用按每笔</w:t>
      </w:r>
      <w:r>
        <w:rPr>
          <w:rFonts w:ascii="宋体" w:hAnsi="宋体" w:hint="eastAsia"/>
          <w:sz w:val="24"/>
        </w:rPr>
        <w:t>A类基金份额</w:t>
      </w:r>
      <w:r>
        <w:rPr>
          <w:rFonts w:ascii="宋体" w:hAnsi="宋体"/>
          <w:sz w:val="24"/>
        </w:rPr>
        <w:t>申购申请单独计算。</w:t>
      </w:r>
    </w:p>
    <w:p w14:paraId="66249B7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hint="eastAsia"/>
          <w:sz w:val="24"/>
        </w:rPr>
        <w:t>A类基金份额（非养老金客户）</w:t>
      </w:r>
      <w:r>
        <w:rPr>
          <w:rFonts w:ascii="宋体" w:hAnsi="宋体"/>
          <w:sz w:val="24"/>
        </w:rPr>
        <w:t>的申购费率如下：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647E97" w14:paraId="3ABC4C5B" w14:textId="77777777">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56DD6C4" w14:textId="77777777" w:rsidR="00647E97" w:rsidRDefault="00022CF9">
            <w:pPr>
              <w:widowControl/>
              <w:snapToGrid w:val="0"/>
              <w:jc w:val="left"/>
              <w:rPr>
                <w:rFonts w:ascii="宋体" w:hAnsi="宋体"/>
                <w:color w:val="000000"/>
                <w:kern w:val="0"/>
                <w:sz w:val="25"/>
                <w:szCs w:val="24"/>
              </w:rPr>
            </w:pPr>
            <w:r>
              <w:rPr>
                <w:rFonts w:ascii="Times New Roman" w:hAnsi="Times New Roman" w:hint="eastAsia"/>
                <w:color w:val="000000"/>
                <w:kern w:val="0"/>
                <w:sz w:val="25"/>
                <w:szCs w:val="24"/>
              </w:rPr>
              <w:t>A</w:t>
            </w:r>
            <w:r>
              <w:rPr>
                <w:rFonts w:ascii="Times New Roman" w:hAnsi="Times New Roman" w:hint="eastAsia"/>
                <w:color w:val="000000"/>
                <w:kern w:val="0"/>
                <w:sz w:val="25"/>
                <w:szCs w:val="24"/>
              </w:rPr>
              <w:t>类基金份额的</w:t>
            </w: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01D4D434"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5CDD8ECE" w14:textId="77777777" w:rsidR="00647E97" w:rsidRDefault="00022CF9">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A</w:t>
            </w:r>
            <w:r>
              <w:rPr>
                <w:rFonts w:ascii="Times New Roman" w:hAnsi="Times New Roman" w:hint="eastAsia"/>
                <w:color w:val="000000"/>
                <w:kern w:val="0"/>
                <w:sz w:val="25"/>
                <w:szCs w:val="24"/>
              </w:rPr>
              <w:t>类基金份额</w:t>
            </w:r>
            <w:r>
              <w:rPr>
                <w:rFonts w:ascii="Times New Roman" w:hAnsi="Times New Roman"/>
                <w:color w:val="000000"/>
                <w:kern w:val="0"/>
                <w:sz w:val="25"/>
                <w:szCs w:val="24"/>
              </w:rPr>
              <w:t>申购费率</w:t>
            </w:r>
          </w:p>
        </w:tc>
      </w:tr>
      <w:tr w:rsidR="00647E97" w14:paraId="62E23EBF"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4CA0F88" w14:textId="77777777" w:rsidR="00647E97" w:rsidRDefault="00647E9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6C2B165"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661C3320"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647E97" w14:paraId="1E8BC2E3"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C8E0359" w14:textId="77777777" w:rsidR="00647E97" w:rsidRDefault="00647E9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F233EA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6268366"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647E97" w14:paraId="0ABA09CF"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2C04857" w14:textId="77777777" w:rsidR="00647E97" w:rsidRDefault="00647E9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5A4358E"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17A75D7C"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647E97" w14:paraId="1852E02B"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E1700AD" w14:textId="77777777" w:rsidR="00647E97" w:rsidRDefault="00647E9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381A258"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F3DFE55"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647E97" w14:paraId="36AF3BE4"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E6E8A91" w14:textId="77777777" w:rsidR="00647E97" w:rsidRDefault="00647E97">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1C6B850"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2F99B486"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7B99710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持有A类基金份额的投资人</w:t>
      </w:r>
      <w:r>
        <w:rPr>
          <w:rFonts w:ascii="宋体" w:hAnsi="宋体"/>
          <w:sz w:val="24"/>
        </w:rPr>
        <w:t>因红利自动再投资而产生的</w:t>
      </w:r>
      <w:r>
        <w:rPr>
          <w:rFonts w:ascii="宋体" w:hAnsi="宋体" w:hint="eastAsia"/>
          <w:sz w:val="24"/>
        </w:rPr>
        <w:t>A类</w:t>
      </w:r>
      <w:r>
        <w:rPr>
          <w:rFonts w:ascii="宋体" w:hAnsi="宋体"/>
          <w:sz w:val="24"/>
        </w:rPr>
        <w:t>基金份额，不收取相应的申购费用。</w:t>
      </w:r>
    </w:p>
    <w:p w14:paraId="48929D5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w:t>
      </w:r>
      <w:r>
        <w:rPr>
          <w:rFonts w:ascii="宋体" w:hAnsi="宋体" w:hint="eastAsia"/>
          <w:sz w:val="24"/>
        </w:rPr>
        <w:t>A类</w:t>
      </w:r>
      <w:r>
        <w:rPr>
          <w:rFonts w:ascii="宋体" w:hAnsi="宋体"/>
          <w:sz w:val="24"/>
        </w:rPr>
        <w:t>基金份额的养老金客户实施特定申购费率。</w:t>
      </w:r>
    </w:p>
    <w:p w14:paraId="3BAA230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090EFEB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1F4E824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21E8C8C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7A6BD5E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15FA0E0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34F9205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545ACF3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w:t>
      </w:r>
      <w:r>
        <w:rPr>
          <w:rFonts w:ascii="宋体" w:hAnsi="宋体" w:hint="eastAsia"/>
          <w:sz w:val="24"/>
        </w:rPr>
        <w:t>A类</w:t>
      </w:r>
      <w:r>
        <w:rPr>
          <w:rFonts w:ascii="宋体" w:hAnsi="宋体"/>
          <w:sz w:val="24"/>
        </w:rPr>
        <w:t>基金份额的养老金客户特定申购费率如下表：</w:t>
      </w:r>
    </w:p>
    <w:tbl>
      <w:tblPr>
        <w:tblW w:w="5000" w:type="pct"/>
        <w:tblCellMar>
          <w:left w:w="0" w:type="dxa"/>
          <w:right w:w="0" w:type="dxa"/>
        </w:tblCellMar>
        <w:tblLook w:val="04A0" w:firstRow="1" w:lastRow="0" w:firstColumn="1" w:lastColumn="0" w:noHBand="0" w:noVBand="1"/>
      </w:tblPr>
      <w:tblGrid>
        <w:gridCol w:w="1236"/>
        <w:gridCol w:w="3707"/>
        <w:gridCol w:w="3707"/>
      </w:tblGrid>
      <w:tr w:rsidR="00647E97" w14:paraId="6D8F06D2"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3ACB9B57" w14:textId="77777777" w:rsidR="00647E97" w:rsidRDefault="00022CF9">
            <w:pPr>
              <w:widowControl/>
              <w:snapToGrid w:val="0"/>
              <w:jc w:val="left"/>
              <w:rPr>
                <w:rFonts w:ascii="宋体" w:hAnsi="宋体"/>
                <w:color w:val="000000"/>
                <w:kern w:val="0"/>
                <w:sz w:val="25"/>
                <w:szCs w:val="24"/>
              </w:rPr>
            </w:pPr>
            <w:r>
              <w:rPr>
                <w:rFonts w:ascii="Times New Roman" w:hAnsi="Times New Roman" w:hint="eastAsia"/>
                <w:color w:val="000000"/>
                <w:kern w:val="0"/>
                <w:sz w:val="25"/>
                <w:szCs w:val="24"/>
              </w:rPr>
              <w:t>A</w:t>
            </w:r>
            <w:r>
              <w:rPr>
                <w:rFonts w:ascii="Times New Roman" w:hAnsi="Times New Roman" w:hint="eastAsia"/>
                <w:color w:val="000000"/>
                <w:kern w:val="0"/>
                <w:sz w:val="25"/>
                <w:szCs w:val="24"/>
              </w:rPr>
              <w:t>类基金份额的特</w:t>
            </w:r>
            <w:r>
              <w:rPr>
                <w:rFonts w:ascii="Times New Roman" w:hAnsi="Times New Roman" w:hint="eastAsia"/>
                <w:color w:val="000000"/>
                <w:kern w:val="0"/>
                <w:sz w:val="25"/>
                <w:szCs w:val="24"/>
              </w:rPr>
              <w:lastRenderedPageBreak/>
              <w:t>定</w:t>
            </w: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30131AD8"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67F999D2" w14:textId="77777777" w:rsidR="00647E97" w:rsidRDefault="00022CF9">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A</w:t>
            </w:r>
            <w:r>
              <w:rPr>
                <w:rFonts w:ascii="Times New Roman" w:hAnsi="Times New Roman" w:hint="eastAsia"/>
                <w:color w:val="000000"/>
                <w:kern w:val="0"/>
                <w:sz w:val="25"/>
                <w:szCs w:val="24"/>
              </w:rPr>
              <w:t>类基金份额</w:t>
            </w:r>
            <w:r>
              <w:rPr>
                <w:rFonts w:ascii="Times New Roman" w:hAnsi="Times New Roman"/>
                <w:color w:val="000000"/>
                <w:kern w:val="0"/>
                <w:sz w:val="25"/>
                <w:szCs w:val="24"/>
              </w:rPr>
              <w:t>特定申购费率</w:t>
            </w:r>
          </w:p>
        </w:tc>
      </w:tr>
      <w:tr w:rsidR="00647E97" w14:paraId="7FA78E9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30597F5" w14:textId="77777777" w:rsidR="00647E97" w:rsidRDefault="00647E9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28A35A9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1DD7ECE3"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647E97" w14:paraId="5A88409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A17082E" w14:textId="77777777" w:rsidR="00647E97" w:rsidRDefault="00647E9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40A1C35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8CF0F3C"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647E97" w14:paraId="5550175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822F238" w14:textId="77777777" w:rsidR="00647E97" w:rsidRDefault="00647E9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2FB3108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38D0D9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647E97" w14:paraId="4BC8D3F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C9BBC71" w14:textId="77777777" w:rsidR="00647E97" w:rsidRDefault="00647E9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7D992D76"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8721627"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647E97" w14:paraId="6022AF6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278D065" w14:textId="77777777" w:rsidR="00647E97" w:rsidRDefault="00647E97">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1FDFA3D6"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19D0702"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DAF7D1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405F05E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1871E58E" w14:textId="3E1DD21F"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w:t>
      </w:r>
      <w:r>
        <w:rPr>
          <w:rFonts w:ascii="宋体" w:hAnsi="宋体" w:hint="eastAsia"/>
          <w:sz w:val="24"/>
        </w:rPr>
        <w:t>A类基金份额或C类</w:t>
      </w:r>
      <w:r>
        <w:rPr>
          <w:rFonts w:ascii="宋体" w:hAnsi="宋体"/>
          <w:sz w:val="24"/>
        </w:rPr>
        <w:t>基金份额收取赎回费用，该费用随基金份额的持有时间递减。本基金</w:t>
      </w:r>
      <w:r>
        <w:rPr>
          <w:rFonts w:ascii="宋体" w:hAnsi="宋体" w:hint="eastAsia"/>
          <w:sz w:val="24"/>
        </w:rPr>
        <w:t>A类基金份额和C类基金份额</w:t>
      </w:r>
      <w:r>
        <w:rPr>
          <w:rFonts w:ascii="宋体" w:hAnsi="宋体"/>
          <w:sz w:val="24"/>
        </w:rPr>
        <w:t>的赎回费用由</w:t>
      </w:r>
      <w:r>
        <w:rPr>
          <w:rFonts w:ascii="宋体" w:hAnsi="宋体" w:hint="eastAsia"/>
          <w:sz w:val="24"/>
        </w:rPr>
        <w:t>该类</w:t>
      </w:r>
      <w:r>
        <w:rPr>
          <w:rFonts w:ascii="宋体" w:hAnsi="宋体"/>
          <w:sz w:val="24"/>
        </w:rPr>
        <w:t>基金份额</w:t>
      </w:r>
      <w:r>
        <w:rPr>
          <w:rFonts w:ascii="宋体" w:hAnsi="宋体" w:hint="eastAsia"/>
          <w:sz w:val="24"/>
        </w:rPr>
        <w:t>的基金份额持有人</w:t>
      </w:r>
      <w:r>
        <w:rPr>
          <w:rFonts w:ascii="宋体" w:hAnsi="宋体"/>
          <w:sz w:val="24"/>
        </w:rPr>
        <w:t>承担，对于持续持有期少于7天的投资人收取的赎回费全额计入基金财产。</w:t>
      </w:r>
    </w:p>
    <w:p w14:paraId="6480376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hint="eastAsia"/>
          <w:sz w:val="24"/>
        </w:rPr>
        <w:t>A类基金份额、</w:t>
      </w:r>
      <w:r>
        <w:rPr>
          <w:rFonts w:ascii="宋体" w:hAnsi="宋体"/>
          <w:sz w:val="24"/>
        </w:rPr>
        <w:t>C</w:t>
      </w:r>
      <w:r>
        <w:rPr>
          <w:rFonts w:ascii="宋体" w:hAnsi="宋体" w:hint="eastAsia"/>
          <w:sz w:val="24"/>
        </w:rPr>
        <w:t>类基金份额的</w:t>
      </w:r>
      <w:r>
        <w:rPr>
          <w:rFonts w:ascii="宋体" w:hAnsi="宋体"/>
          <w:sz w:val="24"/>
        </w:rPr>
        <w:t>赎回费率如下：</w:t>
      </w:r>
    </w:p>
    <w:tbl>
      <w:tblPr>
        <w:tblW w:w="5000" w:type="pct"/>
        <w:tblCellMar>
          <w:left w:w="0" w:type="dxa"/>
          <w:right w:w="0" w:type="dxa"/>
        </w:tblCellMar>
        <w:tblLook w:val="04A0" w:firstRow="1" w:lastRow="0" w:firstColumn="1" w:lastColumn="0" w:noHBand="0" w:noVBand="1"/>
      </w:tblPr>
      <w:tblGrid>
        <w:gridCol w:w="2884"/>
        <w:gridCol w:w="2884"/>
        <w:gridCol w:w="2882"/>
      </w:tblGrid>
      <w:tr w:rsidR="00647E97" w14:paraId="3191C07B" w14:textId="77777777" w:rsidTr="00E4243C">
        <w:trPr>
          <w:cantSplit/>
          <w:trHeight w:val="375"/>
        </w:trPr>
        <w:tc>
          <w:tcPr>
            <w:tcW w:w="1667" w:type="pct"/>
            <w:vMerge w:val="restart"/>
            <w:tcBorders>
              <w:top w:val="single" w:sz="4" w:space="0" w:color="auto"/>
              <w:left w:val="single" w:sz="4" w:space="0" w:color="auto"/>
              <w:bottom w:val="single" w:sz="4" w:space="0" w:color="auto"/>
              <w:right w:val="single" w:sz="4" w:space="0" w:color="auto"/>
            </w:tcBorders>
            <w:vAlign w:val="center"/>
          </w:tcPr>
          <w:p w14:paraId="25D93FF5" w14:textId="1912C1FC" w:rsidR="00647E97" w:rsidRDefault="00022CF9">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A/C</w:t>
            </w:r>
            <w:r>
              <w:rPr>
                <w:rFonts w:ascii="Times New Roman" w:hAnsi="Times New Roman" w:hint="eastAsia"/>
                <w:color w:val="000000"/>
                <w:kern w:val="0"/>
                <w:sz w:val="25"/>
                <w:szCs w:val="24"/>
              </w:rPr>
              <w:t>类基金份额的</w:t>
            </w:r>
            <w:r>
              <w:rPr>
                <w:rFonts w:ascii="Times New Roman" w:hAnsi="Times New Roman"/>
                <w:color w:val="000000"/>
                <w:kern w:val="0"/>
                <w:sz w:val="25"/>
                <w:szCs w:val="24"/>
              </w:rPr>
              <w:t>赎回费率</w:t>
            </w:r>
          </w:p>
        </w:tc>
        <w:tc>
          <w:tcPr>
            <w:tcW w:w="1667" w:type="pct"/>
            <w:tcBorders>
              <w:top w:val="single" w:sz="4" w:space="0" w:color="auto"/>
              <w:left w:val="single" w:sz="4" w:space="0" w:color="auto"/>
              <w:bottom w:val="single" w:sz="4" w:space="0" w:color="auto"/>
              <w:right w:val="single" w:sz="4" w:space="0" w:color="auto"/>
            </w:tcBorders>
            <w:vAlign w:val="center"/>
          </w:tcPr>
          <w:p w14:paraId="1A776AE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667" w:type="pct"/>
            <w:tcBorders>
              <w:top w:val="single" w:sz="4" w:space="0" w:color="auto"/>
              <w:left w:val="single" w:sz="4" w:space="0" w:color="auto"/>
              <w:bottom w:val="single" w:sz="4" w:space="0" w:color="auto"/>
              <w:right w:val="single" w:sz="4" w:space="0" w:color="auto"/>
            </w:tcBorders>
            <w:vAlign w:val="center"/>
          </w:tcPr>
          <w:p w14:paraId="724DE687"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647E97" w14:paraId="6EC8265D" w14:textId="77777777" w:rsidTr="00E4243C">
        <w:trPr>
          <w:cantSplit/>
          <w:trHeight w:val="375"/>
        </w:trPr>
        <w:tc>
          <w:tcPr>
            <w:tcW w:w="1667" w:type="pct"/>
            <w:vMerge/>
            <w:tcBorders>
              <w:top w:val="single" w:sz="4" w:space="0" w:color="auto"/>
              <w:left w:val="single" w:sz="4" w:space="0" w:color="auto"/>
              <w:bottom w:val="single" w:sz="4" w:space="0" w:color="auto"/>
              <w:right w:val="single" w:sz="4" w:space="0" w:color="auto"/>
            </w:tcBorders>
            <w:vAlign w:val="center"/>
          </w:tcPr>
          <w:p w14:paraId="3F91F6D7" w14:textId="77777777" w:rsidR="00647E97" w:rsidRDefault="00647E97">
            <w:pPr>
              <w:widowControl/>
              <w:snapToGrid w:val="0"/>
              <w:jc w:val="center"/>
              <w:rPr>
                <w:rFonts w:ascii="宋体" w:hAnsi="宋体"/>
                <w:color w:val="000000"/>
                <w:kern w:val="0"/>
                <w:sz w:val="25"/>
                <w:szCs w:val="24"/>
              </w:rPr>
            </w:pPr>
          </w:p>
        </w:tc>
        <w:tc>
          <w:tcPr>
            <w:tcW w:w="1667" w:type="pct"/>
            <w:tcBorders>
              <w:top w:val="single" w:sz="4" w:space="0" w:color="auto"/>
              <w:left w:val="single" w:sz="4" w:space="0" w:color="auto"/>
              <w:bottom w:val="single" w:sz="4" w:space="0" w:color="auto"/>
              <w:right w:val="single" w:sz="4" w:space="0" w:color="auto"/>
            </w:tcBorders>
            <w:vAlign w:val="center"/>
          </w:tcPr>
          <w:p w14:paraId="5DB76CDF"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1667" w:type="pct"/>
            <w:tcBorders>
              <w:top w:val="single" w:sz="4" w:space="0" w:color="auto"/>
              <w:left w:val="single" w:sz="4" w:space="0" w:color="auto"/>
              <w:bottom w:val="single" w:sz="4" w:space="0" w:color="auto"/>
              <w:right w:val="single" w:sz="4" w:space="0" w:color="auto"/>
            </w:tcBorders>
            <w:vAlign w:val="center"/>
          </w:tcPr>
          <w:p w14:paraId="60D88DE3"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647E97" w14:paraId="165F3A70" w14:textId="77777777" w:rsidTr="00E4243C">
        <w:trPr>
          <w:cantSplit/>
          <w:trHeight w:val="375"/>
        </w:trPr>
        <w:tc>
          <w:tcPr>
            <w:tcW w:w="1667" w:type="pct"/>
            <w:vMerge/>
            <w:tcBorders>
              <w:top w:val="single" w:sz="4" w:space="0" w:color="auto"/>
              <w:left w:val="single" w:sz="4" w:space="0" w:color="auto"/>
              <w:bottom w:val="single" w:sz="4" w:space="0" w:color="auto"/>
              <w:right w:val="single" w:sz="4" w:space="0" w:color="auto"/>
            </w:tcBorders>
            <w:vAlign w:val="center"/>
          </w:tcPr>
          <w:p w14:paraId="0F74A304" w14:textId="77777777" w:rsidR="00647E97" w:rsidRDefault="00647E97">
            <w:pPr>
              <w:widowControl/>
              <w:snapToGrid w:val="0"/>
              <w:jc w:val="center"/>
              <w:rPr>
                <w:rFonts w:ascii="宋体" w:hAnsi="宋体"/>
                <w:color w:val="000000"/>
                <w:kern w:val="0"/>
                <w:sz w:val="25"/>
                <w:szCs w:val="24"/>
              </w:rPr>
            </w:pPr>
          </w:p>
        </w:tc>
        <w:tc>
          <w:tcPr>
            <w:tcW w:w="1667" w:type="pct"/>
            <w:tcBorders>
              <w:top w:val="single" w:sz="4" w:space="0" w:color="auto"/>
              <w:left w:val="single" w:sz="4" w:space="0" w:color="auto"/>
              <w:bottom w:val="single" w:sz="4" w:space="0" w:color="auto"/>
              <w:right w:val="single" w:sz="4" w:space="0" w:color="auto"/>
            </w:tcBorders>
            <w:vAlign w:val="center"/>
          </w:tcPr>
          <w:p w14:paraId="089E9338"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天以上（含）</w:t>
            </w:r>
          </w:p>
        </w:tc>
        <w:tc>
          <w:tcPr>
            <w:tcW w:w="1667" w:type="pct"/>
            <w:tcBorders>
              <w:top w:val="single" w:sz="4" w:space="0" w:color="auto"/>
              <w:left w:val="single" w:sz="4" w:space="0" w:color="auto"/>
              <w:bottom w:val="single" w:sz="4" w:space="0" w:color="auto"/>
              <w:right w:val="single" w:sz="4" w:space="0" w:color="auto"/>
            </w:tcBorders>
            <w:vAlign w:val="center"/>
          </w:tcPr>
          <w:p w14:paraId="468278C0"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5F2AFDF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14:paraId="0F5E7FA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3753A14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1E5EED7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（七）申购和赎回的数额和价格</w:t>
      </w:r>
    </w:p>
    <w:p w14:paraId="3AC8014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25E6235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w:t>
      </w:r>
      <w:r>
        <w:rPr>
          <w:rFonts w:ascii="宋体" w:hAnsi="宋体" w:hint="eastAsia"/>
          <w:sz w:val="24"/>
        </w:rPr>
        <w:t>A类基金份额或C类</w:t>
      </w:r>
      <w:r>
        <w:rPr>
          <w:rFonts w:ascii="宋体" w:hAnsi="宋体"/>
          <w:sz w:val="24"/>
        </w:rPr>
        <w:t>基金份额的有效份额为净申购金额除以当日</w:t>
      </w:r>
      <w:r>
        <w:rPr>
          <w:rFonts w:ascii="Times New Roman" w:hAnsi="Times New Roman" w:hint="eastAsia"/>
          <w:sz w:val="24"/>
        </w:rPr>
        <w:t>该类基金份额的</w:t>
      </w:r>
      <w:r>
        <w:rPr>
          <w:rFonts w:ascii="宋体" w:hAnsi="宋体"/>
          <w:sz w:val="24"/>
        </w:rPr>
        <w:t>基金份额净值，有效份额单位为份，申购份额计算结果按四舍五入方法，保留到小数点后2位，由此产生的收益或损失由基金财产承担。</w:t>
      </w:r>
    </w:p>
    <w:p w14:paraId="08E58D1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w:t>
      </w:r>
      <w:r>
        <w:rPr>
          <w:rFonts w:ascii="宋体" w:hAnsi="宋体" w:hint="eastAsia"/>
          <w:sz w:val="24"/>
        </w:rPr>
        <w:t>A类基金份额或C类基金份额</w:t>
      </w:r>
      <w:r>
        <w:rPr>
          <w:rFonts w:ascii="宋体" w:hAnsi="宋体"/>
          <w:sz w:val="24"/>
        </w:rPr>
        <w:t>有效赎回份额乘以</w:t>
      </w:r>
      <w:r>
        <w:rPr>
          <w:rFonts w:ascii="宋体" w:hAnsi="宋体"/>
          <w:sz w:val="24"/>
        </w:rPr>
        <w:lastRenderedPageBreak/>
        <w:t>当日</w:t>
      </w:r>
      <w:r>
        <w:rPr>
          <w:rFonts w:ascii="宋体" w:hAnsi="宋体" w:hint="eastAsia"/>
          <w:sz w:val="24"/>
        </w:rPr>
        <w:t>该类基金份额的</w:t>
      </w:r>
      <w:r>
        <w:rPr>
          <w:rFonts w:ascii="宋体" w:hAnsi="宋体"/>
          <w:sz w:val="24"/>
        </w:rPr>
        <w:t>基金份额净值并扣除相应的费用（如有），赎回金额单位为元。赎回金额计算结果按四舍五入方法，保留到小数点后2位，由此产生的收益或损失由基金财产承担。</w:t>
      </w:r>
    </w:p>
    <w:p w14:paraId="69620A0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7126F572"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（1）A类基金份额的申购</w:t>
      </w:r>
    </w:p>
    <w:p w14:paraId="7EA306E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4F4BD8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2BB5F7D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7EF19BD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15F5664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0262329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w:t>
      </w:r>
      <w:r>
        <w:rPr>
          <w:rFonts w:ascii="宋体" w:hAnsi="宋体" w:hint="eastAsia"/>
          <w:sz w:val="24"/>
        </w:rPr>
        <w:t>A类</w:t>
      </w:r>
      <w:r>
        <w:rPr>
          <w:rFonts w:ascii="宋体" w:hAnsi="宋体"/>
          <w:sz w:val="24"/>
        </w:rPr>
        <w:t>基金份额净值</w:t>
      </w:r>
    </w:p>
    <w:p w14:paraId="0C3AF764" w14:textId="7FA8A866"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hint="eastAsia"/>
          <w:sz w:val="24"/>
        </w:rPr>
        <w:t>一</w:t>
      </w:r>
      <w:proofErr w:type="gramEnd"/>
      <w:r>
        <w:rPr>
          <w:rFonts w:ascii="宋体" w:hAnsi="宋体"/>
          <w:sz w:val="24"/>
        </w:rPr>
        <w:t>：某投资者（非养老金客户）投资100,000元申购本基金</w:t>
      </w:r>
      <w:r>
        <w:rPr>
          <w:rFonts w:ascii="宋体" w:hAnsi="宋体" w:hint="eastAsia"/>
          <w:sz w:val="24"/>
        </w:rPr>
        <w:t>A类基金份额</w:t>
      </w:r>
      <w:r>
        <w:rPr>
          <w:rFonts w:ascii="宋体" w:hAnsi="宋体"/>
          <w:sz w:val="24"/>
        </w:rPr>
        <w:t>，假设申购当日</w:t>
      </w:r>
      <w:r>
        <w:rPr>
          <w:rFonts w:ascii="宋体" w:hAnsi="宋体" w:hint="eastAsia"/>
          <w:sz w:val="24"/>
        </w:rPr>
        <w:t>A类</w:t>
      </w:r>
      <w:r>
        <w:rPr>
          <w:rFonts w:ascii="宋体" w:hAnsi="宋体"/>
          <w:sz w:val="24"/>
        </w:rPr>
        <w:t>基金份额净值为1.0400元，申购费率为0.8%，则其可得到的申购份额为：</w:t>
      </w:r>
    </w:p>
    <w:p w14:paraId="4D315D7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79DBA08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79A9FA5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08F698E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77559F8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Pr>
          <w:rFonts w:ascii="宋体" w:hAnsi="宋体" w:hint="eastAsia"/>
          <w:sz w:val="24"/>
        </w:rPr>
        <w:t>A类基金份额</w:t>
      </w:r>
      <w:r>
        <w:rPr>
          <w:rFonts w:ascii="宋体" w:hAnsi="宋体"/>
          <w:sz w:val="24"/>
        </w:rPr>
        <w:t>，假设申购当日基金份额净值为1.0400元，则其可得到95,390.72份</w:t>
      </w:r>
      <w:r>
        <w:rPr>
          <w:rFonts w:ascii="宋体" w:hAnsi="宋体" w:hint="eastAsia"/>
          <w:sz w:val="24"/>
        </w:rPr>
        <w:t>A类</w:t>
      </w:r>
      <w:r>
        <w:rPr>
          <w:rFonts w:ascii="宋体" w:hAnsi="宋体"/>
          <w:sz w:val="24"/>
        </w:rPr>
        <w:t>基金份额。</w:t>
      </w:r>
    </w:p>
    <w:p w14:paraId="2AD5D94F" w14:textId="045158AE"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二</w:t>
      </w:r>
      <w:r>
        <w:rPr>
          <w:rFonts w:ascii="宋体" w:hAnsi="宋体"/>
          <w:sz w:val="24"/>
        </w:rPr>
        <w:t>：某养老金客户投资100,000元通过基金管理人的直销柜台申购本基金</w:t>
      </w:r>
      <w:r>
        <w:rPr>
          <w:rFonts w:ascii="宋体" w:hAnsi="宋体" w:hint="eastAsia"/>
          <w:sz w:val="24"/>
        </w:rPr>
        <w:t>A类基金份额</w:t>
      </w:r>
      <w:r>
        <w:rPr>
          <w:rFonts w:ascii="宋体" w:hAnsi="宋体"/>
          <w:sz w:val="24"/>
        </w:rPr>
        <w:t>，假设申购当日</w:t>
      </w:r>
      <w:r>
        <w:rPr>
          <w:rFonts w:ascii="宋体" w:hAnsi="宋体" w:hint="eastAsia"/>
          <w:sz w:val="24"/>
        </w:rPr>
        <w:t>A类</w:t>
      </w:r>
      <w:r>
        <w:rPr>
          <w:rFonts w:ascii="宋体" w:hAnsi="宋体"/>
          <w:sz w:val="24"/>
        </w:rPr>
        <w:t>基金份额净值为1.0400元，申购费率为0.32%，则其可得到的</w:t>
      </w:r>
      <w:r>
        <w:rPr>
          <w:rFonts w:ascii="宋体" w:hAnsi="宋体" w:hint="eastAsia"/>
          <w:sz w:val="24"/>
        </w:rPr>
        <w:t>A类</w:t>
      </w:r>
      <w:r>
        <w:rPr>
          <w:rFonts w:ascii="宋体" w:hAnsi="宋体"/>
          <w:sz w:val="24"/>
        </w:rPr>
        <w:t>申购份额为：</w:t>
      </w:r>
    </w:p>
    <w:p w14:paraId="68FE687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02FA82F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5F7FCAA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448E18A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14:paraId="1A538632"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即：该养老金客户投资100,000元通过基金管理人的直销柜台申购本基金</w:t>
      </w:r>
      <w:r>
        <w:rPr>
          <w:rFonts w:ascii="宋体" w:hAnsi="宋体" w:hint="eastAsia"/>
          <w:sz w:val="24"/>
        </w:rPr>
        <w:t>A类基金份额</w:t>
      </w:r>
      <w:r>
        <w:rPr>
          <w:rFonts w:ascii="宋体" w:hAnsi="宋体"/>
          <w:sz w:val="24"/>
        </w:rPr>
        <w:t>，假设申购当日</w:t>
      </w:r>
      <w:r>
        <w:rPr>
          <w:rFonts w:ascii="宋体" w:hAnsi="宋体" w:hint="eastAsia"/>
          <w:sz w:val="24"/>
        </w:rPr>
        <w:t>A类</w:t>
      </w:r>
      <w:r>
        <w:rPr>
          <w:rFonts w:ascii="宋体" w:hAnsi="宋体"/>
          <w:sz w:val="24"/>
        </w:rPr>
        <w:t>基金份额净值为1.0400元，则其可得到95,847.13份</w:t>
      </w:r>
      <w:r>
        <w:rPr>
          <w:rFonts w:ascii="宋体" w:hAnsi="宋体" w:hint="eastAsia"/>
          <w:sz w:val="24"/>
        </w:rPr>
        <w:t>A类</w:t>
      </w:r>
      <w:r>
        <w:rPr>
          <w:rFonts w:ascii="宋体" w:hAnsi="宋体"/>
          <w:sz w:val="24"/>
        </w:rPr>
        <w:lastRenderedPageBreak/>
        <w:t>基金份额。</w:t>
      </w:r>
    </w:p>
    <w:p w14:paraId="114FFE5D"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（2）C类基金份额的申购</w:t>
      </w:r>
    </w:p>
    <w:p w14:paraId="44DDF33A"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如果投资者选择申购C类基金份额，则申购份额的计算方法如下：</w:t>
      </w:r>
    </w:p>
    <w:p w14:paraId="11C8CFD1"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申购总金额=</w:t>
      </w:r>
      <w:proofErr w:type="gramStart"/>
      <w:r>
        <w:rPr>
          <w:rFonts w:ascii="宋体" w:hAnsi="宋体" w:hint="eastAsia"/>
          <w:sz w:val="24"/>
        </w:rPr>
        <w:t>申请总</w:t>
      </w:r>
      <w:proofErr w:type="gramEnd"/>
      <w:r>
        <w:rPr>
          <w:rFonts w:ascii="宋体" w:hAnsi="宋体" w:hint="eastAsia"/>
          <w:sz w:val="24"/>
        </w:rPr>
        <w:t>金额</w:t>
      </w:r>
    </w:p>
    <w:p w14:paraId="5FD92CF0"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申购份额=申购总金额/T日C类基金份额净值</w:t>
      </w:r>
    </w:p>
    <w:p w14:paraId="299DCCE1"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例三：某投资者投资100,000元申购本基金的C类基金份额，假设申购当日C类基金份额净值为1.0400元，则其可得到的申购份额为：</w:t>
      </w:r>
    </w:p>
    <w:p w14:paraId="25C9977A"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申购总金额=100,000元</w:t>
      </w:r>
    </w:p>
    <w:p w14:paraId="41C4DE97"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申购份额＝100,000/1.0400＝96,153.85份</w:t>
      </w:r>
    </w:p>
    <w:p w14:paraId="389C145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即：投资者投资100,000元申购本基金的C类基金份额，假设申购当日C类基金份额净值为1.0400元，则其可得到96,153.85份C类基金份额。</w:t>
      </w:r>
    </w:p>
    <w:p w14:paraId="56C4D3A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57F962AC"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（1）A类基金份额的赎回</w:t>
      </w:r>
    </w:p>
    <w:p w14:paraId="154B3DA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投资者赎回A类基金份额，</w:t>
      </w:r>
      <w:r>
        <w:rPr>
          <w:rFonts w:ascii="宋体" w:hAnsi="宋体"/>
          <w:sz w:val="24"/>
        </w:rPr>
        <w:t>赎回金额的计算方法如下：</w:t>
      </w:r>
    </w:p>
    <w:p w14:paraId="0287CE2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Pr>
          <w:rFonts w:ascii="宋体" w:hAnsi="宋体" w:hint="eastAsia"/>
          <w:sz w:val="24"/>
        </w:rPr>
        <w:t>A类</w:t>
      </w:r>
      <w:r>
        <w:rPr>
          <w:rFonts w:ascii="宋体" w:hAnsi="宋体"/>
          <w:sz w:val="24"/>
        </w:rPr>
        <w:t>基金份额净值×赎回费率</w:t>
      </w:r>
    </w:p>
    <w:p w14:paraId="2EFBD23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w:t>
      </w:r>
      <w:r>
        <w:rPr>
          <w:rFonts w:ascii="宋体" w:hAnsi="宋体" w:hint="eastAsia"/>
          <w:sz w:val="24"/>
        </w:rPr>
        <w:t>A类</w:t>
      </w:r>
      <w:r>
        <w:rPr>
          <w:rFonts w:ascii="宋体" w:hAnsi="宋体"/>
          <w:sz w:val="24"/>
        </w:rPr>
        <w:t>基金份额净值—赎回费用</w:t>
      </w:r>
    </w:p>
    <w:p w14:paraId="0DBD0026" w14:textId="3FC3B5FF"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四</w:t>
      </w:r>
      <w:r>
        <w:rPr>
          <w:rFonts w:ascii="宋体" w:hAnsi="宋体"/>
          <w:sz w:val="24"/>
        </w:rPr>
        <w:t>：某投资者在持有期限为10天时赎回100,000份</w:t>
      </w:r>
      <w:r>
        <w:rPr>
          <w:rFonts w:ascii="宋体" w:hAnsi="宋体" w:hint="eastAsia"/>
          <w:sz w:val="24"/>
        </w:rPr>
        <w:t>A类</w:t>
      </w:r>
      <w:r>
        <w:rPr>
          <w:rFonts w:ascii="宋体" w:hAnsi="宋体"/>
          <w:sz w:val="24"/>
        </w:rPr>
        <w:t>基金份额，对应的赎回费率为0，假设赎回当日</w:t>
      </w:r>
      <w:r>
        <w:rPr>
          <w:rFonts w:ascii="宋体" w:hAnsi="宋体" w:hint="eastAsia"/>
          <w:sz w:val="24"/>
        </w:rPr>
        <w:t>A类</w:t>
      </w:r>
      <w:r>
        <w:rPr>
          <w:rFonts w:ascii="宋体" w:hAnsi="宋体"/>
          <w:sz w:val="24"/>
        </w:rPr>
        <w:t>基金份额净值是1.0160元，则其可得到的赎回金额为：</w:t>
      </w:r>
    </w:p>
    <w:p w14:paraId="26BB6CB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14:paraId="7F45E00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14:paraId="36B02D95"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即：投资者在持有期限为10天时赎回100,000份</w:t>
      </w:r>
      <w:r>
        <w:rPr>
          <w:rFonts w:ascii="宋体" w:hAnsi="宋体" w:hint="eastAsia"/>
          <w:sz w:val="24"/>
        </w:rPr>
        <w:t>A类</w:t>
      </w:r>
      <w:r>
        <w:rPr>
          <w:rFonts w:ascii="宋体" w:hAnsi="宋体"/>
          <w:sz w:val="24"/>
        </w:rPr>
        <w:t>基金份额，对应的赎回费率为0，假设赎回当日</w:t>
      </w:r>
      <w:r>
        <w:rPr>
          <w:rFonts w:ascii="宋体" w:hAnsi="宋体" w:hint="eastAsia"/>
          <w:sz w:val="24"/>
        </w:rPr>
        <w:t>A类</w:t>
      </w:r>
      <w:r>
        <w:rPr>
          <w:rFonts w:ascii="宋体" w:hAnsi="宋体"/>
          <w:sz w:val="24"/>
        </w:rPr>
        <w:t>基金份额净值是1.0160元，则其可得到的赎回金额为101,600.00元。</w:t>
      </w:r>
    </w:p>
    <w:p w14:paraId="1FD17A15"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（2）C类基金份额的赎回</w:t>
      </w:r>
    </w:p>
    <w:p w14:paraId="42454003"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投资者赎回C类基金份额，赎回金额的计算方法如下：</w:t>
      </w:r>
    </w:p>
    <w:p w14:paraId="75B57865"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赎回费用=赎回份额×T日C类基金份额净值×赎回费率</w:t>
      </w:r>
    </w:p>
    <w:p w14:paraId="4DD8BB91"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赎回金额=赎回份额×T日C类基金份额净值-赎回费用</w:t>
      </w:r>
    </w:p>
    <w:p w14:paraId="0EA093B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例五：</w:t>
      </w:r>
      <w:r>
        <w:rPr>
          <w:rFonts w:ascii="宋体" w:hAnsi="宋体"/>
          <w:sz w:val="24"/>
        </w:rPr>
        <w:t>某投资者在持有期限为5天时赎回100,000份C</w:t>
      </w:r>
      <w:r>
        <w:rPr>
          <w:rFonts w:ascii="宋体" w:hAnsi="宋体" w:hint="eastAsia"/>
          <w:sz w:val="24"/>
        </w:rPr>
        <w:t>类</w:t>
      </w:r>
      <w:r>
        <w:rPr>
          <w:rFonts w:ascii="宋体" w:hAnsi="宋体"/>
          <w:sz w:val="24"/>
        </w:rPr>
        <w:t>基金份额，对应的赎回费率为1.5</w:t>
      </w:r>
      <w:r>
        <w:rPr>
          <w:rFonts w:ascii="宋体" w:hAnsi="宋体" w:hint="eastAsia"/>
          <w:sz w:val="24"/>
        </w:rPr>
        <w:t>%</w:t>
      </w:r>
      <w:r>
        <w:rPr>
          <w:rFonts w:ascii="宋体" w:hAnsi="宋体"/>
          <w:sz w:val="24"/>
        </w:rPr>
        <w:t>，假设赎回当日C</w:t>
      </w:r>
      <w:r>
        <w:rPr>
          <w:rFonts w:ascii="宋体" w:hAnsi="宋体" w:hint="eastAsia"/>
          <w:sz w:val="24"/>
        </w:rPr>
        <w:t>类</w:t>
      </w:r>
      <w:r>
        <w:rPr>
          <w:rFonts w:ascii="宋体" w:hAnsi="宋体"/>
          <w:sz w:val="24"/>
        </w:rPr>
        <w:t>基金份额净值是1.0160元，则其可得到的赎回金额为：</w:t>
      </w:r>
    </w:p>
    <w:p w14:paraId="414F14B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赎回费用=100,000×1.0160×1.5</w:t>
      </w:r>
      <w:r>
        <w:rPr>
          <w:rFonts w:ascii="宋体" w:hAnsi="宋体" w:hint="eastAsia"/>
          <w:sz w:val="24"/>
        </w:rPr>
        <w:t>%</w:t>
      </w:r>
      <w:r>
        <w:rPr>
          <w:rFonts w:ascii="宋体" w:hAnsi="宋体"/>
          <w:sz w:val="24"/>
        </w:rPr>
        <w:t>＝1524.00元</w:t>
      </w:r>
    </w:p>
    <w:p w14:paraId="11D99BE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赎回金额=100,000×1.0160-1524.00＝100,076.00元</w:t>
      </w:r>
    </w:p>
    <w:p w14:paraId="643E98F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w:t>
      </w:r>
      <w:r>
        <w:rPr>
          <w:rFonts w:ascii="宋体" w:hAnsi="宋体" w:hint="eastAsia"/>
          <w:sz w:val="24"/>
        </w:rPr>
        <w:t>5</w:t>
      </w:r>
      <w:r>
        <w:rPr>
          <w:rFonts w:ascii="宋体" w:hAnsi="宋体"/>
          <w:sz w:val="24"/>
        </w:rPr>
        <w:t>天时赎回100,000份</w:t>
      </w:r>
      <w:r>
        <w:rPr>
          <w:rFonts w:ascii="宋体" w:hAnsi="宋体" w:hint="eastAsia"/>
          <w:sz w:val="24"/>
        </w:rPr>
        <w:t>C类</w:t>
      </w:r>
      <w:r>
        <w:rPr>
          <w:rFonts w:ascii="宋体" w:hAnsi="宋体"/>
          <w:sz w:val="24"/>
        </w:rPr>
        <w:t>基金份额，对应的赎回费率为</w:t>
      </w:r>
      <w:r>
        <w:rPr>
          <w:rFonts w:ascii="宋体" w:hAnsi="宋体" w:hint="eastAsia"/>
          <w:sz w:val="24"/>
        </w:rPr>
        <w:t>1</w:t>
      </w:r>
      <w:r>
        <w:rPr>
          <w:rFonts w:ascii="宋体" w:hAnsi="宋体"/>
          <w:sz w:val="24"/>
        </w:rPr>
        <w:t>.5</w:t>
      </w:r>
      <w:r>
        <w:rPr>
          <w:rFonts w:ascii="宋体" w:hAnsi="宋体" w:hint="eastAsia"/>
          <w:sz w:val="24"/>
        </w:rPr>
        <w:t>%</w:t>
      </w:r>
      <w:r>
        <w:rPr>
          <w:rFonts w:ascii="宋体" w:hAnsi="宋体"/>
          <w:sz w:val="24"/>
        </w:rPr>
        <w:t>，假设赎回当日</w:t>
      </w:r>
      <w:r>
        <w:rPr>
          <w:rFonts w:ascii="宋体" w:hAnsi="宋体" w:hint="eastAsia"/>
          <w:sz w:val="24"/>
        </w:rPr>
        <w:t>C类</w:t>
      </w:r>
      <w:r>
        <w:rPr>
          <w:rFonts w:ascii="宋体" w:hAnsi="宋体"/>
          <w:sz w:val="24"/>
        </w:rPr>
        <w:t>基金份额净值是1.0160元，则其可得到的赎回金额为100,076.00元。</w:t>
      </w:r>
    </w:p>
    <w:p w14:paraId="507F812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68B1A00"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A类</w:t>
      </w:r>
      <w:r>
        <w:rPr>
          <w:rFonts w:ascii="宋体" w:hAnsi="宋体"/>
          <w:sz w:val="24"/>
        </w:rPr>
        <w:t>基金份额净值＝</w:t>
      </w:r>
      <w:r>
        <w:rPr>
          <w:rFonts w:ascii="宋体" w:hAnsi="宋体" w:hint="eastAsia"/>
          <w:sz w:val="24"/>
        </w:rPr>
        <w:t>A类</w:t>
      </w:r>
      <w:r>
        <w:rPr>
          <w:rFonts w:ascii="宋体" w:hAnsi="宋体"/>
          <w:sz w:val="24"/>
        </w:rPr>
        <w:t>基金份额的基金资产净值总额/发行在外的</w:t>
      </w:r>
      <w:r>
        <w:rPr>
          <w:rFonts w:ascii="宋体" w:hAnsi="宋体" w:hint="eastAsia"/>
          <w:sz w:val="24"/>
        </w:rPr>
        <w:t>A类</w:t>
      </w:r>
      <w:r>
        <w:rPr>
          <w:rFonts w:ascii="宋体" w:hAnsi="宋体"/>
          <w:sz w:val="24"/>
        </w:rPr>
        <w:t>基金份额总数</w:t>
      </w:r>
    </w:p>
    <w:p w14:paraId="6171417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C类基金份额净值＝C类基金份额的基金资产净值总额/发行在外的C类基金份额总数</w:t>
      </w:r>
    </w:p>
    <w:p w14:paraId="50EA9AA0" w14:textId="5229C69C"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w:t>
      </w:r>
      <w:r>
        <w:rPr>
          <w:rFonts w:ascii="宋体" w:hAnsi="宋体" w:hint="eastAsia"/>
          <w:sz w:val="24"/>
        </w:rPr>
        <w:t>各类基金份额</w:t>
      </w:r>
      <w:r>
        <w:rPr>
          <w:rFonts w:ascii="宋体" w:hAnsi="宋体"/>
          <w:sz w:val="24"/>
        </w:rPr>
        <w:t>的基金份额净值在当天收市后计算，并按基金合同的约定公告。遇特殊情况，经履行适当程序，可以适当延迟计算或公告。本基金</w:t>
      </w:r>
      <w:r>
        <w:rPr>
          <w:rFonts w:ascii="宋体" w:hAnsi="宋体" w:hint="eastAsia"/>
          <w:sz w:val="24"/>
        </w:rPr>
        <w:t>A类基金份额和C类基金份额的</w:t>
      </w:r>
      <w:r>
        <w:rPr>
          <w:rFonts w:ascii="宋体" w:hAnsi="宋体"/>
          <w:sz w:val="24"/>
        </w:rPr>
        <w:t>基金份额净值的计算，</w:t>
      </w:r>
      <w:r>
        <w:rPr>
          <w:rFonts w:ascii="宋体" w:hAnsi="宋体" w:hint="eastAsia"/>
          <w:sz w:val="24"/>
        </w:rPr>
        <w:t>均</w:t>
      </w:r>
      <w:r>
        <w:rPr>
          <w:rFonts w:ascii="宋体" w:hAnsi="宋体"/>
          <w:sz w:val="24"/>
        </w:rPr>
        <w:t>保留到小数点后4位，小数点后第5位四舍五入，由此产生的收益或损失由基金财产承担。</w:t>
      </w:r>
    </w:p>
    <w:p w14:paraId="533ABEC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（八）拒绝或暂停申购的情形</w:t>
      </w:r>
    </w:p>
    <w:p w14:paraId="0FB572D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在开放期内发生下列情况时，基金管理人可拒绝或暂停接受投资人的申购申请：</w:t>
      </w:r>
    </w:p>
    <w:p w14:paraId="3F02A1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62F2FDF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1F058AE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32AF87A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12F3FE8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3578CB0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7612802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7、个人投资者申购。</w:t>
      </w:r>
    </w:p>
    <w:p w14:paraId="3ECBF8A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w:t>
      </w:r>
      <w:r>
        <w:rPr>
          <w:rFonts w:ascii="宋体" w:hAnsi="宋体"/>
          <w:sz w:val="24"/>
        </w:rPr>
        <w:lastRenderedPageBreak/>
        <w:t>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14:paraId="320E91B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9、法律法规规定、中国证监会认定或基金合同约定的其他情形。</w:t>
      </w:r>
    </w:p>
    <w:p w14:paraId="73F8965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w:t>
      </w:r>
      <w:proofErr w:type="gramStart"/>
      <w:r>
        <w:rPr>
          <w:rFonts w:ascii="宋体" w:hAnsi="宋体"/>
          <w:sz w:val="24"/>
        </w:rPr>
        <w:t>且基金</w:t>
      </w:r>
      <w:proofErr w:type="gramEnd"/>
      <w:r>
        <w:rPr>
          <w:rFonts w:ascii="宋体" w:hAnsi="宋体"/>
          <w:sz w:val="24"/>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roofErr w:type="gramStart"/>
      <w:r>
        <w:rPr>
          <w:rFonts w:ascii="宋体" w:hAnsi="宋体"/>
          <w:sz w:val="24"/>
        </w:rPr>
        <w:t>且开放</w:t>
      </w:r>
      <w:proofErr w:type="gramEnd"/>
      <w:r>
        <w:rPr>
          <w:rFonts w:ascii="宋体" w:hAnsi="宋体"/>
          <w:sz w:val="24"/>
        </w:rPr>
        <w:t>期按暂停申购的期间相应顺延。</w:t>
      </w:r>
    </w:p>
    <w:p w14:paraId="22AC22F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（九）暂停赎回或延缓支付赎回款项的情形</w:t>
      </w:r>
    </w:p>
    <w:p w14:paraId="40C5D00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在开放期内发生下列情形时，基金管理人可暂停接受投资人的赎回申请或延缓支付赎回款项：</w:t>
      </w:r>
    </w:p>
    <w:p w14:paraId="7FCA207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084B539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4CD369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657BA2C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4、发生继续接受赎回申请将损害现有基金份额持有人利益的情形时，基金管理人可暂停接受基金份额持有人的赎回申请。</w:t>
      </w:r>
    </w:p>
    <w:p w14:paraId="5321D85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公允价值存在重大不确定性时，经与基金托管人协商确认后，基金管理人应当延缓支付赎回款项或暂停接受基金赎回申请。</w:t>
      </w:r>
    </w:p>
    <w:p w14:paraId="5476103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6、法律法规规定、中国证监会认定或基金合同约定的其他情形。</w:t>
      </w:r>
    </w:p>
    <w:p w14:paraId="505A1E0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w:t>
      </w:r>
      <w:proofErr w:type="gramStart"/>
      <w:r>
        <w:rPr>
          <w:rFonts w:ascii="宋体" w:hAnsi="宋体"/>
          <w:sz w:val="24"/>
        </w:rPr>
        <w:t>且基金</w:t>
      </w:r>
      <w:proofErr w:type="gramEnd"/>
      <w:r>
        <w:rPr>
          <w:rFonts w:ascii="宋体" w:hAnsi="宋体"/>
          <w:sz w:val="24"/>
        </w:rPr>
        <w:t>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缓支付。基金份额持有人在申请赎回时可事先选择将当日可能未获受理部分予以撤销。在暂停赎回的情况消除时，基金管理人应及时恢复赎回业务的办理并公告，</w:t>
      </w:r>
      <w:proofErr w:type="gramStart"/>
      <w:r>
        <w:rPr>
          <w:rFonts w:ascii="宋体" w:hAnsi="宋体"/>
          <w:sz w:val="24"/>
        </w:rPr>
        <w:t>且开放</w:t>
      </w:r>
      <w:proofErr w:type="gramEnd"/>
      <w:r>
        <w:rPr>
          <w:rFonts w:ascii="宋体" w:hAnsi="宋体"/>
          <w:sz w:val="24"/>
        </w:rPr>
        <w:t>期按暂停赎回的期间相应顺延。</w:t>
      </w:r>
    </w:p>
    <w:p w14:paraId="2C3E9D8E"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（十）巨额赎回的情形及处理方式</w:t>
      </w:r>
    </w:p>
    <w:p w14:paraId="792F0E1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1、巨额赎回的认定</w:t>
      </w:r>
    </w:p>
    <w:p w14:paraId="1D3CDA2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开放期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14:paraId="4289FAC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4266CB1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当基金出现巨额赎回时，基金管理人可以根据基金当时的资产组合状况决定全额赎回或延缓支付赎回款项。</w:t>
      </w:r>
    </w:p>
    <w:p w14:paraId="7C89CB3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4D457D4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20%，其余赎回申请可以延缓支付赎回款项，但延缓支付的期限不得超过20个工作日，并在规定媒介上予以公告。延缓支付的赎回申请以赎回申请确认当日</w:t>
      </w:r>
      <w:r>
        <w:rPr>
          <w:rFonts w:hint="eastAsia"/>
          <w:bCs/>
          <w:sz w:val="24"/>
        </w:rPr>
        <w:t>该类基金份额</w:t>
      </w:r>
      <w:r>
        <w:rPr>
          <w:rFonts w:ascii="宋体" w:hAnsi="宋体"/>
          <w:sz w:val="24"/>
        </w:rPr>
        <w:t>的基金份额净值为基础计算赎回金额。</w:t>
      </w:r>
    </w:p>
    <w:p w14:paraId="7DE4028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（3）延期办理赎回申请：本基金如发生巨额赎回且单个开放日内单个基金份额持有人申请赎回的基金份额超过前一工作日的基金总份额的20%时，本基金管理人有权采取如下措施：</w:t>
      </w:r>
    </w:p>
    <w:p w14:paraId="2F40F66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w:t>
      </w:r>
      <w:r>
        <w:rPr>
          <w:rFonts w:hint="eastAsia"/>
          <w:bCs/>
          <w:sz w:val="24"/>
        </w:rPr>
        <w:t>该类</w:t>
      </w:r>
      <w:r>
        <w:rPr>
          <w:rFonts w:ascii="宋体" w:hAnsi="宋体"/>
          <w:sz w:val="24"/>
        </w:rPr>
        <w:t>基金份额净值为基础计算赎回金额，以此类推，直到全部赎回为止。</w:t>
      </w:r>
    </w:p>
    <w:p w14:paraId="6A3A1B8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对于基金份额持有人未超过上述比例的部分，基金管理人可以根据前段“（1）全额赎回”或“（2）延缓支付赎回款项”的约定方式与其他基金份额持有人的赎回申请一并办理。</w:t>
      </w:r>
    </w:p>
    <w:p w14:paraId="523F97E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如延期办理期限超过开放期的，开放期相应延长，延长的开放期内不办理申购，亦不接受新的赎回申请，即基金管理人仅为</w:t>
      </w:r>
      <w:proofErr w:type="gramStart"/>
      <w:r>
        <w:rPr>
          <w:rFonts w:ascii="宋体" w:hAnsi="宋体"/>
          <w:sz w:val="24"/>
        </w:rPr>
        <w:t>原开放</w:t>
      </w:r>
      <w:proofErr w:type="gramEnd"/>
      <w:r>
        <w:rPr>
          <w:rFonts w:ascii="宋体" w:hAnsi="宋体"/>
          <w:sz w:val="24"/>
        </w:rPr>
        <w:t>期内因提交赎回申请超过基</w:t>
      </w:r>
      <w:r>
        <w:rPr>
          <w:rFonts w:ascii="宋体" w:hAnsi="宋体"/>
          <w:sz w:val="24"/>
        </w:rPr>
        <w:lastRenderedPageBreak/>
        <w:t>金总份额20%以上而被延期办理赎回的单个基金份额持有人办理赎回业务。</w:t>
      </w:r>
    </w:p>
    <w:p w14:paraId="6CB4900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66054A9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缓支付赎回款项时，基金管理人应当通过邮寄、传真、刊登公告或者通知销售机构代为告知等方式在3个交易日内通知基金份额持有人，说明有关处理方法，并在两日内在规定媒介上刊登公告。</w:t>
      </w:r>
    </w:p>
    <w:p w14:paraId="740B164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（十一）暂停申购或赎回的公告和重新开放申购或赎回的公告</w:t>
      </w:r>
    </w:p>
    <w:p w14:paraId="6861E3E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1、发生上述暂停申购或赎回情况的，基金管理人应在规定期限内在规定媒介上刊登暂停公告。</w:t>
      </w:r>
    </w:p>
    <w:p w14:paraId="0E70ED9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2、如发生暂停的时间为1日，基金管理人应于重新开放日，在规定媒介上刊登基金重新开放申购或赎回公告，并公布最近1个开放日</w:t>
      </w:r>
      <w:r>
        <w:rPr>
          <w:rFonts w:hint="eastAsia"/>
          <w:bCs/>
          <w:sz w:val="24"/>
        </w:rPr>
        <w:t>各类基金份额</w:t>
      </w:r>
      <w:r>
        <w:rPr>
          <w:rFonts w:ascii="宋体" w:hAnsi="宋体"/>
          <w:sz w:val="24"/>
        </w:rPr>
        <w:t>的基金份额净值。</w:t>
      </w:r>
    </w:p>
    <w:p w14:paraId="1D565C3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51C9EF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（十二）基金转换</w:t>
      </w:r>
    </w:p>
    <w:p w14:paraId="060A722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59C9D32D"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（十三）基金的</w:t>
      </w:r>
      <w:proofErr w:type="gramStart"/>
      <w:r>
        <w:rPr>
          <w:rFonts w:ascii="宋体" w:hAnsi="宋体" w:hint="eastAsia"/>
          <w:b/>
          <w:kern w:val="0"/>
          <w:sz w:val="24"/>
        </w:rPr>
        <w:t>非交易</w:t>
      </w:r>
      <w:proofErr w:type="gramEnd"/>
      <w:r>
        <w:rPr>
          <w:rFonts w:ascii="宋体" w:hAnsi="宋体" w:hint="eastAsia"/>
          <w:b/>
          <w:kern w:val="0"/>
          <w:sz w:val="24"/>
        </w:rPr>
        <w:t>过户</w:t>
      </w:r>
    </w:p>
    <w:p w14:paraId="2EB7481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14:paraId="4855F6B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14:paraId="24E6D28D"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（十四）基金的转托管</w:t>
      </w:r>
    </w:p>
    <w:p w14:paraId="46283FA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111F51CD"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（十五）定期定额投资计划</w:t>
      </w:r>
    </w:p>
    <w:p w14:paraId="7991CE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9A48650"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（十六）基金份额的冻结和解冻</w:t>
      </w:r>
    </w:p>
    <w:p w14:paraId="67C18E3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0778D38F"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（十七）基金份额的转让</w:t>
      </w:r>
    </w:p>
    <w:p w14:paraId="4158BBB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425254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（十八）实施</w:t>
      </w:r>
      <w:proofErr w:type="gramStart"/>
      <w:r>
        <w:rPr>
          <w:rFonts w:ascii="宋体" w:hAnsi="宋体" w:hint="eastAsia"/>
          <w:b/>
          <w:kern w:val="0"/>
          <w:sz w:val="24"/>
        </w:rPr>
        <w:t>侧袋机制</w:t>
      </w:r>
      <w:proofErr w:type="gramEnd"/>
      <w:r>
        <w:rPr>
          <w:rFonts w:ascii="宋体" w:hAnsi="宋体" w:hint="eastAsia"/>
          <w:b/>
          <w:kern w:val="0"/>
          <w:sz w:val="24"/>
        </w:rPr>
        <w:t>期间本基金的申购与赎回</w:t>
      </w:r>
    </w:p>
    <w:p w14:paraId="2013120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的，本基金的申购和赎回安排详见本招募说明书“侧袋机制”部分的规定或相关公告。</w:t>
      </w:r>
    </w:p>
    <w:p w14:paraId="16A80B43"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（十九）其他业务</w:t>
      </w:r>
    </w:p>
    <w:p w14:paraId="47C4C5F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2EB1FD1"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13090A1" w14:textId="77777777" w:rsidR="00647E97" w:rsidRDefault="00022CF9">
      <w:pPr>
        <w:pStyle w:val="1"/>
        <w:snapToGrid w:val="0"/>
        <w:spacing w:beforeLines="0" w:before="240" w:after="240"/>
        <w:rPr>
          <w:rFonts w:ascii="宋体" w:hAnsi="宋体"/>
          <w:szCs w:val="30"/>
        </w:rPr>
      </w:pPr>
      <w:bookmarkStart w:id="11" w:name="_Toc193101048"/>
      <w:r>
        <w:rPr>
          <w:rFonts w:ascii="Times New Roman" w:hAnsi="Times New Roman"/>
          <w:sz w:val="30"/>
        </w:rPr>
        <w:lastRenderedPageBreak/>
        <w:t>九、基金的投资</w:t>
      </w:r>
      <w:bookmarkEnd w:id="11"/>
    </w:p>
    <w:p w14:paraId="6F296C6B"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（一）投资目标</w:t>
      </w:r>
    </w:p>
    <w:p w14:paraId="23312F7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本基金在严格控制风险和保持资产流动性的基础上，通过积极主动的投资管理，力争持续稳定地实现超越业绩比较基准的投资回报。</w:t>
      </w:r>
    </w:p>
    <w:p w14:paraId="30F7E0E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（二）投资范围</w:t>
      </w:r>
    </w:p>
    <w:p w14:paraId="307B8F2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本基金的投资范围为具有良好流动性的金融工具，包括债券（含国债、金融债、央行票据、地方政府债、政府支持债、政府支持机构债、企业债、公司债、中期票据、短期融资</w:t>
      </w:r>
      <w:proofErr w:type="gramStart"/>
      <w:r>
        <w:rPr>
          <w:rFonts w:ascii="宋体" w:hAnsi="宋体"/>
          <w:sz w:val="24"/>
        </w:rPr>
        <w:t>券</w:t>
      </w:r>
      <w:proofErr w:type="gramEnd"/>
      <w:r>
        <w:rPr>
          <w:rFonts w:ascii="宋体" w:hAnsi="宋体"/>
          <w:sz w:val="24"/>
        </w:rPr>
        <w:t>、超短期融资</w:t>
      </w:r>
      <w:proofErr w:type="gramStart"/>
      <w:r>
        <w:rPr>
          <w:rFonts w:ascii="宋体" w:hAnsi="宋体"/>
          <w:sz w:val="24"/>
        </w:rPr>
        <w:t>券</w:t>
      </w:r>
      <w:proofErr w:type="gramEnd"/>
      <w:r>
        <w:rPr>
          <w:rFonts w:ascii="宋体" w:hAnsi="宋体"/>
          <w:sz w:val="24"/>
        </w:rPr>
        <w:t>、次级债、可分离交易可转债</w:t>
      </w:r>
      <w:proofErr w:type="gramStart"/>
      <w:r>
        <w:rPr>
          <w:rFonts w:ascii="宋体" w:hAnsi="宋体"/>
          <w:sz w:val="24"/>
        </w:rPr>
        <w:t>的纯债部分</w:t>
      </w:r>
      <w:proofErr w:type="gramEnd"/>
      <w:r>
        <w:rPr>
          <w:rFonts w:ascii="宋体" w:hAnsi="宋体"/>
          <w:sz w:val="24"/>
        </w:rPr>
        <w:t>）、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w:t>
      </w:r>
      <w:proofErr w:type="gramStart"/>
      <w:r>
        <w:rPr>
          <w:rFonts w:ascii="宋体" w:hAnsi="宋体"/>
          <w:sz w:val="24"/>
        </w:rPr>
        <w:t>纯债部分</w:t>
      </w:r>
      <w:proofErr w:type="gramEnd"/>
      <w:r>
        <w:rPr>
          <w:rFonts w:ascii="宋体" w:hAnsi="宋体"/>
          <w:sz w:val="24"/>
        </w:rPr>
        <w:t>除外）、可交换债券。</w:t>
      </w:r>
    </w:p>
    <w:p w14:paraId="0F2F9C7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30925E2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7A326DE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在开放期内，本基金持有现金或到期日在一年以内的政府债券的投资比例合计不低于基金资产净值的5%，其中现金不包括结算备付金、存出保证金、应收申购款等。在封闭期内，本基金不受上述5%的限制。</w:t>
      </w:r>
    </w:p>
    <w:p w14:paraId="7BAF4D8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0F3DEB6B"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（三）投资策略</w:t>
      </w:r>
    </w:p>
    <w:p w14:paraId="557D245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本基金充分发挥基金管理人的研究优势，对宏观经济运行趋势、财政以及货币政策变化趋势</w:t>
      </w:r>
      <w:proofErr w:type="gramStart"/>
      <w:r>
        <w:rPr>
          <w:rFonts w:ascii="宋体" w:hAnsi="宋体"/>
          <w:sz w:val="24"/>
        </w:rPr>
        <w:t>作出</w:t>
      </w:r>
      <w:proofErr w:type="gramEnd"/>
      <w:r>
        <w:rPr>
          <w:rFonts w:ascii="宋体" w:hAnsi="宋体"/>
          <w:sz w:val="24"/>
        </w:rPr>
        <w:t>分析和判断，对未来市场利率趋势及市场信用环境变化</w:t>
      </w:r>
      <w:proofErr w:type="gramStart"/>
      <w:r>
        <w:rPr>
          <w:rFonts w:ascii="宋体" w:hAnsi="宋体"/>
          <w:sz w:val="24"/>
        </w:rPr>
        <w:t>作出</w:t>
      </w:r>
      <w:proofErr w:type="gramEnd"/>
      <w:r>
        <w:rPr>
          <w:rFonts w:ascii="宋体" w:hAnsi="宋体"/>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3CE7E77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（一）封闭期投资策略</w:t>
      </w:r>
    </w:p>
    <w:p w14:paraId="27A85DA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w:t>
      </w:r>
      <w:proofErr w:type="gramStart"/>
      <w:r>
        <w:rPr>
          <w:rFonts w:ascii="宋体" w:hAnsi="宋体"/>
          <w:sz w:val="24"/>
        </w:rPr>
        <w:t>久期管理</w:t>
      </w:r>
      <w:proofErr w:type="gramEnd"/>
      <w:r>
        <w:rPr>
          <w:rFonts w:ascii="宋体" w:hAnsi="宋体"/>
          <w:sz w:val="24"/>
        </w:rPr>
        <w:t>策略</w:t>
      </w:r>
    </w:p>
    <w:p w14:paraId="011CE4A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作为债券基金最基本的投资策略，</w:t>
      </w:r>
      <w:proofErr w:type="gramStart"/>
      <w:r>
        <w:rPr>
          <w:rFonts w:ascii="宋体" w:hAnsi="宋体"/>
          <w:sz w:val="24"/>
        </w:rPr>
        <w:t>久期管理</w:t>
      </w:r>
      <w:proofErr w:type="gramEnd"/>
      <w:r>
        <w:rPr>
          <w:rFonts w:ascii="宋体" w:hAnsi="宋体"/>
          <w:sz w:val="24"/>
        </w:rPr>
        <w:t>策略本质上是一种自上而下，通过灵活</w:t>
      </w:r>
      <w:proofErr w:type="gramStart"/>
      <w:r>
        <w:rPr>
          <w:rFonts w:ascii="宋体" w:hAnsi="宋体"/>
          <w:sz w:val="24"/>
        </w:rPr>
        <w:t>的久期策略</w:t>
      </w:r>
      <w:proofErr w:type="gramEnd"/>
      <w:r>
        <w:rPr>
          <w:rFonts w:ascii="宋体" w:hAnsi="宋体"/>
          <w:sz w:val="24"/>
        </w:rPr>
        <w:t>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14:paraId="4C7D65A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基金管理人通过以下方面的分析来确定债券组合的目标久期：</w:t>
      </w:r>
    </w:p>
    <w:p w14:paraId="01B0FF2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7E3A21E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（2）利率变动趋势分析。在宏观经济环境分析的基础上，密切关注月度CPI、PPI等物价指数，货币信贷、汇率等金融运行数据，预测未来利率的变动趋势。</w:t>
      </w:r>
    </w:p>
    <w:p w14:paraId="1734BDB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目标久期分析</w:t>
      </w:r>
      <w:proofErr w:type="gramEnd"/>
      <w:r>
        <w:rPr>
          <w:rFonts w:ascii="宋体" w:hAnsi="宋体"/>
          <w:sz w:val="24"/>
        </w:rPr>
        <w:t>。根据宏观经济环境分析与市场利率变动趋势分析，结合当期债券收益率估值水平，确定投资组合的目标久期。原则上，在利率上行通道中，通过缩短</w:t>
      </w:r>
      <w:proofErr w:type="gramStart"/>
      <w:r>
        <w:rPr>
          <w:rFonts w:ascii="宋体" w:hAnsi="宋体"/>
          <w:sz w:val="24"/>
        </w:rPr>
        <w:t>目标久期规避</w:t>
      </w:r>
      <w:proofErr w:type="gramEnd"/>
      <w:r>
        <w:rPr>
          <w:rFonts w:ascii="宋体" w:hAnsi="宋体"/>
          <w:sz w:val="24"/>
        </w:rPr>
        <w:t>利率风险；在利率下行通道中，通过延长</w:t>
      </w:r>
      <w:proofErr w:type="gramStart"/>
      <w:r>
        <w:rPr>
          <w:rFonts w:ascii="宋体" w:hAnsi="宋体"/>
          <w:sz w:val="24"/>
        </w:rPr>
        <w:t>目标久期分享</w:t>
      </w:r>
      <w:proofErr w:type="gramEnd"/>
      <w:r>
        <w:rPr>
          <w:rFonts w:ascii="宋体" w:hAnsi="宋体"/>
          <w:sz w:val="24"/>
        </w:rPr>
        <w:t>债券价格上涨的收益。在利率持平阶段，采用骑乘策略与持有策略，获得稳定的当前回报。</w:t>
      </w:r>
    </w:p>
    <w:p w14:paraId="5D5E276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001AC78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1E6469F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w:t>
      </w:r>
      <w:proofErr w:type="gramStart"/>
      <w:r>
        <w:rPr>
          <w:rFonts w:ascii="宋体" w:hAnsi="宋体"/>
          <w:sz w:val="24"/>
        </w:rPr>
        <w:t>段品种</w:t>
      </w:r>
      <w:proofErr w:type="gramEnd"/>
      <w:r>
        <w:rPr>
          <w:rFonts w:ascii="宋体" w:hAnsi="宋体"/>
          <w:sz w:val="24"/>
        </w:rPr>
        <w:t>收益率变动、结合短期资金利率水平与变动趋势，分析预测收益率曲线的变化，测算子弹、哑铃或梯形等不同期限结构配置策略的风险收益，形成具体的期限结构配置策略。</w:t>
      </w:r>
    </w:p>
    <w:p w14:paraId="0D421B3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3、债券的类别配置策略</w:t>
      </w:r>
    </w:p>
    <w:p w14:paraId="3C1B308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7A2258B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4、骑乘策略</w:t>
      </w:r>
    </w:p>
    <w:p w14:paraId="12B1D62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4B72154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5、杠杆放大策略</w:t>
      </w:r>
    </w:p>
    <w:p w14:paraId="72A7F11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2FD9734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6、信用债券投资策略</w:t>
      </w:r>
    </w:p>
    <w:p w14:paraId="44271B0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本基金信用债券的投资遵循以下流程：</w:t>
      </w:r>
    </w:p>
    <w:p w14:paraId="2B444E3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（1）信用债券研究</w:t>
      </w:r>
    </w:p>
    <w:p w14:paraId="7679145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E0EBD6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w:t>
      </w:r>
    </w:p>
    <w:p w14:paraId="3683EF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基金经理从信用债券池中精选债券构建信用债券投资组合。</w:t>
      </w:r>
    </w:p>
    <w:p w14:paraId="7E805E9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动投资的信用债为信用评级在AA级（含）以上的信用债，对信用评级的认定参照基金管理人选定的评级机构出具的信用评级，其中，信用债的信用评级依照评级机构出具的债项信用评级，若无债项信用评级</w:t>
      </w:r>
      <w:proofErr w:type="gramStart"/>
      <w:r>
        <w:rPr>
          <w:rFonts w:ascii="宋体" w:hAnsi="宋体"/>
          <w:sz w:val="24"/>
        </w:rPr>
        <w:t>的或债项</w:t>
      </w:r>
      <w:proofErr w:type="gramEnd"/>
      <w:r>
        <w:rPr>
          <w:rFonts w:ascii="宋体" w:hAnsi="宋体"/>
          <w:sz w:val="24"/>
        </w:rPr>
        <w:t>信用评级为A-1的，依照其主体信用评级。本基金投资于评级AA的信用</w:t>
      </w:r>
      <w:proofErr w:type="gramStart"/>
      <w:r>
        <w:rPr>
          <w:rFonts w:ascii="宋体" w:hAnsi="宋体"/>
          <w:sz w:val="24"/>
        </w:rPr>
        <w:t>债比例</w:t>
      </w:r>
      <w:proofErr w:type="gramEnd"/>
      <w:r>
        <w:rPr>
          <w:rFonts w:ascii="宋体" w:hAnsi="宋体"/>
          <w:sz w:val="24"/>
        </w:rPr>
        <w:t>不高于信用</w:t>
      </w:r>
      <w:proofErr w:type="gramStart"/>
      <w:r>
        <w:rPr>
          <w:rFonts w:ascii="宋体" w:hAnsi="宋体"/>
          <w:sz w:val="24"/>
        </w:rPr>
        <w:t>债资产</w:t>
      </w:r>
      <w:proofErr w:type="gramEnd"/>
      <w:r>
        <w:rPr>
          <w:rFonts w:ascii="宋体" w:hAnsi="宋体"/>
          <w:sz w:val="24"/>
        </w:rPr>
        <w:t>的20%，投资于评级AA+的信用</w:t>
      </w:r>
      <w:proofErr w:type="gramStart"/>
      <w:r>
        <w:rPr>
          <w:rFonts w:ascii="宋体" w:hAnsi="宋体"/>
          <w:sz w:val="24"/>
        </w:rPr>
        <w:t>债比例</w:t>
      </w:r>
      <w:proofErr w:type="gramEnd"/>
      <w:r>
        <w:rPr>
          <w:rFonts w:ascii="宋体" w:hAnsi="宋体"/>
          <w:sz w:val="24"/>
        </w:rPr>
        <w:t>不高于信用</w:t>
      </w:r>
      <w:proofErr w:type="gramStart"/>
      <w:r>
        <w:rPr>
          <w:rFonts w:ascii="宋体" w:hAnsi="宋体"/>
          <w:sz w:val="24"/>
        </w:rPr>
        <w:t>债资产</w:t>
      </w:r>
      <w:proofErr w:type="gramEnd"/>
      <w:r>
        <w:rPr>
          <w:rFonts w:ascii="宋体" w:hAnsi="宋体"/>
          <w:sz w:val="24"/>
        </w:rPr>
        <w:t>的70%，投资于评级AAA的信用</w:t>
      </w:r>
      <w:proofErr w:type="gramStart"/>
      <w:r>
        <w:rPr>
          <w:rFonts w:ascii="宋体" w:hAnsi="宋体"/>
          <w:sz w:val="24"/>
        </w:rPr>
        <w:t>债比例</w:t>
      </w:r>
      <w:proofErr w:type="gramEnd"/>
      <w:r>
        <w:rPr>
          <w:rFonts w:ascii="宋体" w:hAnsi="宋体"/>
          <w:sz w:val="24"/>
        </w:rPr>
        <w:t>不低于信用</w:t>
      </w:r>
      <w:proofErr w:type="gramStart"/>
      <w:r>
        <w:rPr>
          <w:rFonts w:ascii="宋体" w:hAnsi="宋体"/>
          <w:sz w:val="24"/>
        </w:rPr>
        <w:t>债资产</w:t>
      </w:r>
      <w:proofErr w:type="gramEnd"/>
      <w:r>
        <w:rPr>
          <w:rFonts w:ascii="宋体" w:hAnsi="宋体"/>
          <w:sz w:val="24"/>
        </w:rPr>
        <w:t>的30%。因信用评级下降、证券市场波动、基金规模变动等基金管理人之外的因素致使基金投资比例不符合上述规定的，基金管理人应当在评级报告发布之日或不符合上述规定之日起3个月内进行调整。</w:t>
      </w:r>
    </w:p>
    <w:p w14:paraId="1DB9F69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14:paraId="0234CA3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①信用债券信用评级的变化。</w:t>
      </w:r>
    </w:p>
    <w:p w14:paraId="3E3E093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②不同信用等级的信用债券，以及同一信用等级不同标的债券之间的信用利差变化。</w:t>
      </w:r>
    </w:p>
    <w:p w14:paraId="6CF3E15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原则上，购买信用（拟）增级的信用债券，减持信用（拟）降级的信用债券；</w:t>
      </w:r>
      <w:r>
        <w:rPr>
          <w:rFonts w:ascii="宋体" w:hAnsi="宋体"/>
          <w:sz w:val="24"/>
        </w:rPr>
        <w:lastRenderedPageBreak/>
        <w:t>购买信用利差扩大后存在收</w:t>
      </w:r>
      <w:proofErr w:type="gramStart"/>
      <w:r>
        <w:rPr>
          <w:rFonts w:ascii="宋体" w:hAnsi="宋体"/>
          <w:sz w:val="24"/>
        </w:rPr>
        <w:t>窄趋势</w:t>
      </w:r>
      <w:proofErr w:type="gramEnd"/>
      <w:r>
        <w:rPr>
          <w:rFonts w:ascii="宋体" w:hAnsi="宋体"/>
          <w:sz w:val="24"/>
        </w:rPr>
        <w:t>的信用债券，减持信用利差缩小后存在放宽趋势的信用债券。</w:t>
      </w:r>
    </w:p>
    <w:p w14:paraId="6318A21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7、资产支持证券投资策略</w:t>
      </w:r>
    </w:p>
    <w:p w14:paraId="430F445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w:t>
      </w:r>
      <w:proofErr w:type="gramStart"/>
      <w:r>
        <w:rPr>
          <w:rFonts w:ascii="宋体" w:hAnsi="宋体"/>
          <w:sz w:val="24"/>
        </w:rPr>
        <w:t>运用久期管理</w:t>
      </w:r>
      <w:proofErr w:type="gramEnd"/>
      <w:r>
        <w:rPr>
          <w:rFonts w:ascii="宋体" w:hAnsi="宋体"/>
          <w:sz w:val="24"/>
        </w:rPr>
        <w:t>、收益率曲线、</w:t>
      </w:r>
      <w:proofErr w:type="gramStart"/>
      <w:r>
        <w:rPr>
          <w:rFonts w:ascii="宋体" w:hAnsi="宋体"/>
          <w:sz w:val="24"/>
        </w:rPr>
        <w:t>个券</w:t>
      </w:r>
      <w:proofErr w:type="gramEnd"/>
      <w:r>
        <w:rPr>
          <w:rFonts w:ascii="宋体" w:hAnsi="宋体"/>
          <w:sz w:val="24"/>
        </w:rPr>
        <w:t>选择和把握市场交易机会等积极策略，在严格控制风险的情况下，通过信用研究和流动性管理，选择风险调整后的收益高的品种进行投资，以期获得长期稳定收益。</w:t>
      </w:r>
    </w:p>
    <w:p w14:paraId="3BBCA9D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（二）开放期投资策略</w:t>
      </w:r>
    </w:p>
    <w:p w14:paraId="4FCCBC2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开放期内，本基金为保持较高的流动性，在遵守本基金有关投资限制与投资比例的前提下，主要配置高流动性的投资品种，防范流动性风险，满足开放期流动性的需求。</w:t>
      </w:r>
    </w:p>
    <w:p w14:paraId="7C5BFC16"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（四）投资限制</w:t>
      </w:r>
    </w:p>
    <w:p w14:paraId="6FE2CDD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B0019C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7DE9012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（1）本基金投资于债券资产的比例不低于基金资产的80%；但在每个开放期开始前1个月、开放期及开放期结束后1个月的期间内，基金投资不受上述比例限制；</w:t>
      </w:r>
    </w:p>
    <w:p w14:paraId="6EDE926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（2）在开放期内，本基金持有现金或到期日在一年以内的政府债券的投资比例合计不低于基金资产净值的5%，其中现金不包括结算备付金、存出保证金、应收申购款等，在封闭期内，本基金不受上述5%的限制；</w:t>
      </w:r>
    </w:p>
    <w:p w14:paraId="6BA46EA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1E35339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7A09E42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6881948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4E2B4D3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6E3E18D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5F4BAC1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w:t>
      </w:r>
      <w:r>
        <w:rPr>
          <w:rFonts w:ascii="宋体" w:hAnsi="宋体"/>
          <w:sz w:val="24"/>
        </w:rPr>
        <w:lastRenderedPageBreak/>
        <w:t>金持有资产支持证券期间，如果其信用等级下降、不再符合投资标准，应在评级报告发布之日起3个月内予以全部卖出；</w:t>
      </w:r>
    </w:p>
    <w:p w14:paraId="75170E2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在开放期内，本基金债券正回购资金余额或逆回购资金余额不得超过其上一日基金资产净值的40%。在封闭期内，本基金债券正回购资金余额或逆回购资金余额不得超过其上一日基金资产净值的100%。本基金进入全国银行间同业市场进行债券回购的最长期限为1年，债券回购到期后不得展期；</w:t>
      </w:r>
    </w:p>
    <w:p w14:paraId="1086054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0084F68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14:paraId="07F2069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（13）在开放期内，本基金资产总值不超过基金资产净值的140%；在封闭期内，本基金的资产总值不超过基金资产净值的200%；</w:t>
      </w:r>
    </w:p>
    <w:p w14:paraId="6AF474A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3F2BF1D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11）、（12）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3E8913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C174D2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04F7EC8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36388C5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326DCFE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39CCF3D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6B401D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42B72A1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（4）买卖其他基金份额，但是中国证监会另有规定的除外；</w:t>
      </w:r>
    </w:p>
    <w:p w14:paraId="07D6627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68B315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64F18BF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21941C2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09340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5E1DAFEE"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（五）业绩比较基准</w:t>
      </w:r>
    </w:p>
    <w:p w14:paraId="33F330E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w:t>
      </w:r>
      <w:proofErr w:type="gramStart"/>
      <w:r>
        <w:rPr>
          <w:rFonts w:ascii="宋体" w:hAnsi="宋体"/>
          <w:sz w:val="24"/>
        </w:rPr>
        <w:t>债综合全价指数</w:t>
      </w:r>
      <w:proofErr w:type="gramEnd"/>
      <w:r>
        <w:rPr>
          <w:rFonts w:ascii="宋体" w:hAnsi="宋体"/>
          <w:sz w:val="24"/>
        </w:rPr>
        <w:t>收益率</w:t>
      </w:r>
    </w:p>
    <w:p w14:paraId="13A8CA6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w:t>
      </w:r>
      <w:proofErr w:type="gramStart"/>
      <w:r>
        <w:rPr>
          <w:rFonts w:ascii="宋体" w:hAnsi="宋体"/>
          <w:sz w:val="24"/>
        </w:rPr>
        <w:t>债综合全价指数</w:t>
      </w:r>
      <w:proofErr w:type="gramEnd"/>
      <w:r>
        <w:rPr>
          <w:rFonts w:ascii="宋体" w:hAnsi="宋体"/>
          <w:sz w:val="24"/>
        </w:rPr>
        <w:t>由中央国债登记结算有限责任公司编制并发布，其指数样本涵盖国债、政策性银行债、商业银行债、地方企业债、中期票据以及证券公司短期融资</w:t>
      </w:r>
      <w:proofErr w:type="gramStart"/>
      <w:r>
        <w:rPr>
          <w:rFonts w:ascii="宋体" w:hAnsi="宋体"/>
          <w:sz w:val="24"/>
        </w:rPr>
        <w:t>券</w:t>
      </w:r>
      <w:proofErr w:type="gramEnd"/>
      <w:r>
        <w:rPr>
          <w:rFonts w:ascii="宋体" w:hAnsi="宋体"/>
          <w:sz w:val="24"/>
        </w:rPr>
        <w:t>等各类券种，综合反映了债券市场整体价格和回报情况，是目前市场上较为权威的反映债券市场整体走势的基准指数之一。该指数合理、透明、公开，具有较好的市场接受度，作为衡量本基金比较基准较为合适。</w:t>
      </w:r>
    </w:p>
    <w:p w14:paraId="4D6A27F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C8AFD7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（六）风险收益特征</w:t>
      </w:r>
    </w:p>
    <w:p w14:paraId="7B2A07C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w:t>
      </w:r>
    </w:p>
    <w:p w14:paraId="1678755F"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（七）基金管理人代表基金行使债权人权利的处理原则及方法</w:t>
      </w:r>
    </w:p>
    <w:p w14:paraId="263B738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51CC272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2、有利于基金财产的安全与增值；</w:t>
      </w:r>
    </w:p>
    <w:p w14:paraId="20081CC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7245BF6F"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w:t>
      </w:r>
      <w:proofErr w:type="gramStart"/>
      <w:r>
        <w:rPr>
          <w:rFonts w:ascii="宋体" w:hAnsi="宋体" w:hint="eastAsia"/>
          <w:b/>
          <w:kern w:val="0"/>
          <w:sz w:val="24"/>
        </w:rPr>
        <w:t>侧袋机制</w:t>
      </w:r>
      <w:proofErr w:type="gramEnd"/>
      <w:r>
        <w:rPr>
          <w:rFonts w:ascii="宋体" w:hAnsi="宋体" w:hint="eastAsia"/>
          <w:b/>
          <w:kern w:val="0"/>
          <w:sz w:val="24"/>
        </w:rPr>
        <w:t>的实施和投资运作安排</w:t>
      </w:r>
    </w:p>
    <w:p w14:paraId="78CDF2C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0FE83E2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实施期间，本部分约定的投资组合比例、投资策略、组合限制、业绩比较基准、风险收益特征等约定仅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w:t>
      </w:r>
    </w:p>
    <w:p w14:paraId="5BA4062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的实施条件、实施程序、运作安排、投资安排、特定资产的处置变现和支付等对投资者权益有重大影响的事项详见本招募说明书“侧袋机制”部分的规定。</w:t>
      </w:r>
    </w:p>
    <w:p w14:paraId="3E8CC64F"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（九）基金投资组合报告</w:t>
      </w:r>
    </w:p>
    <w:p w14:paraId="39A08AC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5EF807F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本基金托管人兴业银行股份有限公司根据本基金合同规定，于2024年10月24日复核了本报告中的财务指标、净值表现和投资组合报告等内容，保证复核内容不存在虚假记载、误导性陈述或者重大遗漏。</w:t>
      </w:r>
    </w:p>
    <w:p w14:paraId="6C55B61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本报告期为2024年07月01日至09月30日。本报告财务资料未经审计师审计。</w:t>
      </w:r>
    </w:p>
    <w:p w14:paraId="2F376EC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647E97" w14:paraId="428CC2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CA129F2"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DD31376"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59E7B19"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1BE530C5"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647E97" w14:paraId="0D36DE9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0970F5"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E3F348E"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39D0055A"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C6A1865"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2A1D956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052E88"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AD6C05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3B9CC402"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8185FBD"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05B67B1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FA402D"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A7CE66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04A0A28B"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18851CA"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3A99C8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9BF5FF"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E3901AB"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5C01C247"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2,700,548,200.31</w:t>
            </w:r>
          </w:p>
        </w:tc>
        <w:tc>
          <w:tcPr>
            <w:tcW w:w="400" w:type="pct"/>
            <w:tcBorders>
              <w:top w:val="single" w:sz="4" w:space="0" w:color="auto"/>
              <w:left w:val="single" w:sz="4" w:space="0" w:color="auto"/>
              <w:bottom w:val="single" w:sz="4" w:space="0" w:color="auto"/>
              <w:right w:val="single" w:sz="4" w:space="0" w:color="auto"/>
            </w:tcBorders>
            <w:vAlign w:val="center"/>
          </w:tcPr>
          <w:p w14:paraId="4A8710BC"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99.92</w:t>
            </w:r>
          </w:p>
        </w:tc>
      </w:tr>
      <w:tr w:rsidR="00647E97" w14:paraId="6B864AC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A22671"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FA995B1"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67E07C91"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2,700,548,200.31</w:t>
            </w:r>
          </w:p>
        </w:tc>
        <w:tc>
          <w:tcPr>
            <w:tcW w:w="400" w:type="pct"/>
            <w:tcBorders>
              <w:top w:val="single" w:sz="4" w:space="0" w:color="auto"/>
              <w:left w:val="single" w:sz="4" w:space="0" w:color="auto"/>
              <w:bottom w:val="single" w:sz="4" w:space="0" w:color="auto"/>
              <w:right w:val="single" w:sz="4" w:space="0" w:color="auto"/>
            </w:tcBorders>
            <w:vAlign w:val="center"/>
          </w:tcPr>
          <w:p w14:paraId="2A17BBA4"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99.92</w:t>
            </w:r>
          </w:p>
        </w:tc>
      </w:tr>
      <w:tr w:rsidR="00647E97" w14:paraId="1DC4FD4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F0C4F0"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4BFE7A8"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1126E1EA"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BB5853C"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793AF5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3471C5"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BFD4D2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1F85F962"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1BCF61F"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3EA687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D8D6C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AB5953F"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332B67C1"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3383719"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0F7F9C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B10B7D"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41280FE"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4EB6E29"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6EDE53A"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3FCD4E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ACE11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C45094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5F829ACC"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0797D6B"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654CE5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4E71BF"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66E7E8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67F81E10"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2,007,509.68</w:t>
            </w:r>
          </w:p>
        </w:tc>
        <w:tc>
          <w:tcPr>
            <w:tcW w:w="400" w:type="pct"/>
            <w:tcBorders>
              <w:top w:val="single" w:sz="4" w:space="0" w:color="auto"/>
              <w:left w:val="single" w:sz="4" w:space="0" w:color="auto"/>
              <w:bottom w:val="single" w:sz="4" w:space="0" w:color="auto"/>
              <w:right w:val="single" w:sz="4" w:space="0" w:color="auto"/>
            </w:tcBorders>
            <w:vAlign w:val="center"/>
          </w:tcPr>
          <w:p w14:paraId="34A627AD"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rsidR="00647E97" w14:paraId="6D97A9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1A930B"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087E556"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5875F400"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36,361.09</w:t>
            </w:r>
          </w:p>
        </w:tc>
        <w:tc>
          <w:tcPr>
            <w:tcW w:w="400" w:type="pct"/>
            <w:tcBorders>
              <w:top w:val="single" w:sz="4" w:space="0" w:color="auto"/>
              <w:left w:val="single" w:sz="4" w:space="0" w:color="auto"/>
              <w:bottom w:val="single" w:sz="4" w:space="0" w:color="auto"/>
              <w:right w:val="single" w:sz="4" w:space="0" w:color="auto"/>
            </w:tcBorders>
            <w:vAlign w:val="center"/>
          </w:tcPr>
          <w:p w14:paraId="401E8316"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647E97" w14:paraId="02FE47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570A07"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C28971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C385000"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2,702,592,071.08</w:t>
            </w:r>
          </w:p>
        </w:tc>
        <w:tc>
          <w:tcPr>
            <w:tcW w:w="400" w:type="pct"/>
            <w:tcBorders>
              <w:top w:val="single" w:sz="4" w:space="0" w:color="auto"/>
              <w:left w:val="single" w:sz="4" w:space="0" w:color="auto"/>
              <w:bottom w:val="single" w:sz="4" w:space="0" w:color="auto"/>
              <w:right w:val="single" w:sz="4" w:space="0" w:color="auto"/>
            </w:tcBorders>
            <w:vAlign w:val="center"/>
          </w:tcPr>
          <w:p w14:paraId="7761EE42"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6FFC49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3C9520A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4011DBF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83068E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4435150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37550D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06AC108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120276D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394E1C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647E97" w14:paraId="05222B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1A57AF0"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46A0A26"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3144027"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AEDF023"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647E97" w14:paraId="7FB486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F0B32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F16B09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3480A81B"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51,576,426.63</w:t>
            </w:r>
          </w:p>
        </w:tc>
        <w:tc>
          <w:tcPr>
            <w:tcW w:w="400" w:type="pct"/>
            <w:tcBorders>
              <w:top w:val="single" w:sz="4" w:space="0" w:color="auto"/>
              <w:left w:val="single" w:sz="4" w:space="0" w:color="auto"/>
              <w:bottom w:val="single" w:sz="4" w:space="0" w:color="auto"/>
              <w:right w:val="single" w:sz="4" w:space="0" w:color="auto"/>
            </w:tcBorders>
            <w:vAlign w:val="center"/>
          </w:tcPr>
          <w:p w14:paraId="46BDF032"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2.55</w:t>
            </w:r>
          </w:p>
        </w:tc>
      </w:tr>
      <w:tr w:rsidR="00647E97" w14:paraId="00C1F2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9BC27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18136D0"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452097A3"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662C66"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61273F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90B4C7"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97411DB"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24DDE28D"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238,246,640.60</w:t>
            </w:r>
          </w:p>
        </w:tc>
        <w:tc>
          <w:tcPr>
            <w:tcW w:w="400" w:type="pct"/>
            <w:tcBorders>
              <w:top w:val="single" w:sz="4" w:space="0" w:color="auto"/>
              <w:left w:val="single" w:sz="4" w:space="0" w:color="auto"/>
              <w:bottom w:val="single" w:sz="4" w:space="0" w:color="auto"/>
              <w:right w:val="single" w:sz="4" w:space="0" w:color="auto"/>
            </w:tcBorders>
            <w:vAlign w:val="center"/>
          </w:tcPr>
          <w:p w14:paraId="6F49113D"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11.76</w:t>
            </w:r>
          </w:p>
        </w:tc>
      </w:tr>
      <w:tr w:rsidR="00647E97" w14:paraId="1DE1A6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ABCE17"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F0E0A7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28B372D5"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31,511,581.97</w:t>
            </w:r>
          </w:p>
        </w:tc>
        <w:tc>
          <w:tcPr>
            <w:tcW w:w="400" w:type="pct"/>
            <w:tcBorders>
              <w:top w:val="single" w:sz="4" w:space="0" w:color="auto"/>
              <w:left w:val="single" w:sz="4" w:space="0" w:color="auto"/>
              <w:bottom w:val="single" w:sz="4" w:space="0" w:color="auto"/>
              <w:right w:val="single" w:sz="4" w:space="0" w:color="auto"/>
            </w:tcBorders>
            <w:vAlign w:val="center"/>
          </w:tcPr>
          <w:p w14:paraId="074930CC"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1.56</w:t>
            </w:r>
          </w:p>
        </w:tc>
      </w:tr>
      <w:tr w:rsidR="00647E97" w14:paraId="076B31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B5A78B"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7E97BF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53450E3D"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163,093,832.88</w:t>
            </w:r>
          </w:p>
        </w:tc>
        <w:tc>
          <w:tcPr>
            <w:tcW w:w="400" w:type="pct"/>
            <w:tcBorders>
              <w:top w:val="single" w:sz="4" w:space="0" w:color="auto"/>
              <w:left w:val="single" w:sz="4" w:space="0" w:color="auto"/>
              <w:bottom w:val="single" w:sz="4" w:space="0" w:color="auto"/>
              <w:right w:val="single" w:sz="4" w:space="0" w:color="auto"/>
            </w:tcBorders>
            <w:vAlign w:val="center"/>
          </w:tcPr>
          <w:p w14:paraId="1B4028D5"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8.05</w:t>
            </w:r>
          </w:p>
        </w:tc>
      </w:tr>
      <w:tr w:rsidR="00647E97" w14:paraId="71E087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5F3E7B"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EECB7F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w:t>
            </w:r>
            <w:proofErr w:type="gramStart"/>
            <w:r>
              <w:rPr>
                <w:rFonts w:ascii="Times New Roman" w:hAnsi="Times New Roman"/>
                <w:color w:val="000000"/>
                <w:kern w:val="0"/>
                <w:sz w:val="25"/>
                <w:szCs w:val="24"/>
              </w:rPr>
              <w:t>券</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5A5A8347"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50,533,479.45</w:t>
            </w:r>
          </w:p>
        </w:tc>
        <w:tc>
          <w:tcPr>
            <w:tcW w:w="400" w:type="pct"/>
            <w:tcBorders>
              <w:top w:val="single" w:sz="4" w:space="0" w:color="auto"/>
              <w:left w:val="single" w:sz="4" w:space="0" w:color="auto"/>
              <w:bottom w:val="single" w:sz="4" w:space="0" w:color="auto"/>
              <w:right w:val="single" w:sz="4" w:space="0" w:color="auto"/>
            </w:tcBorders>
            <w:vAlign w:val="center"/>
          </w:tcPr>
          <w:p w14:paraId="5D6B2112"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2.50</w:t>
            </w:r>
          </w:p>
        </w:tc>
      </w:tr>
      <w:tr w:rsidR="00647E97" w14:paraId="6EF695E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AA03EB"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E653480"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5B9BDC14"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2,197,097,820.75</w:t>
            </w:r>
          </w:p>
        </w:tc>
        <w:tc>
          <w:tcPr>
            <w:tcW w:w="400" w:type="pct"/>
            <w:tcBorders>
              <w:top w:val="single" w:sz="4" w:space="0" w:color="auto"/>
              <w:left w:val="single" w:sz="4" w:space="0" w:color="auto"/>
              <w:bottom w:val="single" w:sz="4" w:space="0" w:color="auto"/>
              <w:right w:val="single" w:sz="4" w:space="0" w:color="auto"/>
            </w:tcBorders>
            <w:vAlign w:val="center"/>
          </w:tcPr>
          <w:p w14:paraId="0556D358"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108.48</w:t>
            </w:r>
          </w:p>
        </w:tc>
      </w:tr>
      <w:tr w:rsidR="00647E97" w14:paraId="792C25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E1D54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6C0B3BA"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09BBCEB9"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4F6551E"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2035B1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A4DC61"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8A752FA"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3626FD37"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0CCE9E5"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06CF0D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E8A937"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6B071A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1A05093C"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E3FF60C"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114AB4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455A29"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FA0CA5D"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68001BE"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2,700,548,200.31</w:t>
            </w:r>
          </w:p>
        </w:tc>
        <w:tc>
          <w:tcPr>
            <w:tcW w:w="400" w:type="pct"/>
            <w:tcBorders>
              <w:top w:val="single" w:sz="4" w:space="0" w:color="auto"/>
              <w:left w:val="single" w:sz="4" w:space="0" w:color="auto"/>
              <w:bottom w:val="single" w:sz="4" w:space="0" w:color="auto"/>
              <w:right w:val="single" w:sz="4" w:space="0" w:color="auto"/>
            </w:tcBorders>
            <w:vAlign w:val="center"/>
          </w:tcPr>
          <w:p w14:paraId="17CF9318"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133.34</w:t>
            </w:r>
          </w:p>
        </w:tc>
      </w:tr>
    </w:tbl>
    <w:p w14:paraId="79FFF46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4A0" w:firstRow="1" w:lastRow="0" w:firstColumn="1" w:lastColumn="0" w:noHBand="0" w:noVBand="1"/>
      </w:tblPr>
      <w:tblGrid>
        <w:gridCol w:w="540"/>
        <w:gridCol w:w="1622"/>
        <w:gridCol w:w="1622"/>
        <w:gridCol w:w="1622"/>
        <w:gridCol w:w="1622"/>
        <w:gridCol w:w="1622"/>
      </w:tblGrid>
      <w:tr w:rsidR="00647E97" w14:paraId="61AC60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B4F050D"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181BF6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999B49A"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8B26964"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F81D51B"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2D933FF"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647E97" w14:paraId="59954B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F29470"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135615B"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232400032</w:t>
            </w:r>
          </w:p>
        </w:tc>
        <w:tc>
          <w:tcPr>
            <w:tcW w:w="750" w:type="pct"/>
            <w:tcBorders>
              <w:top w:val="single" w:sz="4" w:space="0" w:color="auto"/>
              <w:left w:val="single" w:sz="4" w:space="0" w:color="auto"/>
              <w:bottom w:val="single" w:sz="4" w:space="0" w:color="auto"/>
              <w:right w:val="single" w:sz="4" w:space="0" w:color="auto"/>
            </w:tcBorders>
            <w:vAlign w:val="center"/>
          </w:tcPr>
          <w:p w14:paraId="27E4C3A4"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r>
              <w:rPr>
                <w:rFonts w:ascii="Times New Roman" w:hAnsi="Times New Roman"/>
                <w:color w:val="000000"/>
                <w:kern w:val="0"/>
                <w:sz w:val="25"/>
                <w:szCs w:val="24"/>
              </w:rPr>
              <w:t>成都银行二级资本债</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14:paraId="0E322D7E"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3607F61E"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98,343,600.00</w:t>
            </w:r>
          </w:p>
        </w:tc>
        <w:tc>
          <w:tcPr>
            <w:tcW w:w="750" w:type="pct"/>
            <w:tcBorders>
              <w:top w:val="single" w:sz="4" w:space="0" w:color="auto"/>
              <w:left w:val="single" w:sz="4" w:space="0" w:color="auto"/>
              <w:bottom w:val="single" w:sz="4" w:space="0" w:color="auto"/>
              <w:right w:val="single" w:sz="4" w:space="0" w:color="auto"/>
            </w:tcBorders>
            <w:vAlign w:val="center"/>
          </w:tcPr>
          <w:p w14:paraId="6A79B157"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4.86</w:t>
            </w:r>
          </w:p>
        </w:tc>
      </w:tr>
      <w:tr w:rsidR="00647E97" w14:paraId="275A87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83C824"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DA1E6B2"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102382221</w:t>
            </w:r>
          </w:p>
        </w:tc>
        <w:tc>
          <w:tcPr>
            <w:tcW w:w="750" w:type="pct"/>
            <w:tcBorders>
              <w:top w:val="single" w:sz="4" w:space="0" w:color="auto"/>
              <w:left w:val="single" w:sz="4" w:space="0" w:color="auto"/>
              <w:bottom w:val="single" w:sz="4" w:space="0" w:color="auto"/>
              <w:right w:val="single" w:sz="4" w:space="0" w:color="auto"/>
            </w:tcBorders>
            <w:vAlign w:val="center"/>
          </w:tcPr>
          <w:p w14:paraId="171BF76F"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眉山发展</w:t>
            </w:r>
            <w:r>
              <w:rPr>
                <w:rFonts w:ascii="Times New Roman" w:hAnsi="Times New Roman"/>
                <w:color w:val="000000"/>
                <w:kern w:val="0"/>
                <w:sz w:val="25"/>
                <w:szCs w:val="24"/>
              </w:rPr>
              <w:t>MTN002(</w:t>
            </w:r>
            <w:proofErr w:type="gramStart"/>
            <w:r>
              <w:rPr>
                <w:rFonts w:ascii="Times New Roman" w:hAnsi="Times New Roman"/>
                <w:color w:val="000000"/>
                <w:kern w:val="0"/>
                <w:sz w:val="25"/>
                <w:szCs w:val="24"/>
              </w:rPr>
              <w:t>科创票据</w:t>
            </w:r>
            <w:proofErr w:type="gramEnd"/>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6F01CB7"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14:paraId="648A6594"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83,750,487.67</w:t>
            </w:r>
          </w:p>
        </w:tc>
        <w:tc>
          <w:tcPr>
            <w:tcW w:w="750" w:type="pct"/>
            <w:tcBorders>
              <w:top w:val="single" w:sz="4" w:space="0" w:color="auto"/>
              <w:left w:val="single" w:sz="4" w:space="0" w:color="auto"/>
              <w:bottom w:val="single" w:sz="4" w:space="0" w:color="auto"/>
              <w:right w:val="single" w:sz="4" w:space="0" w:color="auto"/>
            </w:tcBorders>
            <w:vAlign w:val="center"/>
          </w:tcPr>
          <w:p w14:paraId="2C67DB73"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4.14</w:t>
            </w:r>
          </w:p>
        </w:tc>
      </w:tr>
      <w:tr w:rsidR="00647E97" w14:paraId="12AECD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1A44BB"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3</w:t>
            </w:r>
          </w:p>
        </w:tc>
        <w:tc>
          <w:tcPr>
            <w:tcW w:w="750" w:type="pct"/>
            <w:tcBorders>
              <w:top w:val="single" w:sz="4" w:space="0" w:color="auto"/>
              <w:left w:val="single" w:sz="4" w:space="0" w:color="auto"/>
              <w:bottom w:val="single" w:sz="4" w:space="0" w:color="auto"/>
              <w:right w:val="single" w:sz="4" w:space="0" w:color="auto"/>
            </w:tcBorders>
            <w:vAlign w:val="center"/>
          </w:tcPr>
          <w:p w14:paraId="25CB9CEA"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102480297</w:t>
            </w:r>
          </w:p>
        </w:tc>
        <w:tc>
          <w:tcPr>
            <w:tcW w:w="750" w:type="pct"/>
            <w:tcBorders>
              <w:top w:val="single" w:sz="4" w:space="0" w:color="auto"/>
              <w:left w:val="single" w:sz="4" w:space="0" w:color="auto"/>
              <w:bottom w:val="single" w:sz="4" w:space="0" w:color="auto"/>
              <w:right w:val="single" w:sz="4" w:space="0" w:color="auto"/>
            </w:tcBorders>
            <w:vAlign w:val="center"/>
          </w:tcPr>
          <w:p w14:paraId="0F4F94D4"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proofErr w:type="gramStart"/>
            <w:r>
              <w:rPr>
                <w:rFonts w:ascii="Times New Roman" w:hAnsi="Times New Roman"/>
                <w:color w:val="000000"/>
                <w:kern w:val="0"/>
                <w:sz w:val="25"/>
                <w:szCs w:val="24"/>
              </w:rPr>
              <w:t>乌城投</w:t>
            </w:r>
            <w:proofErr w:type="gramEnd"/>
            <w:r>
              <w:rPr>
                <w:rFonts w:ascii="Times New Roman" w:hAnsi="Times New Roman"/>
                <w:color w:val="000000"/>
                <w:kern w:val="0"/>
                <w:sz w:val="25"/>
                <w:szCs w:val="24"/>
              </w:rPr>
              <w:t>MTN002</w:t>
            </w:r>
          </w:p>
        </w:tc>
        <w:tc>
          <w:tcPr>
            <w:tcW w:w="750" w:type="pct"/>
            <w:tcBorders>
              <w:top w:val="single" w:sz="4" w:space="0" w:color="auto"/>
              <w:left w:val="single" w:sz="4" w:space="0" w:color="auto"/>
              <w:bottom w:val="single" w:sz="4" w:space="0" w:color="auto"/>
              <w:right w:val="single" w:sz="4" w:space="0" w:color="auto"/>
            </w:tcBorders>
            <w:vAlign w:val="center"/>
          </w:tcPr>
          <w:p w14:paraId="7B0D37FE"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14:paraId="452A0734"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82,360,918.03</w:t>
            </w:r>
          </w:p>
        </w:tc>
        <w:tc>
          <w:tcPr>
            <w:tcW w:w="750" w:type="pct"/>
            <w:tcBorders>
              <w:top w:val="single" w:sz="4" w:space="0" w:color="auto"/>
              <w:left w:val="single" w:sz="4" w:space="0" w:color="auto"/>
              <w:bottom w:val="single" w:sz="4" w:space="0" w:color="auto"/>
              <w:right w:val="single" w:sz="4" w:space="0" w:color="auto"/>
            </w:tcBorders>
            <w:vAlign w:val="center"/>
          </w:tcPr>
          <w:p w14:paraId="78634083"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4.07</w:t>
            </w:r>
          </w:p>
        </w:tc>
      </w:tr>
      <w:tr w:rsidR="00647E97" w14:paraId="592A03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13BD5B"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B542F6A"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102100863</w:t>
            </w:r>
          </w:p>
        </w:tc>
        <w:tc>
          <w:tcPr>
            <w:tcW w:w="750" w:type="pct"/>
            <w:tcBorders>
              <w:top w:val="single" w:sz="4" w:space="0" w:color="auto"/>
              <w:left w:val="single" w:sz="4" w:space="0" w:color="auto"/>
              <w:bottom w:val="single" w:sz="4" w:space="0" w:color="auto"/>
              <w:right w:val="single" w:sz="4" w:space="0" w:color="auto"/>
            </w:tcBorders>
            <w:vAlign w:val="center"/>
          </w:tcPr>
          <w:p w14:paraId="57ABC9CD"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上虞国投</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7469A492"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14:paraId="13DB72D9"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81,550,307.95</w:t>
            </w:r>
          </w:p>
        </w:tc>
        <w:tc>
          <w:tcPr>
            <w:tcW w:w="750" w:type="pct"/>
            <w:tcBorders>
              <w:top w:val="single" w:sz="4" w:space="0" w:color="auto"/>
              <w:left w:val="single" w:sz="4" w:space="0" w:color="auto"/>
              <w:bottom w:val="single" w:sz="4" w:space="0" w:color="auto"/>
              <w:right w:val="single" w:sz="4" w:space="0" w:color="auto"/>
            </w:tcBorders>
            <w:vAlign w:val="center"/>
          </w:tcPr>
          <w:p w14:paraId="64D1A168"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4.03</w:t>
            </w:r>
          </w:p>
        </w:tc>
      </w:tr>
      <w:tr w:rsidR="00647E97" w14:paraId="10F0BA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E55937"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89C5CB5"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102480384</w:t>
            </w:r>
          </w:p>
        </w:tc>
        <w:tc>
          <w:tcPr>
            <w:tcW w:w="750" w:type="pct"/>
            <w:tcBorders>
              <w:top w:val="single" w:sz="4" w:space="0" w:color="auto"/>
              <w:left w:val="single" w:sz="4" w:space="0" w:color="auto"/>
              <w:bottom w:val="single" w:sz="4" w:space="0" w:color="auto"/>
              <w:right w:val="single" w:sz="4" w:space="0" w:color="auto"/>
            </w:tcBorders>
            <w:vAlign w:val="center"/>
          </w:tcPr>
          <w:p w14:paraId="519D81C4"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r>
              <w:rPr>
                <w:rFonts w:ascii="Times New Roman" w:hAnsi="Times New Roman"/>
                <w:color w:val="000000"/>
                <w:kern w:val="0"/>
                <w:sz w:val="25"/>
                <w:szCs w:val="24"/>
              </w:rPr>
              <w:t>格力</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22881944"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14:paraId="5A3E101B"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61,787,822.95</w:t>
            </w:r>
          </w:p>
        </w:tc>
        <w:tc>
          <w:tcPr>
            <w:tcW w:w="750" w:type="pct"/>
            <w:tcBorders>
              <w:top w:val="single" w:sz="4" w:space="0" w:color="auto"/>
              <w:left w:val="single" w:sz="4" w:space="0" w:color="auto"/>
              <w:bottom w:val="single" w:sz="4" w:space="0" w:color="auto"/>
              <w:right w:val="single" w:sz="4" w:space="0" w:color="auto"/>
            </w:tcBorders>
            <w:vAlign w:val="center"/>
          </w:tcPr>
          <w:p w14:paraId="19FCC3D0"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3.05</w:t>
            </w:r>
          </w:p>
        </w:tc>
      </w:tr>
    </w:tbl>
    <w:p w14:paraId="7E30E78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352FAE2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139660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120C4CE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CEDEC8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4E98543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4E2CD2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4BE5BDA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47A9204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E49477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1C47BF7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7889E7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1F33B5C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DD0C9B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6DD73D1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754F330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7A65A30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2024年08月16日,国家金融监督管理总局浙江监管局公示</w:t>
      </w:r>
      <w:proofErr w:type="gramStart"/>
      <w:r>
        <w:rPr>
          <w:rFonts w:ascii="宋体" w:hAnsi="宋体"/>
          <w:sz w:val="24"/>
        </w:rPr>
        <w:t>浙金罚决</w:t>
      </w:r>
      <w:proofErr w:type="gramEnd"/>
      <w:r>
        <w:rPr>
          <w:rFonts w:ascii="宋体" w:hAnsi="宋体"/>
          <w:sz w:val="24"/>
        </w:rPr>
        <w:t>字[2024]26号行政处罚决定书,给予浙江萧山农村商业银行股份有限公司450万元人民币的行政处罚。</w:t>
      </w:r>
    </w:p>
    <w:p w14:paraId="282C3DC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w:t>
      </w:r>
      <w:proofErr w:type="gramStart"/>
      <w:r>
        <w:rPr>
          <w:rFonts w:ascii="宋体" w:hAnsi="宋体"/>
          <w:sz w:val="24"/>
        </w:rPr>
        <w:t>仓证券</w:t>
      </w:r>
      <w:proofErr w:type="gramEnd"/>
      <w:r>
        <w:rPr>
          <w:rFonts w:ascii="宋体" w:hAnsi="宋体"/>
          <w:sz w:val="24"/>
        </w:rPr>
        <w:t>的投资有严格的投资决策流程控制，对上述主体发行证券的投资决策程序符合公司投资制度的规定。</w:t>
      </w:r>
    </w:p>
    <w:p w14:paraId="4449D27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 xml:space="preserve">　　除上述主体外，本基金投资的前十名证券的其他发行主体本期没有出现被监管部门立案调查，或在报告编制日前一年内受到公开谴责、处罚的情形。</w:t>
      </w:r>
    </w:p>
    <w:p w14:paraId="5F1C897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64D21FF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6C22795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4A0" w:firstRow="1" w:lastRow="0" w:firstColumn="1" w:lastColumn="0" w:noHBand="0" w:noVBand="1"/>
      </w:tblPr>
      <w:tblGrid>
        <w:gridCol w:w="1544"/>
        <w:gridCol w:w="4634"/>
        <w:gridCol w:w="2472"/>
      </w:tblGrid>
      <w:tr w:rsidR="00647E97" w14:paraId="55BFD9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194DFB0"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7560C86"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B2B4340"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647E97" w14:paraId="31F0FB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1AED1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0077DC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6A71FC82"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36,311.09</w:t>
            </w:r>
          </w:p>
        </w:tc>
      </w:tr>
      <w:tr w:rsidR="00647E97" w14:paraId="4AD563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F66CD0"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CB9114B"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62D9711D"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438A18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67D86F"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5E709E4"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6B735B7F"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4D7CF0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C8151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DDED43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787F7A1F"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6D17EE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11CEB5"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F33C12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3F8504DA"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0E275A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1E926F"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1E493A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090133A8"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w:t>
            </w:r>
          </w:p>
        </w:tc>
      </w:tr>
      <w:tr w:rsidR="00647E97" w14:paraId="4E8F5E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BB0EEC"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1382B6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02E60D0D"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647E97" w14:paraId="1C3981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1BBB02"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BE23F7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11A90535" w14:textId="77777777" w:rsidR="00647E97" w:rsidRDefault="00022CF9">
            <w:pPr>
              <w:widowControl/>
              <w:snapToGrid w:val="0"/>
              <w:jc w:val="right"/>
              <w:rPr>
                <w:rFonts w:ascii="宋体" w:hAnsi="宋体"/>
                <w:color w:val="000000"/>
                <w:kern w:val="0"/>
                <w:sz w:val="25"/>
                <w:szCs w:val="24"/>
              </w:rPr>
            </w:pPr>
            <w:r>
              <w:rPr>
                <w:rFonts w:ascii="Times New Roman" w:hAnsi="Times New Roman"/>
                <w:color w:val="000000"/>
                <w:kern w:val="0"/>
                <w:sz w:val="25"/>
                <w:szCs w:val="24"/>
              </w:rPr>
              <w:t>36,361.09</w:t>
            </w:r>
          </w:p>
        </w:tc>
      </w:tr>
    </w:tbl>
    <w:p w14:paraId="6523E48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2D0428C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39C2FA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w:t>
      </w:r>
      <w:proofErr w:type="gramStart"/>
      <w:r>
        <w:rPr>
          <w:rFonts w:ascii="宋体" w:hAnsi="宋体"/>
          <w:sz w:val="24"/>
        </w:rPr>
        <w:t>期末前</w:t>
      </w:r>
      <w:proofErr w:type="gramEnd"/>
      <w:r>
        <w:rPr>
          <w:rFonts w:ascii="宋体" w:hAnsi="宋体"/>
          <w:sz w:val="24"/>
        </w:rPr>
        <w:t>十名股票中存在流通受限情况的说明</w:t>
      </w:r>
    </w:p>
    <w:p w14:paraId="69DE0F8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707C9A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50CECF7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28F93DD4"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CC5B9B1" w14:textId="77777777" w:rsidR="00647E97" w:rsidRDefault="00022CF9">
      <w:pPr>
        <w:pStyle w:val="1"/>
        <w:snapToGrid w:val="0"/>
        <w:spacing w:beforeLines="0" w:before="240" w:after="240"/>
        <w:rPr>
          <w:rFonts w:ascii="宋体" w:hAnsi="宋体"/>
          <w:szCs w:val="30"/>
        </w:rPr>
      </w:pPr>
      <w:bookmarkStart w:id="12" w:name="_Toc193101049"/>
      <w:r>
        <w:rPr>
          <w:rFonts w:ascii="Times New Roman" w:hAnsi="Times New Roman"/>
          <w:sz w:val="30"/>
        </w:rPr>
        <w:lastRenderedPageBreak/>
        <w:t>十、基金的业绩</w:t>
      </w:r>
      <w:bookmarkEnd w:id="12"/>
    </w:p>
    <w:p w14:paraId="4871A6A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基金业绩截止日为2024年09月30日，所载财务数据未经审计师审计。</w:t>
      </w:r>
    </w:p>
    <w:p w14:paraId="4B13F99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859E46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14:paraId="0B9CFEA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w:t>
      </w:r>
      <w:proofErr w:type="gramStart"/>
      <w:r>
        <w:rPr>
          <w:rFonts w:ascii="宋体" w:hAnsi="宋体"/>
          <w:sz w:val="24"/>
        </w:rPr>
        <w:t>裕道纯债</w:t>
      </w:r>
      <w:proofErr w:type="gramEnd"/>
      <w:r>
        <w:rPr>
          <w:rFonts w:ascii="宋体" w:hAnsi="宋体"/>
          <w:sz w:val="24"/>
        </w:rPr>
        <w:t>一年定期开放债券型证券投资基金</w:t>
      </w:r>
    </w:p>
    <w:tbl>
      <w:tblPr>
        <w:tblW w:w="5000" w:type="pct"/>
        <w:tblCellMar>
          <w:left w:w="0" w:type="dxa"/>
          <w:right w:w="0" w:type="dxa"/>
        </w:tblCellMar>
        <w:tblLook w:val="04A0" w:firstRow="1" w:lastRow="0" w:firstColumn="1" w:lastColumn="0" w:noHBand="0" w:noVBand="1"/>
      </w:tblPr>
      <w:tblGrid>
        <w:gridCol w:w="1297"/>
        <w:gridCol w:w="1297"/>
        <w:gridCol w:w="1297"/>
        <w:gridCol w:w="1298"/>
        <w:gridCol w:w="1298"/>
        <w:gridCol w:w="1298"/>
        <w:gridCol w:w="865"/>
      </w:tblGrid>
      <w:tr w:rsidR="00647E97" w14:paraId="64B34B0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0E1B9A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0E9B76D0"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7D29BFCF"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45B05585"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8CDA9C2"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24F6342C"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143C3469"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647E97" w14:paraId="72F2086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D513B4E"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405D064A"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c>
          <w:tcPr>
            <w:tcW w:w="750" w:type="pct"/>
            <w:tcBorders>
              <w:top w:val="single" w:sz="4" w:space="0" w:color="auto"/>
              <w:left w:val="single" w:sz="4" w:space="0" w:color="auto"/>
              <w:bottom w:val="single" w:sz="4" w:space="0" w:color="auto"/>
              <w:right w:val="single" w:sz="4" w:space="0" w:color="auto"/>
            </w:tcBorders>
            <w:vAlign w:val="center"/>
          </w:tcPr>
          <w:p w14:paraId="4BC70E6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E7FCD1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sz="4" w:space="0" w:color="auto"/>
              <w:left w:val="single" w:sz="4" w:space="0" w:color="auto"/>
              <w:bottom w:val="single" w:sz="4" w:space="0" w:color="auto"/>
              <w:right w:val="single" w:sz="4" w:space="0" w:color="auto"/>
            </w:tcBorders>
            <w:vAlign w:val="center"/>
          </w:tcPr>
          <w:p w14:paraId="77EB14F6"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1090110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14:paraId="01E96C7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647E97" w14:paraId="51E127E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A398A6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2024</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1C803FC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2.13%</w:t>
            </w:r>
          </w:p>
        </w:tc>
        <w:tc>
          <w:tcPr>
            <w:tcW w:w="750" w:type="pct"/>
            <w:tcBorders>
              <w:top w:val="single" w:sz="4" w:space="0" w:color="auto"/>
              <w:left w:val="single" w:sz="4" w:space="0" w:color="auto"/>
              <w:bottom w:val="single" w:sz="4" w:space="0" w:color="auto"/>
              <w:right w:val="single" w:sz="4" w:space="0" w:color="auto"/>
            </w:tcBorders>
            <w:vAlign w:val="center"/>
          </w:tcPr>
          <w:p w14:paraId="7F1AA5E0"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C5A8F9E"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2.42%</w:t>
            </w:r>
          </w:p>
        </w:tc>
        <w:tc>
          <w:tcPr>
            <w:tcW w:w="750" w:type="pct"/>
            <w:tcBorders>
              <w:top w:val="single" w:sz="4" w:space="0" w:color="auto"/>
              <w:left w:val="single" w:sz="4" w:space="0" w:color="auto"/>
              <w:bottom w:val="single" w:sz="4" w:space="0" w:color="auto"/>
              <w:right w:val="single" w:sz="4" w:space="0" w:color="auto"/>
            </w:tcBorders>
            <w:vAlign w:val="center"/>
          </w:tcPr>
          <w:p w14:paraId="7944630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F972FE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14:paraId="761655A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647E97" w14:paraId="3051008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5C5D94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22CA63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5.98%</w:t>
            </w:r>
          </w:p>
        </w:tc>
        <w:tc>
          <w:tcPr>
            <w:tcW w:w="750" w:type="pct"/>
            <w:tcBorders>
              <w:top w:val="single" w:sz="4" w:space="0" w:color="auto"/>
              <w:left w:val="single" w:sz="4" w:space="0" w:color="auto"/>
              <w:bottom w:val="single" w:sz="4" w:space="0" w:color="auto"/>
              <w:right w:val="single" w:sz="4" w:space="0" w:color="auto"/>
            </w:tcBorders>
            <w:vAlign w:val="center"/>
          </w:tcPr>
          <w:p w14:paraId="15F1AC1B"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736441A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sz="4" w:space="0" w:color="auto"/>
              <w:left w:val="single" w:sz="4" w:space="0" w:color="auto"/>
              <w:bottom w:val="single" w:sz="4" w:space="0" w:color="auto"/>
              <w:right w:val="single" w:sz="4" w:space="0" w:color="auto"/>
            </w:tcBorders>
            <w:vAlign w:val="center"/>
          </w:tcPr>
          <w:p w14:paraId="6837863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52426F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3.92%</w:t>
            </w:r>
          </w:p>
        </w:tc>
        <w:tc>
          <w:tcPr>
            <w:tcW w:w="750" w:type="pct"/>
            <w:tcBorders>
              <w:top w:val="single" w:sz="4" w:space="0" w:color="auto"/>
              <w:left w:val="single" w:sz="4" w:space="0" w:color="auto"/>
              <w:bottom w:val="single" w:sz="4" w:space="0" w:color="auto"/>
              <w:right w:val="single" w:sz="4" w:space="0" w:color="auto"/>
            </w:tcBorders>
            <w:vAlign w:val="center"/>
          </w:tcPr>
          <w:p w14:paraId="46F7ED2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647E97" w14:paraId="01F5BD5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E8EFAD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年上半年（自基金合同生效日起至</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E39C6DF"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sz="4" w:space="0" w:color="auto"/>
              <w:left w:val="single" w:sz="4" w:space="0" w:color="auto"/>
              <w:bottom w:val="single" w:sz="4" w:space="0" w:color="auto"/>
              <w:right w:val="single" w:sz="4" w:space="0" w:color="auto"/>
            </w:tcBorders>
            <w:vAlign w:val="center"/>
          </w:tcPr>
          <w:p w14:paraId="498F3EC4"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767B24F"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c>
          <w:tcPr>
            <w:tcW w:w="750" w:type="pct"/>
            <w:tcBorders>
              <w:top w:val="single" w:sz="4" w:space="0" w:color="auto"/>
              <w:left w:val="single" w:sz="4" w:space="0" w:color="auto"/>
              <w:bottom w:val="single" w:sz="4" w:space="0" w:color="auto"/>
              <w:right w:val="single" w:sz="4" w:space="0" w:color="auto"/>
            </w:tcBorders>
            <w:vAlign w:val="center"/>
          </w:tcPr>
          <w:p w14:paraId="003030A8"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3C75A1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14:paraId="21D84C5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4B6D5F4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3DEC7112" w14:textId="77777777" w:rsidR="00647E97" w:rsidRDefault="00022CF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w:t>
      </w:r>
      <w:proofErr w:type="gramStart"/>
      <w:r>
        <w:rPr>
          <w:rFonts w:ascii="宋体" w:hAnsi="宋体"/>
          <w:sz w:val="24"/>
        </w:rPr>
        <w:t>裕道纯债</w:t>
      </w:r>
      <w:proofErr w:type="gramEnd"/>
      <w:r>
        <w:rPr>
          <w:rFonts w:ascii="宋体" w:hAnsi="宋体"/>
          <w:sz w:val="24"/>
        </w:rPr>
        <w:t>一年定期开放债券型证券投资基金</w:t>
      </w:r>
    </w:p>
    <w:p w14:paraId="32BAA751" w14:textId="77777777" w:rsidR="00647E97" w:rsidRDefault="00022CF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14:paraId="3DB197DB" w14:textId="77777777" w:rsidR="00647E97" w:rsidRDefault="00022CF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（2022年3月29日至2024年09月30日）</w:t>
      </w:r>
    </w:p>
    <w:p w14:paraId="611B86B2" w14:textId="55C778C3" w:rsidR="00647E97" w:rsidRDefault="00F56CEC">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49BDBEF3" wp14:editId="2F7FD2D1">
            <wp:extent cx="5581650" cy="3409950"/>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3409950"/>
                    </a:xfrm>
                    <a:prstGeom prst="rect">
                      <a:avLst/>
                    </a:prstGeom>
                    <a:noFill/>
                    <a:ln>
                      <a:noFill/>
                    </a:ln>
                  </pic:spPr>
                </pic:pic>
              </a:graphicData>
            </a:graphic>
          </wp:inline>
        </w:drawing>
      </w:r>
    </w:p>
    <w:p w14:paraId="0B8B38D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771034AB"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3C17689" w14:textId="77777777" w:rsidR="00647E97" w:rsidRDefault="00022CF9">
      <w:pPr>
        <w:pStyle w:val="1"/>
        <w:snapToGrid w:val="0"/>
        <w:spacing w:beforeLines="0" w:before="240" w:after="240"/>
        <w:rPr>
          <w:rFonts w:ascii="宋体" w:hAnsi="宋体"/>
          <w:szCs w:val="30"/>
        </w:rPr>
      </w:pPr>
      <w:bookmarkStart w:id="13" w:name="_Toc193101050"/>
      <w:r>
        <w:rPr>
          <w:rFonts w:ascii="Times New Roman" w:hAnsi="Times New Roman"/>
          <w:sz w:val="30"/>
        </w:rPr>
        <w:lastRenderedPageBreak/>
        <w:t>十一、基金的财产</w:t>
      </w:r>
      <w:bookmarkEnd w:id="13"/>
    </w:p>
    <w:p w14:paraId="6FED4DB1"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（一）基金资产总值</w:t>
      </w:r>
    </w:p>
    <w:p w14:paraId="7DCA7D0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5C2B6DF4"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（二）基金资产净值</w:t>
      </w:r>
    </w:p>
    <w:p w14:paraId="0925FF9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11CADE1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（三）基金财产的账户</w:t>
      </w:r>
    </w:p>
    <w:p w14:paraId="2EB6952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D841A76"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（四）基金财产的保管和处分</w:t>
      </w:r>
    </w:p>
    <w:p w14:paraId="3FF7E3E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14:paraId="23EFEAB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。非因基金财产本身承担的债务，不得对基金财产强制执行。</w:t>
      </w:r>
    </w:p>
    <w:p w14:paraId="460D473A"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724B80" w14:textId="77777777" w:rsidR="00647E97" w:rsidRDefault="00022CF9">
      <w:pPr>
        <w:pStyle w:val="1"/>
        <w:snapToGrid w:val="0"/>
        <w:spacing w:beforeLines="0" w:before="240" w:after="240"/>
        <w:rPr>
          <w:rFonts w:ascii="宋体" w:hAnsi="宋体"/>
          <w:szCs w:val="30"/>
        </w:rPr>
      </w:pPr>
      <w:bookmarkStart w:id="14" w:name="_Toc193101051"/>
      <w:r>
        <w:rPr>
          <w:rFonts w:ascii="Times New Roman" w:hAnsi="Times New Roman"/>
          <w:sz w:val="30"/>
        </w:rPr>
        <w:lastRenderedPageBreak/>
        <w:t>十二、基金资产的估值</w:t>
      </w:r>
      <w:bookmarkEnd w:id="14"/>
    </w:p>
    <w:p w14:paraId="69C70F4A"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（一）估值日</w:t>
      </w:r>
    </w:p>
    <w:p w14:paraId="14A2870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14:paraId="3A2264F8"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（二）估值对象</w:t>
      </w:r>
    </w:p>
    <w:p w14:paraId="548840A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基金所拥有的债券、资产支持证券和其它投资等持续以公允价值计量的金融资产及负债。</w:t>
      </w:r>
    </w:p>
    <w:p w14:paraId="0A2445B8"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（三）估值原则</w:t>
      </w:r>
    </w:p>
    <w:p w14:paraId="2C93668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2DD13C3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EFF9E1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F5F995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18B5E8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（三）如经济环境发生重大变化或证券发行人发生影响证券价格的重大事件，使潜在估值调整对前一估值日的基金资产净值的影响在0.25%以上的，应对估值进行调整并确定公允价值。</w:t>
      </w:r>
    </w:p>
    <w:p w14:paraId="6AB711ED"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（四）估值方法</w:t>
      </w:r>
    </w:p>
    <w:p w14:paraId="0C378E9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4A66C48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（1）交易所上市交易或挂牌转让的固定收益品种（另有规定的除外），选取估值日第三方估值机构提供的相应品种当日的估值净价进行估值；</w:t>
      </w:r>
    </w:p>
    <w:p w14:paraId="638E17F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（2）交易所上市实行全价交易的债券（可转债除外），选取第三方估值机构提供的估值全价减去估值全价中所含的债券（税后）应收利息得到的净价进行估值；</w:t>
      </w:r>
    </w:p>
    <w:p w14:paraId="5D39CC3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0D5C85B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（4）交易所上市不存在活跃市场的有价证券，采用估值技术确定公允价值。交易所市场挂牌转让的资产支持证券，采用估值技术确定公允价值；</w:t>
      </w:r>
    </w:p>
    <w:p w14:paraId="3182A39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BCB614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14:paraId="445EBC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16BA18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1920AF0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15E78A7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6、当发生大额申购或赎回情形时，基金管理人可以采用摆动定价机制，以确保基金估值的公平性。</w:t>
      </w:r>
    </w:p>
    <w:p w14:paraId="6EB7E44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14:paraId="1FBDC00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D7D171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52EB0CC4"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（五）估值程序</w:t>
      </w:r>
    </w:p>
    <w:p w14:paraId="1E55A56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hint="eastAsia"/>
          <w:sz w:val="24"/>
        </w:rPr>
        <w:t>各类基金份额的</w:t>
      </w:r>
      <w:r>
        <w:rPr>
          <w:rFonts w:ascii="宋体" w:hAnsi="宋体"/>
          <w:sz w:val="24"/>
        </w:rPr>
        <w:t>基金份额净值是按照每个工作日闭市后，</w:t>
      </w:r>
      <w:r>
        <w:rPr>
          <w:rFonts w:ascii="宋体" w:hAnsi="宋体" w:hint="eastAsia"/>
          <w:sz w:val="24"/>
        </w:rPr>
        <w:t>该类基金份额的</w:t>
      </w:r>
      <w:r>
        <w:rPr>
          <w:rFonts w:ascii="宋体" w:hAnsi="宋体"/>
          <w:sz w:val="24"/>
        </w:rPr>
        <w:t>基金资产净值除以当日</w:t>
      </w:r>
      <w:r>
        <w:rPr>
          <w:rFonts w:ascii="宋体" w:hAnsi="宋体" w:hint="eastAsia"/>
          <w:sz w:val="24"/>
        </w:rPr>
        <w:t>该类</w:t>
      </w:r>
      <w:r>
        <w:rPr>
          <w:rFonts w:ascii="宋体" w:hAnsi="宋体"/>
          <w:sz w:val="24"/>
        </w:rPr>
        <w:t>基金份额的余额数量计算，</w:t>
      </w:r>
      <w:r>
        <w:rPr>
          <w:rFonts w:ascii="宋体" w:hAnsi="宋体" w:hint="eastAsia"/>
          <w:sz w:val="24"/>
        </w:rPr>
        <w:t>均</w:t>
      </w:r>
      <w:r>
        <w:rPr>
          <w:rFonts w:ascii="宋体" w:hAnsi="宋体"/>
          <w:sz w:val="24"/>
        </w:rPr>
        <w:t>精确到0.0001元，小数点后第5位四舍五入。基金管理人可以设立大额赎回情形下的净值精度应急调整机制，具体可参见相关公告。国家另有规定的，从其规定。</w:t>
      </w:r>
    </w:p>
    <w:p w14:paraId="56B63C7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w:t>
      </w:r>
      <w:r>
        <w:rPr>
          <w:rFonts w:ascii="宋体" w:hAnsi="宋体" w:hint="eastAsia"/>
          <w:sz w:val="24"/>
        </w:rPr>
        <w:t>各类基金份额的</w:t>
      </w:r>
      <w:r>
        <w:rPr>
          <w:rFonts w:ascii="宋体" w:hAnsi="宋体"/>
          <w:sz w:val="24"/>
        </w:rPr>
        <w:t>基金资产净值及基金份额净值，并按规定公告。如遇特殊情况，经履行适当程序，可以适当延迟计算或公告。</w:t>
      </w:r>
    </w:p>
    <w:p w14:paraId="283ADDA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工作日对基金资产估值，但基金管理人根据法律法规或基金合同的规定暂停估值时除外。基金管理人每个工作日对基金资产估值后，将</w:t>
      </w:r>
      <w:r>
        <w:rPr>
          <w:rFonts w:ascii="Times New Roman" w:hAnsi="Times New Roman"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75570904"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（六）估值错误的处理</w:t>
      </w:r>
    </w:p>
    <w:p w14:paraId="2701D01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w:t>
      </w:r>
      <w:r>
        <w:rPr>
          <w:rFonts w:ascii="宋体" w:hAnsi="宋体" w:hint="eastAsia"/>
          <w:sz w:val="24"/>
        </w:rPr>
        <w:t>任一类</w:t>
      </w:r>
      <w:r>
        <w:rPr>
          <w:rFonts w:ascii="宋体" w:hAnsi="宋体"/>
          <w:sz w:val="24"/>
        </w:rPr>
        <w:t>基金份额净值小数点后4位以内（含第4位）发生估值错误时，视为</w:t>
      </w:r>
      <w:r>
        <w:rPr>
          <w:rFonts w:ascii="宋体" w:hAnsi="宋体" w:hint="eastAsia"/>
          <w:sz w:val="24"/>
        </w:rPr>
        <w:t>该类</w:t>
      </w:r>
      <w:r>
        <w:rPr>
          <w:rFonts w:ascii="宋体" w:hAnsi="宋体"/>
          <w:sz w:val="24"/>
        </w:rPr>
        <w:t>基金份额净值错误。</w:t>
      </w:r>
    </w:p>
    <w:p w14:paraId="0B99FDD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2DAD07D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6213776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w:t>
      </w:r>
      <w:r>
        <w:rPr>
          <w:rFonts w:ascii="宋体" w:hAnsi="宋体"/>
          <w:sz w:val="24"/>
        </w:rPr>
        <w:lastRenderedPageBreak/>
        <w:t>任人应当对由于该估值错误遭受损失当事人（“受损方”）的直接损失按下述“估值错误处理原则”给予赔偿，承担赔偿责任。</w:t>
      </w:r>
    </w:p>
    <w:p w14:paraId="1FD9C87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00EC9A0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0FDEEB9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600FE4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1F271FB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AF8FA7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7CAD5D2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21DC7F2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23070C7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60759FB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1B7C5C8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0CF6CAB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72CA906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（4）根据估值错误处理的方法，需要修改基金登记机构交易数据的，由基金登记机构进行更正，并就估值错误的更正向有关当事人进行确认。</w:t>
      </w:r>
    </w:p>
    <w:p w14:paraId="6012069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2E94E7E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2190DF6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w:t>
      </w:r>
      <w:r>
        <w:rPr>
          <w:rFonts w:hint="eastAsia"/>
          <w:bCs/>
          <w:sz w:val="24"/>
        </w:rPr>
        <w:t>该类</w:t>
      </w:r>
      <w:r>
        <w:rPr>
          <w:rFonts w:ascii="宋体" w:hAnsi="宋体"/>
          <w:sz w:val="24"/>
        </w:rPr>
        <w:t>基金份额净值的0.25%时，基金管理人应当通报基金托管人并报中国证监会备案；错误偏差达到</w:t>
      </w:r>
      <w:r>
        <w:rPr>
          <w:rFonts w:hint="eastAsia"/>
          <w:bCs/>
          <w:sz w:val="24"/>
        </w:rPr>
        <w:t>该类</w:t>
      </w:r>
      <w:r>
        <w:rPr>
          <w:rFonts w:ascii="宋体" w:hAnsi="宋体"/>
          <w:sz w:val="24"/>
        </w:rPr>
        <w:t>基金份额净值的0.5%时，基金管理人应当公告并报中国证监会备案。</w:t>
      </w:r>
    </w:p>
    <w:p w14:paraId="4DD780D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5F7736DC"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（七）暂停估值的情形</w:t>
      </w:r>
    </w:p>
    <w:p w14:paraId="7B8085F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0C9F373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5316B3C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28FB3E2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498CDAE7"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（八）基金净值的确认</w:t>
      </w:r>
    </w:p>
    <w:p w14:paraId="3BB69D3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各类基金份额的</w:t>
      </w:r>
      <w:r>
        <w:rPr>
          <w:rFonts w:ascii="宋体" w:hAnsi="宋体"/>
          <w:sz w:val="24"/>
        </w:rPr>
        <w:t>基金资产净值和基金份额净值由基金管理人负责计算，基金托管人负责进行复核。基金管理人应于每个工作日交易结束后计算当日</w:t>
      </w:r>
      <w:r>
        <w:rPr>
          <w:rFonts w:ascii="Times New Roman" w:hAnsi="Times New Roman" w:hint="eastAsia"/>
          <w:sz w:val="24"/>
        </w:rPr>
        <w:t>各类基金份额</w:t>
      </w:r>
      <w:r>
        <w:rPr>
          <w:rFonts w:ascii="宋体" w:hAnsi="宋体"/>
          <w:sz w:val="24"/>
        </w:rPr>
        <w:t>的基金资产净值和基金份额净值并发送给基金托管人。基金托管人对净值计算结果复核确认后发送给基金管理人，由基金管理人依据基金合同和相关法律法规的规定对基金净值予以公布。</w:t>
      </w:r>
    </w:p>
    <w:p w14:paraId="67BB3EBE"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（九）特殊情形的处理</w:t>
      </w:r>
    </w:p>
    <w:p w14:paraId="1562FC7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14:paraId="117BCA8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5515757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（十）实施</w:t>
      </w:r>
      <w:proofErr w:type="gramStart"/>
      <w:r>
        <w:rPr>
          <w:rFonts w:ascii="宋体" w:hAnsi="宋体" w:hint="eastAsia"/>
          <w:b/>
          <w:kern w:val="0"/>
          <w:sz w:val="24"/>
        </w:rPr>
        <w:t>侧袋机制</w:t>
      </w:r>
      <w:proofErr w:type="gramEnd"/>
      <w:r>
        <w:rPr>
          <w:rFonts w:ascii="宋体" w:hAnsi="宋体" w:hint="eastAsia"/>
          <w:b/>
          <w:kern w:val="0"/>
          <w:sz w:val="24"/>
        </w:rPr>
        <w:t>期间的基金资产估值</w:t>
      </w:r>
    </w:p>
    <w:p w14:paraId="3347F03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本基金实施</w:t>
      </w:r>
      <w:proofErr w:type="gramStart"/>
      <w:r>
        <w:rPr>
          <w:rFonts w:ascii="宋体" w:hAnsi="宋体"/>
          <w:sz w:val="24"/>
        </w:rPr>
        <w:t>侧袋机制</w:t>
      </w:r>
      <w:proofErr w:type="gramEnd"/>
      <w:r>
        <w:rPr>
          <w:rFonts w:ascii="宋体" w:hAnsi="宋体"/>
          <w:sz w:val="24"/>
        </w:rPr>
        <w:t>的，应根据本部分的约定</w:t>
      </w:r>
      <w:proofErr w:type="gramStart"/>
      <w:r>
        <w:rPr>
          <w:rFonts w:ascii="宋体" w:hAnsi="宋体"/>
          <w:sz w:val="24"/>
        </w:rPr>
        <w:t>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
    <w:p w14:paraId="69D7E265"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152A2A" w14:textId="77777777" w:rsidR="00647E97" w:rsidRDefault="00022CF9">
      <w:pPr>
        <w:pStyle w:val="1"/>
        <w:snapToGrid w:val="0"/>
        <w:spacing w:beforeLines="0" w:before="240" w:after="240"/>
        <w:rPr>
          <w:rFonts w:ascii="宋体" w:hAnsi="宋体"/>
          <w:szCs w:val="30"/>
        </w:rPr>
      </w:pPr>
      <w:bookmarkStart w:id="15" w:name="_Toc193101052"/>
      <w:r>
        <w:rPr>
          <w:rFonts w:ascii="Times New Roman" w:hAnsi="Times New Roman"/>
          <w:sz w:val="30"/>
        </w:rPr>
        <w:lastRenderedPageBreak/>
        <w:t>十三、基金收益与分配</w:t>
      </w:r>
      <w:bookmarkEnd w:id="15"/>
    </w:p>
    <w:p w14:paraId="38FF4F3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（一）基金利润的构成</w:t>
      </w:r>
    </w:p>
    <w:p w14:paraId="358E050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2463016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（二）基金可供分配利润</w:t>
      </w:r>
    </w:p>
    <w:p w14:paraId="0538D66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70862A6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（三）基金收益分配原则</w:t>
      </w:r>
    </w:p>
    <w:p w14:paraId="661563F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1、在符合有关基金分红条件的前提下，本基金管理人可以根据实际情况进行收益分配，具体分配方案以公告为准，</w:t>
      </w:r>
      <w:proofErr w:type="gramStart"/>
      <w:r>
        <w:rPr>
          <w:rFonts w:ascii="宋体" w:hAnsi="宋体"/>
          <w:sz w:val="24"/>
        </w:rPr>
        <w:t>若基金</w:t>
      </w:r>
      <w:proofErr w:type="gramEnd"/>
      <w:r>
        <w:rPr>
          <w:rFonts w:ascii="宋体" w:hAnsi="宋体"/>
          <w:sz w:val="24"/>
        </w:rPr>
        <w:t>合同生效不满3个月可不进行收益分配；</w:t>
      </w:r>
    </w:p>
    <w:p w14:paraId="5DA9F87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w:t>
      </w:r>
      <w:r>
        <w:rPr>
          <w:rFonts w:hAnsi="宋体" w:hint="eastAsia"/>
          <w:sz w:val="24"/>
        </w:rPr>
        <w:t>相应类别的</w:t>
      </w:r>
      <w:r>
        <w:rPr>
          <w:rFonts w:ascii="宋体" w:hAnsi="宋体"/>
          <w:sz w:val="24"/>
        </w:rPr>
        <w:t>基金份额进行再投资；若投资者不选择，本基金默认的收益分配方式是现金分红；</w:t>
      </w:r>
      <w:r>
        <w:rPr>
          <w:rFonts w:hint="eastAsia"/>
          <w:bCs/>
          <w:sz w:val="24"/>
        </w:rPr>
        <w:t>基金份额持有人可对其持有的</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类基金份额分别选择不同的收益分配方式；</w:t>
      </w:r>
    </w:p>
    <w:p w14:paraId="5CAEBED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w:t>
      </w:r>
      <w:r>
        <w:rPr>
          <w:rFonts w:hint="eastAsia"/>
          <w:bCs/>
          <w:sz w:val="24"/>
        </w:rPr>
        <w:t>任一类</w:t>
      </w:r>
      <w:r>
        <w:rPr>
          <w:rFonts w:ascii="宋体" w:hAnsi="宋体"/>
          <w:sz w:val="24"/>
        </w:rPr>
        <w:t>基金份额净值不能低于面值，即基金收益分配基准日的</w:t>
      </w:r>
      <w:r>
        <w:rPr>
          <w:rFonts w:hint="eastAsia"/>
          <w:bCs/>
          <w:sz w:val="24"/>
        </w:rPr>
        <w:t>任一类</w:t>
      </w:r>
      <w:r>
        <w:rPr>
          <w:rFonts w:ascii="宋体" w:hAnsi="宋体"/>
          <w:sz w:val="24"/>
        </w:rPr>
        <w:t>基金份额净值减去每单位</w:t>
      </w:r>
      <w:r>
        <w:rPr>
          <w:rFonts w:hint="eastAsia"/>
          <w:bCs/>
          <w:sz w:val="24"/>
        </w:rPr>
        <w:t>该类</w:t>
      </w:r>
      <w:r>
        <w:rPr>
          <w:rFonts w:ascii="宋体" w:hAnsi="宋体"/>
          <w:sz w:val="24"/>
        </w:rPr>
        <w:t>基金份额收益分配金额后不能低于面值；</w:t>
      </w:r>
    </w:p>
    <w:p w14:paraId="36DCC38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hint="eastAsia"/>
          <w:sz w:val="24"/>
        </w:rPr>
        <w:t>由于本基金A类基金份额不收取销售服务费，C类基金份额收取销售服务费，各基金份额类别对应的可供分配利润将有所不同；本基金同一基金份额类别的</w:t>
      </w:r>
      <w:r>
        <w:rPr>
          <w:rFonts w:ascii="宋体" w:hAnsi="宋体"/>
          <w:sz w:val="24"/>
        </w:rPr>
        <w:t>每一基金份额享有同等分配权；</w:t>
      </w:r>
    </w:p>
    <w:p w14:paraId="4E46086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6FBE3D7F"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（四）收益分配方案</w:t>
      </w:r>
    </w:p>
    <w:p w14:paraId="704A33A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69ACC46A"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（五）收益分配方案的确定、公告与实施</w:t>
      </w:r>
    </w:p>
    <w:p w14:paraId="23F8179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本基金收益分配方案由基金管理人拟定，并由基金托管人复核，依照《信息披露办法》的规定在规定媒介公告。</w:t>
      </w:r>
    </w:p>
    <w:p w14:paraId="7FAE943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6779B67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（六）基金收益分配中发生的费用</w:t>
      </w:r>
    </w:p>
    <w:p w14:paraId="43599FA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ascii="宋体" w:hAnsi="宋体" w:hint="eastAsia"/>
          <w:sz w:val="24"/>
        </w:rPr>
        <w:t>相应类别的</w:t>
      </w:r>
      <w:r>
        <w:rPr>
          <w:rFonts w:ascii="宋体" w:hAnsi="宋体"/>
          <w:sz w:val="24"/>
        </w:rPr>
        <w:t>基金份额。红利再投资的计算方法，依照《业务规则》执行。</w:t>
      </w:r>
    </w:p>
    <w:p w14:paraId="604F0B9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（七）收益分配方式的修改</w:t>
      </w:r>
    </w:p>
    <w:p w14:paraId="537C304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5E54721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68A926C8"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（八）实施</w:t>
      </w:r>
      <w:proofErr w:type="gramStart"/>
      <w:r>
        <w:rPr>
          <w:rFonts w:ascii="宋体" w:hAnsi="宋体" w:hint="eastAsia"/>
          <w:b/>
          <w:kern w:val="0"/>
          <w:sz w:val="24"/>
        </w:rPr>
        <w:t>侧袋机制</w:t>
      </w:r>
      <w:proofErr w:type="gramEnd"/>
      <w:r>
        <w:rPr>
          <w:rFonts w:ascii="宋体" w:hAnsi="宋体" w:hint="eastAsia"/>
          <w:b/>
          <w:kern w:val="0"/>
          <w:sz w:val="24"/>
        </w:rPr>
        <w:t>期间的收益分配</w:t>
      </w:r>
    </w:p>
    <w:p w14:paraId="3C41A55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侧袋账户</w:t>
      </w:r>
      <w:proofErr w:type="gramEnd"/>
      <w:r>
        <w:rPr>
          <w:rFonts w:ascii="宋体" w:hAnsi="宋体"/>
          <w:sz w:val="24"/>
        </w:rPr>
        <w:t>不进行收益分配。</w:t>
      </w:r>
    </w:p>
    <w:p w14:paraId="3D71D167"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27B367B" w14:textId="77777777" w:rsidR="00647E97" w:rsidRDefault="00022CF9">
      <w:pPr>
        <w:pStyle w:val="1"/>
        <w:snapToGrid w:val="0"/>
        <w:spacing w:beforeLines="0" w:before="240" w:after="240"/>
        <w:rPr>
          <w:rFonts w:ascii="宋体" w:hAnsi="宋体"/>
          <w:szCs w:val="30"/>
        </w:rPr>
      </w:pPr>
      <w:bookmarkStart w:id="16" w:name="_Toc193101053"/>
      <w:r>
        <w:rPr>
          <w:rFonts w:ascii="Times New Roman" w:hAnsi="Times New Roman"/>
          <w:sz w:val="30"/>
        </w:rPr>
        <w:lastRenderedPageBreak/>
        <w:t>十四、基金的费用与税收</w:t>
      </w:r>
      <w:bookmarkEnd w:id="16"/>
    </w:p>
    <w:p w14:paraId="5BE5F34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（一）基金费用的种类</w:t>
      </w:r>
    </w:p>
    <w:p w14:paraId="1FB21E5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0F43CB8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36E2AEB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315470D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0F79352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37F9059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675845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40686854" w14:textId="77777777" w:rsidR="00647E97" w:rsidRDefault="00022CF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8、基金的开户费用、账户维护费用；</w:t>
      </w:r>
    </w:p>
    <w:p w14:paraId="00773CE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hint="eastAsia"/>
          <w:sz w:val="24"/>
        </w:rPr>
        <w:t>本基金从C类基金份额的基金财产中计提的销售服务费；</w:t>
      </w:r>
    </w:p>
    <w:p w14:paraId="796924D7" w14:textId="27B539BF"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51B736A7"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（二）基金费用计提方法、计提标准和支付方式</w:t>
      </w:r>
    </w:p>
    <w:p w14:paraId="7CB8954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5043EB9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8B199D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14:paraId="3068418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14:paraId="2AA678C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4F749F5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4810E0A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按月支付，由基金管理人向基金托管人发送划款指令，由基金托管人复核后于次月首日起第3个工作日从基金财产中一次性支付给基金管理人，若遇法定节假日、休息日或不可抗力致使无法按时支付的，支付日期顺延。</w:t>
      </w:r>
    </w:p>
    <w:p w14:paraId="4A868A8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267C670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本基金的托管费按前一日基金资产净值的0.1%年费率计提。托管费的计算方法如下：</w:t>
      </w:r>
    </w:p>
    <w:p w14:paraId="0D89748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6D48119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00D8CB8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14:paraId="180551C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按月支付，由基金管理人向基金托管人发送划款指令，由基金托管人复核后于次月首日起第3个工作日从基金财产中一次性支取。若遇法定节假日、休息日或不可抗力致使无法按时支付的，支付日期顺延。</w:t>
      </w:r>
    </w:p>
    <w:p w14:paraId="1F1E7D82" w14:textId="77777777" w:rsidR="00647E97" w:rsidRPr="00E74945" w:rsidRDefault="00022CF9" w:rsidP="00E7494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Pr="00E74945">
        <w:rPr>
          <w:rFonts w:ascii="宋体" w:hAnsi="宋体" w:hint="eastAsia"/>
          <w:sz w:val="24"/>
        </w:rPr>
        <w:t>C类基金份额的销售服务费</w:t>
      </w:r>
    </w:p>
    <w:p w14:paraId="6FC1B722" w14:textId="77777777" w:rsidR="00647E97" w:rsidRDefault="00022CF9" w:rsidP="00E74945">
      <w:pPr>
        <w:autoSpaceDE w:val="0"/>
        <w:autoSpaceDN w:val="0"/>
        <w:adjustRightInd w:val="0"/>
        <w:snapToGrid w:val="0"/>
        <w:spacing w:line="360" w:lineRule="auto"/>
        <w:ind w:firstLineChars="200" w:firstLine="480"/>
        <w:jc w:val="left"/>
        <w:rPr>
          <w:bCs/>
          <w:sz w:val="24"/>
        </w:rPr>
      </w:pPr>
      <w:r w:rsidRPr="00E74945">
        <w:rPr>
          <w:rFonts w:ascii="宋体" w:hAnsi="宋体" w:hint="eastAsia"/>
          <w:sz w:val="24"/>
        </w:rPr>
        <w:t>本基金A类基金份额不收取销售服务费，C类基金份额的销售服务费按前一日C类基金资产净值的0.</w:t>
      </w:r>
      <w:r w:rsidRPr="00E74945">
        <w:rPr>
          <w:rFonts w:ascii="宋体" w:hAnsi="宋体"/>
          <w:sz w:val="24"/>
        </w:rPr>
        <w:t>1</w:t>
      </w:r>
      <w:r w:rsidRPr="00E74945">
        <w:rPr>
          <w:rFonts w:ascii="宋体" w:hAnsi="宋体" w:hint="eastAsia"/>
          <w:sz w:val="24"/>
        </w:rPr>
        <w:t>%</w:t>
      </w:r>
      <w:r>
        <w:rPr>
          <w:rFonts w:hint="eastAsia"/>
          <w:bCs/>
          <w:sz w:val="24"/>
        </w:rPr>
        <w:t>年费率计提。计算方法如下：</w:t>
      </w:r>
    </w:p>
    <w:p w14:paraId="759B7FCF" w14:textId="77777777" w:rsidR="00647E97" w:rsidRPr="00E74945" w:rsidRDefault="00022CF9" w:rsidP="00E74945">
      <w:pPr>
        <w:autoSpaceDE w:val="0"/>
        <w:autoSpaceDN w:val="0"/>
        <w:adjustRightInd w:val="0"/>
        <w:snapToGrid w:val="0"/>
        <w:spacing w:line="360" w:lineRule="auto"/>
        <w:ind w:firstLineChars="200" w:firstLine="480"/>
        <w:jc w:val="left"/>
        <w:rPr>
          <w:rFonts w:ascii="宋体" w:hAnsi="宋体"/>
          <w:sz w:val="24"/>
        </w:rPr>
      </w:pPr>
      <w:r w:rsidRPr="00E74945">
        <w:rPr>
          <w:rFonts w:ascii="宋体" w:hAnsi="宋体" w:hint="eastAsia"/>
          <w:sz w:val="24"/>
        </w:rPr>
        <w:t>H＝E×0.</w:t>
      </w:r>
      <w:r w:rsidRPr="00E74945">
        <w:rPr>
          <w:rFonts w:ascii="宋体" w:hAnsi="宋体"/>
          <w:sz w:val="24"/>
        </w:rPr>
        <w:t>1</w:t>
      </w:r>
      <w:r w:rsidRPr="00E74945">
        <w:rPr>
          <w:rFonts w:ascii="宋体" w:hAnsi="宋体" w:hint="eastAsia"/>
          <w:sz w:val="24"/>
        </w:rPr>
        <w:t>%÷当年天数</w:t>
      </w:r>
    </w:p>
    <w:p w14:paraId="6983125F" w14:textId="77777777" w:rsidR="00647E97" w:rsidRPr="00E74945" w:rsidRDefault="00022CF9" w:rsidP="00E74945">
      <w:pPr>
        <w:autoSpaceDE w:val="0"/>
        <w:autoSpaceDN w:val="0"/>
        <w:adjustRightInd w:val="0"/>
        <w:snapToGrid w:val="0"/>
        <w:spacing w:line="360" w:lineRule="auto"/>
        <w:ind w:firstLineChars="200" w:firstLine="480"/>
        <w:jc w:val="left"/>
        <w:rPr>
          <w:rFonts w:ascii="宋体" w:hAnsi="宋体"/>
          <w:sz w:val="24"/>
        </w:rPr>
      </w:pPr>
      <w:r w:rsidRPr="00E74945">
        <w:rPr>
          <w:rFonts w:ascii="宋体" w:hAnsi="宋体" w:hint="eastAsia"/>
          <w:sz w:val="24"/>
        </w:rPr>
        <w:t>H为C类基金份额每日应计提的销售服务费</w:t>
      </w:r>
    </w:p>
    <w:p w14:paraId="6464AF2F" w14:textId="77777777" w:rsidR="00647E97" w:rsidRPr="00E74945" w:rsidRDefault="00022CF9" w:rsidP="00E74945">
      <w:pPr>
        <w:autoSpaceDE w:val="0"/>
        <w:autoSpaceDN w:val="0"/>
        <w:adjustRightInd w:val="0"/>
        <w:snapToGrid w:val="0"/>
        <w:spacing w:line="360" w:lineRule="auto"/>
        <w:ind w:firstLineChars="200" w:firstLine="480"/>
        <w:jc w:val="left"/>
        <w:rPr>
          <w:rFonts w:ascii="宋体" w:hAnsi="宋体"/>
          <w:sz w:val="24"/>
        </w:rPr>
      </w:pPr>
      <w:r w:rsidRPr="00E74945">
        <w:rPr>
          <w:rFonts w:ascii="宋体" w:hAnsi="宋体" w:hint="eastAsia"/>
          <w:sz w:val="24"/>
        </w:rPr>
        <w:t>E为C类基金份额前一日基金资产净值</w:t>
      </w:r>
    </w:p>
    <w:p w14:paraId="05A194C4" w14:textId="77777777" w:rsidR="00647E97" w:rsidRDefault="00022CF9" w:rsidP="00E74945">
      <w:pPr>
        <w:autoSpaceDE w:val="0"/>
        <w:autoSpaceDN w:val="0"/>
        <w:adjustRightInd w:val="0"/>
        <w:snapToGrid w:val="0"/>
        <w:spacing w:line="360" w:lineRule="auto"/>
        <w:ind w:firstLineChars="200" w:firstLine="480"/>
        <w:jc w:val="left"/>
        <w:rPr>
          <w:bCs/>
          <w:sz w:val="24"/>
        </w:rPr>
      </w:pPr>
      <w:r w:rsidRPr="00E74945">
        <w:rPr>
          <w:rFonts w:ascii="宋体" w:hAnsi="宋体" w:hint="eastAsia"/>
          <w:sz w:val="24"/>
        </w:rPr>
        <w:t>C类基</w:t>
      </w:r>
      <w:r>
        <w:rPr>
          <w:rFonts w:hint="eastAsia"/>
          <w:bCs/>
          <w:sz w:val="24"/>
        </w:rPr>
        <w:t>金份额销售服务费每日计提，逐日累计至每月月末，按月支付。由基金管理人向基金托管人发送销售服务费划款指令，经基金托管人复核后于次月首日起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14:paraId="22D4CBE4" w14:textId="77777777" w:rsidR="00647E97" w:rsidRDefault="00022CF9">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类基金份额的销售服务费将专门用于本基金的市场推广、销售与基金份额持有人服务。</w:t>
      </w:r>
    </w:p>
    <w:p w14:paraId="589EB581" w14:textId="6E751D84"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w:t>
      </w:r>
      <w:r>
        <w:rPr>
          <w:rFonts w:hint="eastAsia"/>
          <w:bCs/>
          <w:sz w:val="24"/>
        </w:rPr>
        <w:t>4</w:t>
      </w:r>
      <w:r>
        <w:rPr>
          <w:rFonts w:hint="eastAsia"/>
          <w:bCs/>
          <w:sz w:val="24"/>
        </w:rPr>
        <w:t>）</w:t>
      </w:r>
      <w:r>
        <w:rPr>
          <w:rFonts w:ascii="宋体" w:hAnsi="宋体"/>
          <w:sz w:val="24"/>
        </w:rPr>
        <w:t>上述“（一）基金费用的种类”中第3-8项</w:t>
      </w:r>
      <w:r>
        <w:rPr>
          <w:rFonts w:hint="eastAsia"/>
          <w:sz w:val="24"/>
        </w:rPr>
        <w:t>、第</w:t>
      </w:r>
      <w:r>
        <w:rPr>
          <w:rFonts w:hint="eastAsia"/>
          <w:sz w:val="24"/>
        </w:rPr>
        <w:t>1</w:t>
      </w:r>
      <w:r>
        <w:rPr>
          <w:sz w:val="24"/>
        </w:rPr>
        <w:t>0</w:t>
      </w:r>
      <w:r>
        <w:rPr>
          <w:rFonts w:hint="eastAsia"/>
          <w:sz w:val="24"/>
        </w:rPr>
        <w:t>项</w:t>
      </w:r>
      <w:r>
        <w:rPr>
          <w:rFonts w:ascii="宋体" w:hAnsi="宋体"/>
          <w:sz w:val="24"/>
        </w:rPr>
        <w:t>费用，根据有关法规及相应协议规定，按费用实际支出金额列入当期费用，由基金托管人从基金财产中支付。</w:t>
      </w:r>
    </w:p>
    <w:p w14:paraId="5BA6013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0A8A3FC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74BE6F9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48CCD99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5C3492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5FD9F67E"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（三）不列入基金费用的项目</w:t>
      </w:r>
    </w:p>
    <w:p w14:paraId="47D228E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6477D3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63F2F3D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2、基金管理人和基金托管人处理与基金运作无关的事项发生的费用；</w:t>
      </w:r>
    </w:p>
    <w:p w14:paraId="7A814D0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4D75022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1CE04858"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（四）实施</w:t>
      </w:r>
      <w:proofErr w:type="gramStart"/>
      <w:r>
        <w:rPr>
          <w:rFonts w:ascii="宋体" w:hAnsi="宋体" w:hint="eastAsia"/>
          <w:b/>
          <w:kern w:val="0"/>
          <w:sz w:val="24"/>
        </w:rPr>
        <w:t>侧袋机制</w:t>
      </w:r>
      <w:proofErr w:type="gramEnd"/>
      <w:r>
        <w:rPr>
          <w:rFonts w:ascii="宋体" w:hAnsi="宋体" w:hint="eastAsia"/>
          <w:b/>
          <w:kern w:val="0"/>
          <w:sz w:val="24"/>
        </w:rPr>
        <w:t>期间的基金费用</w:t>
      </w:r>
    </w:p>
    <w:p w14:paraId="634417F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与侧袋账户</w:t>
      </w:r>
      <w:proofErr w:type="gramEnd"/>
      <w:r>
        <w:rPr>
          <w:rFonts w:ascii="宋体" w:hAnsi="宋体"/>
          <w:sz w:val="24"/>
        </w:rPr>
        <w:t>有关的费用可以</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账户资产变现后方可列支，有关费用可酌情收取或减免，但不得收取管理费，详见本招募说明书“侧袋机制”部分的规定。</w:t>
      </w:r>
    </w:p>
    <w:p w14:paraId="4657F07D"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（五）基金税收</w:t>
      </w:r>
    </w:p>
    <w:p w14:paraId="36B1C72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D30D6B0"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A90364" w14:textId="77777777" w:rsidR="00647E97" w:rsidRDefault="00022CF9">
      <w:pPr>
        <w:pStyle w:val="1"/>
        <w:snapToGrid w:val="0"/>
        <w:spacing w:beforeLines="0" w:before="240" w:after="240"/>
        <w:rPr>
          <w:rFonts w:ascii="宋体" w:hAnsi="宋体"/>
          <w:szCs w:val="30"/>
        </w:rPr>
      </w:pPr>
      <w:bookmarkStart w:id="17" w:name="_Toc193101054"/>
      <w:r>
        <w:rPr>
          <w:rFonts w:ascii="Times New Roman" w:hAnsi="Times New Roman"/>
          <w:sz w:val="30"/>
        </w:rPr>
        <w:lastRenderedPageBreak/>
        <w:t>十五、基金的会计与审计</w:t>
      </w:r>
      <w:bookmarkEnd w:id="17"/>
    </w:p>
    <w:p w14:paraId="2FF3EAEC"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（一）基金会计政策</w:t>
      </w:r>
    </w:p>
    <w:p w14:paraId="3B88202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704719E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72BA0F5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66EBFEE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069E027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76D0507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30ABAD8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7、基金托管人每月与基金管理人就基金的会计核算、报表编制等进行核对确认。</w:t>
      </w:r>
    </w:p>
    <w:p w14:paraId="452D458C"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（二）基金的年度审计</w:t>
      </w:r>
    </w:p>
    <w:p w14:paraId="74D1F17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1、基金管理人聘请与基金管理人、基金托管人相互独立的符合《中华人民共和国证券法》规定的会计师事务所及其注册会计师对本基金的年度财务报表进行审计。</w:t>
      </w:r>
    </w:p>
    <w:p w14:paraId="3529216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5F2FE5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3、基金管理人认为有充足理由更换会计师事务所，须通报基金托管人。更换会计师事务所需依照《信息披露办法》的规定在规定媒介公告。</w:t>
      </w:r>
    </w:p>
    <w:p w14:paraId="56139FCD"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9E659A8" w14:textId="77777777" w:rsidR="00647E97" w:rsidRDefault="00022CF9">
      <w:pPr>
        <w:pStyle w:val="1"/>
        <w:snapToGrid w:val="0"/>
        <w:spacing w:beforeLines="0" w:before="240" w:after="240"/>
        <w:rPr>
          <w:rFonts w:ascii="宋体" w:hAnsi="宋体"/>
          <w:szCs w:val="30"/>
        </w:rPr>
      </w:pPr>
      <w:bookmarkStart w:id="18" w:name="_Toc193101055"/>
      <w:r>
        <w:rPr>
          <w:rFonts w:ascii="Times New Roman" w:hAnsi="Times New Roman"/>
          <w:sz w:val="30"/>
        </w:rPr>
        <w:lastRenderedPageBreak/>
        <w:t>十六、基金的信息披露</w:t>
      </w:r>
      <w:bookmarkEnd w:id="18"/>
    </w:p>
    <w:p w14:paraId="250A683C" w14:textId="77777777" w:rsidR="00647E97" w:rsidRPr="005A3E8F" w:rsidRDefault="00022CF9">
      <w:pPr>
        <w:autoSpaceDE w:val="0"/>
        <w:autoSpaceDN w:val="0"/>
        <w:adjustRightInd w:val="0"/>
        <w:snapToGrid w:val="0"/>
        <w:spacing w:line="360" w:lineRule="auto"/>
        <w:ind w:firstLineChars="200" w:firstLine="480"/>
        <w:jc w:val="left"/>
        <w:rPr>
          <w:rFonts w:ascii="宋体" w:hAnsi="宋体"/>
          <w:bCs/>
          <w:szCs w:val="24"/>
        </w:rPr>
      </w:pPr>
      <w:r w:rsidRPr="00E4243C">
        <w:rPr>
          <w:rFonts w:ascii="宋体" w:hAnsi="宋体" w:hint="eastAsia"/>
          <w:bCs/>
          <w:kern w:val="0"/>
          <w:sz w:val="24"/>
        </w:rPr>
        <w:t>（一）本基金的信息披露应符合《基金法》、《运作办法》、《信息披露办法》、《流动性风险管理规定》、《基金合同》及其他有关规定。</w:t>
      </w:r>
    </w:p>
    <w:p w14:paraId="1B4D9659" w14:textId="77777777" w:rsidR="00647E97" w:rsidRPr="005A3E8F" w:rsidRDefault="00022CF9">
      <w:pPr>
        <w:autoSpaceDE w:val="0"/>
        <w:autoSpaceDN w:val="0"/>
        <w:adjustRightInd w:val="0"/>
        <w:snapToGrid w:val="0"/>
        <w:spacing w:line="360" w:lineRule="auto"/>
        <w:ind w:firstLineChars="200" w:firstLine="480"/>
        <w:jc w:val="left"/>
        <w:rPr>
          <w:rFonts w:ascii="宋体" w:hAnsi="宋体"/>
          <w:bCs/>
          <w:szCs w:val="24"/>
        </w:rPr>
      </w:pPr>
      <w:r w:rsidRPr="00E4243C">
        <w:rPr>
          <w:rFonts w:ascii="宋体" w:hAnsi="宋体" w:hint="eastAsia"/>
          <w:bCs/>
          <w:kern w:val="0"/>
          <w:sz w:val="24"/>
        </w:rPr>
        <w:t>（二）信息披露义务人</w:t>
      </w:r>
    </w:p>
    <w:p w14:paraId="0A8D91E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7423F06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21CAD8A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7DE5E603"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（三）本基金信息披露义务人承诺公开披露的基金信息，不得有下列行为：</w:t>
      </w:r>
    </w:p>
    <w:p w14:paraId="77B60A8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1DBDFC2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1C7F902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64C916A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11770E9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1F785FE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6802C8BF"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w:t>
      </w:r>
      <w:r>
        <w:rPr>
          <w:rFonts w:ascii="宋体" w:hAnsi="宋体" w:hint="eastAsia"/>
          <w:kern w:val="0"/>
          <w:sz w:val="24"/>
        </w:rPr>
        <w:t>本基金公开披露的信息应采用中文文本。如同时采用外文文本的，基金信息披露义务人应保证不同文本的内容一致。不同文本之间发生歧义的，以中文文本为准。</w:t>
      </w:r>
    </w:p>
    <w:p w14:paraId="4DDC465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16825FBB"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（五）公开披露的基金信息</w:t>
      </w:r>
    </w:p>
    <w:p w14:paraId="229F354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50CC461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47AA34B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67B4AE6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14:paraId="1992F35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358F2A1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04EEFD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F535D5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3C3013A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基金管理人应当就基金份额发售的具体事宜编制基金份额发售公告，并在披露招募说明书的当日登载于规定媒介上。</w:t>
      </w:r>
    </w:p>
    <w:p w14:paraId="1B6F4AC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1794B5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基金管理人应当在收到中国证监会确认文件的次日在规定媒介上登载《基金合同》生效公告。</w:t>
      </w:r>
    </w:p>
    <w:p w14:paraId="3EFCDC6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《基金合同》生效公告中将说明基金募集情况及基金管理人股东、基金管理</w:t>
      </w:r>
      <w:r>
        <w:rPr>
          <w:rFonts w:ascii="宋体" w:hAnsi="宋体"/>
          <w:sz w:val="24"/>
        </w:rPr>
        <w:lastRenderedPageBreak/>
        <w:t>人、基金管理人高级管理人员或基金经理等人员持有的基金份额、承诺持有的期限等情况。</w:t>
      </w:r>
    </w:p>
    <w:p w14:paraId="059F946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560C6C4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《基金合同》生效后，在封闭期内，基金管理人应当至少每周在规定网站</w:t>
      </w:r>
      <w:r>
        <w:rPr>
          <w:rFonts w:ascii="宋体" w:hAnsi="宋体" w:hint="eastAsia"/>
          <w:sz w:val="24"/>
        </w:rPr>
        <w:t>分别</w:t>
      </w:r>
      <w:r>
        <w:rPr>
          <w:rFonts w:ascii="宋体" w:hAnsi="宋体"/>
          <w:sz w:val="24"/>
        </w:rPr>
        <w:t>披露一次</w:t>
      </w:r>
      <w:r>
        <w:rPr>
          <w:rFonts w:ascii="宋体" w:hAnsi="宋体" w:hint="eastAsia"/>
          <w:sz w:val="24"/>
        </w:rPr>
        <w:t>A类基金份额和C类基金份额所对应的</w:t>
      </w:r>
      <w:r>
        <w:rPr>
          <w:rFonts w:ascii="宋体" w:hAnsi="宋体"/>
          <w:sz w:val="24"/>
        </w:rPr>
        <w:t>基金份额净值和基金份额累计净值。</w:t>
      </w:r>
    </w:p>
    <w:p w14:paraId="35A4047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在开放期内，基金管理人应当在不晚于每个开放日的次日，通过规定网站、基金销售机构网站或者营业网点，</w:t>
      </w:r>
      <w:r>
        <w:rPr>
          <w:rFonts w:ascii="宋体" w:hAnsi="宋体" w:hint="eastAsia"/>
          <w:sz w:val="24"/>
        </w:rPr>
        <w:t>分别</w:t>
      </w:r>
      <w:r>
        <w:rPr>
          <w:rFonts w:ascii="宋体" w:hAnsi="宋体"/>
          <w:sz w:val="24"/>
        </w:rPr>
        <w:t>披露开放日</w:t>
      </w:r>
      <w:r>
        <w:rPr>
          <w:rFonts w:ascii="宋体" w:hAnsi="宋体" w:hint="eastAsia"/>
          <w:sz w:val="24"/>
        </w:rPr>
        <w:t>A类基金份额和C类基金份额所对应</w:t>
      </w:r>
      <w:r>
        <w:rPr>
          <w:rFonts w:ascii="宋体" w:hAnsi="宋体"/>
          <w:sz w:val="24"/>
        </w:rPr>
        <w:t>的基金份额净值和基金份额累计净值。</w:t>
      </w:r>
    </w:p>
    <w:p w14:paraId="704B328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基金管理人应当在不晚于半年度和年度最后一日的次日，在规定网站披露半年度和年度最后一日</w:t>
      </w:r>
      <w:r>
        <w:rPr>
          <w:rFonts w:ascii="宋体" w:hAnsi="宋体" w:hint="eastAsia"/>
          <w:sz w:val="24"/>
        </w:rPr>
        <w:t>A类基金份额和C类基金份额所对应的</w:t>
      </w:r>
      <w:r>
        <w:rPr>
          <w:rFonts w:ascii="宋体" w:hAnsi="宋体"/>
          <w:sz w:val="24"/>
        </w:rPr>
        <w:t>基金份额净值和基金份额累计净值。</w:t>
      </w:r>
    </w:p>
    <w:p w14:paraId="0FDF1A5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7D029AF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14:paraId="6800501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6F0CA81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539872B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14:paraId="1A76792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14:paraId="4E11B0D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17BB123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基金管理人应在年度报告、中期报告、季度报告中分别披露基金管理人股东、基金管理人、基金管理人高级管理人员或基金经理等人员持有基金的份额、期限</w:t>
      </w:r>
      <w:proofErr w:type="gramStart"/>
      <w:r>
        <w:rPr>
          <w:rFonts w:ascii="宋体" w:hAnsi="宋体"/>
          <w:sz w:val="24"/>
        </w:rPr>
        <w:t>及期间</w:t>
      </w:r>
      <w:proofErr w:type="gramEnd"/>
      <w:r>
        <w:rPr>
          <w:rFonts w:ascii="宋体" w:hAnsi="宋体"/>
          <w:sz w:val="24"/>
        </w:rPr>
        <w:t>的变动情况。</w:t>
      </w:r>
    </w:p>
    <w:p w14:paraId="7EB75C9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w:t>
      </w:r>
      <w:r>
        <w:rPr>
          <w:rFonts w:ascii="宋体" w:hAnsi="宋体"/>
          <w:sz w:val="24"/>
        </w:rPr>
        <w:lastRenderedPageBreak/>
        <w:t>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B68E48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6214D64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546C5E1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本基金发生重大事件，有关信息披露义务人应当依照《信息披露办法》的规定编制临时报告书，并登载在规定报刊和规定网站上。</w:t>
      </w:r>
    </w:p>
    <w:p w14:paraId="5C61A5F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2927DA6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8F18E2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65E87DD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（3）转换基金运作方式（不包括本基金封闭期与开放期的转换）、基金合并；</w:t>
      </w:r>
    </w:p>
    <w:p w14:paraId="23304FC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0F71B21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17C97DD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27EE3D8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79BB77B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27ECF4F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487D511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0A9B9D4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0EEE0ED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5DBC9B6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7A2D94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2D76FD6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w:t>
      </w:r>
      <w:r>
        <w:rPr>
          <w:rFonts w:hint="eastAsia"/>
          <w:bCs/>
          <w:sz w:val="24"/>
        </w:rPr>
        <w:t>销售服务费、</w:t>
      </w:r>
      <w:r>
        <w:rPr>
          <w:rFonts w:ascii="宋体" w:hAnsi="宋体"/>
          <w:sz w:val="24"/>
        </w:rPr>
        <w:t>申购费、赎回费等费用计提标准、计提方式和费率发生变更；</w:t>
      </w:r>
    </w:p>
    <w:p w14:paraId="48E3DBC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Pr>
          <w:bCs/>
          <w:sz w:val="24"/>
        </w:rPr>
        <w:t>任一类</w:t>
      </w:r>
      <w:r>
        <w:rPr>
          <w:rFonts w:ascii="宋体" w:hAnsi="宋体"/>
          <w:sz w:val="24"/>
        </w:rPr>
        <w:t>基金份额净值计价错误达</w:t>
      </w:r>
      <w:r>
        <w:rPr>
          <w:rFonts w:hint="eastAsia"/>
          <w:bCs/>
          <w:sz w:val="24"/>
        </w:rPr>
        <w:t>该类</w:t>
      </w:r>
      <w:r>
        <w:rPr>
          <w:rFonts w:ascii="宋体" w:hAnsi="宋体"/>
          <w:sz w:val="24"/>
        </w:rPr>
        <w:t>基金份额净值百分之零点五；</w:t>
      </w:r>
    </w:p>
    <w:p w14:paraId="6873B4E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（17）本基金进入开放期及开放期的具体时间；</w:t>
      </w:r>
    </w:p>
    <w:p w14:paraId="39EF66D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（18）本基金在开放期内发生巨额赎回并延缓支付赎回款项；</w:t>
      </w:r>
    </w:p>
    <w:p w14:paraId="304A3CE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（19）本基金暂停接受申购、赎回申请或重新接受申购、赎回申请；</w:t>
      </w:r>
    </w:p>
    <w:p w14:paraId="2B0F0CC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（20）开放期内，发生涉及基金申购、赎回事项调整或潜在影响投资者赎回等重大事项；</w:t>
      </w:r>
    </w:p>
    <w:p w14:paraId="7B695A1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（21）基金管理人采用摆动定价机制进行估值；</w:t>
      </w:r>
    </w:p>
    <w:p w14:paraId="13B15E7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（22）本基金增加或调整基金份额类别；</w:t>
      </w:r>
    </w:p>
    <w:p w14:paraId="168129A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（23）本基金推出新</w:t>
      </w:r>
      <w:bookmarkStart w:id="19" w:name="_GoBack"/>
      <w:bookmarkEnd w:id="19"/>
      <w:r>
        <w:rPr>
          <w:rFonts w:ascii="宋体" w:hAnsi="宋体"/>
          <w:sz w:val="24"/>
        </w:rPr>
        <w:t>业务或服务；</w:t>
      </w:r>
    </w:p>
    <w:p w14:paraId="74270D1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（24）《基金合同》生效三年后继续存续的，本基金连续30个工作日、40个工作日、45个工作日出现基金份额持有人数量不满200人或者基金资产净值低于5000万元情形的；</w:t>
      </w:r>
    </w:p>
    <w:p w14:paraId="192EBC2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（25）基金信息披露义务人认为可能对基金份额持有人权益或者基金份额的价格产生重大影响的其他事项或中国证监会规定和基金合同约定的其他事项。</w:t>
      </w:r>
    </w:p>
    <w:p w14:paraId="30F5A51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5ACB840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C93DE9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5FD065C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58DE8D3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6CDB663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10、基金投资资产支持证券情况</w:t>
      </w:r>
    </w:p>
    <w:p w14:paraId="37ED4EE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5F7F42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11、实施</w:t>
      </w:r>
      <w:proofErr w:type="gramStart"/>
      <w:r>
        <w:rPr>
          <w:rFonts w:ascii="宋体" w:hAnsi="宋体"/>
          <w:sz w:val="24"/>
        </w:rPr>
        <w:t>侧袋机制</w:t>
      </w:r>
      <w:proofErr w:type="gramEnd"/>
      <w:r>
        <w:rPr>
          <w:rFonts w:ascii="宋体" w:hAnsi="宋体"/>
          <w:sz w:val="24"/>
        </w:rPr>
        <w:t>期间的信息披露</w:t>
      </w:r>
    </w:p>
    <w:p w14:paraId="345ED4B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的，相关信息披露义务人应当根据法律法规、基金合同和招募说明书的规定进行信息披露，详见本招募说明书“侧袋机制”部分的规定。</w:t>
      </w:r>
    </w:p>
    <w:p w14:paraId="351321B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12、清算报告</w:t>
      </w:r>
    </w:p>
    <w:p w14:paraId="3A01038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基金合同终止的，基金管理人应当依法组织清算小组对基金财产进行清算并</w:t>
      </w:r>
      <w:proofErr w:type="gramStart"/>
      <w:r>
        <w:rPr>
          <w:rFonts w:ascii="宋体" w:hAnsi="宋体"/>
          <w:sz w:val="24"/>
        </w:rPr>
        <w:t>作出</w:t>
      </w:r>
      <w:proofErr w:type="gramEnd"/>
      <w:r>
        <w:rPr>
          <w:rFonts w:ascii="宋体" w:hAnsi="宋体"/>
          <w:sz w:val="24"/>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3F2408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13、中国证监会规定的其他信息。</w:t>
      </w:r>
    </w:p>
    <w:p w14:paraId="0FA1F1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报告、中期报告、年度报告等定期报告和招募说明书（更新）中充分披露基金的相关情况并揭示相关风险，说明本基金单一投资者持有基金份额数可达到或者超过基金份额总数的50%，本基金不向个人投资者公开销售，法律法规或监管机构另有规定的除外。</w:t>
      </w:r>
    </w:p>
    <w:p w14:paraId="52B2FFA6"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（六）信息披露事务管理</w:t>
      </w:r>
    </w:p>
    <w:p w14:paraId="380653A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65C3168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084477D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Pr>
          <w:rFonts w:ascii="宋体" w:hAnsi="宋体" w:hint="eastAsia"/>
          <w:sz w:val="24"/>
        </w:rPr>
        <w:t>各类</w:t>
      </w:r>
      <w:r>
        <w:rPr>
          <w:rFonts w:ascii="宋体" w:hAnsi="宋体"/>
          <w:sz w:val="24"/>
        </w:rPr>
        <w:t>基金份额净值、基金份额申购赎回价格、基金定期报告、更新的招募说明书、基金产品资料概要、基金清算报告等相关基金信息进行复核、审查，并向基金管理人进行书面或电子确认。</w:t>
      </w:r>
    </w:p>
    <w:p w14:paraId="45B52B9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基金管理人、基金托管人应当在规定报刊中选择一家报刊披露本基金信息。基金管理人、基金托管人应当向中国证监会基金电子披露网站报送拟披露的基金信</w:t>
      </w:r>
      <w:r>
        <w:rPr>
          <w:rFonts w:ascii="宋体" w:hAnsi="宋体"/>
          <w:sz w:val="24"/>
        </w:rPr>
        <w:lastRenderedPageBreak/>
        <w:t>息，并保证相关报送信息的真实、准确、完整、及时。</w:t>
      </w:r>
    </w:p>
    <w:p w14:paraId="5255650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31122B2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210DDD3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BED733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（七）信息披露文件的存放与查阅</w:t>
      </w:r>
    </w:p>
    <w:p w14:paraId="4F69905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1FD4575E"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028763C" w14:textId="77777777" w:rsidR="00647E97" w:rsidRDefault="00022CF9">
      <w:pPr>
        <w:pStyle w:val="1"/>
        <w:snapToGrid w:val="0"/>
        <w:spacing w:beforeLines="0" w:before="240" w:after="240"/>
        <w:rPr>
          <w:rFonts w:ascii="宋体" w:hAnsi="宋体"/>
          <w:szCs w:val="30"/>
        </w:rPr>
      </w:pPr>
      <w:bookmarkStart w:id="20" w:name="_Toc193101056"/>
      <w:r>
        <w:rPr>
          <w:rFonts w:ascii="Times New Roman" w:hAnsi="Times New Roman"/>
          <w:sz w:val="30"/>
        </w:rPr>
        <w:lastRenderedPageBreak/>
        <w:t>十七、</w:t>
      </w:r>
      <w:proofErr w:type="gramStart"/>
      <w:r>
        <w:rPr>
          <w:rFonts w:ascii="Times New Roman" w:hAnsi="Times New Roman"/>
          <w:sz w:val="30"/>
        </w:rPr>
        <w:t>侧袋机制</w:t>
      </w:r>
      <w:bookmarkEnd w:id="20"/>
      <w:proofErr w:type="gramEnd"/>
    </w:p>
    <w:p w14:paraId="1B4CA168"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w:t>
      </w:r>
      <w:proofErr w:type="gramStart"/>
      <w:r>
        <w:rPr>
          <w:rFonts w:ascii="宋体" w:hAnsi="宋体" w:hint="eastAsia"/>
          <w:b/>
          <w:kern w:val="0"/>
          <w:sz w:val="24"/>
        </w:rPr>
        <w:t>侧袋机制</w:t>
      </w:r>
      <w:proofErr w:type="gramEnd"/>
      <w:r>
        <w:rPr>
          <w:rFonts w:ascii="宋体" w:hAnsi="宋体" w:hint="eastAsia"/>
          <w:b/>
          <w:kern w:val="0"/>
          <w:sz w:val="24"/>
        </w:rPr>
        <w:t>的实施条件</w:t>
      </w:r>
    </w:p>
    <w:p w14:paraId="65D8E2C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4C81D26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w:t>
      </w:r>
      <w:proofErr w:type="gramStart"/>
      <w:r>
        <w:rPr>
          <w:rFonts w:ascii="宋体" w:hAnsi="宋体"/>
          <w:sz w:val="24"/>
        </w:rPr>
        <w:t>侧袋机制</w:t>
      </w:r>
      <w:proofErr w:type="gramEnd"/>
      <w:r>
        <w:rPr>
          <w:rFonts w:ascii="宋体" w:hAnsi="宋体"/>
          <w:sz w:val="24"/>
        </w:rPr>
        <w:t>后及时发布临时公告，并在五个工作日内聘请</w:t>
      </w:r>
      <w:proofErr w:type="gramStart"/>
      <w:r>
        <w:rPr>
          <w:rFonts w:ascii="宋体" w:hAnsi="宋体"/>
          <w:sz w:val="24"/>
        </w:rPr>
        <w:t>侧袋机制</w:t>
      </w:r>
      <w:proofErr w:type="gramEnd"/>
      <w:r>
        <w:rPr>
          <w:rFonts w:ascii="宋体" w:hAnsi="宋体"/>
          <w:sz w:val="24"/>
        </w:rPr>
        <w:t>启用日发表意见且符合《中华人民共和国证券法》规定的会计师事务所进行审计并披露专项审计意见。</w:t>
      </w:r>
    </w:p>
    <w:p w14:paraId="2B70890A"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（二）实施</w:t>
      </w:r>
      <w:proofErr w:type="gramStart"/>
      <w:r>
        <w:rPr>
          <w:rFonts w:ascii="宋体" w:hAnsi="宋体" w:hint="eastAsia"/>
          <w:b/>
          <w:kern w:val="0"/>
          <w:sz w:val="24"/>
        </w:rPr>
        <w:t>侧袋机制</w:t>
      </w:r>
      <w:proofErr w:type="gramEnd"/>
      <w:r>
        <w:rPr>
          <w:rFonts w:ascii="宋体" w:hAnsi="宋体" w:hint="eastAsia"/>
          <w:b/>
          <w:kern w:val="0"/>
          <w:sz w:val="24"/>
        </w:rPr>
        <w:t>期间基金份额的申购与赎回</w:t>
      </w:r>
    </w:p>
    <w:p w14:paraId="1746082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w:t>
      </w:r>
      <w:proofErr w:type="gramStart"/>
      <w:r>
        <w:rPr>
          <w:rFonts w:ascii="宋体" w:hAnsi="宋体"/>
          <w:sz w:val="24"/>
        </w:rPr>
        <w:t>侧袋机制</w:t>
      </w:r>
      <w:proofErr w:type="gramEnd"/>
      <w:r>
        <w:rPr>
          <w:rFonts w:ascii="宋体" w:hAnsi="宋体"/>
          <w:sz w:val="24"/>
        </w:rPr>
        <w:t>当日，基金登记机构以基金份额持有人的原有账户份额为基础，确认</w:t>
      </w:r>
      <w:proofErr w:type="gramStart"/>
      <w:r>
        <w:rPr>
          <w:rFonts w:ascii="宋体" w:hAnsi="宋体"/>
          <w:sz w:val="24"/>
        </w:rPr>
        <w:t>相应侧袋账户</w:t>
      </w:r>
      <w:proofErr w:type="gramEnd"/>
      <w:r>
        <w:rPr>
          <w:rFonts w:ascii="宋体" w:hAnsi="宋体"/>
          <w:sz w:val="24"/>
        </w:rPr>
        <w:t>基金份额持有人名册和份额；当日收到的申购申请，按照启用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的主袋账户</w:t>
      </w:r>
      <w:proofErr w:type="gramEnd"/>
      <w:r>
        <w:rPr>
          <w:rFonts w:ascii="宋体" w:hAnsi="宋体"/>
          <w:sz w:val="24"/>
        </w:rPr>
        <w:t>份额办理；当日收到的赎回申请，仅</w:t>
      </w:r>
      <w:proofErr w:type="gramStart"/>
      <w:r>
        <w:rPr>
          <w:rFonts w:ascii="宋体" w:hAnsi="宋体"/>
          <w:sz w:val="24"/>
        </w:rPr>
        <w:t>办理主袋账户</w:t>
      </w:r>
      <w:proofErr w:type="gramEnd"/>
      <w:r>
        <w:rPr>
          <w:rFonts w:ascii="宋体" w:hAnsi="宋体"/>
          <w:sz w:val="24"/>
        </w:rPr>
        <w:t>的赎回申请并支付赎回款项。</w:t>
      </w:r>
    </w:p>
    <w:p w14:paraId="74B3402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w:t>
      </w:r>
      <w:proofErr w:type="gramStart"/>
      <w:r>
        <w:rPr>
          <w:rFonts w:ascii="宋体" w:hAnsi="宋体"/>
          <w:sz w:val="24"/>
        </w:rPr>
        <w:t>侧袋机制</w:t>
      </w:r>
      <w:proofErr w:type="gramEnd"/>
      <w:r>
        <w:rPr>
          <w:rFonts w:ascii="宋体" w:hAnsi="宋体"/>
          <w:sz w:val="24"/>
        </w:rPr>
        <w:t>期间，基金管理人不</w:t>
      </w:r>
      <w:proofErr w:type="gramStart"/>
      <w:r>
        <w:rPr>
          <w:rFonts w:ascii="宋体" w:hAnsi="宋体"/>
          <w:sz w:val="24"/>
        </w:rPr>
        <w:t>办理侧袋账户</w:t>
      </w:r>
      <w:proofErr w:type="gramEnd"/>
      <w:r>
        <w:rPr>
          <w:rFonts w:ascii="宋体" w:hAnsi="宋体"/>
          <w:sz w:val="24"/>
        </w:rPr>
        <w:t>份额的申购、赎回和转换；同时，基金管理人按照基金合同和招募说明书的约定</w:t>
      </w:r>
      <w:proofErr w:type="gramStart"/>
      <w:r>
        <w:rPr>
          <w:rFonts w:ascii="宋体" w:hAnsi="宋体"/>
          <w:sz w:val="24"/>
        </w:rPr>
        <w:t>办理主袋账户</w:t>
      </w:r>
      <w:proofErr w:type="gramEnd"/>
      <w:r>
        <w:rPr>
          <w:rFonts w:ascii="宋体" w:hAnsi="宋体"/>
          <w:sz w:val="24"/>
        </w:rPr>
        <w:t>份额的赎回，并</w:t>
      </w:r>
      <w:proofErr w:type="gramStart"/>
      <w:r>
        <w:rPr>
          <w:rFonts w:ascii="宋体" w:hAnsi="宋体"/>
          <w:sz w:val="24"/>
        </w:rPr>
        <w:t>根据主袋账户</w:t>
      </w:r>
      <w:proofErr w:type="gramEnd"/>
      <w:r>
        <w:rPr>
          <w:rFonts w:ascii="宋体" w:hAnsi="宋体"/>
          <w:sz w:val="24"/>
        </w:rPr>
        <w:t>运作情况确定是否暂停申购。</w:t>
      </w:r>
    </w:p>
    <w:p w14:paraId="1BB18B7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w:t>
      </w:r>
      <w:proofErr w:type="gramStart"/>
      <w:r>
        <w:rPr>
          <w:rFonts w:ascii="宋体" w:hAnsi="宋体"/>
          <w:sz w:val="24"/>
        </w:rPr>
        <w:t>按照主袋账户</w:t>
      </w:r>
      <w:proofErr w:type="gramEnd"/>
      <w:r>
        <w:rPr>
          <w:rFonts w:ascii="宋体" w:hAnsi="宋体"/>
          <w:sz w:val="24"/>
        </w:rPr>
        <w:t>的份额净值</w:t>
      </w:r>
      <w:proofErr w:type="gramStart"/>
      <w:r>
        <w:rPr>
          <w:rFonts w:ascii="宋体" w:hAnsi="宋体"/>
          <w:sz w:val="24"/>
        </w:rPr>
        <w:t>办理主袋账户</w:t>
      </w:r>
      <w:proofErr w:type="gramEnd"/>
      <w:r>
        <w:rPr>
          <w:rFonts w:ascii="宋体" w:hAnsi="宋体"/>
          <w:sz w:val="24"/>
        </w:rPr>
        <w:t>份额的申购和赎回外，本招募说明书“基金份额的申购与赎回”部分的申购、赎回规定</w:t>
      </w:r>
      <w:proofErr w:type="gramStart"/>
      <w:r>
        <w:rPr>
          <w:rFonts w:ascii="宋体" w:hAnsi="宋体"/>
          <w:sz w:val="24"/>
        </w:rPr>
        <w:t>适用于主袋账户</w:t>
      </w:r>
      <w:proofErr w:type="gramEnd"/>
      <w:r>
        <w:rPr>
          <w:rFonts w:ascii="宋体" w:hAnsi="宋体"/>
          <w:sz w:val="24"/>
        </w:rPr>
        <w:t>份额。巨额赎回按照单个开放</w:t>
      </w:r>
      <w:proofErr w:type="gramStart"/>
      <w:r>
        <w:rPr>
          <w:rFonts w:ascii="宋体" w:hAnsi="宋体"/>
          <w:sz w:val="24"/>
        </w:rPr>
        <w:t>日内主袋账户</w:t>
      </w:r>
      <w:proofErr w:type="gramEnd"/>
      <w:r>
        <w:rPr>
          <w:rFonts w:ascii="宋体" w:hAnsi="宋体"/>
          <w:sz w:val="24"/>
        </w:rPr>
        <w:t>份额净赎回申请超过前一</w:t>
      </w:r>
      <w:proofErr w:type="gramStart"/>
      <w:r>
        <w:rPr>
          <w:rFonts w:ascii="宋体" w:hAnsi="宋体"/>
          <w:sz w:val="24"/>
        </w:rPr>
        <w:t>工作日主袋账户</w:t>
      </w:r>
      <w:proofErr w:type="gramEnd"/>
      <w:r>
        <w:rPr>
          <w:rFonts w:ascii="宋体" w:hAnsi="宋体"/>
          <w:sz w:val="24"/>
        </w:rPr>
        <w:t>总份额的20%认定。</w:t>
      </w:r>
    </w:p>
    <w:p w14:paraId="053FFF9E"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（三）实施</w:t>
      </w:r>
      <w:proofErr w:type="gramStart"/>
      <w:r>
        <w:rPr>
          <w:rFonts w:ascii="宋体" w:hAnsi="宋体" w:hint="eastAsia"/>
          <w:b/>
          <w:kern w:val="0"/>
          <w:sz w:val="24"/>
        </w:rPr>
        <w:t>侧袋机制</w:t>
      </w:r>
      <w:proofErr w:type="gramEnd"/>
      <w:r>
        <w:rPr>
          <w:rFonts w:ascii="宋体" w:hAnsi="宋体" w:hint="eastAsia"/>
          <w:b/>
          <w:kern w:val="0"/>
          <w:sz w:val="24"/>
        </w:rPr>
        <w:t>期间的基金投资</w:t>
      </w:r>
    </w:p>
    <w:p w14:paraId="033E0A6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实施期间，招募说明书“基金的投资”部分约定的投资组合比例、投资策略、组合限制、业绩比较基准、风险收益特征等约定仅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。基金管理人计算各项投资运作指标和基金业绩指标时仅需</w:t>
      </w:r>
      <w:proofErr w:type="gramStart"/>
      <w:r>
        <w:rPr>
          <w:rFonts w:ascii="宋体" w:hAnsi="宋体"/>
          <w:sz w:val="24"/>
        </w:rPr>
        <w:t>考虑主袋账户</w:t>
      </w:r>
      <w:proofErr w:type="gramEnd"/>
      <w:r>
        <w:rPr>
          <w:rFonts w:ascii="宋体" w:hAnsi="宋体"/>
          <w:sz w:val="24"/>
        </w:rPr>
        <w:t>资产。</w:t>
      </w:r>
    </w:p>
    <w:p w14:paraId="7E218EC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w:t>
      </w:r>
      <w:proofErr w:type="gramStart"/>
      <w:r>
        <w:rPr>
          <w:rFonts w:ascii="宋体" w:hAnsi="宋体"/>
          <w:sz w:val="24"/>
        </w:rPr>
        <w:t>侧袋机制</w:t>
      </w:r>
      <w:proofErr w:type="gramEnd"/>
      <w:r>
        <w:rPr>
          <w:rFonts w:ascii="宋体" w:hAnsi="宋体"/>
          <w:sz w:val="24"/>
        </w:rPr>
        <w:t>启用后20个交易日内完成</w:t>
      </w:r>
      <w:proofErr w:type="gramStart"/>
      <w:r>
        <w:rPr>
          <w:rFonts w:ascii="宋体" w:hAnsi="宋体"/>
          <w:sz w:val="24"/>
        </w:rPr>
        <w:t>对主袋账户</w:t>
      </w:r>
      <w:proofErr w:type="gramEnd"/>
      <w:r>
        <w:rPr>
          <w:rFonts w:ascii="宋体" w:hAnsi="宋体"/>
          <w:sz w:val="24"/>
        </w:rPr>
        <w:t>投资组合的调整，因资产流动性受限等中国证监会规定的情形除外。</w:t>
      </w:r>
    </w:p>
    <w:p w14:paraId="686FF43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w:t>
      </w:r>
      <w:proofErr w:type="gramStart"/>
      <w:r>
        <w:rPr>
          <w:rFonts w:ascii="宋体" w:hAnsi="宋体"/>
          <w:sz w:val="24"/>
        </w:rPr>
        <w:t>在侧袋账户</w:t>
      </w:r>
      <w:proofErr w:type="gramEnd"/>
      <w:r>
        <w:rPr>
          <w:rFonts w:ascii="宋体" w:hAnsi="宋体"/>
          <w:sz w:val="24"/>
        </w:rPr>
        <w:t>中进行除特定资产处置变现以外的其他投资操作。</w:t>
      </w:r>
    </w:p>
    <w:p w14:paraId="29F9A7B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（四）实施</w:t>
      </w:r>
      <w:proofErr w:type="gramStart"/>
      <w:r>
        <w:rPr>
          <w:rFonts w:ascii="宋体" w:hAnsi="宋体" w:hint="eastAsia"/>
          <w:b/>
          <w:kern w:val="0"/>
          <w:sz w:val="24"/>
        </w:rPr>
        <w:t>侧袋机制</w:t>
      </w:r>
      <w:proofErr w:type="gramEnd"/>
      <w:r>
        <w:rPr>
          <w:rFonts w:ascii="宋体" w:hAnsi="宋体" w:hint="eastAsia"/>
          <w:b/>
          <w:kern w:val="0"/>
          <w:sz w:val="24"/>
        </w:rPr>
        <w:t>期间的基金估值</w:t>
      </w:r>
    </w:p>
    <w:p w14:paraId="69A321D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的，基金管理人和基金托管人</w:t>
      </w:r>
      <w:proofErr w:type="gramStart"/>
      <w:r>
        <w:rPr>
          <w:rFonts w:ascii="宋体" w:hAnsi="宋体"/>
          <w:sz w:val="24"/>
        </w:rPr>
        <w:t>应对主袋账户</w:t>
      </w:r>
      <w:proofErr w:type="gramEnd"/>
      <w:r>
        <w:rPr>
          <w:rFonts w:ascii="宋体" w:hAnsi="宋体"/>
          <w:sz w:val="24"/>
        </w:rPr>
        <w:t>资产进行估值</w:t>
      </w:r>
      <w:r>
        <w:rPr>
          <w:rFonts w:ascii="宋体" w:hAnsi="宋体"/>
          <w:sz w:val="24"/>
        </w:rPr>
        <w:lastRenderedPageBreak/>
        <w:t>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roofErr w:type="gramStart"/>
      <w:r>
        <w:rPr>
          <w:rFonts w:ascii="宋体" w:hAnsi="宋体"/>
          <w:sz w:val="24"/>
        </w:rPr>
        <w:t>侧袋账户</w:t>
      </w:r>
      <w:proofErr w:type="gramEnd"/>
      <w:r>
        <w:rPr>
          <w:rFonts w:ascii="宋体" w:hAnsi="宋体"/>
          <w:sz w:val="24"/>
        </w:rPr>
        <w:t>的会计核算应符合《企业会计准则》的相关要求。</w:t>
      </w:r>
    </w:p>
    <w:p w14:paraId="32562E91"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w:t>
      </w:r>
      <w:proofErr w:type="gramStart"/>
      <w:r>
        <w:rPr>
          <w:rFonts w:ascii="宋体" w:hAnsi="宋体" w:hint="eastAsia"/>
          <w:b/>
          <w:kern w:val="0"/>
          <w:sz w:val="24"/>
        </w:rPr>
        <w:t>实施侧袋账户</w:t>
      </w:r>
      <w:proofErr w:type="gramEnd"/>
      <w:r>
        <w:rPr>
          <w:rFonts w:ascii="宋体" w:hAnsi="宋体" w:hint="eastAsia"/>
          <w:b/>
          <w:kern w:val="0"/>
          <w:sz w:val="24"/>
        </w:rPr>
        <w:t>期间的基金费用</w:t>
      </w:r>
    </w:p>
    <w:p w14:paraId="2F45350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w:t>
      </w:r>
      <w:proofErr w:type="gramStart"/>
      <w:r>
        <w:rPr>
          <w:rFonts w:ascii="宋体" w:hAnsi="宋体"/>
          <w:sz w:val="24"/>
        </w:rPr>
        <w:t>侧袋机制</w:t>
      </w:r>
      <w:proofErr w:type="gramEnd"/>
      <w:r>
        <w:rPr>
          <w:rFonts w:ascii="宋体" w:hAnsi="宋体"/>
          <w:sz w:val="24"/>
        </w:rPr>
        <w:t>的，管理费和托管费</w:t>
      </w:r>
      <w:proofErr w:type="gramStart"/>
      <w:r>
        <w:rPr>
          <w:rFonts w:ascii="宋体" w:hAnsi="宋体"/>
          <w:sz w:val="24"/>
        </w:rPr>
        <w:t>按主袋账户</w:t>
      </w:r>
      <w:proofErr w:type="gramEnd"/>
      <w:r>
        <w:rPr>
          <w:rFonts w:ascii="宋体" w:hAnsi="宋体"/>
          <w:sz w:val="24"/>
        </w:rPr>
        <w:t>基金资产净值作为基数计提。</w:t>
      </w:r>
    </w:p>
    <w:p w14:paraId="0D0F80B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proofErr w:type="gramStart"/>
      <w:r>
        <w:rPr>
          <w:rFonts w:ascii="宋体" w:hAnsi="宋体"/>
          <w:sz w:val="24"/>
        </w:rPr>
        <w:t>与侧袋账户</w:t>
      </w:r>
      <w:proofErr w:type="gramEnd"/>
      <w:r>
        <w:rPr>
          <w:rFonts w:ascii="宋体" w:hAnsi="宋体"/>
          <w:sz w:val="24"/>
        </w:rPr>
        <w:t>有关的费用可</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w:t>
      </w:r>
    </w:p>
    <w:p w14:paraId="26CACBE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w:t>
      </w:r>
      <w:proofErr w:type="gramStart"/>
      <w:r>
        <w:rPr>
          <w:rFonts w:ascii="宋体" w:hAnsi="宋体" w:hint="eastAsia"/>
          <w:b/>
          <w:kern w:val="0"/>
          <w:sz w:val="24"/>
        </w:rPr>
        <w:t>侧袋账户</w:t>
      </w:r>
      <w:proofErr w:type="gramEnd"/>
      <w:r>
        <w:rPr>
          <w:rFonts w:ascii="宋体" w:hAnsi="宋体" w:hint="eastAsia"/>
          <w:b/>
          <w:kern w:val="0"/>
          <w:sz w:val="24"/>
        </w:rPr>
        <w:t>中特定资产的处置变现和支付</w:t>
      </w:r>
    </w:p>
    <w:p w14:paraId="4CFCE5F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w:t>
      </w:r>
      <w:proofErr w:type="gramStart"/>
      <w:r>
        <w:rPr>
          <w:rFonts w:ascii="宋体" w:hAnsi="宋体"/>
          <w:sz w:val="24"/>
        </w:rPr>
        <w:t>向侧袋账户</w:t>
      </w:r>
      <w:proofErr w:type="gramEnd"/>
      <w:r>
        <w:rPr>
          <w:rFonts w:ascii="宋体" w:hAnsi="宋体"/>
          <w:sz w:val="24"/>
        </w:rPr>
        <w:t>份额持有人支付对应变现款项。</w:t>
      </w:r>
    </w:p>
    <w:p w14:paraId="1D0FCD9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w:t>
      </w:r>
      <w:proofErr w:type="gramStart"/>
      <w:r>
        <w:rPr>
          <w:rFonts w:ascii="宋体" w:hAnsi="宋体"/>
          <w:sz w:val="24"/>
        </w:rPr>
        <w:t>无论侧袋账户</w:t>
      </w:r>
      <w:proofErr w:type="gramEnd"/>
      <w:r>
        <w:rPr>
          <w:rFonts w:ascii="宋体" w:hAnsi="宋体"/>
          <w:sz w:val="24"/>
        </w:rPr>
        <w:t>资产是否全部完成变现，基金管理人都应当及时</w:t>
      </w:r>
      <w:proofErr w:type="gramStart"/>
      <w:r>
        <w:rPr>
          <w:rFonts w:ascii="宋体" w:hAnsi="宋体"/>
          <w:sz w:val="24"/>
        </w:rPr>
        <w:t>向侧袋账户</w:t>
      </w:r>
      <w:proofErr w:type="gramEnd"/>
      <w:r>
        <w:rPr>
          <w:rFonts w:ascii="宋体" w:hAnsi="宋体"/>
          <w:sz w:val="24"/>
        </w:rPr>
        <w:t>全部份额持有人支付已变现部分对应的款项。</w:t>
      </w:r>
      <w:proofErr w:type="gramStart"/>
      <w:r>
        <w:rPr>
          <w:rFonts w:ascii="宋体" w:hAnsi="宋体"/>
          <w:sz w:val="24"/>
        </w:rPr>
        <w:t>若侧袋</w:t>
      </w:r>
      <w:proofErr w:type="gramEnd"/>
      <w:r>
        <w:rPr>
          <w:rFonts w:ascii="宋体" w:hAnsi="宋体"/>
          <w:sz w:val="24"/>
        </w:rPr>
        <w:t>账户资产无法一次性完成处置变现，基金管理人在每次处置变现后均应按照相关法律法规要求及时发布临时公告。</w:t>
      </w:r>
    </w:p>
    <w:p w14:paraId="024DDF1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资产全部完成变现并终止</w:t>
      </w:r>
      <w:proofErr w:type="gramStart"/>
      <w:r>
        <w:rPr>
          <w:rFonts w:ascii="宋体" w:hAnsi="宋体"/>
          <w:sz w:val="24"/>
        </w:rPr>
        <w:t>侧袋机制</w:t>
      </w:r>
      <w:proofErr w:type="gramEnd"/>
      <w:r>
        <w:rPr>
          <w:rFonts w:ascii="宋体" w:hAnsi="宋体"/>
          <w:sz w:val="24"/>
        </w:rPr>
        <w:t>后，基金管理人应及时聘请符合《中华人民共和国证券法》规定的会计师事务所进行审计并披露专项审计意见。</w:t>
      </w:r>
    </w:p>
    <w:p w14:paraId="007322D0"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w:t>
      </w:r>
      <w:proofErr w:type="gramStart"/>
      <w:r>
        <w:rPr>
          <w:rFonts w:ascii="宋体" w:hAnsi="宋体" w:hint="eastAsia"/>
          <w:b/>
          <w:kern w:val="0"/>
          <w:sz w:val="24"/>
        </w:rPr>
        <w:t>侧袋机制</w:t>
      </w:r>
      <w:proofErr w:type="gramEnd"/>
      <w:r>
        <w:rPr>
          <w:rFonts w:ascii="宋体" w:hAnsi="宋体" w:hint="eastAsia"/>
          <w:b/>
          <w:kern w:val="0"/>
          <w:sz w:val="24"/>
        </w:rPr>
        <w:t>的信息披露</w:t>
      </w:r>
    </w:p>
    <w:p w14:paraId="5C0B29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333C787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w:t>
      </w:r>
      <w:proofErr w:type="gramStart"/>
      <w:r>
        <w:rPr>
          <w:rFonts w:ascii="宋体" w:hAnsi="宋体"/>
          <w:sz w:val="24"/>
        </w:rPr>
        <w:t>启用侧袋机制</w:t>
      </w:r>
      <w:proofErr w:type="gramEnd"/>
      <w:r>
        <w:rPr>
          <w:rFonts w:ascii="宋体" w:hAnsi="宋体"/>
          <w:sz w:val="24"/>
        </w:rPr>
        <w:t>、处置特定资产、终止</w:t>
      </w:r>
      <w:proofErr w:type="gramStart"/>
      <w:r>
        <w:rPr>
          <w:rFonts w:ascii="宋体" w:hAnsi="宋体"/>
          <w:sz w:val="24"/>
        </w:rPr>
        <w:t>侧袋机制</w:t>
      </w:r>
      <w:proofErr w:type="gramEnd"/>
      <w:r>
        <w:rPr>
          <w:rFonts w:ascii="宋体" w:hAnsi="宋体"/>
          <w:sz w:val="24"/>
        </w:rPr>
        <w:t>以及发生其他可能对投资者利益产生重大影响的事项后基金管理人应及时发布临时公告。</w:t>
      </w:r>
    </w:p>
    <w:p w14:paraId="31E6198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636D9DD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w:t>
      </w:r>
      <w:proofErr w:type="gramStart"/>
      <w:r>
        <w:rPr>
          <w:rFonts w:ascii="宋体" w:hAnsi="宋体"/>
          <w:sz w:val="24"/>
        </w:rPr>
        <w:t>披露主袋账户</w:t>
      </w:r>
      <w:proofErr w:type="gramEnd"/>
      <w:r>
        <w:rPr>
          <w:rFonts w:ascii="宋体" w:hAnsi="宋体"/>
          <w:sz w:val="24"/>
        </w:rPr>
        <w:t>份额的基金净值信息。实施</w:t>
      </w:r>
      <w:proofErr w:type="gramStart"/>
      <w:r>
        <w:rPr>
          <w:rFonts w:ascii="宋体" w:hAnsi="宋体"/>
          <w:sz w:val="24"/>
        </w:rPr>
        <w:t>侧袋机制</w:t>
      </w:r>
      <w:proofErr w:type="gramEnd"/>
      <w:r>
        <w:rPr>
          <w:rFonts w:ascii="宋体" w:hAnsi="宋体"/>
          <w:sz w:val="24"/>
        </w:rPr>
        <w:t>期间本基金暂停</w:t>
      </w:r>
      <w:proofErr w:type="gramStart"/>
      <w:r>
        <w:rPr>
          <w:rFonts w:ascii="宋体" w:hAnsi="宋体"/>
          <w:sz w:val="24"/>
        </w:rPr>
        <w:t>披露侧袋账户</w:t>
      </w:r>
      <w:proofErr w:type="gramEnd"/>
      <w:r>
        <w:rPr>
          <w:rFonts w:ascii="宋体" w:hAnsi="宋体"/>
          <w:sz w:val="24"/>
        </w:rPr>
        <w:t>份额净值和累计净值。</w:t>
      </w:r>
    </w:p>
    <w:p w14:paraId="7F4D267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612D120B" w14:textId="00F9FA43" w:rsidR="00647E97" w:rsidRDefault="00022CF9" w:rsidP="00B3510F">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实施期间，基金管理人应当在基金定期报告中披露报告期</w:t>
      </w:r>
      <w:proofErr w:type="gramStart"/>
      <w:r>
        <w:rPr>
          <w:rFonts w:ascii="宋体" w:hAnsi="宋体"/>
          <w:sz w:val="24"/>
        </w:rPr>
        <w:t>内侧袋</w:t>
      </w:r>
      <w:proofErr w:type="gramEnd"/>
      <w:r>
        <w:rPr>
          <w:rFonts w:ascii="宋体" w:hAnsi="宋体"/>
          <w:sz w:val="24"/>
        </w:rPr>
        <w:t>账户相关信息，基金定期报告中的基金会计报表仅需</w:t>
      </w:r>
      <w:proofErr w:type="gramStart"/>
      <w:r>
        <w:rPr>
          <w:rFonts w:ascii="宋体" w:hAnsi="宋体"/>
          <w:sz w:val="24"/>
        </w:rPr>
        <w:t>针对主袋账户</w:t>
      </w:r>
      <w:proofErr w:type="gramEnd"/>
      <w:r>
        <w:rPr>
          <w:rFonts w:ascii="宋体" w:hAnsi="宋体"/>
          <w:sz w:val="24"/>
        </w:rPr>
        <w:t>进行编制。会计师事务所对基金年度报告进行审计时，应对报告期内基金</w:t>
      </w:r>
      <w:proofErr w:type="gramStart"/>
      <w:r>
        <w:rPr>
          <w:rFonts w:ascii="宋体" w:hAnsi="宋体"/>
          <w:sz w:val="24"/>
        </w:rPr>
        <w:t>侧袋机制</w:t>
      </w:r>
      <w:proofErr w:type="gramEnd"/>
      <w:r>
        <w:rPr>
          <w:rFonts w:ascii="宋体" w:hAnsi="宋体"/>
          <w:sz w:val="24"/>
        </w:rPr>
        <w:t>运行相关的会计核算和年度报告披露等发表审计意见。</w:t>
      </w:r>
      <w:r>
        <w:rPr>
          <w:rFonts w:ascii="宋体" w:hAnsi="宋体"/>
          <w:sz w:val="24"/>
        </w:rPr>
        <w:br w:type="page"/>
      </w:r>
    </w:p>
    <w:p w14:paraId="191A118E" w14:textId="77777777" w:rsidR="00647E97" w:rsidRDefault="00022CF9">
      <w:pPr>
        <w:pStyle w:val="1"/>
        <w:snapToGrid w:val="0"/>
        <w:spacing w:beforeLines="0" w:before="240" w:after="240"/>
        <w:rPr>
          <w:rFonts w:ascii="宋体" w:hAnsi="宋体"/>
          <w:szCs w:val="30"/>
        </w:rPr>
      </w:pPr>
      <w:bookmarkStart w:id="21" w:name="_Toc193101057"/>
      <w:r>
        <w:rPr>
          <w:rFonts w:ascii="Times New Roman" w:hAnsi="Times New Roman"/>
          <w:sz w:val="30"/>
        </w:rPr>
        <w:lastRenderedPageBreak/>
        <w:t>十八、风险揭示</w:t>
      </w:r>
      <w:bookmarkEnd w:id="21"/>
    </w:p>
    <w:p w14:paraId="18203B1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787DEA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本基金开放期单个开放日内的基金份额净赎回申请（赎回申请份额总数加上基金转换中转出申请份额总数后扣除申购申请份额总数及基金转换中转入申请份额总数后的余额）超过前一工作日的基金总份额的20%时，投资人将可能无法及时赎回持有的全部基金份额。</w:t>
      </w:r>
    </w:p>
    <w:p w14:paraId="2274E1A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902176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14:paraId="6049237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0E32E2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闭期转为开放期、分红等行为导致基金份额净值变化，不会改变基金的风险收益特征，不会降低基金投资风险或提高基金投资收益。以1元初始面值开展基金募集或因拆分、封闭期转为开放期、分红等行为导致基金份额净值调整至1元初始面值或1元附近，在市场波动等因素的影响下，基金投资仍有可能出现亏损或基金净值仍有可能低于初始面值。</w:t>
      </w:r>
    </w:p>
    <w:p w14:paraId="566D78E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谨慎勤勉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40C4631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4919C756"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（一）市场风险</w:t>
      </w:r>
    </w:p>
    <w:p w14:paraId="7D011C9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2EB37BD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36A3BC6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427FA39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35B2DDF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29F978D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629C8C9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2ACB670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583D863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4B53993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w:t>
      </w:r>
      <w:r>
        <w:rPr>
          <w:rFonts w:ascii="宋体" w:hAnsi="宋体"/>
          <w:sz w:val="24"/>
        </w:rPr>
        <w:lastRenderedPageBreak/>
        <w:t>财务状况、市场前景、行业竞争、人员素质等，这些都会导致企业的盈利发生变化。虽然基金可以通过投资多样化来分散这种非系统风险，但不能完全规避。</w:t>
      </w:r>
    </w:p>
    <w:p w14:paraId="6128CE2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7578C650"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（二）管理风险</w:t>
      </w:r>
    </w:p>
    <w:p w14:paraId="355CF4B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A249128"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（三）流动性风险</w:t>
      </w:r>
    </w:p>
    <w:p w14:paraId="77E1775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定期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调整的困难，导致流动性风险，可能影响基金份额净值。</w:t>
      </w:r>
    </w:p>
    <w:p w14:paraId="1FACD75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44CF0DF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本基金以封闭期和开放期滚动的方式运作。</w:t>
      </w:r>
    </w:p>
    <w:p w14:paraId="5658586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本基金的第一个封闭期为自基金合同生效之日起至一年后年度对日的前一日为止。第一个封闭期结束之后第一个工作日起进入第一个开放期，本基金每个开放</w:t>
      </w:r>
      <w:proofErr w:type="gramStart"/>
      <w:r>
        <w:rPr>
          <w:rFonts w:ascii="宋体" w:hAnsi="宋体"/>
          <w:sz w:val="24"/>
        </w:rPr>
        <w:t>期办理</w:t>
      </w:r>
      <w:proofErr w:type="gramEnd"/>
      <w:r>
        <w:rPr>
          <w:rFonts w:ascii="宋体" w:hAnsi="宋体"/>
          <w:sz w:val="24"/>
        </w:rPr>
        <w:t>申购或赎回业务的时间分别至少为2个工作日最长不超过10个工作日，开放期的具体时间以基金管理人届时公告为准。详细内容参见基金合同“第六部分 基金份额的申购与赎回”。</w:t>
      </w:r>
    </w:p>
    <w:p w14:paraId="1644822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如封闭期结束后或在开放期内发生不可抗力或其他情形致使基金无法按时开放</w:t>
      </w:r>
      <w:r>
        <w:rPr>
          <w:rFonts w:ascii="宋体" w:hAnsi="宋体"/>
          <w:sz w:val="24"/>
        </w:rPr>
        <w:lastRenderedPageBreak/>
        <w:t>申购与赎回业务的，开放</w:t>
      </w:r>
      <w:proofErr w:type="gramStart"/>
      <w:r>
        <w:rPr>
          <w:rFonts w:ascii="宋体" w:hAnsi="宋体"/>
          <w:sz w:val="24"/>
        </w:rPr>
        <w:t>期时间</w:t>
      </w:r>
      <w:proofErr w:type="gramEnd"/>
      <w:r>
        <w:rPr>
          <w:rFonts w:ascii="宋体" w:hAnsi="宋体"/>
          <w:sz w:val="24"/>
        </w:rPr>
        <w:t>中止计算，在不可抗力或其他情形影响因素消除之日次</w:t>
      </w:r>
      <w:proofErr w:type="gramStart"/>
      <w:r>
        <w:rPr>
          <w:rFonts w:ascii="宋体" w:hAnsi="宋体"/>
          <w:sz w:val="24"/>
        </w:rPr>
        <w:t>一</w:t>
      </w:r>
      <w:proofErr w:type="gramEnd"/>
      <w:r>
        <w:rPr>
          <w:rFonts w:ascii="宋体" w:hAnsi="宋体"/>
          <w:sz w:val="24"/>
        </w:rPr>
        <w:t>工作日起，继续计算该开放期时间，直至满足开放期的时间要求。</w:t>
      </w:r>
    </w:p>
    <w:p w14:paraId="5D41A2A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3A09B90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14:paraId="220B617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29A7B12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开放期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当基金出现巨额赎回时，基金管理人可以根据基金当时的资产组合状况决定全额赎回或延缓支付赎回款项。</w:t>
      </w:r>
    </w:p>
    <w:p w14:paraId="21432C1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28FF0D7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20%，其余赎回申请可以延缓支付赎回款项，但延缓支付的期限不得超过20个工作日，并在规定媒介上予以公告。延缓支付的赎回申请以赎回申请确认当日</w:t>
      </w:r>
      <w:r>
        <w:rPr>
          <w:rFonts w:hint="eastAsia"/>
          <w:bCs/>
          <w:sz w:val="24"/>
        </w:rPr>
        <w:t>该类基金份额</w:t>
      </w:r>
      <w:r>
        <w:rPr>
          <w:rFonts w:ascii="宋体" w:hAnsi="宋体"/>
          <w:sz w:val="24"/>
        </w:rPr>
        <w:t>的基金份额净值为基础计算赎回金额。</w:t>
      </w:r>
    </w:p>
    <w:p w14:paraId="5BB3DD3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（3）延期办理赎回申请：本基金如发生巨额赎回且单个开放日内单个基金份额持有人申请赎回的基金份额超过前一工作日的基金总份额的20%时，本基金管理人有权采取如下措施：</w:t>
      </w:r>
    </w:p>
    <w:p w14:paraId="1E3ADBD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w:t>
      </w:r>
      <w:r>
        <w:rPr>
          <w:rFonts w:hint="eastAsia"/>
          <w:bCs/>
          <w:sz w:val="24"/>
        </w:rPr>
        <w:t>该类</w:t>
      </w:r>
      <w:r>
        <w:rPr>
          <w:rFonts w:ascii="宋体" w:hAnsi="宋体"/>
          <w:sz w:val="24"/>
        </w:rPr>
        <w:t>基金份额净值为基础计算赎回金</w:t>
      </w:r>
      <w:r>
        <w:rPr>
          <w:rFonts w:ascii="宋体" w:hAnsi="宋体"/>
          <w:sz w:val="24"/>
        </w:rPr>
        <w:lastRenderedPageBreak/>
        <w:t>额，以此类推，直到全部赎回为止。</w:t>
      </w:r>
    </w:p>
    <w:p w14:paraId="5311159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对于基金份额持有人未超过上述比例的部分，基金管理人可以根据前段“（1）全额赎回”或“（2）延缓支付赎回款项”的约定方式与其他基金份额持有人的赎回申请一并办理。</w:t>
      </w:r>
    </w:p>
    <w:p w14:paraId="5176CC3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如延期办理期限超过开放期的，开放期相应延长，延长的开放期内不办理申购，亦不接受新的赎回申请，即基金管理人仅为</w:t>
      </w:r>
      <w:proofErr w:type="gramStart"/>
      <w:r>
        <w:rPr>
          <w:rFonts w:ascii="宋体" w:hAnsi="宋体"/>
          <w:sz w:val="24"/>
        </w:rPr>
        <w:t>原开放</w:t>
      </w:r>
      <w:proofErr w:type="gramEnd"/>
      <w:r>
        <w:rPr>
          <w:rFonts w:ascii="宋体" w:hAnsi="宋体"/>
          <w:sz w:val="24"/>
        </w:rPr>
        <w:t>期内因提交赎回申请超过基金总份额20%以上而被延期办理赎回的单个基金份额持有人办理赎回业务。</w:t>
      </w:r>
    </w:p>
    <w:p w14:paraId="55859CA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01D73C0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3926F3C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w:t>
      </w:r>
      <w:proofErr w:type="gramStart"/>
      <w:r>
        <w:rPr>
          <w:rFonts w:ascii="宋体" w:hAnsi="宋体"/>
          <w:sz w:val="24"/>
        </w:rPr>
        <w:t>侧袋机制</w:t>
      </w:r>
      <w:proofErr w:type="gramEnd"/>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6639A6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是一种流动性风险管理工具，是将特定资产分离</w:t>
      </w:r>
      <w:proofErr w:type="gramStart"/>
      <w:r>
        <w:rPr>
          <w:rFonts w:ascii="宋体" w:hAnsi="宋体"/>
          <w:sz w:val="24"/>
        </w:rPr>
        <w:t>至专门的侧袋</w:t>
      </w:r>
      <w:proofErr w:type="gramEnd"/>
      <w:r>
        <w:rPr>
          <w:rFonts w:ascii="宋体" w:hAnsi="宋体"/>
          <w:sz w:val="24"/>
        </w:rPr>
        <w:t>账户进行处置清算，并以处置变现后的款项向基金份额持有人进行支付，目的在于有效隔离并化解风险。但基金启用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侧袋账户</w:t>
      </w:r>
      <w:proofErr w:type="gramEnd"/>
      <w:r>
        <w:rPr>
          <w:rFonts w:ascii="宋体" w:hAnsi="宋体"/>
          <w:sz w:val="24"/>
        </w:rPr>
        <w:t>份额将停止披露基金份额净值，并不得办理申购、赎回和转换，因此启用</w:t>
      </w:r>
      <w:proofErr w:type="gramStart"/>
      <w:r>
        <w:rPr>
          <w:rFonts w:ascii="宋体" w:hAnsi="宋体"/>
          <w:sz w:val="24"/>
        </w:rPr>
        <w:t>侧袋机制</w:t>
      </w:r>
      <w:proofErr w:type="gramEnd"/>
      <w:r>
        <w:rPr>
          <w:rFonts w:ascii="宋体" w:hAnsi="宋体"/>
          <w:sz w:val="24"/>
        </w:rPr>
        <w:t>时持有基金份额的持有人将在启用</w:t>
      </w:r>
      <w:proofErr w:type="gramStart"/>
      <w:r>
        <w:rPr>
          <w:rFonts w:ascii="宋体" w:hAnsi="宋体"/>
          <w:sz w:val="24"/>
        </w:rPr>
        <w:t>侧袋机制</w:t>
      </w:r>
      <w:proofErr w:type="gramEnd"/>
      <w:r>
        <w:rPr>
          <w:rFonts w:ascii="宋体" w:hAnsi="宋体"/>
          <w:sz w:val="24"/>
        </w:rPr>
        <w:t>后同时</w:t>
      </w:r>
      <w:proofErr w:type="gramStart"/>
      <w:r>
        <w:rPr>
          <w:rFonts w:ascii="宋体" w:hAnsi="宋体"/>
          <w:sz w:val="24"/>
        </w:rPr>
        <w:t>持有主袋账户</w:t>
      </w:r>
      <w:proofErr w:type="gramEnd"/>
      <w:r>
        <w:rPr>
          <w:rFonts w:ascii="宋体" w:hAnsi="宋体"/>
          <w:sz w:val="24"/>
        </w:rPr>
        <w:t>份额和</w:t>
      </w:r>
      <w:proofErr w:type="gramStart"/>
      <w:r>
        <w:rPr>
          <w:rFonts w:ascii="宋体" w:hAnsi="宋体"/>
          <w:sz w:val="24"/>
        </w:rPr>
        <w:t>侧袋</w:t>
      </w:r>
      <w:proofErr w:type="gramEnd"/>
      <w:r>
        <w:rPr>
          <w:rFonts w:ascii="宋体" w:hAnsi="宋体"/>
          <w:sz w:val="24"/>
        </w:rPr>
        <w:t>账户份额，</w:t>
      </w:r>
      <w:proofErr w:type="gramStart"/>
      <w:r>
        <w:rPr>
          <w:rFonts w:ascii="宋体" w:hAnsi="宋体"/>
          <w:sz w:val="24"/>
        </w:rPr>
        <w:t>侧袋账户</w:t>
      </w:r>
      <w:proofErr w:type="gramEnd"/>
      <w:r>
        <w:rPr>
          <w:rFonts w:ascii="宋体" w:hAnsi="宋体"/>
          <w:sz w:val="24"/>
        </w:rPr>
        <w:t>份额不能赎回，其对应特定资产的变现时间具有不确定性，最终变现价格也具有不确定性并且有可能大幅低于启用</w:t>
      </w:r>
      <w:proofErr w:type="gramStart"/>
      <w:r>
        <w:rPr>
          <w:rFonts w:ascii="宋体" w:hAnsi="宋体"/>
          <w:sz w:val="24"/>
        </w:rPr>
        <w:t>侧袋机制</w:t>
      </w:r>
      <w:proofErr w:type="gramEnd"/>
      <w:r>
        <w:rPr>
          <w:rFonts w:ascii="宋体" w:hAnsi="宋体"/>
          <w:sz w:val="24"/>
        </w:rPr>
        <w:t>时的特定资产的估值，基金份额持有人可能因此面临损失。</w:t>
      </w:r>
    </w:p>
    <w:p w14:paraId="5626275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w:t>
      </w:r>
      <w:proofErr w:type="gramStart"/>
      <w:r>
        <w:rPr>
          <w:rFonts w:ascii="宋体" w:hAnsi="宋体"/>
          <w:sz w:val="24"/>
        </w:rPr>
        <w:t>侧袋机制</w:t>
      </w:r>
      <w:proofErr w:type="gramEnd"/>
      <w:r>
        <w:rPr>
          <w:rFonts w:ascii="宋体" w:hAnsi="宋体"/>
          <w:sz w:val="24"/>
        </w:rPr>
        <w:t>期间，因本基金不</w:t>
      </w:r>
      <w:proofErr w:type="gramStart"/>
      <w:r>
        <w:rPr>
          <w:rFonts w:ascii="宋体" w:hAnsi="宋体"/>
          <w:sz w:val="24"/>
        </w:rPr>
        <w:t>披露侧袋账户</w:t>
      </w:r>
      <w:proofErr w:type="gramEnd"/>
      <w:r>
        <w:rPr>
          <w:rFonts w:ascii="宋体" w:hAnsi="宋体"/>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10C140D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w:t>
      </w:r>
      <w:proofErr w:type="gramStart"/>
      <w:r>
        <w:rPr>
          <w:rFonts w:ascii="宋体" w:hAnsi="宋体"/>
          <w:sz w:val="24"/>
        </w:rPr>
        <w:t>根据主袋账户</w:t>
      </w:r>
      <w:proofErr w:type="gramEnd"/>
      <w:r>
        <w:rPr>
          <w:rFonts w:ascii="宋体" w:hAnsi="宋体"/>
          <w:sz w:val="24"/>
        </w:rPr>
        <w:t>运作情况合理确定申购政策， 因此实施</w:t>
      </w:r>
      <w:proofErr w:type="gramStart"/>
      <w:r>
        <w:rPr>
          <w:rFonts w:ascii="宋体" w:hAnsi="宋体"/>
          <w:sz w:val="24"/>
        </w:rPr>
        <w:t>侧袋机制</w:t>
      </w:r>
      <w:proofErr w:type="gramEnd"/>
      <w:r>
        <w:rPr>
          <w:rFonts w:ascii="宋体" w:hAnsi="宋体"/>
          <w:sz w:val="24"/>
        </w:rPr>
        <w:t>后主袋账户份额存在暂停申购的可能。</w:t>
      </w:r>
    </w:p>
    <w:p w14:paraId="60E0CC4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w:t>
      </w:r>
      <w:proofErr w:type="gramStart"/>
      <w:r>
        <w:rPr>
          <w:rFonts w:ascii="宋体" w:hAnsi="宋体"/>
          <w:sz w:val="24"/>
        </w:rPr>
        <w:t>侧袋机制</w:t>
      </w:r>
      <w:proofErr w:type="gramEnd"/>
      <w:r>
        <w:rPr>
          <w:rFonts w:ascii="宋体" w:hAnsi="宋体"/>
          <w:sz w:val="24"/>
        </w:rPr>
        <w:t>后，基金管理人计算各项投资运作指标和基金业绩指标时仅需</w:t>
      </w:r>
      <w:proofErr w:type="gramStart"/>
      <w:r>
        <w:rPr>
          <w:rFonts w:ascii="宋体" w:hAnsi="宋体"/>
          <w:sz w:val="24"/>
        </w:rPr>
        <w:t>考</w:t>
      </w:r>
      <w:r>
        <w:rPr>
          <w:rFonts w:ascii="宋体" w:hAnsi="宋体"/>
          <w:sz w:val="24"/>
        </w:rPr>
        <w:lastRenderedPageBreak/>
        <w:t>虑主袋账户</w:t>
      </w:r>
      <w:proofErr w:type="gramEnd"/>
      <w:r>
        <w:rPr>
          <w:rFonts w:ascii="宋体" w:hAnsi="宋体"/>
          <w:sz w:val="24"/>
        </w:rPr>
        <w:t>资产，基金业绩指标应当</w:t>
      </w:r>
      <w:proofErr w:type="gramStart"/>
      <w:r>
        <w:rPr>
          <w:rFonts w:ascii="宋体" w:hAnsi="宋体"/>
          <w:sz w:val="24"/>
        </w:rPr>
        <w:t>以主袋账户</w:t>
      </w:r>
      <w:proofErr w:type="gramEnd"/>
      <w:r>
        <w:rPr>
          <w:rFonts w:ascii="宋体" w:hAnsi="宋体"/>
          <w:sz w:val="24"/>
        </w:rPr>
        <w:t>资产为基准，因此本基金披露的业绩指标不能反映特定资产的真实价值及变化情况。</w:t>
      </w:r>
    </w:p>
    <w:p w14:paraId="2B09694E"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（四）交易对手违约风险</w:t>
      </w:r>
    </w:p>
    <w:p w14:paraId="2319A0F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93FFB98"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（五）本基金的特有风险</w:t>
      </w:r>
    </w:p>
    <w:p w14:paraId="16A3B8F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在每个开放期开始前1个月、开放期及开放期结束后1个月的期间内，基金投资不受该比例限制），因投资债券资产而面临债券资产市场的系统性风险和个</w:t>
      </w:r>
      <w:proofErr w:type="gramStart"/>
      <w:r>
        <w:rPr>
          <w:rFonts w:ascii="宋体" w:hAnsi="宋体"/>
          <w:sz w:val="24"/>
        </w:rPr>
        <w:t>券</w:t>
      </w:r>
      <w:proofErr w:type="gramEnd"/>
      <w:r>
        <w:rPr>
          <w:rFonts w:ascii="宋体" w:hAnsi="宋体"/>
          <w:sz w:val="24"/>
        </w:rPr>
        <w:t>风险；</w:t>
      </w:r>
    </w:p>
    <w:p w14:paraId="21FC48F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668795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3、本基金面临特定运作方式的风险：本基金以封闭期和开放期滚动的方式运作，投资者需在开放</w:t>
      </w:r>
      <w:proofErr w:type="gramStart"/>
      <w:r>
        <w:rPr>
          <w:rFonts w:ascii="宋体" w:hAnsi="宋体"/>
          <w:sz w:val="24"/>
        </w:rPr>
        <w:t>期提出</w:t>
      </w:r>
      <w:proofErr w:type="gramEnd"/>
      <w:r>
        <w:rPr>
          <w:rFonts w:ascii="宋体" w:hAnsi="宋体"/>
          <w:sz w:val="24"/>
        </w:rPr>
        <w:t>申购、赎回申请，每个开放</w:t>
      </w:r>
      <w:proofErr w:type="gramStart"/>
      <w:r>
        <w:rPr>
          <w:rFonts w:ascii="宋体" w:hAnsi="宋体"/>
          <w:sz w:val="24"/>
        </w:rPr>
        <w:t>期办理</w:t>
      </w:r>
      <w:proofErr w:type="gramEnd"/>
      <w:r>
        <w:rPr>
          <w:rFonts w:ascii="宋体" w:hAnsi="宋体"/>
          <w:sz w:val="24"/>
        </w:rPr>
        <w:t>申购或赎回业务的时间分别至少为2个工作日最长不超过10个工作日。在非开放期间将无法按照基金份额净值进行申购和赎回。基金份额持有人面临封闭期内无法赎回的风险。</w:t>
      </w:r>
    </w:p>
    <w:p w14:paraId="7A78857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4、基金合同提前终止风险。（1）本基金为发起式基金，《基金合同》生效之日起三年后的对应日，</w:t>
      </w:r>
      <w:proofErr w:type="gramStart"/>
      <w:r>
        <w:rPr>
          <w:rFonts w:ascii="宋体" w:hAnsi="宋体"/>
          <w:sz w:val="24"/>
        </w:rPr>
        <w:t>若基金</w:t>
      </w:r>
      <w:proofErr w:type="gramEnd"/>
      <w:r>
        <w:rPr>
          <w:rFonts w:ascii="宋体" w:hAnsi="宋体"/>
          <w:sz w:val="24"/>
        </w:rPr>
        <w:t>资产净值低于2亿元，基金合同自动终止，且不得通过召开基金份额持有人大会的方式延续《基金合同》期限。（2）《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3）《基金合同》生效之日起满三年后继续存续的，在任一开放期最后一日日终（登记机构完成最后一日申购、赎回业务申请的确认以后），出现基金份额持有人数量不满200人或当日基金资产净值加上当日净申购金额或者减去当日净赎回金额后低于5000万元情形的，本基金将自动终止基金合同并进行基金财产清算，无需召开基金份额持有人大会。</w:t>
      </w:r>
    </w:p>
    <w:p w14:paraId="7CA4164A"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（六）投资资产支持证券的特定风险</w:t>
      </w:r>
    </w:p>
    <w:p w14:paraId="3DF817C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本基金可投资资产支持证券，资产支持证券具有一定的价格波动风险、流动性风险、信用风险等风险，基金管理人将本着谨慎和控制风险的原则进行资产支持证</w:t>
      </w:r>
      <w:r>
        <w:rPr>
          <w:rFonts w:ascii="宋体" w:hAnsi="宋体"/>
          <w:sz w:val="24"/>
        </w:rPr>
        <w:lastRenderedPageBreak/>
        <w:t>券投资，</w:t>
      </w:r>
      <w:proofErr w:type="gramStart"/>
      <w:r>
        <w:rPr>
          <w:rFonts w:ascii="宋体" w:hAnsi="宋体"/>
          <w:sz w:val="24"/>
        </w:rPr>
        <w:t>请基金</w:t>
      </w:r>
      <w:proofErr w:type="gramEnd"/>
      <w:r>
        <w:rPr>
          <w:rFonts w:ascii="宋体" w:hAnsi="宋体"/>
          <w:sz w:val="24"/>
        </w:rPr>
        <w:t>份额持有人关注包括投资资产支持证券可能导致的基金净值波动在内的各项风险。</w:t>
      </w:r>
    </w:p>
    <w:p w14:paraId="71B53A1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（七）其他风险</w:t>
      </w:r>
    </w:p>
    <w:p w14:paraId="50821D1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2AA2865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3809B8E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6806B62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6486E04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2556725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006D1AB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74A6D7A3"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FAB7D67" w14:textId="77777777" w:rsidR="00647E97" w:rsidRDefault="00022CF9">
      <w:pPr>
        <w:pStyle w:val="1"/>
        <w:snapToGrid w:val="0"/>
        <w:spacing w:beforeLines="0" w:before="240" w:after="240"/>
        <w:rPr>
          <w:rFonts w:ascii="宋体" w:hAnsi="宋体"/>
          <w:szCs w:val="30"/>
        </w:rPr>
      </w:pPr>
      <w:bookmarkStart w:id="22" w:name="_Toc193101058"/>
      <w:r>
        <w:rPr>
          <w:rFonts w:ascii="Times New Roman" w:hAnsi="Times New Roman"/>
          <w:sz w:val="30"/>
        </w:rPr>
        <w:lastRenderedPageBreak/>
        <w:t>十九、基金合同的变更、终止与基金财产的清算</w:t>
      </w:r>
      <w:bookmarkEnd w:id="22"/>
    </w:p>
    <w:p w14:paraId="30F6C118"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（一）《基金合同》的变更</w:t>
      </w:r>
    </w:p>
    <w:p w14:paraId="055A860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14:paraId="7CD5230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w:t>
      </w:r>
      <w:proofErr w:type="gramStart"/>
      <w:r>
        <w:rPr>
          <w:rFonts w:ascii="宋体" w:hAnsi="宋体"/>
          <w:sz w:val="24"/>
        </w:rPr>
        <w:t>自决议</w:t>
      </w:r>
      <w:proofErr w:type="gramEnd"/>
      <w:r>
        <w:rPr>
          <w:rFonts w:ascii="宋体" w:hAnsi="宋体"/>
          <w:sz w:val="24"/>
        </w:rPr>
        <w:t>生效后依照《信息披露办法》的规定在规定媒介公告。</w:t>
      </w:r>
    </w:p>
    <w:p w14:paraId="17AE4F0A"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（二）《基金合同》的终止事由</w:t>
      </w:r>
    </w:p>
    <w:p w14:paraId="151AF7C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46A0F3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7A3830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46E78A0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3、《基金合同》生效之日起三年后的对应日，</w:t>
      </w:r>
      <w:proofErr w:type="gramStart"/>
      <w:r>
        <w:rPr>
          <w:rFonts w:ascii="宋体" w:hAnsi="宋体"/>
          <w:sz w:val="24"/>
        </w:rPr>
        <w:t>若基金</w:t>
      </w:r>
      <w:proofErr w:type="gramEnd"/>
      <w:r>
        <w:rPr>
          <w:rFonts w:ascii="宋体" w:hAnsi="宋体"/>
          <w:sz w:val="24"/>
        </w:rPr>
        <w:t>资产净值低于 2 亿元，基金合同自动终止，且不得通过召开基金份额持有人大会的方式延续《基金合同》期限；</w:t>
      </w:r>
    </w:p>
    <w:p w14:paraId="3BA5FAA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4、《基金合同》生效三年后继续存续的，连续50个工作日出现基金份额持有人数量不满200人或者基金资产净值低于5000万元情形的，基金合同终止，不需召开基金份额持有人大会；</w:t>
      </w:r>
    </w:p>
    <w:p w14:paraId="698D3AD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之日起满三年后继续存续的，在任一开放期最后一日日终（登记机构完成最后一日申购、赎回业务申请的确认以后），基金份额持有人数量不满200人或当日基金资产净值加上当日净申购金额或者减去当日净赎回金额后低于5000万元的，本基金将自动终止基金合同并进行基金财产清算，无需召开基金份额持有人大会；</w:t>
      </w:r>
    </w:p>
    <w:p w14:paraId="6A17656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6、《基金合同》约定的其他情形；</w:t>
      </w:r>
    </w:p>
    <w:p w14:paraId="1E9B1B8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7、相关法律法规和中国证监会规定的其他情况。</w:t>
      </w:r>
    </w:p>
    <w:p w14:paraId="3F7CF45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（三）基金财产的清算</w:t>
      </w:r>
    </w:p>
    <w:p w14:paraId="37B5D08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w:t>
      </w:r>
      <w:r>
        <w:rPr>
          <w:rFonts w:ascii="宋体" w:hAnsi="宋体"/>
          <w:sz w:val="24"/>
        </w:rPr>
        <w:lastRenderedPageBreak/>
        <w:t>清算。</w:t>
      </w:r>
    </w:p>
    <w:p w14:paraId="550E4DC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0CA604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0EDC31E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0722D0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27371AE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0810A95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023D9E7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0F4FA9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213F72D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A26759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507A95A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09CCC393"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（四）清算费用</w:t>
      </w:r>
    </w:p>
    <w:p w14:paraId="0F779AF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A8006C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（五）基金财产清算剩余资产的分配</w:t>
      </w:r>
    </w:p>
    <w:p w14:paraId="1C90404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4FFC5AD"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（六）基金财产清算的公告</w:t>
      </w:r>
    </w:p>
    <w:p w14:paraId="434F79C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经符合</w:t>
      </w:r>
      <w:proofErr w:type="gramEnd"/>
      <w:r>
        <w:rPr>
          <w:rFonts w:ascii="宋体" w:hAnsi="宋体"/>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AFFB1C4"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（七）基金财产清算账册及文件的保存</w:t>
      </w:r>
    </w:p>
    <w:p w14:paraId="1E538A5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14:paraId="05EDFE4D"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417E48" w14:textId="77777777" w:rsidR="00647E97" w:rsidRDefault="00022CF9">
      <w:pPr>
        <w:pStyle w:val="1"/>
        <w:snapToGrid w:val="0"/>
        <w:spacing w:beforeLines="0" w:before="240" w:after="240"/>
        <w:rPr>
          <w:rFonts w:ascii="宋体" w:hAnsi="宋体"/>
          <w:szCs w:val="30"/>
        </w:rPr>
      </w:pPr>
      <w:bookmarkStart w:id="23" w:name="_Toc193101059"/>
      <w:r>
        <w:rPr>
          <w:rFonts w:ascii="Times New Roman" w:hAnsi="Times New Roman"/>
          <w:sz w:val="30"/>
        </w:rPr>
        <w:lastRenderedPageBreak/>
        <w:t>二十、基金合同内容摘要</w:t>
      </w:r>
      <w:bookmarkEnd w:id="23"/>
    </w:p>
    <w:p w14:paraId="69964D5F"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（一）基金份额持有人、基金管理人和基金托管人的权利与义务</w:t>
      </w:r>
    </w:p>
    <w:p w14:paraId="46231EB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4C5E06D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4E39D82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1C2511E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552D83D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4E26D72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431887B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1F1AAF0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5DB9609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2BBB011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40254B0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71BB776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3FE05E9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1D98CAB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09A50FB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1C57CAE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6F0FABF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4745682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16）在符合有关法律、法规的前提下，制定和调整有关基金认购、申购、赎回、转换等业务规则；</w:t>
      </w:r>
    </w:p>
    <w:p w14:paraId="4CBA051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1761805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1286878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4E09A5F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331252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6F6C733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2E8CB11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66737EE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7D9185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5E86F3E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7A47D75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311CBFB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36F4397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24E07A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1687DDE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7558605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5A742A9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3592C5F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16）按规定保存基金财产管理业务活动的会计账册、报表、记录和其他相关资料不低于法律法规规定的最低期限；</w:t>
      </w:r>
    </w:p>
    <w:p w14:paraId="5AC23A4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843691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D22D43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3C344BC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3D4BC64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1F0208A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2C12C25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66B73F8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1F0C09E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2BE5058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0C11529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0F999F0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1376B04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4B555A6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14:paraId="2478F2C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4F05ED2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1686BA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0DF6C82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4F68410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6D93755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4D0A907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2954B55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31BDA67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53A8179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29DFF6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325CF74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338824C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08F8D8E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DA5657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Pr>
          <w:rFonts w:hint="eastAsia"/>
          <w:bCs/>
          <w:sz w:val="24"/>
        </w:rPr>
        <w:t>各类</w:t>
      </w:r>
      <w:r>
        <w:rPr>
          <w:rFonts w:ascii="宋体" w:hAnsi="宋体"/>
          <w:sz w:val="24"/>
        </w:rPr>
        <w:t>基金份额净值、基金份额申购、赎回价格；</w:t>
      </w:r>
    </w:p>
    <w:p w14:paraId="5D3165E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4B1E740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6A56241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11）保存基金托管业务活动的记录、账册、报表和其他相关资料不低于法律法规规定的最低期限；</w:t>
      </w:r>
    </w:p>
    <w:p w14:paraId="05B316E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12）从基金管理人或其委托的登记机构处接收并保存基金份额持有人名册；</w:t>
      </w:r>
    </w:p>
    <w:p w14:paraId="4282EE5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33FD751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1D80C64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70432EA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5C6120C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1533F61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0573E0B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49808D9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3C4D42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110B2D5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74D7284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7D3175D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w:t>
      </w:r>
      <w:proofErr w:type="gramStart"/>
      <w:r>
        <w:rPr>
          <w:rFonts w:ascii="宋体" w:hAnsi="宋体"/>
          <w:sz w:val="24"/>
        </w:rPr>
        <w:t>基金基金</w:t>
      </w:r>
      <w:proofErr w:type="gramEnd"/>
      <w:r>
        <w:rPr>
          <w:rFonts w:ascii="宋体" w:hAnsi="宋体"/>
          <w:sz w:val="24"/>
        </w:rPr>
        <w:t>份额，即成为本基金份额持有人和《基金合同》的当事人，直至其不再持有本基金的基金份额。基金份额持有人作为《基金合同》当事人并不以在《基金合同》上书面签章或签字为必要条件。</w:t>
      </w:r>
    </w:p>
    <w:p w14:paraId="6D83E7D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同一类别的</w:t>
      </w:r>
      <w:r>
        <w:rPr>
          <w:rFonts w:ascii="宋体" w:hAnsi="宋体"/>
          <w:sz w:val="24"/>
        </w:rPr>
        <w:t>每份基金份额具有同等的合法权益。</w:t>
      </w:r>
    </w:p>
    <w:p w14:paraId="7863133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w:t>
      </w:r>
      <w:r>
        <w:rPr>
          <w:rFonts w:ascii="宋体" w:hAnsi="宋体"/>
          <w:sz w:val="24"/>
        </w:rPr>
        <w:lastRenderedPageBreak/>
        <w:t>包括但不限于：</w:t>
      </w:r>
    </w:p>
    <w:p w14:paraId="0BE5815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7E9FEEB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5897172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3）依法并按照基金合同和招募说明书的规定在开放期内申请赎回或转让其持有的基金份额；</w:t>
      </w:r>
    </w:p>
    <w:p w14:paraId="376070D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09D4AB2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3EB633C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6EEE5AB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91B52D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3845975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60CA9B0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57AB040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56C69D9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1C989F4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2622E5B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23D4956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2D7428B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5C4A08C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1F40C65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1306BD7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049F7CB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75801CF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11）发起资金提供方持有认购的基金份额的期限自《基金合同》生效日起不少</w:t>
      </w:r>
      <w:r>
        <w:rPr>
          <w:rFonts w:ascii="宋体" w:hAnsi="宋体"/>
          <w:sz w:val="24"/>
        </w:rPr>
        <w:lastRenderedPageBreak/>
        <w:t>于3年；</w:t>
      </w:r>
    </w:p>
    <w:p w14:paraId="4EE4418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12）法律法规及中国证监会规定的和《基金合同》约定的其他义务。</w:t>
      </w:r>
    </w:p>
    <w:p w14:paraId="25B33742"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（二）基金份额持有人大会召集、议事及表决的程序和规则</w:t>
      </w:r>
    </w:p>
    <w:p w14:paraId="675B969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3FAC56B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186EDF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4062F30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（1）当出现或需要决定下列事由之一的，应当召开基金份额持有人大会，法律法规、中国证监会和基金合同另有规定的除外：</w:t>
      </w:r>
    </w:p>
    <w:p w14:paraId="2F11D0B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59801A4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227BDE1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50323B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4）转换基金运作方式（不包括本基金封闭期与开放期的转换）；</w:t>
      </w:r>
    </w:p>
    <w:p w14:paraId="647D1E4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w:t>
      </w:r>
      <w:r>
        <w:rPr>
          <w:rFonts w:ascii="宋体" w:hAnsi="宋体" w:hint="eastAsia"/>
          <w:sz w:val="24"/>
        </w:rPr>
        <w:t>或提高销售服务费率</w:t>
      </w:r>
      <w:r>
        <w:rPr>
          <w:rFonts w:ascii="宋体" w:hAnsi="宋体"/>
          <w:sz w:val="24"/>
        </w:rPr>
        <w:t>；</w:t>
      </w:r>
    </w:p>
    <w:p w14:paraId="2EFEA57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7A1E97C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02B0929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4AF39B3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7E96855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6F855A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69E7238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634BCCB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6DFA337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32946C8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1）法律法规要求增加的基金费用的收取；</w:t>
      </w:r>
    </w:p>
    <w:p w14:paraId="0313BE2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2）在法律法规和《基金合同》规定的范围内调整本基金的申购费率、调低赎回费率</w:t>
      </w:r>
      <w:r>
        <w:rPr>
          <w:rFonts w:hint="eastAsia"/>
          <w:bCs/>
          <w:sz w:val="24"/>
        </w:rPr>
        <w:t>及销售服务费率</w:t>
      </w:r>
      <w:r>
        <w:rPr>
          <w:rFonts w:ascii="宋体" w:hAnsi="宋体"/>
          <w:sz w:val="24"/>
        </w:rPr>
        <w:t>、在对现有基金份额持有人利益无实质性不利影响的前提下变更收费方式；</w:t>
      </w:r>
    </w:p>
    <w:p w14:paraId="27737CF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因相应</w:t>
      </w:r>
      <w:proofErr w:type="gramEnd"/>
      <w:r>
        <w:rPr>
          <w:rFonts w:ascii="宋体" w:hAnsi="宋体"/>
          <w:sz w:val="24"/>
        </w:rPr>
        <w:t>的法律法规、登记机构的相关业务规则发生变动而应当对《基金合同》进行修改；</w:t>
      </w:r>
    </w:p>
    <w:p w14:paraId="148F026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4）对《基金合同》的修改对基金份额持有人利益无实质性不利影响或修改不涉及《基金合同》当事人权利义务关系发生重大变化；</w:t>
      </w:r>
    </w:p>
    <w:p w14:paraId="4D5C0A0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5）在法律法规允许的情况下，且在对现有基金份额持有人利益无实质性不利影响的前提下，基金推出新业务或服务；</w:t>
      </w:r>
    </w:p>
    <w:p w14:paraId="5EF8810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6）在符合法律法规及本基金合同规定、并且对基金份额持有人利益无实质不利影响的前提下，调整本基金份额类别的设置；</w:t>
      </w:r>
    </w:p>
    <w:p w14:paraId="7E7A0FD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7）在不违反法律法规及对基金份额持有人利益无实质性不利影响的前提下，基金管理人、登记机构、销售机构调整有关基金认购、申购、赎回、转换、收益分配、</w:t>
      </w:r>
      <w:proofErr w:type="gramStart"/>
      <w:r>
        <w:rPr>
          <w:rFonts w:ascii="宋体" w:hAnsi="宋体"/>
          <w:sz w:val="24"/>
        </w:rPr>
        <w:t>非交易</w:t>
      </w:r>
      <w:proofErr w:type="gramEnd"/>
      <w:r>
        <w:rPr>
          <w:rFonts w:ascii="宋体" w:hAnsi="宋体"/>
          <w:sz w:val="24"/>
        </w:rPr>
        <w:t>过户、转托管等业务的规则；</w:t>
      </w:r>
    </w:p>
    <w:p w14:paraId="2BBF0E2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8）按照法律法规和《基金合同》规定不需召开基金份额持有人大会的其他情形。</w:t>
      </w:r>
    </w:p>
    <w:p w14:paraId="5B8E3CF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7AC4B66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67975B5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34993B6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587D95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w:t>
      </w:r>
      <w:r>
        <w:rPr>
          <w:rFonts w:ascii="宋体" w:hAnsi="宋体"/>
          <w:sz w:val="24"/>
        </w:rPr>
        <w:lastRenderedPageBreak/>
        <w:t>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7A9EE6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D2B620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145D399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5777C19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14:paraId="284A358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41F4C2C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14:paraId="65E034D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558D87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1C74AFA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4382BD5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09A72E4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6DA7ABB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474703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w:t>
      </w:r>
      <w:r>
        <w:rPr>
          <w:rFonts w:ascii="宋体" w:hAnsi="宋体"/>
          <w:sz w:val="24"/>
        </w:rPr>
        <w:lastRenderedPageBreak/>
        <w:t>或基金托管人</w:t>
      </w:r>
      <w:proofErr w:type="gramStart"/>
      <w:r>
        <w:rPr>
          <w:rFonts w:ascii="宋体" w:hAnsi="宋体"/>
          <w:sz w:val="24"/>
        </w:rPr>
        <w:t>拒不派</w:t>
      </w:r>
      <w:proofErr w:type="gramEnd"/>
      <w:r>
        <w:rPr>
          <w:rFonts w:ascii="宋体" w:hAnsi="宋体"/>
          <w:sz w:val="24"/>
        </w:rPr>
        <w:t>代表对表决意见的计票进行监督的，不影响表决意见的计票效力。</w:t>
      </w:r>
    </w:p>
    <w:p w14:paraId="1201BFE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682AE2A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5046A25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0CEFD3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4C20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024765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11DC9B6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5741C5C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114D874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64C1B0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0B643D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B54AC6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A67A2F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34E3E7F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26471A2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0C3ADE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3DF2447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238634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1844F4B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86D794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w:t>
      </w:r>
      <w:r>
        <w:rPr>
          <w:rFonts w:ascii="宋体" w:hAnsi="宋体"/>
          <w:sz w:val="24"/>
        </w:rPr>
        <w:lastRenderedPageBreak/>
        <w:t>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14:paraId="0AD2A6B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14:paraId="4E5248A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45B9A21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7D8BC5A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762BC46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081AB11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0309453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5B1BBE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E82741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4DACB22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53A8E0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62678DE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7、计票</w:t>
      </w:r>
    </w:p>
    <w:p w14:paraId="39BC2F1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03673A1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A2CF2D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196D754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14:paraId="1738133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5D45B4D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56386F9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代表对表决意见的计票进行监督的，不影响计票和表决结果。</w:t>
      </w:r>
    </w:p>
    <w:p w14:paraId="4E1E67A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7F7C0D9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55217CF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00C320C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w:t>
      </w:r>
      <w:r>
        <w:rPr>
          <w:rFonts w:ascii="宋体" w:hAnsi="宋体"/>
          <w:sz w:val="24"/>
        </w:rPr>
        <w:lastRenderedPageBreak/>
        <w:t>基金托管人均有约束力。</w:t>
      </w:r>
    </w:p>
    <w:p w14:paraId="58CCB2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w:t>
      </w:r>
      <w:proofErr w:type="gramStart"/>
      <w:r>
        <w:rPr>
          <w:rFonts w:ascii="宋体" w:hAnsi="宋体"/>
          <w:sz w:val="24"/>
        </w:rPr>
        <w:t>侧袋机制</w:t>
      </w:r>
      <w:proofErr w:type="gramEnd"/>
      <w:r>
        <w:rPr>
          <w:rFonts w:ascii="宋体" w:hAnsi="宋体"/>
          <w:sz w:val="24"/>
        </w:rPr>
        <w:t>期间基金份额持有人大会的特殊约定</w:t>
      </w:r>
    </w:p>
    <w:p w14:paraId="3FE12F8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w:t>
      </w:r>
      <w:proofErr w:type="gramStart"/>
      <w:r>
        <w:rPr>
          <w:rFonts w:ascii="宋体" w:hAnsi="宋体"/>
          <w:sz w:val="24"/>
        </w:rPr>
        <w:t>实施侧袋机制</w:t>
      </w:r>
      <w:proofErr w:type="gramEnd"/>
      <w:r>
        <w:rPr>
          <w:rFonts w:ascii="宋体" w:hAnsi="宋体"/>
          <w:sz w:val="24"/>
        </w:rPr>
        <w:t>，</w:t>
      </w:r>
      <w:proofErr w:type="gramStart"/>
      <w:r>
        <w:rPr>
          <w:rFonts w:ascii="宋体" w:hAnsi="宋体"/>
          <w:sz w:val="24"/>
        </w:rPr>
        <w:t>则相关</w:t>
      </w:r>
      <w:proofErr w:type="gramEnd"/>
      <w:r>
        <w:rPr>
          <w:rFonts w:ascii="宋体" w:hAnsi="宋体"/>
          <w:sz w:val="24"/>
        </w:rPr>
        <w:t>基金份额或表决权的比例</w:t>
      </w:r>
      <w:proofErr w:type="gramStart"/>
      <w:r>
        <w:rPr>
          <w:rFonts w:ascii="宋体" w:hAnsi="宋体"/>
          <w:sz w:val="24"/>
        </w:rPr>
        <w:t>指主袋份额</w:t>
      </w:r>
      <w:proofErr w:type="gramEnd"/>
      <w:r>
        <w:rPr>
          <w:rFonts w:ascii="宋体" w:hAnsi="宋体"/>
          <w:sz w:val="24"/>
        </w:rPr>
        <w:t>持有</w:t>
      </w:r>
      <w:proofErr w:type="gramStart"/>
      <w:r>
        <w:rPr>
          <w:rFonts w:ascii="宋体" w:hAnsi="宋体"/>
          <w:sz w:val="24"/>
        </w:rPr>
        <w:t>人和侧袋份额</w:t>
      </w:r>
      <w:proofErr w:type="gramEnd"/>
      <w:r>
        <w:rPr>
          <w:rFonts w:ascii="宋体" w:hAnsi="宋体"/>
          <w:sz w:val="24"/>
        </w:rPr>
        <w:t>持有人分别持有或代表的基金份额或表决权符合该等比例，但</w:t>
      </w:r>
      <w:proofErr w:type="gramStart"/>
      <w:r>
        <w:rPr>
          <w:rFonts w:ascii="宋体" w:hAnsi="宋体"/>
          <w:sz w:val="24"/>
        </w:rPr>
        <w:t>若相关</w:t>
      </w:r>
      <w:proofErr w:type="gramEnd"/>
      <w:r>
        <w:rPr>
          <w:rFonts w:ascii="宋体" w:hAnsi="宋体"/>
          <w:sz w:val="24"/>
        </w:rPr>
        <w:t>基金份额持有人大会召集和审议事项不</w:t>
      </w:r>
      <w:proofErr w:type="gramStart"/>
      <w:r>
        <w:rPr>
          <w:rFonts w:ascii="宋体" w:hAnsi="宋体"/>
          <w:sz w:val="24"/>
        </w:rPr>
        <w:t>涉及侧袋账户</w:t>
      </w:r>
      <w:proofErr w:type="gramEnd"/>
      <w:r>
        <w:rPr>
          <w:rFonts w:ascii="宋体" w:hAnsi="宋体"/>
          <w:sz w:val="24"/>
        </w:rPr>
        <w:t>的，则仅</w:t>
      </w:r>
      <w:proofErr w:type="gramStart"/>
      <w:r>
        <w:rPr>
          <w:rFonts w:ascii="宋体" w:hAnsi="宋体"/>
          <w:sz w:val="24"/>
        </w:rPr>
        <w:t>指主袋份额</w:t>
      </w:r>
      <w:proofErr w:type="gramEnd"/>
      <w:r>
        <w:rPr>
          <w:rFonts w:ascii="宋体" w:hAnsi="宋体"/>
          <w:sz w:val="24"/>
        </w:rPr>
        <w:t>持有人持有或代表的基金份额或表决权符合该等比例：</w:t>
      </w:r>
    </w:p>
    <w:p w14:paraId="3CE9478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5C68E43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w:t>
      </w:r>
      <w:proofErr w:type="gramStart"/>
      <w:r>
        <w:rPr>
          <w:rFonts w:ascii="宋体" w:hAnsi="宋体"/>
          <w:sz w:val="24"/>
        </w:rPr>
        <w:t>日相关</w:t>
      </w:r>
      <w:proofErr w:type="gramEnd"/>
      <w:r>
        <w:rPr>
          <w:rFonts w:ascii="宋体" w:hAnsi="宋体"/>
          <w:sz w:val="24"/>
        </w:rPr>
        <w:t>基金份额的二分之一（含二分之一）；</w:t>
      </w:r>
    </w:p>
    <w:p w14:paraId="3F07452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w:t>
      </w:r>
      <w:proofErr w:type="gramStart"/>
      <w:r>
        <w:rPr>
          <w:rFonts w:ascii="宋体" w:hAnsi="宋体"/>
          <w:sz w:val="24"/>
        </w:rPr>
        <w:t>日相关</w:t>
      </w:r>
      <w:proofErr w:type="gramEnd"/>
      <w:r>
        <w:rPr>
          <w:rFonts w:ascii="宋体" w:hAnsi="宋体"/>
          <w:sz w:val="24"/>
        </w:rPr>
        <w:t>基金份额的二分之一（含二分之一）；</w:t>
      </w:r>
    </w:p>
    <w:p w14:paraId="14F5C89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w:t>
      </w:r>
      <w:proofErr w:type="gramStart"/>
      <w:r>
        <w:rPr>
          <w:rFonts w:ascii="宋体" w:hAnsi="宋体"/>
          <w:sz w:val="24"/>
        </w:rPr>
        <w:t>日相关</w:t>
      </w:r>
      <w:proofErr w:type="gramEnd"/>
      <w:r>
        <w:rPr>
          <w:rFonts w:ascii="宋体" w:hAnsi="宋体"/>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41CD1E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50AE23C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39E4E7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2B363E7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w:t>
      </w:r>
      <w:proofErr w:type="gramStart"/>
      <w:r>
        <w:rPr>
          <w:rFonts w:ascii="宋体" w:hAnsi="宋体"/>
          <w:sz w:val="24"/>
        </w:rPr>
        <w:t>一主侧袋账户</w:t>
      </w:r>
      <w:proofErr w:type="gramEnd"/>
      <w:r>
        <w:rPr>
          <w:rFonts w:ascii="宋体" w:hAnsi="宋体"/>
          <w:sz w:val="24"/>
        </w:rPr>
        <w:t>内的每份基金份额具有平等的表决权。</w:t>
      </w:r>
    </w:p>
    <w:p w14:paraId="5B08583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proofErr w:type="gramStart"/>
      <w:r>
        <w:rPr>
          <w:rFonts w:ascii="宋体" w:hAnsi="宋体"/>
          <w:sz w:val="24"/>
        </w:rPr>
        <w:t>本部分对基金</w:t>
      </w:r>
      <w:proofErr w:type="gramEnd"/>
      <w:r>
        <w:rPr>
          <w:rFonts w:ascii="宋体" w:hAnsi="宋体"/>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6A2E0EA6"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（三）基金合同解除和终止的事由、程序</w:t>
      </w:r>
    </w:p>
    <w:p w14:paraId="03F4E52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6506C8E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14:paraId="50561C4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w:t>
      </w:r>
      <w:proofErr w:type="gramStart"/>
      <w:r>
        <w:rPr>
          <w:rFonts w:ascii="宋体" w:hAnsi="宋体"/>
          <w:sz w:val="24"/>
        </w:rPr>
        <w:t>自决议</w:t>
      </w:r>
      <w:proofErr w:type="gramEnd"/>
      <w:r>
        <w:rPr>
          <w:rFonts w:ascii="宋体" w:hAnsi="宋体"/>
          <w:sz w:val="24"/>
        </w:rPr>
        <w:t>生效后依照《信息披露办法》的规定在规定媒介公告。</w:t>
      </w:r>
    </w:p>
    <w:p w14:paraId="1288ED1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29FCAF3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DDB010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35C4971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51E5CDE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（3）《基金合同》生效之日起三年后的对应日，</w:t>
      </w:r>
      <w:proofErr w:type="gramStart"/>
      <w:r>
        <w:rPr>
          <w:rFonts w:ascii="宋体" w:hAnsi="宋体"/>
          <w:sz w:val="24"/>
        </w:rPr>
        <w:t>若基金</w:t>
      </w:r>
      <w:proofErr w:type="gramEnd"/>
      <w:r>
        <w:rPr>
          <w:rFonts w:ascii="宋体" w:hAnsi="宋体"/>
          <w:sz w:val="24"/>
        </w:rPr>
        <w:t>资产净值低于 2 亿元，基金合同自动终止，且不得通过召开基金份额持有人大会的方式延续《基金合同》期限；</w:t>
      </w:r>
    </w:p>
    <w:p w14:paraId="78193B1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（4）《基金合同》生效三年后继续存续的，连续50个工作日出现基金份额持有人数量不满200人或者基金资产净值低于5000万元情形的，基金合同终止，不需召开基金份额持有人大会；</w:t>
      </w:r>
    </w:p>
    <w:p w14:paraId="7AFC93D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之日起满三年后继续存续的，在任一开放期最后一日日终（登记机构完成最后一日申购、赎回业务申请的确认以后），基金份额持有人数量不满200人或当日基金资产净值加上当日净申购金额或者减去当日净赎回金额后低于5000万元的，本基金将自动终止基金合同并进行基金财产清算，无需召开基金份额持有人大会；</w:t>
      </w:r>
    </w:p>
    <w:p w14:paraId="46C122E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（6）《基金合同》约定的其他情形；</w:t>
      </w:r>
    </w:p>
    <w:p w14:paraId="7A64085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（7）相关法律法规和中国证监会规定的其他情况。</w:t>
      </w:r>
    </w:p>
    <w:p w14:paraId="6AA12CC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443F9E3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7A6831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A00100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5F72B97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4F4333B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602514D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099CFF2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66F64C5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1DBB47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34A82E8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330DA1F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D0B986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30E1DA0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6375B34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56C87B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1FA00D5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5A2BA3F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573EBFE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经符合</w:t>
      </w:r>
      <w:proofErr w:type="gramEnd"/>
      <w:r>
        <w:rPr>
          <w:rFonts w:ascii="宋体" w:hAnsi="宋体"/>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1D55EEF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04BC797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基金财产清算账册及有关文件由基金托管人保存不低于法律法规规定的最低期限。</w:t>
      </w:r>
    </w:p>
    <w:p w14:paraId="4D8C322E"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（四）争议解决方式</w:t>
      </w:r>
    </w:p>
    <w:p w14:paraId="166DDCC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0FBBEF3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37D44BB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14:paraId="666ABE85"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（五）基金合同存放地和投资者取得基金合同的方式</w:t>
      </w:r>
    </w:p>
    <w:p w14:paraId="281BCFE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《基金合同》正本一式三份，除上报有关监管机构一式一份外，基金管理人、基金托管人各持有一份，每份具有同等的法律效力。</w:t>
      </w:r>
    </w:p>
    <w:p w14:paraId="4E02C33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5B0875C4"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9AB70B" w14:textId="77777777" w:rsidR="00647E97" w:rsidRDefault="00022CF9">
      <w:pPr>
        <w:pStyle w:val="1"/>
        <w:snapToGrid w:val="0"/>
        <w:spacing w:beforeLines="0" w:before="240" w:after="240"/>
        <w:rPr>
          <w:rFonts w:ascii="宋体" w:hAnsi="宋体"/>
          <w:szCs w:val="30"/>
        </w:rPr>
      </w:pPr>
      <w:bookmarkStart w:id="24" w:name="_Toc193101060"/>
      <w:r>
        <w:rPr>
          <w:rFonts w:ascii="Times New Roman" w:hAnsi="Times New Roman"/>
          <w:sz w:val="30"/>
        </w:rPr>
        <w:lastRenderedPageBreak/>
        <w:t>二十一、托管协议的内容摘要</w:t>
      </w:r>
      <w:bookmarkEnd w:id="24"/>
    </w:p>
    <w:p w14:paraId="406D0ED7"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（一）托管协议当事人</w:t>
      </w:r>
    </w:p>
    <w:p w14:paraId="32DF330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7B5AD7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FCBCBB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852715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6DD2CBE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 2005年8月4日</w:t>
      </w:r>
    </w:p>
    <w:p w14:paraId="4AE4563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批准设立机关：中国证监会</w:t>
      </w:r>
    </w:p>
    <w:p w14:paraId="34CBA5E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批准设立文号：证</w:t>
      </w:r>
      <w:proofErr w:type="gramStart"/>
      <w:r>
        <w:rPr>
          <w:rFonts w:ascii="宋体" w:hAnsi="宋体"/>
          <w:sz w:val="24"/>
        </w:rPr>
        <w:t>监基金字</w:t>
      </w:r>
      <w:proofErr w:type="gramEnd"/>
      <w:r>
        <w:rPr>
          <w:rFonts w:ascii="宋体" w:hAnsi="宋体"/>
          <w:sz w:val="24"/>
        </w:rPr>
        <w:t>[2005]128号组织形式：有限责任公司</w:t>
      </w:r>
    </w:p>
    <w:p w14:paraId="03A7DA9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597AC17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555D5C9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9B686B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6A5BF81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名称：兴业银行股份有限公司</w:t>
      </w:r>
    </w:p>
    <w:p w14:paraId="65499F3C" w14:textId="7CEB7562"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Pr>
          <w:rFonts w:ascii="宋体" w:hAnsi="宋体" w:hint="eastAsia"/>
          <w:sz w:val="24"/>
        </w:rPr>
        <w:t>福建省福州市台江区江滨中大道398号兴业银行大厦</w:t>
      </w:r>
    </w:p>
    <w:p w14:paraId="546EBDE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377913F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成立时间：1988年8月22日</w:t>
      </w:r>
    </w:p>
    <w:p w14:paraId="3B00205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w:t>
      </w:r>
      <w:proofErr w:type="gramStart"/>
      <w:r>
        <w:rPr>
          <w:rFonts w:ascii="宋体" w:hAnsi="宋体"/>
          <w:sz w:val="24"/>
        </w:rPr>
        <w:t>监基金字</w:t>
      </w:r>
      <w:proofErr w:type="gramEnd"/>
      <w:r>
        <w:rPr>
          <w:rFonts w:ascii="宋体" w:hAnsi="宋体"/>
          <w:sz w:val="24"/>
        </w:rPr>
        <w:t>[2005]74号</w:t>
      </w:r>
    </w:p>
    <w:p w14:paraId="0EE6284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2EA4619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注册资本：207.74亿元人民币</w:t>
      </w:r>
    </w:p>
    <w:p w14:paraId="733FEAD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6211AE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批准设立机关及批准设立文号:中国人民银行总行,银复[1988]347号</w:t>
      </w:r>
    </w:p>
    <w:p w14:paraId="6F12508E" w14:textId="456E60D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w:t>
      </w:r>
      <w:r>
        <w:rPr>
          <w:rFonts w:ascii="宋体" w:hAnsi="宋体" w:hint="eastAsia"/>
          <w:sz w:val="24"/>
        </w:rPr>
        <w:t>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管箱服务；财务顾问、资信调查、咨询、见证业务；经中国银行保险监督管理委员会批准的其他业务；保险兼业代理业务；黄金及其制品进出口；公募证券投资基金</w:t>
      </w:r>
      <w:r>
        <w:rPr>
          <w:rFonts w:ascii="宋体" w:hAnsi="宋体" w:hint="eastAsia"/>
          <w:sz w:val="24"/>
        </w:rPr>
        <w:lastRenderedPageBreak/>
        <w:t>销售；证券投资基金托管。（依法须经批准的项目，经相关部门批准后方可开展经营活动，经营项目以相关部门批准文件或许可证件为准）</w:t>
      </w:r>
    </w:p>
    <w:p w14:paraId="2CA957C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021-52629999</w:t>
      </w:r>
    </w:p>
    <w:p w14:paraId="7799B22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 021-62152155</w:t>
      </w:r>
    </w:p>
    <w:p w14:paraId="5E537C58"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（二）基金托管人对基金管理人的业务监督和核查</w:t>
      </w:r>
    </w:p>
    <w:p w14:paraId="43D62C9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托管人运用相关技术系统，对基金实际投资是否符合基金合同的约定进行监督，对存在疑义的事项进行核查。</w:t>
      </w:r>
    </w:p>
    <w:p w14:paraId="0A79508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本基金的投资范围为具有良好流动性的金融工具，包括债券（含国债、金融债、央行票据、地方政府债、政府支持债、政府支持机构债、企业债、公司债、中期票据、短期融资</w:t>
      </w:r>
      <w:proofErr w:type="gramStart"/>
      <w:r>
        <w:rPr>
          <w:rFonts w:ascii="宋体" w:hAnsi="宋体"/>
          <w:sz w:val="24"/>
        </w:rPr>
        <w:t>券</w:t>
      </w:r>
      <w:proofErr w:type="gramEnd"/>
      <w:r>
        <w:rPr>
          <w:rFonts w:ascii="宋体" w:hAnsi="宋体"/>
          <w:sz w:val="24"/>
        </w:rPr>
        <w:t>、超短期融资</w:t>
      </w:r>
      <w:proofErr w:type="gramStart"/>
      <w:r>
        <w:rPr>
          <w:rFonts w:ascii="宋体" w:hAnsi="宋体"/>
          <w:sz w:val="24"/>
        </w:rPr>
        <w:t>券</w:t>
      </w:r>
      <w:proofErr w:type="gramEnd"/>
      <w:r>
        <w:rPr>
          <w:rFonts w:ascii="宋体" w:hAnsi="宋体"/>
          <w:sz w:val="24"/>
        </w:rPr>
        <w:t>、次级债、可分离交易可转债</w:t>
      </w:r>
      <w:proofErr w:type="gramStart"/>
      <w:r>
        <w:rPr>
          <w:rFonts w:ascii="宋体" w:hAnsi="宋体"/>
          <w:sz w:val="24"/>
        </w:rPr>
        <w:t>的纯债部分</w:t>
      </w:r>
      <w:proofErr w:type="gramEnd"/>
      <w:r>
        <w:rPr>
          <w:rFonts w:ascii="宋体" w:hAnsi="宋体"/>
          <w:sz w:val="24"/>
        </w:rPr>
        <w:t>）、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w:t>
      </w:r>
      <w:proofErr w:type="gramStart"/>
      <w:r>
        <w:rPr>
          <w:rFonts w:ascii="宋体" w:hAnsi="宋体"/>
          <w:sz w:val="24"/>
        </w:rPr>
        <w:t>纯债部分</w:t>
      </w:r>
      <w:proofErr w:type="gramEnd"/>
      <w:r>
        <w:rPr>
          <w:rFonts w:ascii="宋体" w:hAnsi="宋体"/>
          <w:sz w:val="24"/>
        </w:rPr>
        <w:t>除外）、可交换债券。</w:t>
      </w:r>
    </w:p>
    <w:p w14:paraId="6B143E2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02A19E4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0D4225D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在开放期内，本基金持有现金或到期日在一年以内的政府债券的投资比例合计不低于基金资产净值的5%，其中现金不包括结算备付金、存出保证金、应收申购款等。在封闭期内，本基金不受上述5%的限制。</w:t>
      </w:r>
    </w:p>
    <w:p w14:paraId="3DB39D3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2EA29F6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2、基金托管人根据有关法律法规的规定及基金合同的约定，对基金投资比例进行监督。基金托管人按下述比例和调整期限进行监督：</w:t>
      </w:r>
    </w:p>
    <w:p w14:paraId="2FCA4D4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1）本基金投资于债券资产的比例不低于基金资产的80%；但在每个开放期开始前1个月、开放期及开放期结束后1个月的期间内，基金投资不受上述比例限制；</w:t>
      </w:r>
    </w:p>
    <w:p w14:paraId="7F04216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2）在开放期内，本基金持有现金或到期日在一年以内的政府债券的投资比例</w:t>
      </w:r>
      <w:r>
        <w:rPr>
          <w:rFonts w:ascii="宋体" w:hAnsi="宋体"/>
          <w:sz w:val="24"/>
        </w:rPr>
        <w:lastRenderedPageBreak/>
        <w:t>合计不低于基金资产净值的5%，其中现金不包括结算备付金、存出保证金、应收申购款等，在封闭期内，本基金不受上述5%的限制；</w:t>
      </w:r>
    </w:p>
    <w:p w14:paraId="5C81EFC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7FD8F8F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41D3FAB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7C470AC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4C75B0F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5A12B59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1ACD551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5246617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在开放期内，本基金债券正回购资金余额或逆回购资金余额不得超过其上一日基金资产净值的40%。在封闭期内，本基金债券正回购资金余额或逆回购资金余额不得超过其上一日基金资产净值的100%。本基金进入全国银行间同业市场进行债券回购的最长期限为1年，债券回购到期后不得展期；</w:t>
      </w:r>
    </w:p>
    <w:p w14:paraId="71170E9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1C96AAD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14:paraId="5B23DB2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13）在开放期内，本基金资产总值不超过基金资产净值的140%；在封闭期内，本基金的资产总值不超过基金资产净值的200%；</w:t>
      </w:r>
    </w:p>
    <w:p w14:paraId="099C69F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50995AE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除上述第2）、9）、11）、12）项外，因证券市场波动、证券发行人合并、基金</w:t>
      </w:r>
      <w:r>
        <w:rPr>
          <w:rFonts w:ascii="宋体" w:hAnsi="宋体"/>
          <w:sz w:val="24"/>
        </w:rPr>
        <w:lastRenderedPageBreak/>
        <w:t>规模变动等基金管理人之外的因素致使基金投资比例不符合上述规定投资比例的，基金管理人应当在10个交易日内进行调整，但中国证监会规定的特殊情形除外。法律法规另有规定的，从其规定。</w:t>
      </w:r>
    </w:p>
    <w:p w14:paraId="26404E2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w:t>
      </w:r>
    </w:p>
    <w:p w14:paraId="0C02A43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5C6232A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基金托管人对基金投资的监督和检查自基金合同生效之日起开始。</w:t>
      </w:r>
    </w:p>
    <w:p w14:paraId="3E3E5A1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14:paraId="7912A58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根据法律法规的规定及基金合同的约定，基金财产不得用于下列投资或者活动：</w:t>
      </w:r>
    </w:p>
    <w:p w14:paraId="5B660ED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7553B78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27B5829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795F200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15CE2E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737A2FB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3185008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567229D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BCCF8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0A739DB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4、基金托管人根据有关法律法规的规定及基金合同的约定，对基金管理人参与银行间债券市场进行监督。</w:t>
      </w:r>
    </w:p>
    <w:p w14:paraId="1075ECD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170CB86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根据银行间债券市场成交单对本基金银行间债券交易的交易对手及其结算方式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如果基金托管人未能切实履行监督职责，导致基金出现风险或造成基金资产损失的，基金托管人应承担相应责任。</w:t>
      </w:r>
    </w:p>
    <w:p w14:paraId="5E0AD9E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5、基金托管人对基金投资银行存款进行监督。</w:t>
      </w:r>
    </w:p>
    <w:p w14:paraId="61572DC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与存款银行建立定期对账机制，确保基金银行存款业务账目及核算的真实、准确。基金管理人应当按照有关法规规定，与存款机构签订相关书面协议。基金托管人应根据有关相关法规及协议对基金银行存款业务进行监督与核查，严格审查、复核相关协议、账户资料、投资指令、存款证实书等有关文件，切实履行托管职责。</w:t>
      </w:r>
    </w:p>
    <w:p w14:paraId="68839BC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基金管理人与基金托管人在开展基金存款业务时，应严格遵守《基金法》、《运</w:t>
      </w:r>
      <w:r>
        <w:rPr>
          <w:rFonts w:ascii="宋体" w:hAnsi="宋体"/>
          <w:sz w:val="24"/>
        </w:rPr>
        <w:lastRenderedPageBreak/>
        <w:t>作办法》等有关法律法规，以及国家有关账户管理、利率管理、支付结算等的各项规定。</w:t>
      </w:r>
    </w:p>
    <w:p w14:paraId="1BFC30D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14:paraId="34EB1C4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6、基金托管人依据有关法律法规的规定、基金合同和本托管协议的约定对于基金关联交易进行监督。</w:t>
      </w:r>
    </w:p>
    <w:p w14:paraId="3AA9682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00E54A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根据法律法规有关基金从事的关联交易的规定，基金管理人和基金托管人应事先相互提供与本机构有控股关系的股东、实际控制人或者与其有重大利害关系的公司名单及有关关联</w:t>
      </w:r>
      <w:proofErr w:type="gramStart"/>
      <w:r>
        <w:rPr>
          <w:rFonts w:ascii="宋体" w:hAnsi="宋体"/>
          <w:sz w:val="24"/>
        </w:rPr>
        <w:t>方发行</w:t>
      </w:r>
      <w:proofErr w:type="gramEnd"/>
      <w:r>
        <w:rPr>
          <w:rFonts w:ascii="宋体" w:hAnsi="宋体"/>
          <w:sz w:val="24"/>
        </w:rPr>
        <w:t>的证券名单，书面提交，并确保所提供的关联交易名单的真实性、完整性、全面性。基金管理人及基金托管人有责任保管真实、完整、全面的关联交易名单，并负责及时更新该名单。名单变更后基金管理人及基金托管人应及时发送另一方，另一方于2个工作日内进行回函确认已知名单的变更。一方收到另一方书面确认后，新的关联交易名单开始生效。</w:t>
      </w:r>
    </w:p>
    <w:p w14:paraId="10D2370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7、基金托管人根据有关法律法规的规定及基金合同的约定，对基金资产净值计算、</w:t>
      </w:r>
      <w:r w:rsidRPr="00E4243C">
        <w:rPr>
          <w:rFonts w:ascii="宋体" w:hAnsi="宋体" w:hint="eastAsia"/>
          <w:sz w:val="24"/>
        </w:rPr>
        <w:t>各类</w:t>
      </w:r>
      <w:r>
        <w:rPr>
          <w:rFonts w:ascii="宋体" w:hAnsi="宋体"/>
          <w:sz w:val="24"/>
        </w:rPr>
        <w:t>基金份额净值、应收资金到账、基金费用开支及收入确定、基金收益分配、相关信息披露、基金宣传推介材料中登载基金业绩表现数据等进行监督和核查。</w:t>
      </w:r>
    </w:p>
    <w:p w14:paraId="6B95CF6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8、基金托管人发现基金管理人的上述事项及投资指令或实际投资运作违反法律法规、基金合同和本托管协议的规定，应及时以电话提醒或书面提示等方式通知基金管理人限期纠正。</w:t>
      </w:r>
    </w:p>
    <w:p w14:paraId="6D425D4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如果基金托管人未能切实履行监督职责，导致基金出现风险或造成基金资产损失的，基金托管人应承担相应责任。</w:t>
      </w:r>
    </w:p>
    <w:p w14:paraId="2602973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w:t>
      </w:r>
    </w:p>
    <w:p w14:paraId="4C6FC1A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66588C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proofErr w:type="gramStart"/>
      <w:r>
        <w:rPr>
          <w:rFonts w:ascii="宋体" w:hAnsi="宋体"/>
          <w:sz w:val="24"/>
        </w:rPr>
        <w:t>若基金</w:t>
      </w:r>
      <w:proofErr w:type="gramEnd"/>
      <w:r>
        <w:rPr>
          <w:rFonts w:ascii="宋体" w:hAnsi="宋体"/>
          <w:sz w:val="24"/>
        </w:rPr>
        <w:t>托管人发现基金管理人依据交易程序已经生效的指令违反法律、行政法规和其他有关规定，或者违反基金合同约定的，应当立即以书面或以双方认可的其他方式通知基金管理人。</w:t>
      </w:r>
    </w:p>
    <w:p w14:paraId="303DE57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19984C3"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（三）基金管理人对基金托管人的业务核查</w:t>
      </w:r>
    </w:p>
    <w:p w14:paraId="098707F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但不限于基金托管人安全保管基金财产、开设基金财产的资金账户、证券账户等投资所需账户、及时、准确复核基金管理人计算的基金资产净值、</w:t>
      </w:r>
      <w:r w:rsidRPr="00E4243C">
        <w:rPr>
          <w:rFonts w:ascii="宋体" w:hAnsi="宋体" w:hint="eastAsia"/>
          <w:sz w:val="24"/>
        </w:rPr>
        <w:t>各类</w:t>
      </w:r>
      <w:r>
        <w:rPr>
          <w:rFonts w:ascii="宋体" w:hAnsi="宋体"/>
          <w:sz w:val="24"/>
        </w:rPr>
        <w:t>基金份额净值，根据基金管理人指令办理清算交收且如遇到问题应及时反馈、相关信息披露和监督基金投资运作是否对非公开信息保密等行为。</w:t>
      </w:r>
    </w:p>
    <w:p w14:paraId="1C48F0B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基金管理人定期和不定期地对基金托管人保管的基金资产进行核查。基金托管人应积极配合基金管理人的核查行为，包括但不限于：提交相关资料以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w:t>
      </w:r>
    </w:p>
    <w:p w14:paraId="354649A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管理人核查托管财产的完整性和真实性，在规定时间内答复基金管理人并改正等。基金管理人有权要求基金托管人赔偿基金因此所遭受的损失。</w:t>
      </w:r>
    </w:p>
    <w:p w14:paraId="6483A07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8AF1207"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（四）基金财产保管</w:t>
      </w:r>
    </w:p>
    <w:p w14:paraId="5F535D8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1C36D1D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7E1DE75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2）基金托管人应安全保管基金财产。未经基金管理人的正当指令，不得自行运用、处分、分配基金的任何财产。如果基金财产在基金托管人保管期间损坏、灭失的，应由该基金托管人承担赔偿责任。</w:t>
      </w:r>
    </w:p>
    <w:p w14:paraId="5C420A6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3）基金托管人按照规定开设基金财产的资金账户、证券账户和债券托管账户等投资所需账户。</w:t>
      </w:r>
    </w:p>
    <w:p w14:paraId="6C967BB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64151B4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5）基金托管人根据基金管理人的指令，按照法律法规的规定、基金合同和本协议的约定保管基金财产。</w:t>
      </w:r>
    </w:p>
    <w:p w14:paraId="18C57B0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w:t>
      </w:r>
      <w:r>
        <w:rPr>
          <w:rFonts w:ascii="宋体" w:hAnsi="宋体"/>
          <w:sz w:val="24"/>
        </w:rPr>
        <w:lastRenderedPageBreak/>
        <w:t>进行催收。由此给基金财产造成损失的，基金管理人应负责向有关当事人追偿基金的损失，基金托管人对此不承担任何责任。</w:t>
      </w:r>
    </w:p>
    <w:p w14:paraId="6B0E2A9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1983C0C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6E87BD3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1）基金募集期间募集的资金应存于基金管理人开立的“基金募集专户”。该账户由基金管理人或基金管理人委托的登记机构开立并管理。</w:t>
      </w:r>
    </w:p>
    <w:p w14:paraId="68725A1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提前结束募集时，发起资金认购金额及承诺的认购基金份额持有期限符合《基金法》、《运作办法》、基金合同等有关规定后，基金管理人应将属于基金财产的全部资金划入基金托管人为本基金开立的基金银行账户，基金托管人在收到资金当日出具相关证明文件，基金管理人在规定时间内，聘请符合《中华人民共和国证券法》规定的会计师事务所进行验资，出具验资报告，验资报告中需对基金募集的资金进行确认。出具的验资报告由参加验资的2名或2名以上中国注册会计师签章方为有效。</w:t>
      </w:r>
    </w:p>
    <w:p w14:paraId="05F71B4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募集期限届满，未能达到基金合同生效的条件，由基金管理人按规定办理退款等事宜，基金托管人应提供充分协助。</w:t>
      </w:r>
    </w:p>
    <w:p w14:paraId="73DDE3A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14:paraId="227389B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1）基金托管人应负责本基金的银行账户的开设和管理。</w:t>
      </w:r>
    </w:p>
    <w:p w14:paraId="4576D1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2）基金托管人可以本基金的名义在其营业机构开设本基金的银行账户，并根据基金管理人合法合</w:t>
      </w:r>
      <w:proofErr w:type="gramStart"/>
      <w:r>
        <w:rPr>
          <w:rFonts w:ascii="宋体" w:hAnsi="宋体"/>
          <w:sz w:val="24"/>
        </w:rPr>
        <w:t>规</w:t>
      </w:r>
      <w:proofErr w:type="gramEnd"/>
      <w:r>
        <w:rPr>
          <w:rFonts w:ascii="宋体" w:hAnsi="宋体"/>
          <w:sz w:val="24"/>
        </w:rPr>
        <w:t>的指令办理资金收付。账户的名称应当包含本基金名称，具体名称以实际开立为准。本基金的一切货币收支活动，包括但不限于投资、支付赎回金额、支付基金收益、收取申购款，均需通过本基金的银行账户进行。</w:t>
      </w:r>
    </w:p>
    <w:p w14:paraId="7A493E8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3）基金银行账户的开立和使用，限于满足开展本基金业务的需要。基金托管人和基金管理人不得假借本基金的名义开立任何其他银行账户；亦不得使用基金的任何账户进行本基金业务以外的活动。</w:t>
      </w:r>
    </w:p>
    <w:p w14:paraId="66F1D2E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4）基金银行账户的开立和管理应符合相关法律法规的有关规定。</w:t>
      </w:r>
    </w:p>
    <w:p w14:paraId="6634075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4、基金证券交收账户和结算备付金账户的开立和管理</w:t>
      </w:r>
    </w:p>
    <w:p w14:paraId="750A42E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1）基金托管人在中国证券登记结算有限责任公司上海分公司、深圳分公司为基金开立基金托管人与本基金联名的证券账户，账户名称以实际开立为准。</w:t>
      </w:r>
    </w:p>
    <w:p w14:paraId="25B5C83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w:t>
      </w:r>
      <w:r>
        <w:rPr>
          <w:rFonts w:ascii="宋体" w:hAnsi="宋体"/>
          <w:sz w:val="24"/>
        </w:rPr>
        <w:lastRenderedPageBreak/>
        <w:t>人和基金管理人不得出借或未经对方同意擅自转让基金的任何证券账户，亦不得使用基金的任何账户进行本基金业务以外的活动。</w:t>
      </w:r>
    </w:p>
    <w:p w14:paraId="49CF1BF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29714DE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14:paraId="7AC5F84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5）若中国证监会或其他监管机构在本托管协议生效日之后允许基金从事其他投资品种的投资业务，涉及相关账户的开设、使用的，按有关规定开设、使用并管理；若无相关规定，</w:t>
      </w:r>
      <w:proofErr w:type="gramStart"/>
      <w:r>
        <w:rPr>
          <w:rFonts w:ascii="宋体" w:hAnsi="宋体"/>
          <w:sz w:val="24"/>
        </w:rPr>
        <w:t>则基金</w:t>
      </w:r>
      <w:proofErr w:type="gramEnd"/>
      <w:r>
        <w:rPr>
          <w:rFonts w:ascii="宋体" w:hAnsi="宋体"/>
          <w:sz w:val="24"/>
        </w:rPr>
        <w:t>托管人应当比照并遵守上述关于账户开设、使用的规定。</w:t>
      </w:r>
    </w:p>
    <w:p w14:paraId="17D2641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5、债券托管账户的开设和管理</w:t>
      </w:r>
    </w:p>
    <w:p w14:paraId="7D572F2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代表基金向中国人民银行申请备案，再由基金托管人根据中国人民银行、中央国债登记结算有限责任公司的有关规定，在中央国债登记结算有限责任公司、银行间市场清算所股份有限公司开立债券托管与结算账户，并代表基金进行银行间市场债券的结算。基金管理人代表基金签订中国银行间市场债券回购交易主协议。</w:t>
      </w:r>
    </w:p>
    <w:p w14:paraId="14B8F91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173875A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1）因业务发展需要而开立的其他账户，可以根据法律法规和基金合同的规定，在基金管理人和基金托管人商议后由基金托管人负责开立。新账户按有关规则使用并管理。</w:t>
      </w:r>
    </w:p>
    <w:p w14:paraId="6C06EF3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6113355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38F2454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w:t>
      </w:r>
      <w:r>
        <w:rPr>
          <w:rFonts w:ascii="宋体" w:hAnsi="宋体"/>
          <w:sz w:val="24"/>
        </w:rPr>
        <w:lastRenderedPageBreak/>
        <w:t>属于基金托管人实际有效控制下的实物证券在基金托管人保管期间的损坏、灭失，由此产生的责任应由基金托管人承担。基金托管人对基金托管人以外机构实际有效控制的证券及其他基金财产不承担保管责任。</w:t>
      </w:r>
    </w:p>
    <w:p w14:paraId="4158027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6862807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不低于法律法规规定的最低期限。对于无法取得二份以上的正本的，基金管理人应向基金托管人提供加盖授权业务章的合同传真件，未经双方协商或未在合同约定范围内，合同原件不得转移。</w:t>
      </w:r>
    </w:p>
    <w:p w14:paraId="25E83AA4"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（五）基金资产净值计算和会计核算</w:t>
      </w:r>
    </w:p>
    <w:p w14:paraId="591E696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1、基金资产净值的计算及复核程序</w:t>
      </w:r>
    </w:p>
    <w:p w14:paraId="7EBDE39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55CFFB0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基金资产净值是指基金资产总值减去负债后的金额。</w:t>
      </w:r>
    </w:p>
    <w:p w14:paraId="26DE352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sidRPr="00E4243C">
        <w:rPr>
          <w:rFonts w:ascii="宋体" w:hAnsi="宋体" w:hint="eastAsia"/>
          <w:sz w:val="24"/>
        </w:rPr>
        <w:t>各类基金份额的</w:t>
      </w:r>
      <w:r>
        <w:rPr>
          <w:rFonts w:ascii="宋体" w:hAnsi="宋体"/>
          <w:sz w:val="24"/>
        </w:rPr>
        <w:t>基金份额净值是按照每个工作日闭市后，</w:t>
      </w:r>
      <w:r>
        <w:rPr>
          <w:rFonts w:ascii="宋体" w:hAnsi="宋体" w:hint="eastAsia"/>
          <w:sz w:val="24"/>
        </w:rPr>
        <w:t>该类基金份额的</w:t>
      </w:r>
      <w:r>
        <w:rPr>
          <w:rFonts w:ascii="宋体" w:hAnsi="宋体"/>
          <w:sz w:val="24"/>
        </w:rPr>
        <w:t>基金资产净值除以当日</w:t>
      </w:r>
      <w:r w:rsidRPr="00E4243C">
        <w:rPr>
          <w:rFonts w:ascii="宋体" w:hAnsi="宋体" w:hint="eastAsia"/>
          <w:sz w:val="24"/>
        </w:rPr>
        <w:t>该类</w:t>
      </w:r>
      <w:r>
        <w:rPr>
          <w:rFonts w:ascii="宋体" w:hAnsi="宋体"/>
          <w:sz w:val="24"/>
        </w:rPr>
        <w:t>基金份额的余额数量计算，</w:t>
      </w:r>
      <w:r>
        <w:rPr>
          <w:rFonts w:ascii="宋体" w:hAnsi="宋体" w:hint="eastAsia"/>
          <w:sz w:val="24"/>
        </w:rPr>
        <w:t>均</w:t>
      </w:r>
      <w:r>
        <w:rPr>
          <w:rFonts w:ascii="宋体" w:hAnsi="宋体"/>
          <w:sz w:val="24"/>
        </w:rPr>
        <w:t>精确到0.0001元，小数点后第5位四舍五入。基金管理人可以设立大额赎回情形下的净值精度应急调整机制，具体可参见相关公告。国家另有规定的，从其规定。</w:t>
      </w:r>
    </w:p>
    <w:p w14:paraId="35A9EB7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基金管理人于每个工作日计算基金资产净值及</w:t>
      </w:r>
      <w:r w:rsidRPr="00E4243C">
        <w:rPr>
          <w:rFonts w:ascii="宋体" w:hAnsi="宋体" w:hint="eastAsia"/>
          <w:sz w:val="24"/>
        </w:rPr>
        <w:t>各类</w:t>
      </w:r>
      <w:r>
        <w:rPr>
          <w:rFonts w:ascii="宋体" w:hAnsi="宋体"/>
          <w:sz w:val="24"/>
        </w:rPr>
        <w:t>基金份额净值，并按规定公告。如遇特殊情况，经履行适当程序，可以适当延迟计算或公告。</w:t>
      </w:r>
    </w:p>
    <w:p w14:paraId="52BA127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47630C7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w:t>
      </w:r>
      <w:proofErr w:type="gramStart"/>
      <w:r>
        <w:rPr>
          <w:rFonts w:ascii="宋体" w:hAnsi="宋体"/>
          <w:sz w:val="24"/>
        </w:rPr>
        <w:t>应每个</w:t>
      </w:r>
      <w:proofErr w:type="gramEnd"/>
      <w:r>
        <w:rPr>
          <w:rFonts w:ascii="宋体" w:hAnsi="宋体"/>
          <w:sz w:val="24"/>
        </w:rPr>
        <w:t>工作日对基金资产估值。但基金管理人根据法律法规或基金合同的规定暂停估值时除外。基金管理人每个工作日对基金资产估值后，将</w:t>
      </w:r>
      <w:r w:rsidRPr="00E4243C">
        <w:rPr>
          <w:rFonts w:ascii="宋体" w:hAnsi="宋体"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3DE2E62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14:paraId="44A4891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772B004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基金所拥有的债券、资产支持证券和其它投资等持续以公允价值计量的金融资产及负债。</w:t>
      </w:r>
    </w:p>
    <w:p w14:paraId="47B793D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68AF815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0019F1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①交易所上市交易或挂牌转让的固定收益品种（另有规定的除外），选取估值日第三方估值机构提供的相应品种当日的估值净价进行估值；</w:t>
      </w:r>
    </w:p>
    <w:p w14:paraId="494180A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②交易所上市实行全价交易的债券（可转债除外），选取第三方估值机构提供的估值全价减去估值全价中所含的债券（税后）应收利息得到的净价进行估值；</w:t>
      </w:r>
    </w:p>
    <w:p w14:paraId="70F0BF0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EDDA39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④交易所上市不存在活跃市场的有价证券，采用估值技术确定公允价值。交易所市场挂牌转让的资产支持证券，采用估值技术确定公允价值；</w:t>
      </w:r>
    </w:p>
    <w:p w14:paraId="77D9EAA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E0B690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14:paraId="16C9D8B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88A9DF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4）同一债券同时在两个或两个以上市场交易的，按债券所处的市场分别估值。</w:t>
      </w:r>
    </w:p>
    <w:p w14:paraId="58DC131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0DD5D9F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6）当发生大额申购或赎回情形时，基金管理人可以采用摆动定价机制，以确保基金估值的公平性。</w:t>
      </w:r>
    </w:p>
    <w:p w14:paraId="601876F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14:paraId="259869C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1DAEE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4CCEBE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14:paraId="4482D80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基金管理人、基金托管人按第（2）条第5）款进行估值时，所造成的误差不作为基金资产估值错误处理。</w:t>
      </w:r>
    </w:p>
    <w:p w14:paraId="6AA67FF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0876D5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3、估值错误的处理方式</w:t>
      </w:r>
    </w:p>
    <w:p w14:paraId="367A50D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0D7BFE5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本托管协议的当事人应按照以下约定处理：</w:t>
      </w:r>
    </w:p>
    <w:p w14:paraId="68D9B00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024263D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w:t>
      </w:r>
      <w:r>
        <w:rPr>
          <w:rFonts w:ascii="宋体" w:hAnsi="宋体"/>
          <w:sz w:val="24"/>
        </w:rPr>
        <w:lastRenderedPageBreak/>
        <w:t>机构、或投资人自身的过错造成估值错误，导致其他当事人遭受损失的，过错的责任人应当对由于该估值错误遭受损失当事人(“受损方”)的直接损失按下述“估值错误处理原则”给予赔偿，承担赔偿责任。</w:t>
      </w:r>
    </w:p>
    <w:p w14:paraId="47FC250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2F24C70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30F30C7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732E7C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76F3C63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10819E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2ED6786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74D4E35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2621D47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ADF907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6DB740B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2A3B5C0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w:t>
      </w:r>
      <w:r>
        <w:rPr>
          <w:rFonts w:ascii="宋体" w:hAnsi="宋体"/>
          <w:sz w:val="24"/>
        </w:rPr>
        <w:lastRenderedPageBreak/>
        <w:t>和赔偿损失；</w:t>
      </w:r>
    </w:p>
    <w:p w14:paraId="4245D8B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0C971D4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1C4BD76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24929E3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w:t>
      </w:r>
      <w:r>
        <w:rPr>
          <w:rFonts w:ascii="宋体" w:hAnsi="宋体" w:hint="eastAsia"/>
          <w:sz w:val="24"/>
        </w:rPr>
        <w:t>该类</w:t>
      </w:r>
      <w:r>
        <w:rPr>
          <w:rFonts w:ascii="宋体" w:hAnsi="宋体"/>
          <w:sz w:val="24"/>
        </w:rPr>
        <w:t>基金份额净值的0.25%时，基金管理人应当通报基金托管人并报中国证监会备案；错误偏差达到</w:t>
      </w:r>
      <w:r>
        <w:rPr>
          <w:rFonts w:ascii="宋体" w:hAnsi="宋体" w:hint="eastAsia"/>
          <w:sz w:val="24"/>
        </w:rPr>
        <w:t>该类</w:t>
      </w:r>
      <w:r>
        <w:rPr>
          <w:rFonts w:ascii="宋体" w:hAnsi="宋体"/>
          <w:sz w:val="24"/>
        </w:rPr>
        <w:t>基金份额净值的0.5%时，基金管理人应当公告并报中国证监会备案。</w:t>
      </w:r>
    </w:p>
    <w:p w14:paraId="27CCBF7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74D9C1AB"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（六）基金份额持有人名册的登记与保管</w:t>
      </w:r>
    </w:p>
    <w:p w14:paraId="60E7B8F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34B0326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基金份额持有人名册由登记机构编制，由基金管理人审核并提交基金托管人保管。基金托管人有权要求基金管理人提供基金份额持有人名册，基金管理人应及时提供，不得拖延或拒绝提供。</w:t>
      </w:r>
    </w:p>
    <w:p w14:paraId="668A5C4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6502045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基金管理人和基金托管人应妥善保管基金份额持有人名册，保存期限不低于法律法规规定的最低期限。基金托管人不得将所保管的基金份额持有人名册用于基金托管业务以外的其他用途，并应遵守保密义务。</w:t>
      </w:r>
      <w:proofErr w:type="gramStart"/>
      <w:r>
        <w:rPr>
          <w:rFonts w:ascii="宋体" w:hAnsi="宋体"/>
          <w:sz w:val="24"/>
        </w:rPr>
        <w:t>若基金</w:t>
      </w:r>
      <w:proofErr w:type="gramEnd"/>
      <w:r>
        <w:rPr>
          <w:rFonts w:ascii="宋体" w:hAnsi="宋体"/>
          <w:sz w:val="24"/>
        </w:rPr>
        <w:t>管理人或基金托管人由于自身原因无法妥善保管基金份额持有人名册，应按有关法规规定各自承担相应的责任。</w:t>
      </w:r>
    </w:p>
    <w:p w14:paraId="196DC943"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（七）争议解决方式</w:t>
      </w:r>
    </w:p>
    <w:p w14:paraId="23CEDDA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w:t>
      </w:r>
      <w:r>
        <w:rPr>
          <w:rFonts w:ascii="宋体" w:hAnsi="宋体"/>
          <w:sz w:val="24"/>
        </w:rPr>
        <w:lastRenderedPageBreak/>
        <w:t>地点为北京市，按照中国国际经济贸易仲裁委员会届时有效的仲裁规则进行仲裁。仲裁裁决是终局的，对当事人均有约束力。除非仲裁裁决另有规定，仲裁费用、律师费由败诉方承担。</w:t>
      </w:r>
    </w:p>
    <w:p w14:paraId="5219AF4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3E66E4D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本协议适用中华人民共和国法律（为本协议之目的，不包括香港特别行政区、澳门特别行政区和台湾地区法律）并从其解释。</w:t>
      </w:r>
    </w:p>
    <w:p w14:paraId="0C657A47"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（八）基金托管协议的变更、终止与基金财产的清算</w:t>
      </w:r>
    </w:p>
    <w:p w14:paraId="2C10A06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14E75D0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14:paraId="0AE795F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71707A0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0305FD7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17DA7F0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3446EDA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2017270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33414D2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6B3A871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F5CA19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5FAF246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5D14260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6903FDF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2）对基金财产和债权债务进行清理和确认；</w:t>
      </w:r>
    </w:p>
    <w:p w14:paraId="5932A64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0721B87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33ADF8A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3428250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032291DC"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60425D7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D0989E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21FD7A8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14526BA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38F9B57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5EB4A75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5383DAF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经符合</w:t>
      </w:r>
      <w:proofErr w:type="gramEnd"/>
      <w:r>
        <w:rPr>
          <w:rFonts w:ascii="宋体" w:hAnsi="宋体"/>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047512D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1A5FE63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14:paraId="6C10BE33"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95D9706" w14:textId="77777777" w:rsidR="00647E97" w:rsidRDefault="00022CF9">
      <w:pPr>
        <w:pStyle w:val="1"/>
        <w:snapToGrid w:val="0"/>
        <w:spacing w:beforeLines="0" w:before="240" w:after="240"/>
        <w:rPr>
          <w:rFonts w:ascii="宋体" w:hAnsi="宋体"/>
          <w:szCs w:val="30"/>
        </w:rPr>
      </w:pPr>
      <w:bookmarkStart w:id="25" w:name="_Toc193101061"/>
      <w:r>
        <w:rPr>
          <w:rFonts w:ascii="Times New Roman" w:hAnsi="Times New Roman"/>
          <w:sz w:val="30"/>
        </w:rPr>
        <w:lastRenderedPageBreak/>
        <w:t>二十二、对基金份额持有人的服务</w:t>
      </w:r>
      <w:bookmarkEnd w:id="25"/>
    </w:p>
    <w:p w14:paraId="76779B9D"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6599DF74"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（一）持有人交易资料的寄送服务</w:t>
      </w:r>
    </w:p>
    <w:p w14:paraId="5B1E441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33266C1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w:t>
      </w:r>
      <w:proofErr w:type="gramStart"/>
      <w:r>
        <w:rPr>
          <w:rFonts w:ascii="宋体" w:hAnsi="宋体"/>
          <w:sz w:val="24"/>
        </w:rPr>
        <w:t>人客户</w:t>
      </w:r>
      <w:proofErr w:type="gramEnd"/>
      <w:r>
        <w:rPr>
          <w:rFonts w:ascii="宋体" w:hAnsi="宋体"/>
          <w:sz w:val="24"/>
        </w:rPr>
        <w:t>服务中心（400-700-5000，021-61055000）联系。</w:t>
      </w:r>
    </w:p>
    <w:p w14:paraId="640C6F83"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（二）信息咨询、查询服务</w:t>
      </w:r>
    </w:p>
    <w:p w14:paraId="4C1EDC4A"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w:t>
      </w:r>
      <w:proofErr w:type="gramStart"/>
      <w:r>
        <w:rPr>
          <w:rFonts w:ascii="宋体" w:hAnsi="宋体"/>
          <w:sz w:val="24"/>
        </w:rPr>
        <w:t>人客户</w:t>
      </w:r>
      <w:proofErr w:type="gramEnd"/>
      <w:r>
        <w:rPr>
          <w:rFonts w:ascii="宋体" w:hAnsi="宋体"/>
          <w:sz w:val="24"/>
        </w:rPr>
        <w:t>服务电话（400-700-5000，021-61055000）或登录本基金管理人网站（www.fund001.com）进行咨询、查询。</w:t>
      </w:r>
    </w:p>
    <w:p w14:paraId="56F5EBB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sz w:val="24"/>
        </w:rPr>
        <w:t>人客户</w:t>
      </w:r>
      <w:proofErr w:type="gramEnd"/>
      <w:r>
        <w:rPr>
          <w:rFonts w:ascii="宋体" w:hAnsi="宋体"/>
          <w:sz w:val="24"/>
        </w:rPr>
        <w:t>服务电话修改基金查询密码。</w:t>
      </w:r>
    </w:p>
    <w:p w14:paraId="33605D0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w:t>
      </w:r>
      <w:proofErr w:type="gramStart"/>
      <w:r>
        <w:rPr>
          <w:rFonts w:ascii="宋体" w:hAnsi="宋体"/>
          <w:sz w:val="24"/>
        </w:rPr>
        <w:t>人客户</w:t>
      </w:r>
      <w:proofErr w:type="gramEnd"/>
      <w:r>
        <w:rPr>
          <w:rFonts w:ascii="宋体" w:hAnsi="宋体"/>
          <w:sz w:val="24"/>
        </w:rPr>
        <w:t>服务电话投诉直销机构的人员和服务。</w:t>
      </w:r>
    </w:p>
    <w:p w14:paraId="12DD2943"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（三）基金红利再投资</w:t>
      </w:r>
    </w:p>
    <w:p w14:paraId="4984BBC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基金份额，并免收申购费用。</w:t>
      </w:r>
    </w:p>
    <w:p w14:paraId="04243289"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（四）定期定额投资计划</w:t>
      </w:r>
    </w:p>
    <w:p w14:paraId="7BB36D8F"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待技术条件成熟时，基金管理人可通过销售机构为投资人提供定期定额投资的服务。通过定期定额投资计划，投资人可以定期定额申购基金份额，具体实施方法另行公告。</w:t>
      </w:r>
    </w:p>
    <w:p w14:paraId="2D7F053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7CF7784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3CCE143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8EA1BFB"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电子信箱：services@jysld.com</w:t>
      </w:r>
    </w:p>
    <w:p w14:paraId="58404725"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34F643EA" w14:textId="77777777" w:rsidR="00647E97" w:rsidRDefault="00022CF9">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（五）如本招募说明书存在任何您/</w:t>
      </w:r>
      <w:proofErr w:type="gramStart"/>
      <w:r>
        <w:rPr>
          <w:rFonts w:ascii="宋体" w:hAnsi="宋体" w:hint="eastAsia"/>
          <w:b/>
          <w:kern w:val="0"/>
          <w:sz w:val="24"/>
        </w:rPr>
        <w:t>贵机构</w:t>
      </w:r>
      <w:proofErr w:type="gramEnd"/>
      <w:r>
        <w:rPr>
          <w:rFonts w:ascii="宋体" w:hAnsi="宋体" w:hint="eastAsia"/>
          <w:b/>
          <w:kern w:val="0"/>
          <w:sz w:val="24"/>
        </w:rPr>
        <w:t>无法理解的内容，请通过上述方式联系基金管理人。</w:t>
      </w:r>
      <w:proofErr w:type="gramStart"/>
      <w:r>
        <w:rPr>
          <w:rFonts w:ascii="宋体" w:hAnsi="宋体" w:hint="eastAsia"/>
          <w:b/>
          <w:kern w:val="0"/>
          <w:sz w:val="24"/>
        </w:rPr>
        <w:t>请确保</w:t>
      </w:r>
      <w:proofErr w:type="gramEnd"/>
      <w:r>
        <w:rPr>
          <w:rFonts w:ascii="宋体" w:hAnsi="宋体" w:hint="eastAsia"/>
          <w:b/>
          <w:kern w:val="0"/>
          <w:sz w:val="24"/>
        </w:rPr>
        <w:t>投资前，您/</w:t>
      </w:r>
      <w:proofErr w:type="gramStart"/>
      <w:r>
        <w:rPr>
          <w:rFonts w:ascii="宋体" w:hAnsi="宋体" w:hint="eastAsia"/>
          <w:b/>
          <w:kern w:val="0"/>
          <w:sz w:val="24"/>
        </w:rPr>
        <w:t>贵机构</w:t>
      </w:r>
      <w:proofErr w:type="gramEnd"/>
      <w:r>
        <w:rPr>
          <w:rFonts w:ascii="宋体" w:hAnsi="宋体" w:hint="eastAsia"/>
          <w:b/>
          <w:kern w:val="0"/>
          <w:sz w:val="24"/>
        </w:rPr>
        <w:t>已经全面理解了本招募说明书。</w:t>
      </w:r>
    </w:p>
    <w:p w14:paraId="669829F1"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8DFCC1" w14:textId="77777777" w:rsidR="00647E97" w:rsidRDefault="00022CF9">
      <w:pPr>
        <w:pStyle w:val="1"/>
        <w:snapToGrid w:val="0"/>
        <w:spacing w:beforeLines="0" w:before="240" w:after="240"/>
        <w:rPr>
          <w:rFonts w:ascii="宋体" w:hAnsi="宋体"/>
          <w:szCs w:val="30"/>
        </w:rPr>
      </w:pPr>
      <w:bookmarkStart w:id="26" w:name="_Toc193101062"/>
      <w:r>
        <w:rPr>
          <w:rFonts w:ascii="Times New Roman" w:hAnsi="Times New Roman"/>
          <w:sz w:val="30"/>
        </w:rPr>
        <w:lastRenderedPageBreak/>
        <w:t>二十三、其他应披露事项</w:t>
      </w:r>
      <w:bookmarkEnd w:id="26"/>
    </w:p>
    <w:p w14:paraId="40268222"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647E97" w14:paraId="72F8BF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5B1C4F"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259C0E3"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2849BB87"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2FABF592"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647E97" w14:paraId="65540C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D67234"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CE8086F"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14:paraId="6C98787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0526E09"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647E97" w14:paraId="4C812C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5E9B05"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C6E024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35A5A7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C4DB762"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647E97" w14:paraId="5F3C83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8A9034"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8CADA4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924C94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349BF4C"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647E97" w14:paraId="361697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945F1D"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A119826"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006E7F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FE83E3"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2024-01-04</w:t>
            </w:r>
          </w:p>
        </w:tc>
      </w:tr>
      <w:tr w:rsidR="00647E97" w14:paraId="2513A0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BAE82B"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C69715E"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42F026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7B3E59"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647E97" w14:paraId="6CDA63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01CD0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9238705"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72FF9FDB"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3A49AFB"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2024-03-18</w:t>
            </w:r>
          </w:p>
        </w:tc>
      </w:tr>
      <w:tr w:rsidR="00647E97" w14:paraId="3C3272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3865A6"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BA0502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一年定期开放债券型发起式证券投资基金于第二个开放</w:t>
            </w:r>
            <w:proofErr w:type="gramStart"/>
            <w:r>
              <w:rPr>
                <w:rFonts w:ascii="Times New Roman" w:hAnsi="Times New Roman"/>
                <w:color w:val="000000"/>
                <w:kern w:val="0"/>
                <w:sz w:val="25"/>
                <w:szCs w:val="24"/>
              </w:rPr>
              <w:t>期办理</w:t>
            </w:r>
            <w:proofErr w:type="gramEnd"/>
            <w:r>
              <w:rPr>
                <w:rFonts w:ascii="Times New Roman" w:hAnsi="Times New Roman"/>
                <w:color w:val="000000"/>
                <w:kern w:val="0"/>
                <w:sz w:val="25"/>
                <w:szCs w:val="24"/>
              </w:rPr>
              <w:t>申购、赎回业务的公告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10306AA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C79154A"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2024-03-27</w:t>
            </w:r>
          </w:p>
        </w:tc>
      </w:tr>
      <w:tr w:rsidR="00647E97" w14:paraId="1D1C0B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58CE10"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7E63BF1"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经理变更公告</w:t>
            </w:r>
          </w:p>
        </w:tc>
        <w:tc>
          <w:tcPr>
            <w:tcW w:w="750" w:type="pct"/>
            <w:tcBorders>
              <w:top w:val="single" w:sz="4" w:space="0" w:color="auto"/>
              <w:left w:val="single" w:sz="4" w:space="0" w:color="auto"/>
              <w:bottom w:val="single" w:sz="4" w:space="0" w:color="auto"/>
              <w:right w:val="single" w:sz="4" w:space="0" w:color="auto"/>
            </w:tcBorders>
            <w:vAlign w:val="center"/>
          </w:tcPr>
          <w:p w14:paraId="6696576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0A3F5D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647E97" w14:paraId="3FA056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E8B300"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1527E08B"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35DDEA4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D72291F"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647E97" w14:paraId="341FFC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3601C1"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3EDF46D"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14:paraId="5AC6AC9F"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2D9445A"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647E97" w14:paraId="6DC72F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2493C1"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784533FE"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1E8922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23BDE2D"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2024-04-03</w:t>
            </w:r>
          </w:p>
        </w:tc>
      </w:tr>
      <w:tr w:rsidR="00647E97" w14:paraId="11B69B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73429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19CE542E"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产品资料概要更新</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B801A7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C841216"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2024-04-03</w:t>
            </w:r>
          </w:p>
        </w:tc>
      </w:tr>
      <w:tr w:rsidR="00647E97" w14:paraId="2DBCC41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6813E0"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24CF486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一年定期开放债券型发起式证券投资基金提前结束开放期并进入下一封闭期的公告</w:t>
            </w:r>
          </w:p>
        </w:tc>
        <w:tc>
          <w:tcPr>
            <w:tcW w:w="750" w:type="pct"/>
            <w:tcBorders>
              <w:top w:val="single" w:sz="4" w:space="0" w:color="auto"/>
              <w:left w:val="single" w:sz="4" w:space="0" w:color="auto"/>
              <w:bottom w:val="single" w:sz="4" w:space="0" w:color="auto"/>
              <w:right w:val="single" w:sz="4" w:space="0" w:color="auto"/>
            </w:tcBorders>
            <w:vAlign w:val="center"/>
          </w:tcPr>
          <w:p w14:paraId="3F194A98"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4F8561"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2024-04-09</w:t>
            </w:r>
          </w:p>
        </w:tc>
      </w:tr>
      <w:tr w:rsidR="00647E97" w14:paraId="486709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BC594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7DB9392D"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5D36B6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CB6824"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rsidR="00647E97" w14:paraId="30EE0A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DA530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9B04CFF"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w:t>
            </w:r>
            <w:proofErr w:type="gramStart"/>
            <w:r>
              <w:rPr>
                <w:rFonts w:ascii="Times New Roman" w:hAnsi="Times New Roman"/>
                <w:color w:val="000000"/>
                <w:kern w:val="0"/>
                <w:sz w:val="25"/>
                <w:szCs w:val="24"/>
              </w:rPr>
              <w:t>钜</w:t>
            </w:r>
            <w:proofErr w:type="gramEnd"/>
            <w:r>
              <w:rPr>
                <w:rFonts w:ascii="Times New Roman" w:hAnsi="Times New Roman"/>
                <w:color w:val="000000"/>
                <w:kern w:val="0"/>
                <w:sz w:val="25"/>
                <w:szCs w:val="24"/>
              </w:rPr>
              <w:t>派</w:t>
            </w:r>
            <w:proofErr w:type="gramStart"/>
            <w:r>
              <w:rPr>
                <w:rFonts w:ascii="Times New Roman" w:hAnsi="Times New Roman"/>
                <w:color w:val="000000"/>
                <w:kern w:val="0"/>
                <w:sz w:val="25"/>
                <w:szCs w:val="24"/>
              </w:rPr>
              <w:t>钰茂基金</w:t>
            </w:r>
            <w:proofErr w:type="gramEnd"/>
            <w:r>
              <w:rPr>
                <w:rFonts w:ascii="Times New Roman" w:hAnsi="Times New Roman"/>
                <w:color w:val="000000"/>
                <w:kern w:val="0"/>
                <w:sz w:val="25"/>
                <w:szCs w:val="24"/>
              </w:rPr>
              <w:t>销售有限公司办理相关销售业务的公告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5B86AC7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9395FE"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r w:rsidR="00647E97" w14:paraId="3235F9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1BE9F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44EC344D"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产品资料概要更新</w:t>
            </w:r>
          </w:p>
        </w:tc>
        <w:tc>
          <w:tcPr>
            <w:tcW w:w="750" w:type="pct"/>
            <w:tcBorders>
              <w:top w:val="single" w:sz="4" w:space="0" w:color="auto"/>
              <w:left w:val="single" w:sz="4" w:space="0" w:color="auto"/>
              <w:bottom w:val="single" w:sz="4" w:space="0" w:color="auto"/>
              <w:right w:val="single" w:sz="4" w:space="0" w:color="auto"/>
            </w:tcBorders>
            <w:vAlign w:val="center"/>
          </w:tcPr>
          <w:p w14:paraId="349F39F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B7F0029"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rsidR="00647E97" w14:paraId="4BD64AB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AE2D26"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4406FC3F"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w:t>
            </w:r>
            <w:r>
              <w:rPr>
                <w:rFonts w:ascii="Times New Roman" w:hAnsi="Times New Roman"/>
                <w:color w:val="000000"/>
                <w:kern w:val="0"/>
                <w:sz w:val="25"/>
                <w:szCs w:val="24"/>
              </w:rPr>
              <w:t>2024</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5B07D6E0"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6CB2EFC"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rsidR="00647E97" w14:paraId="683DF4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FC5DA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4AA1214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286DD1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ADC8097"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rsidR="00647E97" w14:paraId="3845CFA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D5DB33"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46470DD1"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交银施罗德基金管理有限公司关于董事长离任及代任董事长（法定代表人）的公告</w:t>
            </w:r>
          </w:p>
        </w:tc>
        <w:tc>
          <w:tcPr>
            <w:tcW w:w="750" w:type="pct"/>
            <w:tcBorders>
              <w:top w:val="single" w:sz="4" w:space="0" w:color="auto"/>
              <w:left w:val="single" w:sz="4" w:space="0" w:color="auto"/>
              <w:bottom w:val="single" w:sz="4" w:space="0" w:color="auto"/>
              <w:right w:val="single" w:sz="4" w:space="0" w:color="auto"/>
            </w:tcBorders>
            <w:vAlign w:val="center"/>
          </w:tcPr>
          <w:p w14:paraId="2EE9E00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44ED05"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2024-08-17</w:t>
            </w:r>
          </w:p>
        </w:tc>
      </w:tr>
      <w:tr w:rsidR="00647E97" w14:paraId="2DDCDF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3C16A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413DEE78"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w:t>
            </w:r>
            <w:r>
              <w:rPr>
                <w:rFonts w:ascii="Times New Roman" w:hAnsi="Times New Roman"/>
                <w:color w:val="000000"/>
                <w:kern w:val="0"/>
                <w:sz w:val="25"/>
                <w:szCs w:val="24"/>
              </w:rPr>
              <w:t>2024</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7FF23759"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A4255A9"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rsidR="00647E97" w14:paraId="18FB1D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76362C"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21</w:t>
            </w:r>
          </w:p>
        </w:tc>
        <w:tc>
          <w:tcPr>
            <w:tcW w:w="750" w:type="pct"/>
            <w:tcBorders>
              <w:top w:val="single" w:sz="4" w:space="0" w:color="auto"/>
              <w:left w:val="single" w:sz="4" w:space="0" w:color="auto"/>
              <w:bottom w:val="single" w:sz="4" w:space="0" w:color="auto"/>
              <w:right w:val="single" w:sz="4" w:space="0" w:color="auto"/>
            </w:tcBorders>
            <w:vAlign w:val="center"/>
          </w:tcPr>
          <w:p w14:paraId="0B08EA3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一年定期开放债券型发起式证券投资基金</w:t>
            </w:r>
            <w:r>
              <w:rPr>
                <w:rFonts w:ascii="Times New Roman" w:hAnsi="Times New Roman"/>
                <w:color w:val="000000"/>
                <w:kern w:val="0"/>
                <w:sz w:val="25"/>
                <w:szCs w:val="24"/>
              </w:rPr>
              <w:t>2024</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700DE43E"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FFA1B6D"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rsidR="00647E97" w14:paraId="01F4CE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94AB97"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0687C635"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交银施罗德基金管理有限公司关于董事长（法定代表人）任职的公告</w:t>
            </w:r>
          </w:p>
        </w:tc>
        <w:tc>
          <w:tcPr>
            <w:tcW w:w="750" w:type="pct"/>
            <w:tcBorders>
              <w:top w:val="single" w:sz="4" w:space="0" w:color="auto"/>
              <w:left w:val="single" w:sz="4" w:space="0" w:color="auto"/>
              <w:bottom w:val="single" w:sz="4" w:space="0" w:color="auto"/>
              <w:right w:val="single" w:sz="4" w:space="0" w:color="auto"/>
            </w:tcBorders>
            <w:vAlign w:val="center"/>
          </w:tcPr>
          <w:p w14:paraId="21CB8698"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7F7368F"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rsidR="00647E97" w14:paraId="00F07A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9F7068"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2AA80C98"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14:paraId="0BF7E04A"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F642BC8"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rsidR="00647E97" w14:paraId="52933C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9D9708"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4CB7E340"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w:t>
            </w:r>
            <w:proofErr w:type="gramStart"/>
            <w:r>
              <w:rPr>
                <w:rFonts w:ascii="Times New Roman" w:hAnsi="Times New Roman"/>
                <w:color w:val="000000"/>
                <w:kern w:val="0"/>
                <w:sz w:val="25"/>
                <w:szCs w:val="24"/>
              </w:rPr>
              <w:t>裕道纯债</w:t>
            </w:r>
            <w:proofErr w:type="gramEnd"/>
            <w:r>
              <w:rPr>
                <w:rFonts w:ascii="Times New Roman" w:hAnsi="Times New Roman"/>
                <w:color w:val="000000"/>
                <w:kern w:val="0"/>
                <w:sz w:val="25"/>
                <w:szCs w:val="24"/>
              </w:rPr>
              <w:t>一年定期开放债券型发起式证券投资基金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595EF52" w14:textId="77777777" w:rsidR="00647E97" w:rsidRDefault="00022CF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0AEF83" w14:textId="77777777" w:rsidR="00647E97" w:rsidRDefault="00022CF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bl>
    <w:p w14:paraId="7582C2AB"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73117C" w14:textId="77777777" w:rsidR="00647E97" w:rsidRDefault="00022CF9">
      <w:pPr>
        <w:pStyle w:val="1"/>
        <w:snapToGrid w:val="0"/>
        <w:spacing w:beforeLines="0" w:before="240" w:after="240"/>
        <w:rPr>
          <w:rFonts w:ascii="宋体" w:hAnsi="宋体"/>
          <w:szCs w:val="30"/>
        </w:rPr>
      </w:pPr>
      <w:bookmarkStart w:id="27" w:name="_Toc193101063"/>
      <w:r>
        <w:rPr>
          <w:rFonts w:ascii="Times New Roman" w:hAnsi="Times New Roman"/>
          <w:sz w:val="30"/>
        </w:rPr>
        <w:lastRenderedPageBreak/>
        <w:t>二十四、招募说明书的存放及查阅方式</w:t>
      </w:r>
      <w:bookmarkEnd w:id="27"/>
    </w:p>
    <w:p w14:paraId="3D728329"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6D1E8FD0"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4880092F" w14:textId="77777777" w:rsidR="00647E97" w:rsidRDefault="00022CF9">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2ED3C31" w14:textId="77777777" w:rsidR="00647E97" w:rsidRDefault="00022CF9">
      <w:pPr>
        <w:pStyle w:val="1"/>
        <w:snapToGrid w:val="0"/>
        <w:spacing w:beforeLines="0" w:before="240" w:after="240"/>
        <w:rPr>
          <w:rFonts w:ascii="宋体" w:hAnsi="宋体"/>
          <w:szCs w:val="30"/>
        </w:rPr>
      </w:pPr>
      <w:bookmarkStart w:id="28" w:name="_Toc193101064"/>
      <w:r>
        <w:rPr>
          <w:rFonts w:ascii="Times New Roman" w:hAnsi="Times New Roman"/>
          <w:sz w:val="30"/>
        </w:rPr>
        <w:lastRenderedPageBreak/>
        <w:t>二十五、备查文件</w:t>
      </w:r>
      <w:bookmarkEnd w:id="28"/>
    </w:p>
    <w:p w14:paraId="122B2821"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1CAF2513"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w:t>
      </w:r>
      <w:proofErr w:type="gramStart"/>
      <w:r>
        <w:rPr>
          <w:rFonts w:ascii="宋体" w:hAnsi="宋体"/>
          <w:sz w:val="24"/>
        </w:rPr>
        <w:t>裕道纯债</w:t>
      </w:r>
      <w:proofErr w:type="gramEnd"/>
      <w:r>
        <w:rPr>
          <w:rFonts w:ascii="宋体" w:hAnsi="宋体"/>
          <w:sz w:val="24"/>
        </w:rPr>
        <w:t>一年定期开放债券型发起式证券投资基金募集注册的文件</w:t>
      </w:r>
    </w:p>
    <w:p w14:paraId="062E0E64"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（二）《交银施罗德裕道纯债一年定期开放债券型发起式证券投资基金基金合同》</w:t>
      </w:r>
    </w:p>
    <w:p w14:paraId="2FEAC68E"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（三）《交银施罗德裕道纯债一年定期开放债券型发起式证券投资基金托管协议》</w:t>
      </w:r>
    </w:p>
    <w:p w14:paraId="5CD00037"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32A51486"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02112AA8" w14:textId="77777777" w:rsidR="00647E97" w:rsidRDefault="00022CF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w:t>
      </w:r>
      <w:proofErr w:type="gramStart"/>
      <w:r>
        <w:rPr>
          <w:rFonts w:ascii="宋体" w:hAnsi="宋体"/>
          <w:sz w:val="24"/>
        </w:rPr>
        <w:t>裕道纯债</w:t>
      </w:r>
      <w:proofErr w:type="gramEnd"/>
      <w:r>
        <w:rPr>
          <w:rFonts w:ascii="宋体" w:hAnsi="宋体"/>
          <w:sz w:val="24"/>
        </w:rPr>
        <w:t>一年定期开放债券型发起式证券投资基金的法律意见书</w:t>
      </w:r>
    </w:p>
    <w:sectPr w:rsidR="00647E97">
      <w:footerReference w:type="default" r:id="rId14"/>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530AE" w14:textId="77777777" w:rsidR="00B9259F" w:rsidRDefault="00B9259F">
      <w:r>
        <w:separator/>
      </w:r>
    </w:p>
  </w:endnote>
  <w:endnote w:type="continuationSeparator" w:id="0">
    <w:p w14:paraId="075C7DE1" w14:textId="77777777" w:rsidR="00B9259F" w:rsidRDefault="00B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DB061" w14:textId="2FAFA7FF" w:rsidR="00022CF9" w:rsidRDefault="00F56CE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6D86C69D" wp14:editId="36ECA62C">
              <wp:simplePos x="0" y="0"/>
              <wp:positionH relativeFrom="page">
                <wp:posOffset>3726180</wp:posOffset>
              </wp:positionH>
              <wp:positionV relativeFrom="page">
                <wp:posOffset>9939020</wp:posOffset>
              </wp:positionV>
              <wp:extent cx="274320" cy="139700"/>
              <wp:effectExtent l="0" t="0" r="0" b="0"/>
              <wp:wrapNone/>
              <wp:docPr id="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FCF0D" w14:textId="4EB67B51" w:rsidR="00022CF9" w:rsidRDefault="00022CF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74945">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6C69D" id="_x0000_t202" coordsize="21600,21600" o:spt="202" path="m,l,21600r21600,l21600,xe">
              <v:stroke joinstyle="miter"/>
              <v:path gradientshapeok="t" o:connecttype="rect"/>
            </v:shapetype>
            <v:shape id="Text Box 1027"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" o:allowincell="f" filled="f" stroked="f">
              <v:textbox inset="0,0,0,0">
                <w:txbxContent>
                  <w:p w14:paraId="040FCF0D" w14:textId="4EB67B51" w:rsidR="00022CF9" w:rsidRDefault="00022CF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74945">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F9C8" w14:textId="397B19B5" w:rsidR="00022CF9" w:rsidRDefault="00F56CE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3D40BD93" wp14:editId="3D1A6AAC">
              <wp:simplePos x="0" y="0"/>
              <wp:positionH relativeFrom="page">
                <wp:posOffset>3698875</wp:posOffset>
              </wp:positionH>
              <wp:positionV relativeFrom="page">
                <wp:posOffset>9827895</wp:posOffset>
              </wp:positionV>
              <wp:extent cx="425450" cy="139700"/>
              <wp:effectExtent l="0" t="0" r="0" b="0"/>
              <wp:wrapNone/>
              <wp:docPr id="1"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B6AD" w14:textId="3D864D14" w:rsidR="00022CF9" w:rsidRDefault="00022CF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74945">
                            <w:rPr>
                              <w:rFonts w:ascii="Times New Roman" w:hAnsi="Times New Roman"/>
                              <w:noProof/>
                              <w:kern w:val="0"/>
                              <w:sz w:val="18"/>
                              <w:szCs w:val="18"/>
                            </w:rPr>
                            <w:t>123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0BD93" id="_x0000_t202" coordsize="21600,21600" o:spt="202" path="m,l,21600r21600,l21600,xe">
              <v:stroke joinstyle="miter"/>
              <v:path gradientshapeok="t" o:connecttype="rect"/>
            </v:shapetype>
            <v:shape id="Text Box 1029"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Odw4FsgIAALIF&#10;AAAOAAAAAAAAAAAAAAAAAC4CAABkcnMvZTJvRG9jLnhtbFBLAQItABQABgAIAAAAIQC6ialB4QAA&#10;AA0BAAAPAAAAAAAAAAAAAAAAAAwFAABkcnMvZG93bnJldi54bWxQSwUGAAAAAAQABADzAAAAGgYA&#10;AAAA&#10;" o:allowincell="f" filled="f" stroked="f">
              <v:textbox inset="0,0,0,0">
                <w:txbxContent>
                  <w:p w14:paraId="0CE4B6AD" w14:textId="3D864D14" w:rsidR="00022CF9" w:rsidRDefault="00022CF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74945">
                      <w:rPr>
                        <w:rFonts w:ascii="Times New Roman" w:hAnsi="Times New Roman"/>
                        <w:noProof/>
                        <w:kern w:val="0"/>
                        <w:sz w:val="18"/>
                        <w:szCs w:val="18"/>
                      </w:rPr>
                      <w:t>123</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71897" w14:textId="77777777" w:rsidR="00B9259F" w:rsidRDefault="00B9259F">
      <w:r>
        <w:separator/>
      </w:r>
    </w:p>
  </w:footnote>
  <w:footnote w:type="continuationSeparator" w:id="0">
    <w:p w14:paraId="0B98BCEB" w14:textId="77777777" w:rsidR="00B9259F" w:rsidRDefault="00B925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E099" w14:textId="1B0A2F76" w:rsidR="00022CF9" w:rsidRDefault="00F56CEC">
    <w:pPr>
      <w:pStyle w:val="aa"/>
      <w:jc w:val="right"/>
    </w:pPr>
    <w:r>
      <w:rPr>
        <w:noProof/>
      </w:rPr>
      <w:drawing>
        <wp:anchor distT="0" distB="0" distL="114300" distR="114300" simplePos="0" relativeHeight="251656704" behindDoc="0" locked="0" layoutInCell="1" allowOverlap="1" wp14:anchorId="10E00FD2" wp14:editId="35125315">
          <wp:simplePos x="0" y="0"/>
          <wp:positionH relativeFrom="column">
            <wp:posOffset>19050</wp:posOffset>
          </wp:positionH>
          <wp:positionV relativeFrom="paragraph">
            <wp:posOffset>-152400</wp:posOffset>
          </wp:positionV>
          <wp:extent cx="1714500" cy="238125"/>
          <wp:effectExtent l="0" t="0" r="0" b="0"/>
          <wp:wrapNone/>
          <wp:docPr id="1026"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7DDF11C" w14:textId="77777777" w:rsidR="00022CF9" w:rsidRDefault="00022CF9">
    <w:pPr>
      <w:pStyle w:val="aa"/>
      <w:jc w:val="right"/>
      <w:rPr>
        <w:rFonts w:ascii="宋体" w:hAnsi="宋体"/>
      </w:rPr>
    </w:pPr>
    <w:r>
      <w:rPr>
        <w:rFonts w:ascii="宋体" w:hAnsi="宋体" w:hint="eastAsia"/>
      </w:rPr>
      <w:t>交银施罗德</w:t>
    </w:r>
    <w:proofErr w:type="gramStart"/>
    <w:r>
      <w:rPr>
        <w:rFonts w:ascii="宋体" w:hAnsi="宋体" w:hint="eastAsia"/>
      </w:rPr>
      <w:t>裕道纯债</w:t>
    </w:r>
    <w:proofErr w:type="gramEnd"/>
    <w:r>
      <w:rPr>
        <w:rFonts w:ascii="宋体" w:hAnsi="宋体" w:hint="eastAsia"/>
      </w:rPr>
      <w:t>一年定期开放债券型发起式证券投资基金招募说明书更新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A8C0C" w14:textId="77777777" w:rsidR="00022CF9" w:rsidRDefault="00022CF9">
    <w:pPr>
      <w:pStyle w:val="11"/>
      <w:jc w:val="right"/>
    </w:pPr>
  </w:p>
  <w:p w14:paraId="2ADB92C2" w14:textId="77777777" w:rsidR="00022CF9" w:rsidRDefault="00022CF9">
    <w:pPr>
      <w:pStyle w:val="11"/>
      <w:jc w:val="right"/>
    </w:pPr>
  </w:p>
  <w:p w14:paraId="4499F39E" w14:textId="77777777" w:rsidR="00022CF9" w:rsidRDefault="00022CF9">
    <w:pPr>
      <w:pStyle w:val="aa"/>
      <w:jc w:val="right"/>
    </w:pPr>
  </w:p>
  <w:p w14:paraId="6123D7C0" w14:textId="6BF02C2C" w:rsidR="00022CF9" w:rsidRDefault="00F56CEC">
    <w:pPr>
      <w:pStyle w:val="aa"/>
      <w:jc w:val="right"/>
    </w:pPr>
    <w:r>
      <w:rPr>
        <w:noProof/>
      </w:rPr>
      <w:drawing>
        <wp:anchor distT="0" distB="0" distL="114300" distR="114300" simplePos="0" relativeHeight="251655680" behindDoc="0" locked="0" layoutInCell="1" allowOverlap="1" wp14:anchorId="3718DB69" wp14:editId="72B38487">
          <wp:simplePos x="0" y="0"/>
          <wp:positionH relativeFrom="column">
            <wp:posOffset>19050</wp:posOffset>
          </wp:positionH>
          <wp:positionV relativeFrom="paragraph">
            <wp:posOffset>-152400</wp:posOffset>
          </wp:positionV>
          <wp:extent cx="1714500" cy="238125"/>
          <wp:effectExtent l="0" t="0" r="0" b="0"/>
          <wp:wrapNone/>
          <wp:docPr id="102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3022B48B" w14:textId="77777777" w:rsidR="00022CF9" w:rsidRDefault="00022CF9">
    <w:pPr>
      <w:pStyle w:val="aa"/>
      <w:jc w:val="right"/>
      <w:rPr>
        <w:rFonts w:ascii="宋体" w:hAnsi="宋体"/>
      </w:rPr>
    </w:pPr>
    <w:r>
      <w:rPr>
        <w:rFonts w:ascii="宋体" w:hAnsi="宋体" w:hint="eastAsia"/>
      </w:rPr>
      <w:t>交银施罗德</w:t>
    </w:r>
    <w:proofErr w:type="gramStart"/>
    <w:r>
      <w:rPr>
        <w:rFonts w:ascii="宋体" w:hAnsi="宋体" w:hint="eastAsia"/>
      </w:rPr>
      <w:t>裕道纯债</w:t>
    </w:r>
    <w:proofErr w:type="gramEnd"/>
    <w:r>
      <w:rPr>
        <w:rFonts w:ascii="宋体" w:hAnsi="宋体" w:hint="eastAsia"/>
      </w:rPr>
      <w:t>一年定期开放债券型发起式证券投资基金招募说明书更新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5860E" w14:textId="77777777" w:rsidR="00022CF9" w:rsidRDefault="00022CF9">
    <w:pPr>
      <w:pStyle w:val="aa"/>
      <w:jc w:val="right"/>
    </w:pPr>
  </w:p>
  <w:p w14:paraId="5424A20C" w14:textId="77777777" w:rsidR="00022CF9" w:rsidRDefault="00022CF9">
    <w:pPr>
      <w:pStyle w:val="aa"/>
      <w:jc w:val="right"/>
    </w:pPr>
  </w:p>
  <w:p w14:paraId="1C6993D5" w14:textId="77777777" w:rsidR="00022CF9" w:rsidRDefault="00022CF9">
    <w:pPr>
      <w:pStyle w:val="aa"/>
      <w:jc w:val="right"/>
    </w:pPr>
  </w:p>
  <w:p w14:paraId="19591452" w14:textId="6309A19A" w:rsidR="00022CF9" w:rsidRDefault="00F56CEC">
    <w:pPr>
      <w:pStyle w:val="aa"/>
      <w:jc w:val="right"/>
    </w:pPr>
    <w:r>
      <w:rPr>
        <w:noProof/>
      </w:rPr>
      <w:drawing>
        <wp:anchor distT="0" distB="0" distL="114300" distR="114300" simplePos="0" relativeHeight="251657728" behindDoc="0" locked="0" layoutInCell="1" allowOverlap="1" wp14:anchorId="096D3B46" wp14:editId="5A49FA06">
          <wp:simplePos x="0" y="0"/>
          <wp:positionH relativeFrom="column">
            <wp:posOffset>19050</wp:posOffset>
          </wp:positionH>
          <wp:positionV relativeFrom="paragraph">
            <wp:posOffset>-152400</wp:posOffset>
          </wp:positionV>
          <wp:extent cx="1714500" cy="238125"/>
          <wp:effectExtent l="0" t="0" r="0" b="0"/>
          <wp:wrapNone/>
          <wp:docPr id="1028"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586E802" w14:textId="77777777" w:rsidR="00022CF9" w:rsidRDefault="00022CF9">
    <w:pPr>
      <w:pStyle w:val="aa"/>
      <w:jc w:val="right"/>
      <w:rPr>
        <w:rFonts w:ascii="宋体" w:hAnsi="宋体"/>
      </w:rPr>
    </w:pPr>
    <w:r>
      <w:rPr>
        <w:rFonts w:ascii="宋体" w:hAnsi="宋体" w:hint="eastAsia"/>
      </w:rPr>
      <w:t>交银施罗德</w:t>
    </w:r>
    <w:proofErr w:type="gramStart"/>
    <w:r>
      <w:rPr>
        <w:rFonts w:ascii="宋体" w:hAnsi="宋体" w:hint="eastAsia"/>
      </w:rPr>
      <w:t>裕道纯债</w:t>
    </w:r>
    <w:proofErr w:type="gramEnd"/>
    <w:r>
      <w:rPr>
        <w:rFonts w:ascii="宋体" w:hAnsi="宋体" w:hint="eastAsia"/>
      </w:rPr>
      <w:t>一年定期开放债券型发起式证券投资基金招募说明书更新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2CF9"/>
    <w:rsid w:val="00026A29"/>
    <w:rsid w:val="00026D00"/>
    <w:rsid w:val="00027C73"/>
    <w:rsid w:val="00030964"/>
    <w:rsid w:val="00030F3E"/>
    <w:rsid w:val="000368A2"/>
    <w:rsid w:val="00044AFD"/>
    <w:rsid w:val="00044E2C"/>
    <w:rsid w:val="000457B7"/>
    <w:rsid w:val="0004614E"/>
    <w:rsid w:val="00046212"/>
    <w:rsid w:val="00047535"/>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1204"/>
    <w:rsid w:val="000B359E"/>
    <w:rsid w:val="000B3894"/>
    <w:rsid w:val="000B4E04"/>
    <w:rsid w:val="000C1E1E"/>
    <w:rsid w:val="000C38F1"/>
    <w:rsid w:val="000C5E77"/>
    <w:rsid w:val="000C68E9"/>
    <w:rsid w:val="000D0ADE"/>
    <w:rsid w:val="000D179E"/>
    <w:rsid w:val="000D1B06"/>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22D3"/>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43EE"/>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1EFE"/>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E6B32"/>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2721E"/>
    <w:rsid w:val="0033051E"/>
    <w:rsid w:val="0033401D"/>
    <w:rsid w:val="00334456"/>
    <w:rsid w:val="00336150"/>
    <w:rsid w:val="00336E99"/>
    <w:rsid w:val="00341D9A"/>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002F"/>
    <w:rsid w:val="0038254F"/>
    <w:rsid w:val="003828EC"/>
    <w:rsid w:val="00383488"/>
    <w:rsid w:val="003843BB"/>
    <w:rsid w:val="003859DA"/>
    <w:rsid w:val="00386153"/>
    <w:rsid w:val="00386BA7"/>
    <w:rsid w:val="00390B48"/>
    <w:rsid w:val="0039213A"/>
    <w:rsid w:val="00393BF6"/>
    <w:rsid w:val="00395D4D"/>
    <w:rsid w:val="00396D64"/>
    <w:rsid w:val="00396F00"/>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D41F4"/>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3D19"/>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4DC2"/>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3E8F"/>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47E97"/>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6D5E"/>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6A63"/>
    <w:rsid w:val="00857A96"/>
    <w:rsid w:val="00861FE5"/>
    <w:rsid w:val="0086376D"/>
    <w:rsid w:val="008703C2"/>
    <w:rsid w:val="0087209F"/>
    <w:rsid w:val="008806CC"/>
    <w:rsid w:val="008849E6"/>
    <w:rsid w:val="0088513E"/>
    <w:rsid w:val="00886300"/>
    <w:rsid w:val="0089099F"/>
    <w:rsid w:val="00890AAF"/>
    <w:rsid w:val="00892ECB"/>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27D5C"/>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23E3E"/>
    <w:rsid w:val="00B32541"/>
    <w:rsid w:val="00B3267F"/>
    <w:rsid w:val="00B3510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259F"/>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74632"/>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2029"/>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192"/>
    <w:rsid w:val="00E2692D"/>
    <w:rsid w:val="00E271C2"/>
    <w:rsid w:val="00E27AC2"/>
    <w:rsid w:val="00E30031"/>
    <w:rsid w:val="00E329A6"/>
    <w:rsid w:val="00E34CB5"/>
    <w:rsid w:val="00E36419"/>
    <w:rsid w:val="00E37789"/>
    <w:rsid w:val="00E413E3"/>
    <w:rsid w:val="00E42265"/>
    <w:rsid w:val="00E4243C"/>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4945"/>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0F8C"/>
    <w:rsid w:val="00F0376E"/>
    <w:rsid w:val="00F044B3"/>
    <w:rsid w:val="00F05E83"/>
    <w:rsid w:val="00F075B6"/>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18B8"/>
    <w:rsid w:val="00F45532"/>
    <w:rsid w:val="00F45ED2"/>
    <w:rsid w:val="00F5362E"/>
    <w:rsid w:val="00F53C4F"/>
    <w:rsid w:val="00F56A51"/>
    <w:rsid w:val="00F56CEC"/>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018570D5"/>
    <w:rsid w:val="02151416"/>
    <w:rsid w:val="08280CF2"/>
    <w:rsid w:val="135B5844"/>
    <w:rsid w:val="148B4D3C"/>
    <w:rsid w:val="148B6354"/>
    <w:rsid w:val="1A113708"/>
    <w:rsid w:val="1AF7212B"/>
    <w:rsid w:val="2E293DC7"/>
    <w:rsid w:val="30BB4A65"/>
    <w:rsid w:val="311445C9"/>
    <w:rsid w:val="48BF75E9"/>
    <w:rsid w:val="4D8212ED"/>
    <w:rsid w:val="51F81F39"/>
    <w:rsid w:val="55352B94"/>
    <w:rsid w:val="61405613"/>
    <w:rsid w:val="642028FF"/>
    <w:rsid w:val="653214FC"/>
    <w:rsid w:val="675D3B9A"/>
    <w:rsid w:val="6BA01F21"/>
    <w:rsid w:val="724135EB"/>
    <w:rsid w:val="792C2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FF61B"/>
  <w15:docId w15:val="{958FCFC9-77F9-49CD-94A8-049CE16E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nhideWhenUsed/>
    <w:qFormat/>
    <w:pPr>
      <w:jc w:val="left"/>
    </w:pPr>
  </w:style>
  <w:style w:type="paragraph" w:styleId="a7">
    <w:name w:val="Balloon Text"/>
    <w:basedOn w:val="a"/>
    <w:semiHidden/>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qFormat/>
    <w:pPr>
      <w:ind w:leftChars="200" w:left="480"/>
    </w:pPr>
  </w:style>
  <w:style w:type="paragraph" w:styleId="ae">
    <w:name w:val="annotation subject"/>
    <w:basedOn w:val="a5"/>
    <w:next w:val="a5"/>
    <w:link w:val="af"/>
    <w:uiPriority w:val="99"/>
    <w:unhideWhenUsed/>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af1">
    <w:name w:val="Hyperlink"/>
    <w:uiPriority w:val="99"/>
    <w:unhideWhenUsed/>
    <w:qFormat/>
    <w:rPr>
      <w:color w:val="0000FF"/>
      <w:u w:val="single"/>
    </w:rPr>
  </w:style>
  <w:style w:type="character" w:styleId="af2">
    <w:name w:val="annotation reference"/>
    <w:unhideWhenUsed/>
    <w:qFormat/>
    <w:rPr>
      <w:sz w:val="21"/>
      <w:szCs w:val="21"/>
    </w:rPr>
  </w:style>
  <w:style w:type="paragraph" w:customStyle="1" w:styleId="Style19">
    <w:name w:val="_Style 19"/>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c"/>
    <w:next w:val="4"/>
    <w:qFormat/>
    <w:pPr>
      <w:keepNext/>
      <w:keepLines/>
      <w:numPr>
        <w:ilvl w:val="5"/>
        <w:numId w:val="1"/>
      </w:numPr>
      <w:ind w:left="0" w:firstLine="0"/>
      <w:jc w:val="left"/>
    </w:pPr>
    <w:rPr>
      <w:bCs w:val="0"/>
      <w:sz w:val="24"/>
    </w:rPr>
  </w:style>
  <w:style w:type="paragraph" w:customStyle="1" w:styleId="Style21">
    <w:name w:val="_Style 21"/>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c"/>
    <w:next w:val="4"/>
    <w:qFormat/>
    <w:pPr>
      <w:keepNext/>
      <w:keepLines/>
      <w:numPr>
        <w:ilvl w:val="1"/>
        <w:numId w:val="1"/>
      </w:numPr>
      <w:jc w:val="left"/>
    </w:pPr>
    <w:rPr>
      <w:bCs w:val="0"/>
      <w:sz w:val="24"/>
    </w:rPr>
  </w:style>
  <w:style w:type="paragraph" w:customStyle="1" w:styleId="XBRLTitle3">
    <w:name w:val="XBRLTitle3"/>
    <w:basedOn w:val="ac"/>
    <w:next w:val="4"/>
    <w:qFormat/>
    <w:pPr>
      <w:keepNext/>
      <w:keepLines/>
      <w:numPr>
        <w:ilvl w:val="2"/>
        <w:numId w:val="1"/>
      </w:numPr>
      <w:ind w:left="0" w:firstLine="0"/>
      <w:jc w:val="left"/>
    </w:pPr>
    <w:rPr>
      <w:bCs w:val="0"/>
      <w:sz w:val="24"/>
    </w:rPr>
  </w:style>
  <w:style w:type="paragraph" w:customStyle="1" w:styleId="XBRLTitle5">
    <w:name w:val="XBRLTitle5"/>
    <w:basedOn w:val="ac"/>
    <w:next w:val="4"/>
    <w:qFormat/>
    <w:pPr>
      <w:keepNext/>
      <w:keepLines/>
      <w:numPr>
        <w:ilvl w:val="4"/>
        <w:numId w:val="1"/>
      </w:numPr>
      <w:ind w:left="0" w:firstLine="0"/>
      <w:jc w:val="left"/>
    </w:pPr>
    <w:rPr>
      <w:bCs w:val="0"/>
      <w:sz w:val="24"/>
    </w:rPr>
  </w:style>
  <w:style w:type="paragraph" w:customStyle="1" w:styleId="XBRLTitle4">
    <w:name w:val="XBRLTitle4"/>
    <w:basedOn w:val="ac"/>
    <w:next w:val="4"/>
    <w:qFormat/>
    <w:pPr>
      <w:keepNext/>
      <w:keepLines/>
      <w:numPr>
        <w:ilvl w:val="3"/>
        <w:numId w:val="1"/>
      </w:numPr>
      <w:ind w:left="0" w:firstLine="0"/>
      <w:jc w:val="left"/>
    </w:pPr>
    <w:rPr>
      <w:bCs w:val="0"/>
      <w:sz w:val="24"/>
    </w:rPr>
  </w:style>
  <w:style w:type="character" w:customStyle="1" w:styleId="Char1">
    <w:name w:val="副标题 Char1"/>
    <w:qFormat/>
    <w:rPr>
      <w:rFonts w:ascii="Cambria" w:hAnsi="Cambria"/>
      <w:b/>
      <w:kern w:val="28"/>
      <w:sz w:val="24"/>
      <w:szCs w:val="32"/>
    </w:rPr>
  </w:style>
  <w:style w:type="character" w:customStyle="1" w:styleId="txtcontent11">
    <w:name w:val="txtcontent11"/>
    <w:qFormat/>
    <w:rPr>
      <w:rFonts w:ascii="ˎ̥" w:hAnsi="ˎ̥" w:hint="default"/>
      <w:color w:val="000000"/>
      <w:sz w:val="21"/>
      <w:szCs w:val="21"/>
    </w:rPr>
  </w:style>
  <w:style w:type="character" w:customStyle="1" w:styleId="a6">
    <w:name w:val="批注文字 字符"/>
    <w:link w:val="a5"/>
    <w:qFormat/>
    <w:rPr>
      <w:kern w:val="2"/>
      <w:sz w:val="21"/>
      <w:szCs w:val="22"/>
    </w:rPr>
  </w:style>
  <w:style w:type="character" w:customStyle="1" w:styleId="af">
    <w:name w:val="批注主题 字符"/>
    <w:link w:val="ae"/>
    <w:uiPriority w:val="99"/>
    <w:semiHidden/>
    <w:qFormat/>
    <w:rPr>
      <w:b/>
      <w:bCs/>
      <w:kern w:val="2"/>
      <w:sz w:val="21"/>
      <w:szCs w:val="22"/>
    </w:rPr>
  </w:style>
  <w:style w:type="character" w:customStyle="1" w:styleId="ab">
    <w:name w:val="页眉 字符"/>
    <w:link w:val="aa"/>
    <w:uiPriority w:val="99"/>
    <w:qFormat/>
    <w:rPr>
      <w:sz w:val="18"/>
      <w:szCs w:val="18"/>
    </w:rPr>
  </w:style>
  <w:style w:type="character" w:customStyle="1" w:styleId="ad">
    <w:name w:val="副标题 字符"/>
    <w:link w:val="ac"/>
    <w:qFormat/>
    <w:rPr>
      <w:rFonts w:ascii="Cambria" w:hAnsi="Cambria" w:cs="Times New Roman"/>
      <w:b/>
      <w:bCs/>
      <w:kern w:val="28"/>
      <w:sz w:val="32"/>
      <w:szCs w:val="32"/>
    </w:rPr>
  </w:style>
  <w:style w:type="character" w:customStyle="1" w:styleId="a4">
    <w:name w:val="文档结构图 字符"/>
    <w:link w:val="a3"/>
    <w:uiPriority w:val="99"/>
    <w:semiHidden/>
    <w:qFormat/>
    <w:rPr>
      <w:rFonts w:ascii="宋体"/>
      <w:kern w:val="2"/>
      <w:sz w:val="18"/>
      <w:szCs w:val="18"/>
    </w:rPr>
  </w:style>
  <w:style w:type="character" w:customStyle="1" w:styleId="a9">
    <w:name w:val="页脚 字符"/>
    <w:link w:val="a8"/>
    <w:uiPriority w:val="99"/>
    <w:qFormat/>
    <w:rPr>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40">
    <w:name w:val="标题 4 字符"/>
    <w:link w:val="4"/>
    <w:uiPriority w:val="9"/>
    <w:semiHidden/>
    <w:qFormat/>
    <w:rPr>
      <w:rFonts w:ascii="Cambria" w:eastAsia="宋体" w:hAnsi="Cambria" w:cs="Times New Roman"/>
      <w:b/>
      <w:bCs/>
      <w:kern w:val="2"/>
      <w:sz w:val="28"/>
      <w:szCs w:val="28"/>
    </w:rPr>
  </w:style>
  <w:style w:type="character" w:customStyle="1" w:styleId="10">
    <w:name w:val="标题 1 字符"/>
    <w:link w:val="1"/>
    <w:uiPriority w:val="9"/>
    <w:qFormat/>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customShpInfo spid="_x0000_s4097"/>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128</Pages>
  <Words>13699</Words>
  <Characters>78088</Characters>
  <Application>Microsoft Office Word</Application>
  <DocSecurity>0</DocSecurity>
  <Lines>650</Lines>
  <Paragraphs>183</Paragraphs>
  <ScaleCrop>false</ScaleCrop>
  <Company>Microsoft</Company>
  <LinksUpToDate>false</LinksUpToDate>
  <CharactersWithSpaces>91604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张婧</cp:lastModifiedBy>
  <cp:revision>6</cp:revision>
  <cp:lastPrinted>2013-02-18T03:10:00Z</cp:lastPrinted>
  <dcterms:created xsi:type="dcterms:W3CDTF">2025-04-07T05:40:00Z</dcterms:created>
  <dcterms:modified xsi:type="dcterms:W3CDTF">2025-04-07T05:51:00Z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C446154A74A546909771A9F85690BA97</vt:lpwstr>
  </property>
</Properties>
</file>