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18" w:rsidRPr="00582DE6" w:rsidRDefault="0082495B">
      <w:pPr>
        <w:jc w:val="center"/>
        <w:outlineLvl w:val="0"/>
        <w:rPr>
          <w:rFonts w:ascii="方正小标宋_GBK" w:eastAsia="方正小标宋_GBK" w:hAnsi="方正仿宋_GBK" w:cs="方正仿宋_GBK"/>
          <w:sz w:val="30"/>
          <w:szCs w:val="30"/>
        </w:rPr>
      </w:pPr>
      <w:bookmarkStart w:id="0" w:name="_Toc510201001"/>
      <w:bookmarkStart w:id="1" w:name="_Toc436040501"/>
      <w:bookmarkStart w:id="2" w:name="_Toc435537850"/>
      <w:bookmarkStart w:id="3" w:name="_Toc435537894"/>
      <w:bookmarkStart w:id="4" w:name="_Toc435538034"/>
      <w:bookmarkStart w:id="5" w:name="_Toc435538201"/>
      <w:bookmarkStart w:id="6" w:name="_Toc435716465"/>
      <w:bookmarkEnd w:id="0"/>
      <w:bookmarkEnd w:id="1"/>
      <w:bookmarkEnd w:id="2"/>
      <w:bookmarkEnd w:id="3"/>
      <w:bookmarkEnd w:id="4"/>
      <w:bookmarkEnd w:id="5"/>
      <w:bookmarkEnd w:id="6"/>
      <w:r w:rsidRPr="00582DE6">
        <w:rPr>
          <w:rFonts w:ascii="方正小标宋_GBK" w:eastAsia="方正小标宋_GBK" w:hAnsi="方正仿宋_GBK" w:cs="方正仿宋_GBK" w:hint="eastAsia"/>
          <w:sz w:val="30"/>
          <w:szCs w:val="30"/>
        </w:rPr>
        <w:t>交银施罗德基金管理有限公司</w:t>
      </w:r>
      <w:r w:rsidR="00F64A5C" w:rsidRPr="00582DE6"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Pr="00582DE6">
        <w:rPr>
          <w:rFonts w:ascii="方正小标宋_GBK" w:eastAsia="方正小标宋_GBK" w:hAnsi="方正仿宋_GBK" w:cs="方正仿宋_GBK"/>
          <w:sz w:val="30"/>
          <w:szCs w:val="30"/>
        </w:rPr>
        <w:br/>
      </w:r>
      <w:r w:rsidRPr="00582DE6">
        <w:rPr>
          <w:rFonts w:ascii="方正小标宋_GBK" w:eastAsia="方正小标宋_GBK" w:hAnsi="方正仿宋_GBK" w:cs="方正仿宋_GBK" w:hint="eastAsia"/>
          <w:sz w:val="30"/>
          <w:szCs w:val="30"/>
        </w:rPr>
        <w:t>旗下公募基金通过证券公司交易及佣金支付情况</w:t>
      </w:r>
      <w:r w:rsidR="001D3ECD">
        <w:rPr>
          <w:rFonts w:ascii="方正小标宋_GBK" w:eastAsia="方正小标宋_GBK" w:hAnsi="方正仿宋_GBK" w:cs="方正仿宋_GBK" w:hint="eastAsia"/>
          <w:sz w:val="30"/>
          <w:szCs w:val="30"/>
        </w:rPr>
        <w:t>公告</w:t>
      </w:r>
      <w:bookmarkStart w:id="7" w:name="_GoBack"/>
      <w:bookmarkEnd w:id="7"/>
      <w:r w:rsidRPr="00582DE6">
        <w:rPr>
          <w:rFonts w:ascii="方正小标宋_GBK" w:eastAsia="方正小标宋_GBK" w:hAnsi="方正仿宋_GBK" w:cs="方正仿宋_GBK"/>
          <w:sz w:val="30"/>
          <w:szCs w:val="30"/>
        </w:rPr>
        <w:br/>
        <w:t>(2024年度)</w:t>
      </w:r>
    </w:p>
    <w:p w:rsidR="00142818" w:rsidRDefault="0082495B">
      <w:pPr>
        <w:spacing w:line="320" w:lineRule="exact"/>
        <w:jc w:val="left"/>
        <w:rPr>
          <w:rFonts w:ascii="宋体" w:eastAsia="宋体" w:hAnsi="宋体" w:cs="宋体"/>
          <w:iCs/>
          <w:sz w:val="24"/>
          <w:szCs w:val="24"/>
        </w:rPr>
      </w:pPr>
      <w:r>
        <w:rPr>
          <w:rFonts w:ascii="宋体" w:eastAsia="宋体" w:hAnsi="宋体" w:cs="宋体" w:hint="eastAsia"/>
          <w:iCs/>
          <w:sz w:val="24"/>
          <w:szCs w:val="24"/>
        </w:rPr>
        <w:t xml:space="preserve">　 </w:t>
      </w:r>
    </w:p>
    <w:p w:rsidR="00142818" w:rsidRPr="00582DE6" w:rsidRDefault="0082495B" w:rsidP="00582DE6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bookmarkStart w:id="8" w:name="_Toc187947603"/>
      <w:r w:rsidRPr="00582DE6">
        <w:rPr>
          <w:rFonts w:ascii="宋体" w:eastAsia="宋体" w:hAnsi="宋体" w:cs="宋体" w:hint="eastAsia"/>
          <w:b/>
          <w:kern w:val="0"/>
          <w:sz w:val="24"/>
          <w:szCs w:val="24"/>
        </w:rPr>
        <w:t>选择证券公司参与证券交易的标准和程序</w:t>
      </w:r>
      <w:bookmarkEnd w:id="8"/>
      <w:r w:rsidRPr="00582DE6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606DFD" w:rsidRPr="00582DE6" w:rsidRDefault="00606DFD" w:rsidP="00582DE6">
      <w:pPr>
        <w:pStyle w:val="XBRLTitle1"/>
        <w:numPr>
          <w:ilvl w:val="0"/>
          <w:numId w:val="0"/>
        </w:numPr>
        <w:spacing w:line="440" w:lineRule="exact"/>
        <w:contextualSpacing/>
        <w:rPr>
          <w:rFonts w:ascii="宋体" w:eastAsia="宋体" w:hAnsi="宋体" w:cs="宋体"/>
          <w:kern w:val="0"/>
          <w:sz w:val="24"/>
          <w:szCs w:val="24"/>
        </w:rPr>
      </w:pPr>
      <w:r w:rsidRPr="00582DE6">
        <w:rPr>
          <w:rFonts w:ascii="宋体" w:eastAsia="宋体" w:hAnsi="宋体" w:cs="宋体" w:hint="eastAsia"/>
          <w:kern w:val="0"/>
          <w:sz w:val="24"/>
          <w:szCs w:val="24"/>
        </w:rPr>
        <w:t>（一）基金管理人选择证券公司的标准</w:t>
      </w:r>
    </w:p>
    <w:p w:rsidR="002A6ACD" w:rsidRPr="00582DE6" w:rsidRDefault="00606DFD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82DE6">
        <w:rPr>
          <w:rFonts w:ascii="宋体" w:eastAsia="宋体" w:hAnsi="宋体"/>
          <w:kern w:val="0"/>
          <w:sz w:val="24"/>
          <w:szCs w:val="24"/>
        </w:rPr>
        <w:t>1、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财务状况良好，经营行为规范，合规风控能力较强；</w:t>
      </w:r>
    </w:p>
    <w:p w:rsidR="002A6ACD" w:rsidRPr="00582DE6" w:rsidRDefault="00606DFD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82DE6">
        <w:rPr>
          <w:rFonts w:ascii="宋体" w:eastAsia="宋体" w:hAnsi="宋体"/>
          <w:kern w:val="0"/>
          <w:sz w:val="24"/>
          <w:szCs w:val="24"/>
        </w:rPr>
        <w:t>2、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交易、研究等服务能力较强；</w:t>
      </w:r>
    </w:p>
    <w:p w:rsidR="002A6ACD" w:rsidRPr="00582DE6" w:rsidRDefault="00606DFD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82DE6">
        <w:rPr>
          <w:rFonts w:ascii="宋体" w:eastAsia="宋体" w:hAnsi="宋体"/>
          <w:kern w:val="0"/>
          <w:sz w:val="24"/>
          <w:szCs w:val="24"/>
        </w:rPr>
        <w:t>3、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研究报告逻辑清晰、数据翔实、观点结论明确，报告内容与数量有连续性；</w:t>
      </w:r>
    </w:p>
    <w:p w:rsidR="002A6ACD" w:rsidRPr="00582DE6" w:rsidRDefault="00606DFD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82DE6">
        <w:rPr>
          <w:rFonts w:ascii="宋体" w:eastAsia="宋体" w:hAnsi="宋体"/>
          <w:kern w:val="0"/>
          <w:sz w:val="24"/>
          <w:szCs w:val="24"/>
        </w:rPr>
        <w:t>4、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能及时解决公司提出的研究需求，</w:t>
      </w:r>
      <w:r w:rsidR="00F26C5B">
        <w:rPr>
          <w:rFonts w:ascii="宋体" w:eastAsia="宋体" w:hAnsi="宋体" w:hint="eastAsia"/>
          <w:kern w:val="0"/>
          <w:sz w:val="24"/>
          <w:szCs w:val="24"/>
        </w:rPr>
        <w:t>符合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公司投资研究相关工作</w:t>
      </w:r>
      <w:r w:rsidR="00F26C5B">
        <w:rPr>
          <w:rFonts w:ascii="宋体" w:eastAsia="宋体" w:hAnsi="宋体" w:hint="eastAsia"/>
          <w:kern w:val="0"/>
          <w:sz w:val="24"/>
          <w:szCs w:val="24"/>
        </w:rPr>
        <w:t>需要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；</w:t>
      </w:r>
    </w:p>
    <w:p w:rsidR="002A6ACD" w:rsidRPr="00582DE6" w:rsidRDefault="00606DFD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 w:rsidRPr="00582DE6">
        <w:rPr>
          <w:rFonts w:ascii="宋体" w:eastAsia="宋体" w:hAnsi="宋体"/>
          <w:kern w:val="0"/>
          <w:sz w:val="24"/>
          <w:szCs w:val="24"/>
        </w:rPr>
        <w:t>5、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投研团队认可度较高。</w:t>
      </w:r>
    </w:p>
    <w:p w:rsidR="002A6ACD" w:rsidRPr="00582DE6" w:rsidRDefault="002A6ACD" w:rsidP="00582DE6">
      <w:pPr>
        <w:pStyle w:val="XBRLTitle1"/>
        <w:numPr>
          <w:ilvl w:val="0"/>
          <w:numId w:val="0"/>
        </w:numPr>
        <w:rPr>
          <w:rFonts w:ascii="宋体" w:eastAsia="宋体" w:hAnsi="宋体"/>
          <w:kern w:val="0"/>
          <w:sz w:val="24"/>
          <w:szCs w:val="24"/>
        </w:rPr>
      </w:pPr>
    </w:p>
    <w:p w:rsidR="00606DFD" w:rsidRPr="00582DE6" w:rsidRDefault="00606DFD" w:rsidP="00582DE6">
      <w:pPr>
        <w:pStyle w:val="XBRLTitle1"/>
        <w:numPr>
          <w:ilvl w:val="0"/>
          <w:numId w:val="0"/>
        </w:numPr>
        <w:rPr>
          <w:rFonts w:ascii="宋体" w:eastAsia="宋体" w:hAnsi="宋体"/>
          <w:kern w:val="0"/>
          <w:sz w:val="24"/>
          <w:szCs w:val="24"/>
        </w:rPr>
      </w:pPr>
      <w:r w:rsidRPr="00582DE6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Pr="00582DE6">
        <w:rPr>
          <w:rFonts w:ascii="宋体" w:eastAsia="宋体" w:hAnsi="宋体" w:cs="宋体"/>
          <w:kern w:val="0"/>
          <w:sz w:val="24"/>
          <w:szCs w:val="24"/>
        </w:rPr>
        <w:t>基金管理人选择证券公司的</w:t>
      </w:r>
      <w:r w:rsidR="00F64A5C" w:rsidRPr="00582DE6">
        <w:rPr>
          <w:rFonts w:ascii="宋体" w:eastAsia="宋体" w:hAnsi="宋体" w:cs="宋体" w:hint="eastAsia"/>
          <w:kern w:val="0"/>
          <w:sz w:val="24"/>
          <w:szCs w:val="24"/>
        </w:rPr>
        <w:t>程序</w:t>
      </w:r>
    </w:p>
    <w:p w:rsidR="002A6ACD" w:rsidRPr="00582DE6" w:rsidRDefault="00F26C5B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对于已参与考评的</w:t>
      </w:r>
      <w:r w:rsidR="00D81111" w:rsidRPr="00C82285">
        <w:rPr>
          <w:rFonts w:ascii="宋体" w:eastAsia="宋体" w:hAnsi="宋体"/>
          <w:kern w:val="0"/>
          <w:sz w:val="24"/>
          <w:szCs w:val="24"/>
        </w:rPr>
        <w:t>证券公司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，要求符合上述标准。参与考评券商名单每年提交</w:t>
      </w:r>
      <w:r w:rsidR="00D81111">
        <w:rPr>
          <w:rFonts w:ascii="宋体" w:eastAsia="宋体" w:hAnsi="宋体" w:hint="eastAsia"/>
          <w:kern w:val="0"/>
          <w:sz w:val="24"/>
          <w:szCs w:val="24"/>
        </w:rPr>
        <w:t>公司</w:t>
      </w:r>
      <w:r w:rsidR="00BD0ED9">
        <w:rPr>
          <w:rFonts w:ascii="宋体" w:eastAsia="宋体" w:hAnsi="宋体" w:hint="eastAsia"/>
          <w:kern w:val="0"/>
          <w:sz w:val="24"/>
          <w:szCs w:val="24"/>
        </w:rPr>
        <w:t>投资决策委员会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审议。</w:t>
      </w:r>
    </w:p>
    <w:p w:rsidR="002A6ACD" w:rsidRPr="00582DE6" w:rsidRDefault="00F26C5B" w:rsidP="00582DE6">
      <w:pPr>
        <w:pStyle w:val="XBRLTitle1"/>
        <w:numPr>
          <w:ilvl w:val="0"/>
          <w:numId w:val="0"/>
        </w:numPr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/>
          <w:kern w:val="0"/>
          <w:sz w:val="24"/>
          <w:szCs w:val="24"/>
        </w:rPr>
        <w:t>2</w:t>
      </w:r>
      <w:r>
        <w:rPr>
          <w:rFonts w:ascii="宋体" w:eastAsia="宋体" w:hAnsi="宋体" w:hint="eastAsia"/>
          <w:kern w:val="0"/>
          <w:sz w:val="24"/>
          <w:szCs w:val="24"/>
        </w:rPr>
        <w:t>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对于未参与考评的券商，</w:t>
      </w:r>
      <w:r w:rsidR="00D81111">
        <w:rPr>
          <w:rFonts w:ascii="宋体" w:eastAsia="宋体" w:hAnsi="宋体" w:hint="eastAsia"/>
          <w:kern w:val="0"/>
          <w:sz w:val="24"/>
          <w:szCs w:val="24"/>
        </w:rPr>
        <w:t>由</w:t>
      </w:r>
      <w:r w:rsidR="00F64A5C" w:rsidRPr="00582DE6">
        <w:rPr>
          <w:rFonts w:ascii="宋体" w:eastAsia="宋体" w:hAnsi="宋体" w:hint="eastAsia"/>
          <w:kern w:val="0"/>
          <w:sz w:val="24"/>
          <w:szCs w:val="24"/>
        </w:rPr>
        <w:t>公司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权益研究部先对该券商进行研究对接，评估研究支持服务质量。若权益研究部评估该券商研究服务质量良好，</w:t>
      </w:r>
      <w:r w:rsidR="00BD6076">
        <w:rPr>
          <w:rFonts w:ascii="宋体" w:eastAsia="宋体" w:hAnsi="宋体" w:hint="eastAsia"/>
          <w:kern w:val="0"/>
          <w:sz w:val="24"/>
          <w:szCs w:val="24"/>
        </w:rPr>
        <w:t>符合</w:t>
      </w:r>
      <w:r w:rsidR="00F64A5C" w:rsidRPr="00582DE6">
        <w:rPr>
          <w:rFonts w:ascii="宋体" w:eastAsia="宋体" w:hAnsi="宋体" w:hint="eastAsia"/>
          <w:kern w:val="0"/>
          <w:sz w:val="24"/>
          <w:szCs w:val="24"/>
        </w:rPr>
        <w:t>公司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投研工作</w:t>
      </w:r>
      <w:r w:rsidR="00BD6076">
        <w:rPr>
          <w:rFonts w:ascii="宋体" w:eastAsia="宋体" w:hAnsi="宋体" w:hint="eastAsia"/>
          <w:kern w:val="0"/>
          <w:sz w:val="24"/>
          <w:szCs w:val="24"/>
        </w:rPr>
        <w:t>需要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，结合对券商</w:t>
      </w:r>
      <w:r w:rsidR="005037EE">
        <w:rPr>
          <w:rFonts w:ascii="宋体" w:eastAsia="宋体" w:hAnsi="宋体" w:hint="eastAsia"/>
          <w:kern w:val="0"/>
          <w:sz w:val="24"/>
          <w:szCs w:val="24"/>
        </w:rPr>
        <w:t>开展的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尽职调查，</w:t>
      </w:r>
      <w:r w:rsidR="005037EE">
        <w:rPr>
          <w:rFonts w:ascii="宋体" w:eastAsia="宋体" w:hAnsi="宋体" w:hint="eastAsia"/>
          <w:kern w:val="0"/>
          <w:sz w:val="24"/>
          <w:szCs w:val="24"/>
        </w:rPr>
        <w:t>公司</w:t>
      </w:r>
      <w:r w:rsidR="00BD6076">
        <w:rPr>
          <w:rFonts w:ascii="宋体" w:eastAsia="宋体" w:hAnsi="宋体" w:hint="eastAsia"/>
          <w:kern w:val="0"/>
          <w:sz w:val="24"/>
          <w:szCs w:val="24"/>
        </w:rPr>
        <w:t>发起相应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券商准入管理流程</w:t>
      </w:r>
      <w:r w:rsidR="005037EE">
        <w:rPr>
          <w:rFonts w:ascii="宋体" w:eastAsia="宋体" w:hAnsi="宋体" w:hint="eastAsia"/>
          <w:kern w:val="0"/>
          <w:sz w:val="24"/>
          <w:szCs w:val="24"/>
        </w:rPr>
        <w:t>及提交</w:t>
      </w:r>
      <w:r w:rsidR="00D81111">
        <w:rPr>
          <w:rFonts w:ascii="宋体" w:eastAsia="宋体" w:hAnsi="宋体" w:hint="eastAsia"/>
          <w:kern w:val="0"/>
          <w:sz w:val="24"/>
          <w:szCs w:val="24"/>
        </w:rPr>
        <w:t>投资决策委员</w:t>
      </w:r>
      <w:r w:rsidR="00BD6076">
        <w:rPr>
          <w:rFonts w:ascii="宋体" w:eastAsia="宋体" w:hAnsi="宋体" w:hint="eastAsia"/>
          <w:kern w:val="0"/>
          <w:sz w:val="24"/>
          <w:szCs w:val="24"/>
        </w:rPr>
        <w:t>会审议，通过后将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该</w:t>
      </w:r>
      <w:r w:rsidR="00D81111">
        <w:rPr>
          <w:rFonts w:ascii="宋体" w:eastAsia="宋体" w:hAnsi="宋体" w:hint="eastAsia"/>
          <w:kern w:val="0"/>
          <w:sz w:val="24"/>
          <w:szCs w:val="24"/>
        </w:rPr>
        <w:t>证券公司纳入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券商服务质量考评</w:t>
      </w:r>
      <w:r w:rsidR="00D53767">
        <w:rPr>
          <w:rFonts w:ascii="宋体" w:eastAsia="宋体" w:hAnsi="宋体" w:hint="eastAsia"/>
          <w:kern w:val="0"/>
          <w:sz w:val="24"/>
          <w:szCs w:val="24"/>
        </w:rPr>
        <w:t>体系</w:t>
      </w:r>
      <w:r w:rsidR="002A6ACD" w:rsidRPr="00582DE6">
        <w:rPr>
          <w:rFonts w:ascii="宋体" w:eastAsia="宋体" w:hAnsi="宋体" w:hint="eastAsia"/>
          <w:kern w:val="0"/>
          <w:sz w:val="24"/>
          <w:szCs w:val="24"/>
        </w:rPr>
        <w:t>。</w:t>
      </w:r>
    </w:p>
    <w:p w:rsidR="002A6ACD" w:rsidRPr="002A6ACD" w:rsidRDefault="002A6ACD" w:rsidP="002A6ACD">
      <w:pPr>
        <w:pStyle w:val="XBRLTitle1"/>
        <w:numPr>
          <w:ilvl w:val="0"/>
          <w:numId w:val="0"/>
        </w:numPr>
      </w:pPr>
    </w:p>
    <w:p w:rsidR="00142818" w:rsidRPr="00582DE6" w:rsidRDefault="0082495B" w:rsidP="00582DE6">
      <w:pPr>
        <w:numPr>
          <w:ilvl w:val="0"/>
          <w:numId w:val="4"/>
        </w:num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bookmarkStart w:id="9" w:name="_Toc187947604"/>
      <w:r w:rsidRPr="00582DE6">
        <w:rPr>
          <w:rFonts w:ascii="宋体" w:eastAsia="宋体" w:hAnsi="宋体" w:cs="宋体" w:hint="eastAsia"/>
          <w:b/>
          <w:kern w:val="0"/>
          <w:sz w:val="24"/>
          <w:szCs w:val="24"/>
        </w:rPr>
        <w:t>交易量、交易佣金年度汇总及分配情况</w:t>
      </w:r>
      <w:bookmarkEnd w:id="9"/>
      <w:r w:rsidRPr="00582DE6">
        <w:rPr>
          <w:rFonts w:ascii="宋体" w:eastAsia="宋体" w:hAnsi="宋体" w:cs="宋体"/>
          <w:b/>
          <w:kern w:val="0"/>
          <w:sz w:val="24"/>
          <w:szCs w:val="24"/>
        </w:rPr>
        <w:t xml:space="preserve"> </w:t>
      </w:r>
    </w:p>
    <w:p w:rsidR="00142818" w:rsidRPr="00582DE6" w:rsidRDefault="0082495B" w:rsidP="00582DE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10" w:name="_Toc187947605"/>
      <w:r w:rsidRPr="00582DE6">
        <w:rPr>
          <w:rFonts w:ascii="宋体" w:eastAsia="宋体" w:hAnsi="宋体" w:cs="宋体" w:hint="eastAsia"/>
          <w:kern w:val="0"/>
          <w:sz w:val="24"/>
          <w:szCs w:val="24"/>
        </w:rPr>
        <w:t>（一）租用证券公司交易单元进行证券投资及佣金支付情况</w:t>
      </w:r>
      <w:bookmarkEnd w:id="10"/>
      <w:r w:rsidRPr="00582DE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42818" w:rsidRPr="00582DE6" w:rsidRDefault="0082495B" w:rsidP="00582DE6">
      <w:pPr>
        <w:spacing w:line="360" w:lineRule="auto"/>
        <w:rPr>
          <w:rFonts w:ascii="宋体" w:eastAsia="宋体" w:cs="宋体"/>
          <w:kern w:val="0"/>
          <w:sz w:val="24"/>
          <w:szCs w:val="24"/>
        </w:rPr>
      </w:pPr>
      <w:bookmarkStart w:id="11" w:name="_Toc187947606"/>
      <w:r w:rsidRPr="00582DE6">
        <w:rPr>
          <w:rFonts w:ascii="宋体" w:eastAsia="宋体" w:hAnsi="宋体" w:cs="宋体"/>
          <w:kern w:val="0"/>
          <w:sz w:val="24"/>
          <w:szCs w:val="24"/>
        </w:rPr>
        <w:t>1</w:t>
      </w:r>
      <w:r w:rsidR="005F7B0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2DE6">
        <w:rPr>
          <w:rFonts w:ascii="宋体" w:eastAsia="宋体" w:hAnsi="宋体" w:cs="宋体" w:hint="eastAsia"/>
          <w:kern w:val="0"/>
          <w:sz w:val="24"/>
          <w:szCs w:val="24"/>
        </w:rPr>
        <w:t>股票投资及佣金支付情况</w:t>
      </w:r>
      <w:bookmarkEnd w:id="11"/>
    </w:p>
    <w:p w:rsidR="00142818" w:rsidRDefault="0082495B">
      <w:pPr>
        <w:ind w:firstLineChars="2400" w:firstLine="5783"/>
        <w:jc w:val="right"/>
        <w:outlineLvl w:val="2"/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金额单位：人民币元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1450"/>
        <w:gridCol w:w="910"/>
        <w:gridCol w:w="752"/>
        <w:gridCol w:w="1650"/>
        <w:gridCol w:w="1200"/>
        <w:gridCol w:w="758"/>
        <w:gridCol w:w="777"/>
      </w:tblGrid>
      <w:tr w:rsidR="00142818" w:rsidRPr="005037EE" w:rsidTr="00220C04">
        <w:trPr>
          <w:cantSplit/>
          <w:trHeight w:val="362"/>
          <w:jc w:val="center"/>
        </w:trPr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证券公司名称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被动股票型基金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其他类型基金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是否与管理人存在关联关系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</w:tr>
      <w:tr w:rsidR="00142818" w:rsidRPr="005037EE" w:rsidTr="00220C04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037EE" w:rsidRDefault="001428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股票交易成交金额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widowControl/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应支付该证券公司的股票交易佣金金额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平均佣金费率（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>‰</w:t>
            </w: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582DE6" w:rsidRDefault="0082495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股票交易成交金额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582DE6" w:rsidRDefault="0082495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应支付该证券公司的股票交易佣金金额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平均佣金费率（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>‰</w:t>
            </w: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037EE" w:rsidRDefault="00142818">
            <w:pPr>
              <w:widowControl/>
              <w:jc w:val="left"/>
              <w:rPr>
                <w:szCs w:val="21"/>
              </w:rPr>
            </w:pP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广发证券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1,207,610,113.37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224,497.01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10,483,645,135.45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4,571,389.72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长江证券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10,849,636,462.44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4,726,064.14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lastRenderedPageBreak/>
              <w:t>华泰证券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10,479,427,196.41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4,568,008.77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国金证券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50,509,607.06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9,390.06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9,811,029,250.86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4,430,189.35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天风证券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9,602,613,362.27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4,185,783.76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民生证券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9,544,872,732.46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4,160,583.36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中信证券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69,831,845.14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12,981.30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9,267,641,471.24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4,459,032.98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申万宏源证券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9,917,846.85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1,843.71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8,838,308,799.02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4,039,586.70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浙商证券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8,516,242,392.62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3,712,201.72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中泰证券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47,642,576.24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8,855.17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8,135,913,506.97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3,546,418.57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华创证券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8,061,197,119.57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3,513,782.60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国泰君安证券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7,538,403,645.71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3,286,108.80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兴业证券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18,891,703.46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3,512.04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6,592,514,746.40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2,909,260.23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中金公司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5,306,004.12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1,122.63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0.21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6,444,406,856.56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2,872,273.29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国信证券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6,375,256,729.71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2,778,948.66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招商证券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6,268,208,488.64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2,732,408.21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东吴证券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5,919,999,784.90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2,580,508.93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中信建投证券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16,541,349.18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3,075.21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5,583,840,662.93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2,446,529.12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东方证券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5,509,659,998.56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2,401,633.47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国盛证券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5,470,723,905.85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2,420,350.79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国海证券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5,109,979,378.06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2,227,445.69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开源证券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4,828,454,302.70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2,104,670.55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国联证券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4,806,031,316.39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2,094,994.34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lastRenderedPageBreak/>
              <w:t>华西证券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4,359,954,185.22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1,900,447.28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西部证券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4,188,797,550.62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1,825,879.64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海通证券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1,047,804,536.30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194,788.00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2,708,948,343.03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1,198,258.86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方正证券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3,378,074,314.42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1,472,511.29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西南证券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2,414,831,028.88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1,052,624.01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光大证券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2,059,508,179.05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946,951.08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华福证券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1,988,397,839.18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866,738.73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华鑫证券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1,955,153,710.86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852,251.36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信达证券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1,949,679,079.28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849,866.25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摩根大通证券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1,502,036,279.25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654,741.33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汇丰前海证券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1,197,838,999.43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522,121.46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野村东方国际证券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1,008,548,123.28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439,630.11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瑞银证券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913,353,788.54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398,135.64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国投证券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24,721,723.69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4,595.92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833,969,216.67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363,524.99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高盛中国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376,730,857.00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164,215.16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银河证券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19,418,570.64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3,609.96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东兴证券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东方财富证券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东北证券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第一创业证券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德邦证券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lastRenderedPageBreak/>
              <w:t>诚通证券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长城证券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财通证券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中银国际证券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英大证券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华宝证券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上海证券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平安证券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渤海证券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68" w:rsidTr="00220C04">
        <w:trPr>
          <w:cantSplit/>
          <w:trHeight w:val="638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2,518,195,876.05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468,271.01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204,873,828,740.43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90,276,070.94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68" w:rsidRDefault="00D97968" w:rsidP="00D979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</w:tbl>
    <w:p w:rsidR="00AB2EAE" w:rsidRPr="00582DE6" w:rsidRDefault="00AB2EAE" w:rsidP="00582DE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582DE6">
        <w:rPr>
          <w:rFonts w:ascii="宋体" w:eastAsia="宋体" w:hAnsi="宋体" w:cs="宋体" w:hint="eastAsia"/>
          <w:kern w:val="0"/>
          <w:sz w:val="24"/>
          <w:szCs w:val="24"/>
        </w:rPr>
        <w:t>注：根据《公开募集证券投资基金证券交易费用管理规定》（以下简称《规定》）的相关要求，本报告首次披露的是报告期为</w:t>
      </w:r>
      <w:r w:rsidRPr="00582DE6">
        <w:rPr>
          <w:rFonts w:ascii="宋体" w:eastAsia="宋体" w:hAnsi="宋体" w:cs="宋体"/>
          <w:kern w:val="0"/>
          <w:sz w:val="24"/>
          <w:szCs w:val="24"/>
        </w:rPr>
        <w:t>2024年7月1日至2024年12月31日的交易及佣金数据情况。报告统计范围为报告期间存续过的所有公募基金，包括报告期间成立、清算、转型的公募基金。下同。</w:t>
      </w:r>
    </w:p>
    <w:p w:rsidR="005F7B0B" w:rsidRDefault="005F7B0B">
      <w:pPr>
        <w:jc w:val="left"/>
        <w:rPr>
          <w:rFonts w:ascii="宋体" w:hAnsi="宋体" w:cs="Times New Roman"/>
          <w:color w:val="0000FF"/>
          <w:kern w:val="0"/>
          <w:sz w:val="18"/>
        </w:rPr>
      </w:pPr>
    </w:p>
    <w:p w:rsidR="00142818" w:rsidRPr="00582DE6" w:rsidRDefault="0082495B" w:rsidP="00582DE6">
      <w:pPr>
        <w:spacing w:line="360" w:lineRule="auto"/>
        <w:rPr>
          <w:rFonts w:ascii="宋体" w:eastAsia="宋体" w:cs="宋体"/>
          <w:kern w:val="0"/>
          <w:sz w:val="24"/>
          <w:szCs w:val="24"/>
        </w:rPr>
      </w:pPr>
      <w:bookmarkStart w:id="12" w:name="_Toc187947607"/>
      <w:r w:rsidRPr="00582DE6">
        <w:rPr>
          <w:rFonts w:ascii="宋体" w:eastAsia="宋体" w:hAnsi="宋体" w:cs="宋体"/>
          <w:kern w:val="0"/>
          <w:sz w:val="24"/>
          <w:szCs w:val="24"/>
        </w:rPr>
        <w:t>2</w:t>
      </w:r>
      <w:r w:rsidR="005F7B0B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582DE6">
        <w:rPr>
          <w:rFonts w:ascii="宋体" w:eastAsia="宋体" w:hAnsi="宋体" w:cs="宋体" w:hint="eastAsia"/>
          <w:kern w:val="0"/>
          <w:sz w:val="24"/>
          <w:szCs w:val="24"/>
        </w:rPr>
        <w:t>证券投资佣金支付及分配情况</w:t>
      </w:r>
      <w:bookmarkEnd w:id="12"/>
    </w:p>
    <w:p w:rsidR="00142818" w:rsidRDefault="0082495B">
      <w:pPr>
        <w:ind w:firstLineChars="2400" w:firstLine="5783"/>
        <w:jc w:val="right"/>
        <w:outlineLvl w:val="2"/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金额单位：人民币元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318"/>
        <w:gridCol w:w="3318"/>
      </w:tblGrid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证券公司名称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应支付该证券公司的证券交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易佣金金额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82DE6" w:rsidRDefault="0082495B" w:rsidP="00DE3624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占年度该交易模式证券交易佣金总额比例（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>%</w:t>
            </w: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广发证券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4,795,886.73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5.29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长江证券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4,726,064.14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5.21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华泰证券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4,568,008.77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5.03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中信证券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4,472,014.28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4.93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国金证券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4,439,579.41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4.89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lastRenderedPageBreak/>
              <w:t>天风证券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4,185,783.76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4.61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民生证券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4,160,583.36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4.58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申万宏源证券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4,041,430.41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4.45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浙商证券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3,712,201.72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4.09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中泰证券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3,555,273.74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3.92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华创证券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3,513,782.60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3.87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国泰君安证券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3,286,108.80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3.62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兴业证券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2,912,772.27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3.21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中金公司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2,873,395.92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3.17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国信证券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2,778,948.66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3.06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招商证券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2,732,408.21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3.01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东吴证券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2,580,508.93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2.84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中信建投证券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2,449,604.33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2.70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国盛证券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2,420,350.79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2.67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东方证券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2,401,633.47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2.65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国海证券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2,227,445.69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2.45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开源证券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2,104,670.55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2.32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国联证券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2,094,994.34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2.31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华西证券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1,900,447.28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2.09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西部证券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1,825,879.64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2.01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方正证券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1,472,511.29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1.62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lastRenderedPageBreak/>
              <w:t>海通证券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1,393,046.86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1.54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西南证券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1,052,624.01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1.16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光大证券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946,951.08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1.04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华福证券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866,738.73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0.96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华鑫证券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852,251.36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0.94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信达证券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849,866.25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0.94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摩根大通证券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654,741.33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0.72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汇丰前海证券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522,121.46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0.58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野村东方国际证券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439,630.11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0.48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瑞银证券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398,135.64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0.44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国投证券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368,120.91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0.41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925B82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高盛中国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164,215.16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0.18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银河证券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3,609.96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0.00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上海证券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诚通证券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长城证券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华宝证券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英大证券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第一创业证券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财通证券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东北证券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渤海证券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东兴证券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平安证券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中银国际证券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东方财富证券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德邦证券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</w:tr>
      <w:tr w:rsidR="00142818">
        <w:trPr>
          <w:trHeight w:val="638"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90,744,341.95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100.00</w:t>
            </w:r>
          </w:p>
        </w:tc>
      </w:tr>
    </w:tbl>
    <w:p w:rsidR="00AB2EAE" w:rsidRDefault="00AB2EAE">
      <w:pPr>
        <w:jc w:val="left"/>
        <w:outlineLvl w:val="1"/>
      </w:pPr>
    </w:p>
    <w:p w:rsidR="00142818" w:rsidRPr="00582DE6" w:rsidRDefault="0082495B" w:rsidP="00582DE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bookmarkStart w:id="13" w:name="_Toc187947608"/>
      <w:r w:rsidRPr="00582DE6">
        <w:rPr>
          <w:rFonts w:ascii="宋体" w:eastAsia="宋体" w:hAnsi="宋体" w:cs="宋体" w:hint="eastAsia"/>
          <w:b/>
          <w:kern w:val="0"/>
          <w:sz w:val="24"/>
          <w:szCs w:val="24"/>
        </w:rPr>
        <w:t>（二）委托证券公司代理证券交易支出及分配情况</w:t>
      </w:r>
      <w:bookmarkEnd w:id="13"/>
      <w:r w:rsidRPr="00582DE6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270"/>
        <w:gridCol w:w="926"/>
        <w:gridCol w:w="926"/>
        <w:gridCol w:w="1470"/>
        <w:gridCol w:w="930"/>
        <w:gridCol w:w="922"/>
        <w:gridCol w:w="926"/>
      </w:tblGrid>
      <w:tr w:rsidR="00142818" w:rsidRPr="005037EE">
        <w:trPr>
          <w:cantSplit/>
          <w:trHeight w:val="362"/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证券公司名称</w:t>
            </w: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B2" w:rsidRDefault="0082495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被动股票型基金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  <w:p w:rsidR="00142818" w:rsidRPr="003809B2" w:rsidRDefault="00142818" w:rsidP="003809B2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582DE6" w:rsidRDefault="0082495B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其他类型基金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是否与管理人存在关联关系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</w:tr>
      <w:tr w:rsidR="00142818" w:rsidRPr="005037EE">
        <w:trPr>
          <w:cantSplit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037EE" w:rsidRDefault="0014281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股票交易成交金额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widowControl/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应支付该证券公司的股票交易佣金金额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582DE6" w:rsidRDefault="008249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平均佣金费率（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>‰</w:t>
            </w: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股票交易成交金额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Pr="00BD0ED9" w:rsidRDefault="0082495B">
            <w:pPr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应支付该证券公司的股票交易佣金金额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BD0ED9" w:rsidRDefault="0082495B">
            <w:pPr>
              <w:widowControl/>
              <w:jc w:val="center"/>
              <w:rPr>
                <w:szCs w:val="21"/>
              </w:rPr>
            </w:pP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平均佣金费率（</w:t>
            </w:r>
            <w:r w:rsidRPr="00582DE6">
              <w:rPr>
                <w:rFonts w:ascii="Times New Roman" w:hAnsi="Times New Roman" w:cs="Times New Roman"/>
                <w:b/>
                <w:bCs/>
                <w:szCs w:val="21"/>
              </w:rPr>
              <w:t>‰</w:t>
            </w:r>
            <w:r w:rsidRPr="00582DE6">
              <w:rPr>
                <w:rFonts w:ascii="Times New Roman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Pr="005037EE" w:rsidRDefault="00142818">
            <w:pPr>
              <w:widowControl/>
              <w:jc w:val="left"/>
              <w:rPr>
                <w:szCs w:val="21"/>
              </w:rPr>
            </w:pPr>
          </w:p>
        </w:tc>
      </w:tr>
      <w:tr w:rsidR="00142818">
        <w:trPr>
          <w:cantSplit/>
          <w:trHeight w:val="63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兴业证券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1,070,731,654.06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477,594.56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18">
        <w:trPr>
          <w:cantSplit/>
          <w:trHeight w:val="63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国金证券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779,204,950.52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144,865.26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18">
        <w:trPr>
          <w:cantSplit/>
          <w:trHeight w:val="63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海通证券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652,464,913.35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293,506.23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18">
        <w:trPr>
          <w:cantSplit/>
          <w:trHeight w:val="63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中信建投证券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473,886,566.02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219,780.61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18">
        <w:trPr>
          <w:cantSplit/>
          <w:trHeight w:val="63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华鑫证券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818">
        <w:trPr>
          <w:cantSplit/>
          <w:trHeight w:val="638"/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779,204,950.52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144,865.26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2,197,083,133.43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990,881.40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</w:pPr>
            <w:r>
              <w:rPr>
                <w:rFonts w:ascii="宋体" w:hAnsi="宋体" w:cs="Times New Roman" w:hint="eastAsia"/>
                <w:kern w:val="0"/>
                <w:sz w:val="18"/>
              </w:rPr>
              <w:t>0.45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18" w:rsidRDefault="00824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42818" w:rsidRDefault="001D3ECD">
      <w:pPr>
        <w:pStyle w:val="12"/>
        <w:tabs>
          <w:tab w:val="right" w:leader="dot" w:pos="8835"/>
        </w:tabs>
        <w:divId w:val="1411389532"/>
        <w:rPr>
          <w:vanish/>
        </w:rPr>
      </w:pPr>
      <w:hyperlink w:anchor="_Toc510201001" w:history="1">
        <w:r w:rsidR="0082495B">
          <w:rPr>
            <w:rStyle w:val="a3"/>
            <w:rFonts w:hint="eastAsia"/>
            <w:noProof/>
            <w:vanish/>
          </w:rPr>
          <w:t>0</w:t>
        </w:r>
        <w:r w:rsidR="0082495B">
          <w:rPr>
            <w:rStyle w:val="a3"/>
            <w:rFonts w:ascii="宋体" w:eastAsia="宋体" w:hAnsi="宋体" w:hint="eastAsia"/>
            <w:noProof/>
            <w:vanish/>
          </w:rPr>
          <w:t>、公告标题</w:t>
        </w:r>
      </w:hyperlink>
    </w:p>
    <w:p w:rsidR="00142818" w:rsidRDefault="001D3ECD">
      <w:pPr>
        <w:pStyle w:val="12"/>
        <w:tabs>
          <w:tab w:val="right" w:leader="dot" w:pos="8296"/>
        </w:tabs>
        <w:divId w:val="1411389532"/>
        <w:rPr>
          <w:vanish/>
        </w:rPr>
      </w:pPr>
      <w:hyperlink w:anchor="_Toc187947603" w:history="1">
        <w:r w:rsidR="0082495B">
          <w:rPr>
            <w:rStyle w:val="a3"/>
            <w:rFonts w:hint="eastAsia"/>
            <w:noProof/>
            <w:vanish/>
          </w:rPr>
          <w:t>一、 选择证券公司参与证券交易的标准和程序</w:t>
        </w:r>
      </w:hyperlink>
      <w:r w:rsidR="0082495B">
        <w:rPr>
          <w:rFonts w:hint="eastAsia"/>
          <w:noProof/>
          <w:vanish/>
        </w:rPr>
        <w:t xml:space="preserve"> </w:t>
      </w:r>
    </w:p>
    <w:p w:rsidR="00142818" w:rsidRDefault="001D3ECD">
      <w:pPr>
        <w:pStyle w:val="12"/>
        <w:tabs>
          <w:tab w:val="right" w:leader="dot" w:pos="8296"/>
        </w:tabs>
        <w:divId w:val="1411389532"/>
        <w:rPr>
          <w:vanish/>
        </w:rPr>
      </w:pPr>
      <w:hyperlink w:anchor="_Toc187947604" w:history="1">
        <w:r w:rsidR="0082495B">
          <w:rPr>
            <w:rStyle w:val="a3"/>
            <w:rFonts w:hint="eastAsia"/>
            <w:noProof/>
            <w:vanish/>
          </w:rPr>
          <w:t>二、 交易量、交易佣金年度汇总及分配情况</w:t>
        </w:r>
      </w:hyperlink>
      <w:r w:rsidR="0082495B">
        <w:rPr>
          <w:rFonts w:hint="eastAsia"/>
          <w:noProof/>
          <w:vanish/>
        </w:rPr>
        <w:t xml:space="preserve"> </w:t>
      </w:r>
    </w:p>
    <w:p w:rsidR="00142818" w:rsidRDefault="001D3ECD">
      <w:pPr>
        <w:pStyle w:val="22"/>
        <w:tabs>
          <w:tab w:val="right" w:leader="dot" w:pos="8296"/>
        </w:tabs>
        <w:divId w:val="1411389532"/>
        <w:rPr>
          <w:vanish/>
        </w:rPr>
      </w:pPr>
      <w:hyperlink w:anchor="_Toc187947605" w:history="1">
        <w:r w:rsidR="0082495B">
          <w:rPr>
            <w:rStyle w:val="a3"/>
            <w:rFonts w:hint="eastAsia"/>
            <w:noProof/>
            <w:vanish/>
          </w:rPr>
          <w:t>（一）租用证券公司交易单元进行证券投资及佣金支付情况</w:t>
        </w:r>
      </w:hyperlink>
      <w:r w:rsidR="0082495B">
        <w:rPr>
          <w:rFonts w:hint="eastAsia"/>
          <w:noProof/>
          <w:vanish/>
        </w:rPr>
        <w:t xml:space="preserve"> </w:t>
      </w:r>
    </w:p>
    <w:p w:rsidR="00142818" w:rsidRDefault="001D3ECD">
      <w:pPr>
        <w:pStyle w:val="32"/>
        <w:tabs>
          <w:tab w:val="right" w:leader="dot" w:pos="8296"/>
        </w:tabs>
        <w:divId w:val="1411389532"/>
        <w:rPr>
          <w:vanish/>
        </w:rPr>
      </w:pPr>
      <w:hyperlink w:anchor="_Toc187947606" w:history="1">
        <w:r w:rsidR="0082495B">
          <w:rPr>
            <w:rStyle w:val="a3"/>
            <w:rFonts w:hint="eastAsia"/>
            <w:noProof/>
            <w:vanish/>
          </w:rPr>
          <w:t>1.股票投资及佣金支付情况</w:t>
        </w:r>
      </w:hyperlink>
      <w:r w:rsidR="0082495B">
        <w:rPr>
          <w:rFonts w:hint="eastAsia"/>
          <w:noProof/>
          <w:vanish/>
        </w:rPr>
        <w:t xml:space="preserve"> </w:t>
      </w:r>
    </w:p>
    <w:p w:rsidR="00142818" w:rsidRDefault="001D3ECD">
      <w:pPr>
        <w:pStyle w:val="32"/>
        <w:tabs>
          <w:tab w:val="right" w:leader="dot" w:pos="8296"/>
        </w:tabs>
        <w:divId w:val="1411389532"/>
        <w:rPr>
          <w:vanish/>
        </w:rPr>
      </w:pPr>
      <w:hyperlink w:anchor="_Toc187947607" w:history="1">
        <w:r w:rsidR="0082495B">
          <w:rPr>
            <w:rStyle w:val="a3"/>
            <w:rFonts w:hint="eastAsia"/>
            <w:noProof/>
            <w:vanish/>
          </w:rPr>
          <w:t>2.证券投资佣金支付及分配情况</w:t>
        </w:r>
      </w:hyperlink>
      <w:r w:rsidR="0082495B">
        <w:rPr>
          <w:rFonts w:hint="eastAsia"/>
          <w:noProof/>
          <w:vanish/>
        </w:rPr>
        <w:t xml:space="preserve"> </w:t>
      </w:r>
    </w:p>
    <w:p w:rsidR="00142818" w:rsidRDefault="001D3ECD">
      <w:pPr>
        <w:pStyle w:val="22"/>
        <w:tabs>
          <w:tab w:val="right" w:leader="dot" w:pos="8296"/>
        </w:tabs>
        <w:divId w:val="1411389532"/>
        <w:rPr>
          <w:vanish/>
        </w:rPr>
      </w:pPr>
      <w:hyperlink w:anchor="_Toc187947608" w:history="1">
        <w:r w:rsidR="0082495B">
          <w:rPr>
            <w:rStyle w:val="a3"/>
            <w:rFonts w:hint="eastAsia"/>
            <w:noProof/>
            <w:vanish/>
          </w:rPr>
          <w:t>（二）委托证券公司代理证券交易支出及分配情况</w:t>
        </w:r>
      </w:hyperlink>
      <w:r w:rsidR="0082495B">
        <w:rPr>
          <w:rFonts w:hint="eastAsia"/>
          <w:noProof/>
          <w:vanish/>
        </w:rPr>
        <w:t xml:space="preserve"> </w:t>
      </w:r>
    </w:p>
    <w:p w:rsidR="00142818" w:rsidRDefault="0082495B">
      <w:pPr>
        <w:divId w:val="1411389532"/>
        <w:rPr>
          <w:vanish/>
        </w:rPr>
      </w:pPr>
      <w:r>
        <w:rPr>
          <w:rFonts w:hint="eastAsia"/>
          <w:vanish/>
        </w:rPr>
        <w:t xml:space="preserve">　 </w:t>
      </w:r>
    </w:p>
    <w:sectPr w:rsidR="00142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66" w:rsidRDefault="00E32566">
      <w:r>
        <w:separator/>
      </w:r>
      <w:r>
        <w:rPr>
          <w:rFonts w:hint="eastAsia"/>
        </w:rPr>
        <w:t xml:space="preserve"> </w:t>
      </w:r>
    </w:p>
  </w:endnote>
  <w:endnote w:type="continuationSeparator" w:id="0">
    <w:p w:rsidR="00E32566" w:rsidRDefault="00E32566">
      <w:r>
        <w:continuationSeparator/>
      </w:r>
      <w:r>
        <w:rPr>
          <w:rFonts w:hint="eastAsia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66" w:rsidRDefault="00E32566">
      <w:r>
        <w:separator/>
      </w:r>
      <w:r>
        <w:rPr>
          <w:rFonts w:hint="eastAsia"/>
        </w:rPr>
        <w:t xml:space="preserve"> </w:t>
      </w:r>
    </w:p>
  </w:footnote>
  <w:footnote w:type="continuationSeparator" w:id="0">
    <w:p w:rsidR="00E32566" w:rsidRDefault="00E32566">
      <w:r>
        <w:continuationSeparator/>
      </w:r>
      <w:r>
        <w:rPr>
          <w:rFonts w:hint="eastAsi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90C3C3"/>
    <w:multiLevelType w:val="singleLevel"/>
    <w:tmpl w:val="D1E6209A"/>
    <w:lvl w:ilvl="0">
      <w:start w:val="1"/>
      <w:numFmt w:val="chineseCounting"/>
      <w:pStyle w:val="XBRLTitle1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1BD61B58"/>
    <w:multiLevelType w:val="hybridMultilevel"/>
    <w:tmpl w:val="32D6B454"/>
    <w:lvl w:ilvl="0" w:tplc="DC541462">
      <w:start w:val="3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7D078F"/>
    <w:multiLevelType w:val="hybridMultilevel"/>
    <w:tmpl w:val="A60EE74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7D73EE"/>
    <w:multiLevelType w:val="multilevel"/>
    <w:tmpl w:val="A6E899E6"/>
    <w:lvl w:ilvl="0">
      <w:start w:val="1"/>
      <w:numFmt w:val="decimal"/>
      <w:pStyle w:val="XBRLTitle11"/>
      <w:suff w:val="space"/>
      <w:lvlText w:val="§%1"/>
      <w:lvlJc w:val="left"/>
      <w:pPr>
        <w:ind w:left="425" w:hanging="425"/>
      </w:pPr>
    </w:lvl>
    <w:lvl w:ilvl="1">
      <w:start w:val="1"/>
      <w:numFmt w:val="decimal"/>
      <w:suff w:val="space"/>
      <w:lvlText w:val="%1.%2"/>
      <w:lvlJc w:val="left"/>
      <w:pPr>
        <w:ind w:left="454" w:hanging="454"/>
      </w:pPr>
    </w:lvl>
    <w:lvl w:ilvl="2">
      <w:start w:val="1"/>
      <w:numFmt w:val="decimal"/>
      <w:suff w:val="space"/>
      <w:lvlText w:val="%1.%2.%3"/>
      <w:lvlJc w:val="left"/>
      <w:pPr>
        <w:ind w:left="624" w:hanging="624"/>
      </w:pPr>
      <w:rPr>
        <w:rFonts w:ascii="宋体" w:eastAsia="宋体" w:hAnsi="宋体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5B"/>
    <w:rsid w:val="00142818"/>
    <w:rsid w:val="001C07C2"/>
    <w:rsid w:val="001D3ECD"/>
    <w:rsid w:val="00220C04"/>
    <w:rsid w:val="00295EA4"/>
    <w:rsid w:val="002A6ACD"/>
    <w:rsid w:val="003379B6"/>
    <w:rsid w:val="003809B2"/>
    <w:rsid w:val="00434B44"/>
    <w:rsid w:val="00487D64"/>
    <w:rsid w:val="005037EE"/>
    <w:rsid w:val="00546808"/>
    <w:rsid w:val="00582DE6"/>
    <w:rsid w:val="005D6DAA"/>
    <w:rsid w:val="005E5804"/>
    <w:rsid w:val="005F7B0B"/>
    <w:rsid w:val="00606DFD"/>
    <w:rsid w:val="006B112E"/>
    <w:rsid w:val="007161F0"/>
    <w:rsid w:val="00721AEF"/>
    <w:rsid w:val="00754857"/>
    <w:rsid w:val="0082495B"/>
    <w:rsid w:val="00842D3B"/>
    <w:rsid w:val="009256E9"/>
    <w:rsid w:val="00925B82"/>
    <w:rsid w:val="009653C8"/>
    <w:rsid w:val="00AB2EAE"/>
    <w:rsid w:val="00B138E1"/>
    <w:rsid w:val="00BD0ED9"/>
    <w:rsid w:val="00BD6076"/>
    <w:rsid w:val="00D06234"/>
    <w:rsid w:val="00D53767"/>
    <w:rsid w:val="00D81111"/>
    <w:rsid w:val="00D97968"/>
    <w:rsid w:val="00DB2D5E"/>
    <w:rsid w:val="00DE3624"/>
    <w:rsid w:val="00E32566"/>
    <w:rsid w:val="00EA0660"/>
    <w:rsid w:val="00F26C5B"/>
    <w:rsid w:val="00F64A5C"/>
    <w:rsid w:val="00FD0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E9440AA-7E4C-4CF9-953E-F4DE7D6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标题 1 字符"/>
    <w:basedOn w:val="a0"/>
    <w:uiPriority w:val="9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Pr>
      <w:rFonts w:asciiTheme="minorHAnsi" w:eastAsiaTheme="minorEastAsia" w:hAnsiTheme="minorHAnsi"/>
      <w:b/>
      <w:bCs/>
      <w:kern w:val="2"/>
      <w:sz w:val="32"/>
      <w:szCs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2">
    <w:name w:val="toc 1"/>
    <w:basedOn w:val="a"/>
    <w:next w:val="a"/>
    <w:autoRedefine/>
    <w:uiPriority w:val="39"/>
    <w:semiHidden/>
    <w:unhideWhenUsed/>
  </w:style>
  <w:style w:type="paragraph" w:styleId="2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2">
    <w:name w:val="toc 3"/>
    <w:basedOn w:val="a"/>
    <w:next w:val="a"/>
    <w:autoRedefine/>
    <w:uiPriority w:val="39"/>
    <w:semiHidden/>
    <w:unhideWhenUsed/>
    <w:pPr>
      <w:ind w:leftChars="400" w:left="840"/>
    </w:pPr>
  </w:style>
  <w:style w:type="paragraph" w:styleId="a5">
    <w:name w:val="header"/>
    <w:basedOn w:val="a"/>
    <w:link w:val="1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7">
    <w:name w:val="footer"/>
    <w:basedOn w:val="a"/>
    <w:link w:val="1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uiPriority w:val="99"/>
    <w:semiHidden/>
    <w:rPr>
      <w:rFonts w:asciiTheme="minorHAnsi" w:eastAsiaTheme="minorEastAsia" w:hAnsiTheme="minorHAns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XBRLTitle11">
    <w:name w:val="XBRLTitle11"/>
    <w:basedOn w:val="1"/>
    <w:next w:val="2"/>
    <w:autoRedefine/>
    <w:qFormat/>
    <w:pPr>
      <w:keepNext w:val="0"/>
      <w:keepLines w:val="0"/>
      <w:numPr>
        <w:numId w:val="2"/>
      </w:numPr>
      <w:spacing w:before="0" w:after="0" w:line="360" w:lineRule="auto"/>
      <w:jc w:val="center"/>
    </w:pPr>
    <w:rPr>
      <w:rFonts w:ascii="宋体" w:eastAsia="宋体" w:hAnsi="宋体" w:cs="Times New Roman"/>
      <w:sz w:val="28"/>
    </w:rPr>
  </w:style>
  <w:style w:type="character" w:customStyle="1" w:styleId="XBRLTitle1Char">
    <w:name w:val="XBRLTitle1 Char"/>
    <w:basedOn w:val="a0"/>
    <w:link w:val="XBRLTitle1"/>
    <w:locked/>
    <w:rPr>
      <w:rFonts w:ascii="Times New Roman" w:eastAsia="黑体" w:hAnsi="Times New Roman" w:cs="Times New Roman" w:hint="default"/>
      <w:sz w:val="32"/>
      <w:szCs w:val="32"/>
    </w:rPr>
  </w:style>
  <w:style w:type="paragraph" w:customStyle="1" w:styleId="XBRLTitle1">
    <w:name w:val="XBRLTitle1"/>
    <w:basedOn w:val="a"/>
    <w:link w:val="XBRLTitle1Char"/>
    <w:qFormat/>
    <w:pPr>
      <w:numPr>
        <w:numId w:val="4"/>
      </w:numPr>
      <w:jc w:val="left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customStyle="1" w:styleId="XBRLTitle2Char">
    <w:name w:val="XBRLTitle2 Char"/>
    <w:basedOn w:val="a0"/>
    <w:link w:val="XBRLTitle2"/>
    <w:locked/>
    <w:rPr>
      <w:rFonts w:ascii="Times New Roman" w:eastAsia="楷体_GB2312" w:hAnsi="Times New Roman" w:cs="Times New Roman" w:hint="default"/>
      <w:b/>
      <w:bCs/>
      <w:sz w:val="32"/>
      <w:szCs w:val="32"/>
    </w:rPr>
  </w:style>
  <w:style w:type="paragraph" w:customStyle="1" w:styleId="XBRLTitle2">
    <w:name w:val="XBRLTitle2"/>
    <w:basedOn w:val="a"/>
    <w:link w:val="XBRLTitle2Char"/>
    <w:qFormat/>
    <w:pPr>
      <w:jc w:val="left"/>
      <w:outlineLvl w:val="0"/>
    </w:pPr>
    <w:rPr>
      <w:rFonts w:ascii="Times New Roman" w:eastAsia="楷体_GB2312" w:hAnsi="Times New Roman" w:cs="Times New Roman"/>
      <w:b/>
      <w:bCs/>
      <w:sz w:val="32"/>
      <w:szCs w:val="32"/>
    </w:rPr>
  </w:style>
  <w:style w:type="character" w:customStyle="1" w:styleId="XBRLTitle3Char">
    <w:name w:val="XBRLTitle3 Char"/>
    <w:basedOn w:val="a0"/>
    <w:link w:val="XBRLTitle3"/>
    <w:locked/>
    <w:rPr>
      <w:rFonts w:ascii="楷体" w:eastAsia="楷体" w:hAnsi="楷体" w:cs="楷体" w:hint="eastAsia"/>
      <w:b/>
      <w:bCs/>
      <w:sz w:val="32"/>
      <w:szCs w:val="32"/>
    </w:rPr>
  </w:style>
  <w:style w:type="paragraph" w:customStyle="1" w:styleId="XBRLTitle3">
    <w:name w:val="XBRLTitle3"/>
    <w:basedOn w:val="a"/>
    <w:link w:val="XBRLTitle3Char"/>
    <w:qFormat/>
    <w:pPr>
      <w:jc w:val="left"/>
      <w:outlineLvl w:val="2"/>
    </w:pPr>
    <w:rPr>
      <w:rFonts w:ascii="楷体_GB2312" w:eastAsia="楷体_GB2312" w:hAnsi="宋体" w:cs="楷体_GB2312"/>
      <w:b/>
      <w:bCs/>
      <w:sz w:val="32"/>
      <w:szCs w:val="32"/>
    </w:rPr>
  </w:style>
  <w:style w:type="character" w:styleId="aa">
    <w:name w:val="footnote reference"/>
    <w:uiPriority w:val="99"/>
    <w:semiHidden/>
    <w:unhideWhenUsed/>
    <w:qFormat/>
    <w:rPr>
      <w:vertAlign w:val="superscript"/>
    </w:rPr>
  </w:style>
  <w:style w:type="character" w:customStyle="1" w:styleId="11">
    <w:name w:val="标题 1 字符1"/>
    <w:basedOn w:val="a0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basedOn w:val="a0"/>
    <w:link w:val="2"/>
    <w:uiPriority w:val="9"/>
    <w:semiHidden/>
    <w:locked/>
    <w:rPr>
      <w:rFonts w:asciiTheme="majorHAnsi" w:eastAsiaTheme="majorEastAsia" w:hAnsiTheme="majorHAnsi" w:cstheme="majorBidi" w:hint="eastAsia"/>
      <w:b/>
      <w:bCs/>
      <w:sz w:val="32"/>
      <w:szCs w:val="32"/>
    </w:rPr>
  </w:style>
  <w:style w:type="character" w:customStyle="1" w:styleId="13">
    <w:name w:val="页眉 字符1"/>
    <w:basedOn w:val="a0"/>
    <w:link w:val="a5"/>
    <w:uiPriority w:val="99"/>
    <w:locked/>
    <w:rPr>
      <w:sz w:val="18"/>
      <w:szCs w:val="18"/>
    </w:rPr>
  </w:style>
  <w:style w:type="character" w:customStyle="1" w:styleId="14">
    <w:name w:val="页脚 字符1"/>
    <w:basedOn w:val="a0"/>
    <w:link w:val="a7"/>
    <w:uiPriority w:val="99"/>
    <w:locked/>
    <w:rPr>
      <w:sz w:val="18"/>
      <w:szCs w:val="18"/>
    </w:rPr>
  </w:style>
  <w:style w:type="character" w:customStyle="1" w:styleId="31">
    <w:name w:val="标题 3 字符1"/>
    <w:basedOn w:val="a0"/>
    <w:link w:val="3"/>
    <w:uiPriority w:val="9"/>
    <w:semiHidden/>
    <w:locked/>
    <w:rPr>
      <w:b/>
      <w:bCs/>
      <w:sz w:val="32"/>
      <w:szCs w:val="32"/>
    </w:r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6DF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606DFD"/>
    <w:rPr>
      <w:rFonts w:asciiTheme="minorHAnsi" w:hAnsiTheme="minorHAnsi"/>
      <w:kern w:val="2"/>
      <w:sz w:val="18"/>
      <w:szCs w:val="18"/>
    </w:rPr>
  </w:style>
  <w:style w:type="paragraph" w:styleId="ae">
    <w:name w:val="Revision"/>
    <w:hidden/>
    <w:uiPriority w:val="99"/>
    <w:semiHidden/>
    <w:rsid w:val="005037EE"/>
    <w:rPr>
      <w:rFonts w:asciiTheme="minorHAnsi" w:hAnsiTheme="minorHAns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F08E-D549-469E-AF8C-AEFD2191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1898</Words>
  <Characters>3669</Characters>
  <Application>Microsoft Office Word</Application>
  <DocSecurity>0</DocSecurity>
  <Lines>30</Lines>
  <Paragraphs>11</Paragraphs>
  <ScaleCrop>false</ScaleCrop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王晚婷</cp:lastModifiedBy>
  <cp:revision>34</cp:revision>
  <dcterms:created xsi:type="dcterms:W3CDTF">2025-03-25T02:51:00Z</dcterms:created>
  <dcterms:modified xsi:type="dcterms:W3CDTF">2025-03-31T01:01:00Z</dcterms:modified>
</cp:coreProperties>
</file>