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3CEC" w14:textId="77777777" w:rsidR="009D1F53" w:rsidRDefault="009D1F53">
      <w:pPr>
        <w:adjustRightInd w:val="0"/>
        <w:snapToGrid w:val="0"/>
        <w:spacing w:line="360" w:lineRule="auto"/>
        <w:rPr>
          <w:sz w:val="24"/>
        </w:rPr>
        <w:sectPr w:rsidR="009D1F53">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1FA12585" w14:textId="77777777" w:rsidR="009D1F53" w:rsidRDefault="00811663">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lastRenderedPageBreak/>
        <w:drawing>
          <wp:inline distT="0" distB="0" distL="0" distR="0" wp14:anchorId="6DCF4EED" wp14:editId="4513CE5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429157E" w14:textId="77777777" w:rsidR="009D1F53" w:rsidRDefault="009D1F53">
      <w:pPr>
        <w:adjustRightInd w:val="0"/>
        <w:snapToGrid w:val="0"/>
        <w:spacing w:line="360" w:lineRule="auto"/>
        <w:jc w:val="center"/>
        <w:rPr>
          <w:rFonts w:cs="Arial"/>
          <w:sz w:val="24"/>
        </w:rPr>
      </w:pPr>
    </w:p>
    <w:p w14:paraId="372A42C3" w14:textId="77777777" w:rsidR="009D1F53" w:rsidRDefault="009D1F53">
      <w:pPr>
        <w:adjustRightInd w:val="0"/>
        <w:snapToGrid w:val="0"/>
        <w:spacing w:line="360" w:lineRule="auto"/>
        <w:jc w:val="center"/>
        <w:rPr>
          <w:rFonts w:cs="Arial"/>
          <w:sz w:val="24"/>
        </w:rPr>
      </w:pPr>
    </w:p>
    <w:p w14:paraId="6B501152" w14:textId="77777777" w:rsidR="009D1F53" w:rsidRDefault="009D1F53">
      <w:pPr>
        <w:adjustRightInd w:val="0"/>
        <w:snapToGrid w:val="0"/>
        <w:spacing w:line="360" w:lineRule="auto"/>
        <w:jc w:val="center"/>
        <w:rPr>
          <w:rFonts w:ascii="黑体" w:hAnsi="黑体"/>
          <w:b/>
          <w:sz w:val="44"/>
        </w:rPr>
      </w:pPr>
    </w:p>
    <w:p w14:paraId="79B578DD" w14:textId="3D61FB10" w:rsidR="009D1F53" w:rsidRDefault="00967F86">
      <w:pPr>
        <w:adjustRightInd w:val="0"/>
        <w:snapToGrid w:val="0"/>
        <w:spacing w:line="360" w:lineRule="auto"/>
        <w:jc w:val="center"/>
        <w:rPr>
          <w:rFonts w:ascii="黑体" w:hAnsi="黑体"/>
          <w:b/>
          <w:sz w:val="44"/>
        </w:rPr>
      </w:pPr>
      <w:r>
        <w:rPr>
          <w:rFonts w:ascii="黑体" w:hAnsi="黑体" w:hint="eastAsia"/>
          <w:b/>
          <w:sz w:val="44"/>
        </w:rPr>
        <w:t>交银施罗德安悦平衡养老目标三年持有期混合型发起式基金中基金（</w:t>
      </w:r>
      <w:r>
        <w:rPr>
          <w:rFonts w:ascii="黑体" w:hAnsi="黑体" w:hint="eastAsia"/>
          <w:b/>
          <w:sz w:val="44"/>
        </w:rPr>
        <w:t>FOF</w:t>
      </w:r>
      <w:r>
        <w:rPr>
          <w:rFonts w:ascii="黑体" w:hAnsi="黑体" w:hint="eastAsia"/>
          <w:b/>
          <w:sz w:val="44"/>
        </w:rPr>
        <w:t>）</w:t>
      </w:r>
      <w:r w:rsidR="00811663">
        <w:rPr>
          <w:rFonts w:ascii="黑体" w:hAnsi="黑体" w:hint="eastAsia"/>
          <w:b/>
          <w:sz w:val="44"/>
        </w:rPr>
        <w:t>托管协议</w:t>
      </w:r>
    </w:p>
    <w:p w14:paraId="41EA9CB6" w14:textId="5630AAE6" w:rsidR="009D1F53" w:rsidRPr="00967F86" w:rsidRDefault="009D1F53">
      <w:pPr>
        <w:adjustRightInd w:val="0"/>
        <w:snapToGrid w:val="0"/>
        <w:spacing w:line="360" w:lineRule="auto"/>
        <w:jc w:val="center"/>
        <w:rPr>
          <w:rFonts w:ascii="黑体" w:hAnsi="黑体"/>
          <w:b/>
          <w:sz w:val="48"/>
        </w:rPr>
      </w:pPr>
    </w:p>
    <w:p w14:paraId="608AD7A5" w14:textId="77777777" w:rsidR="009D1F53" w:rsidRDefault="009D1F53">
      <w:pPr>
        <w:adjustRightInd w:val="0"/>
        <w:snapToGrid w:val="0"/>
        <w:spacing w:line="360" w:lineRule="auto"/>
        <w:jc w:val="center"/>
        <w:rPr>
          <w:rFonts w:ascii="黑体" w:hAnsi="黑体"/>
          <w:b/>
          <w:sz w:val="24"/>
        </w:rPr>
      </w:pPr>
    </w:p>
    <w:p w14:paraId="497FB380" w14:textId="77777777" w:rsidR="009D1F53" w:rsidRDefault="009D1F53">
      <w:pPr>
        <w:adjustRightInd w:val="0"/>
        <w:snapToGrid w:val="0"/>
        <w:spacing w:line="360" w:lineRule="auto"/>
        <w:jc w:val="center"/>
        <w:rPr>
          <w:sz w:val="24"/>
        </w:rPr>
      </w:pPr>
    </w:p>
    <w:p w14:paraId="4316182E" w14:textId="77777777" w:rsidR="009D1F53" w:rsidRDefault="009D1F53">
      <w:pPr>
        <w:adjustRightInd w:val="0"/>
        <w:snapToGrid w:val="0"/>
        <w:spacing w:line="360" w:lineRule="auto"/>
        <w:jc w:val="center"/>
        <w:rPr>
          <w:sz w:val="24"/>
        </w:rPr>
      </w:pPr>
    </w:p>
    <w:p w14:paraId="41AA7F04" w14:textId="77777777" w:rsidR="009D1F53" w:rsidRDefault="009D1F53">
      <w:pPr>
        <w:adjustRightInd w:val="0"/>
        <w:snapToGrid w:val="0"/>
        <w:spacing w:line="360" w:lineRule="auto"/>
        <w:jc w:val="center"/>
        <w:rPr>
          <w:sz w:val="24"/>
        </w:rPr>
      </w:pPr>
    </w:p>
    <w:p w14:paraId="44D7A248" w14:textId="77777777" w:rsidR="009D1F53" w:rsidRDefault="009D1F53">
      <w:pPr>
        <w:adjustRightInd w:val="0"/>
        <w:snapToGrid w:val="0"/>
        <w:spacing w:line="360" w:lineRule="auto"/>
        <w:jc w:val="center"/>
        <w:rPr>
          <w:sz w:val="24"/>
        </w:rPr>
      </w:pPr>
    </w:p>
    <w:p w14:paraId="1F79783A" w14:textId="77777777" w:rsidR="009D1F53" w:rsidRDefault="009D1F53">
      <w:pPr>
        <w:adjustRightInd w:val="0"/>
        <w:snapToGrid w:val="0"/>
        <w:spacing w:line="360" w:lineRule="auto"/>
        <w:jc w:val="center"/>
        <w:rPr>
          <w:sz w:val="24"/>
        </w:rPr>
      </w:pPr>
    </w:p>
    <w:p w14:paraId="0F50E383" w14:textId="77777777" w:rsidR="009D1F53" w:rsidRDefault="009D1F53">
      <w:pPr>
        <w:adjustRightInd w:val="0"/>
        <w:snapToGrid w:val="0"/>
        <w:spacing w:line="360" w:lineRule="auto"/>
        <w:jc w:val="center"/>
        <w:rPr>
          <w:sz w:val="24"/>
        </w:rPr>
      </w:pPr>
    </w:p>
    <w:p w14:paraId="2D34C9F8" w14:textId="77777777" w:rsidR="009D1F53" w:rsidRDefault="009D1F53">
      <w:pPr>
        <w:adjustRightInd w:val="0"/>
        <w:snapToGrid w:val="0"/>
        <w:spacing w:line="360" w:lineRule="auto"/>
        <w:jc w:val="center"/>
        <w:rPr>
          <w:sz w:val="24"/>
        </w:rPr>
      </w:pPr>
    </w:p>
    <w:p w14:paraId="5D34FD78" w14:textId="77777777" w:rsidR="009D1F53" w:rsidRDefault="009D1F53">
      <w:pPr>
        <w:adjustRightInd w:val="0"/>
        <w:snapToGrid w:val="0"/>
        <w:spacing w:line="360" w:lineRule="auto"/>
        <w:rPr>
          <w:sz w:val="24"/>
        </w:rPr>
      </w:pPr>
    </w:p>
    <w:p w14:paraId="54ECBE48"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194CBA42"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2F92313F" w14:textId="06D3034A" w:rsidR="009D1F53" w:rsidRPr="00B31EF3" w:rsidRDefault="009D1F53" w:rsidP="00B31EF3">
      <w:pPr>
        <w:adjustRightInd w:val="0"/>
        <w:snapToGrid w:val="0"/>
        <w:spacing w:line="360" w:lineRule="auto"/>
        <w:jc w:val="center"/>
        <w:rPr>
          <w:sz w:val="24"/>
        </w:rPr>
      </w:pPr>
    </w:p>
    <w:p w14:paraId="6831EF4B" w14:textId="77777777" w:rsidR="00B31EF3" w:rsidRPr="00B31EF3" w:rsidRDefault="00B31EF3" w:rsidP="00B31EF3">
      <w:pPr>
        <w:adjustRightInd w:val="0"/>
        <w:snapToGrid w:val="0"/>
        <w:spacing w:line="360" w:lineRule="auto"/>
        <w:jc w:val="center"/>
        <w:rPr>
          <w:sz w:val="24"/>
        </w:rPr>
      </w:pPr>
    </w:p>
    <w:p w14:paraId="16780B5E" w14:textId="3228FBBD" w:rsidR="009D1F53" w:rsidRDefault="00811663">
      <w:pPr>
        <w:adjustRightInd w:val="0"/>
        <w:snapToGrid w:val="0"/>
        <w:spacing w:line="360" w:lineRule="auto"/>
        <w:jc w:val="center"/>
        <w:rPr>
          <w:rFonts w:ascii="黑体" w:hAnsi="黑体"/>
          <w:sz w:val="30"/>
        </w:rPr>
      </w:pPr>
      <w:r>
        <w:rPr>
          <w:rFonts w:ascii="黑体" w:hAnsi="黑体" w:hint="eastAsia"/>
          <w:sz w:val="30"/>
        </w:rPr>
        <w:t>二零二</w:t>
      </w:r>
      <w:r w:rsidR="00413CFC">
        <w:rPr>
          <w:rFonts w:ascii="黑体" w:hAnsi="黑体" w:hint="eastAsia"/>
          <w:sz w:val="30"/>
        </w:rPr>
        <w:t>五年</w:t>
      </w:r>
      <w:r w:rsidR="004972EE">
        <w:rPr>
          <w:rFonts w:ascii="黑体" w:hAnsi="黑体" w:hint="eastAsia"/>
          <w:sz w:val="30"/>
        </w:rPr>
        <w:t>三</w:t>
      </w:r>
      <w:bookmarkStart w:id="3" w:name="_GoBack"/>
      <w:bookmarkEnd w:id="3"/>
      <w:r>
        <w:rPr>
          <w:rFonts w:ascii="黑体" w:hAnsi="黑体" w:hint="eastAsia"/>
          <w:sz w:val="30"/>
        </w:rPr>
        <w:t>月</w:t>
      </w:r>
    </w:p>
    <w:p w14:paraId="1658C195" w14:textId="77777777" w:rsidR="009D1F53" w:rsidRDefault="009D1F53">
      <w:pPr>
        <w:adjustRightInd w:val="0"/>
        <w:snapToGrid w:val="0"/>
        <w:spacing w:line="360" w:lineRule="auto"/>
        <w:rPr>
          <w:sz w:val="24"/>
        </w:rPr>
      </w:pPr>
    </w:p>
    <w:p w14:paraId="66073FF4" w14:textId="77777777" w:rsidR="009D1F53" w:rsidRDefault="009D1F53">
      <w:pPr>
        <w:spacing w:line="360" w:lineRule="auto"/>
        <w:jc w:val="center"/>
        <w:rPr>
          <w:rFonts w:ascii="宋体" w:hAnsi="宋体"/>
          <w:b/>
          <w:sz w:val="24"/>
        </w:rPr>
        <w:sectPr w:rsidR="009D1F53">
          <w:footerReference w:type="default" r:id="rId45"/>
          <w:type w:val="continuous"/>
          <w:pgSz w:w="11906" w:h="16838"/>
          <w:pgMar w:top="1418" w:right="1701" w:bottom="1418" w:left="1701" w:header="851" w:footer="992" w:gutter="0"/>
          <w:cols w:space="425"/>
          <w:docGrid w:type="lines" w:linePitch="312"/>
        </w:sectPr>
      </w:pPr>
    </w:p>
    <w:p w14:paraId="3F2D50C7" w14:textId="77777777" w:rsidR="009D1F53" w:rsidRDefault="00811663">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4880B3AA" w14:textId="695C4C39" w:rsidR="009D1F53" w:rsidRDefault="00811663">
      <w:pPr>
        <w:pStyle w:val="21"/>
        <w:tabs>
          <w:tab w:val="right" w:leader="dot" w:pos="8494"/>
        </w:tabs>
        <w:spacing w:line="360" w:lineRule="auto"/>
        <w:rPr>
          <w:rFonts w:asciiTheme="minorHAnsi" w:hAnsiTheme="minorHAnsi"/>
          <w:noProof/>
        </w:rPr>
      </w:pPr>
      <w:r>
        <w:fldChar w:fldCharType="begin"/>
      </w:r>
      <w:r>
        <w:instrText xml:space="preserve"> TOC \o "1-2" \h \z </w:instrText>
      </w:r>
      <w:r>
        <w:fldChar w:fldCharType="separate"/>
      </w:r>
      <w:hyperlink w:anchor="_Toc488938610" w:history="1">
        <w:r>
          <w:rPr>
            <w:rStyle w:val="af5"/>
            <w:rFonts w:ascii="宋体" w:hAnsi="宋体" w:hint="eastAsia"/>
            <w:noProof/>
          </w:rPr>
          <w:t>一、基金托管协议当事人</w:t>
        </w:r>
        <w:r>
          <w:rPr>
            <w:noProof/>
          </w:rPr>
          <w:tab/>
        </w:r>
        <w:r>
          <w:rPr>
            <w:noProof/>
          </w:rPr>
          <w:fldChar w:fldCharType="begin"/>
        </w:r>
        <w:r>
          <w:rPr>
            <w:noProof/>
          </w:rPr>
          <w:instrText xml:space="preserve"> PAGEREF _Toc488938610 \h </w:instrText>
        </w:r>
        <w:r>
          <w:rPr>
            <w:noProof/>
          </w:rPr>
        </w:r>
        <w:r>
          <w:rPr>
            <w:noProof/>
          </w:rPr>
          <w:fldChar w:fldCharType="separate"/>
        </w:r>
        <w:r w:rsidR="00111C89">
          <w:rPr>
            <w:noProof/>
          </w:rPr>
          <w:t>3</w:t>
        </w:r>
        <w:r>
          <w:rPr>
            <w:noProof/>
          </w:rPr>
          <w:fldChar w:fldCharType="end"/>
        </w:r>
      </w:hyperlink>
    </w:p>
    <w:p w14:paraId="0C7964A4" w14:textId="396AC661" w:rsidR="009D1F53" w:rsidRDefault="00546408">
      <w:pPr>
        <w:pStyle w:val="21"/>
        <w:tabs>
          <w:tab w:val="right" w:leader="dot" w:pos="8494"/>
        </w:tabs>
        <w:spacing w:line="360" w:lineRule="auto"/>
        <w:rPr>
          <w:rFonts w:asciiTheme="minorHAnsi" w:hAnsiTheme="minorHAnsi"/>
          <w:noProof/>
        </w:rPr>
      </w:pPr>
      <w:hyperlink w:anchor="_Toc488938611" w:history="1">
        <w:r w:rsidR="00811663">
          <w:rPr>
            <w:rStyle w:val="af5"/>
            <w:rFonts w:ascii="宋体" w:hAnsi="宋体" w:hint="eastAsia"/>
            <w:noProof/>
          </w:rPr>
          <w:t>二、基金托管协议的依据、目的和原则</w:t>
        </w:r>
        <w:r w:rsidR="00811663">
          <w:rPr>
            <w:noProof/>
          </w:rPr>
          <w:tab/>
        </w:r>
        <w:r w:rsidR="00811663">
          <w:rPr>
            <w:noProof/>
          </w:rPr>
          <w:fldChar w:fldCharType="begin"/>
        </w:r>
        <w:r w:rsidR="00811663">
          <w:rPr>
            <w:noProof/>
          </w:rPr>
          <w:instrText xml:space="preserve"> PAGEREF _Toc488938611 \h </w:instrText>
        </w:r>
        <w:r w:rsidR="00811663">
          <w:rPr>
            <w:noProof/>
          </w:rPr>
        </w:r>
        <w:r w:rsidR="00811663">
          <w:rPr>
            <w:noProof/>
          </w:rPr>
          <w:fldChar w:fldCharType="separate"/>
        </w:r>
        <w:r w:rsidR="00111C89">
          <w:rPr>
            <w:noProof/>
          </w:rPr>
          <w:t>4</w:t>
        </w:r>
        <w:r w:rsidR="00811663">
          <w:rPr>
            <w:noProof/>
          </w:rPr>
          <w:fldChar w:fldCharType="end"/>
        </w:r>
      </w:hyperlink>
    </w:p>
    <w:p w14:paraId="28169FED" w14:textId="3B0B2257" w:rsidR="009D1F53" w:rsidRDefault="00546408">
      <w:pPr>
        <w:pStyle w:val="21"/>
        <w:tabs>
          <w:tab w:val="right" w:leader="dot" w:pos="8494"/>
        </w:tabs>
        <w:spacing w:line="360" w:lineRule="auto"/>
        <w:rPr>
          <w:rFonts w:asciiTheme="minorHAnsi" w:hAnsiTheme="minorHAnsi"/>
          <w:noProof/>
        </w:rPr>
      </w:pPr>
      <w:hyperlink w:anchor="_Toc488938612" w:history="1">
        <w:r w:rsidR="00811663">
          <w:rPr>
            <w:rStyle w:val="af5"/>
            <w:rFonts w:ascii="宋体" w:hAnsi="宋体" w:hint="eastAsia"/>
            <w:noProof/>
          </w:rPr>
          <w:t>三、基金托管人对基金管理人的业务监督和核查</w:t>
        </w:r>
        <w:r w:rsidR="00811663">
          <w:rPr>
            <w:noProof/>
          </w:rPr>
          <w:tab/>
        </w:r>
        <w:r w:rsidR="00811663">
          <w:rPr>
            <w:noProof/>
          </w:rPr>
          <w:fldChar w:fldCharType="begin"/>
        </w:r>
        <w:r w:rsidR="00811663">
          <w:rPr>
            <w:noProof/>
          </w:rPr>
          <w:instrText xml:space="preserve"> PAGEREF _Toc488938612 \h </w:instrText>
        </w:r>
        <w:r w:rsidR="00811663">
          <w:rPr>
            <w:noProof/>
          </w:rPr>
        </w:r>
        <w:r w:rsidR="00811663">
          <w:rPr>
            <w:noProof/>
          </w:rPr>
          <w:fldChar w:fldCharType="separate"/>
        </w:r>
        <w:r w:rsidR="00111C89">
          <w:rPr>
            <w:noProof/>
          </w:rPr>
          <w:t>5</w:t>
        </w:r>
        <w:r w:rsidR="00811663">
          <w:rPr>
            <w:noProof/>
          </w:rPr>
          <w:fldChar w:fldCharType="end"/>
        </w:r>
      </w:hyperlink>
    </w:p>
    <w:p w14:paraId="0702115B" w14:textId="0A716C28" w:rsidR="009D1F53" w:rsidRDefault="00546408">
      <w:pPr>
        <w:pStyle w:val="21"/>
        <w:tabs>
          <w:tab w:val="right" w:leader="dot" w:pos="8494"/>
        </w:tabs>
        <w:spacing w:line="360" w:lineRule="auto"/>
        <w:rPr>
          <w:rFonts w:asciiTheme="minorHAnsi" w:hAnsiTheme="minorHAnsi"/>
          <w:noProof/>
        </w:rPr>
      </w:pPr>
      <w:hyperlink w:anchor="_Toc488938613" w:history="1">
        <w:r w:rsidR="00811663">
          <w:rPr>
            <w:rStyle w:val="af5"/>
            <w:rFonts w:ascii="宋体" w:hAnsi="宋体" w:hint="eastAsia"/>
            <w:noProof/>
          </w:rPr>
          <w:t>四、基金管理人对基金托管人的业务核查</w:t>
        </w:r>
        <w:r w:rsidR="00811663">
          <w:rPr>
            <w:noProof/>
          </w:rPr>
          <w:tab/>
        </w:r>
        <w:r w:rsidR="00811663">
          <w:rPr>
            <w:noProof/>
          </w:rPr>
          <w:fldChar w:fldCharType="begin"/>
        </w:r>
        <w:r w:rsidR="00811663">
          <w:rPr>
            <w:noProof/>
          </w:rPr>
          <w:instrText xml:space="preserve"> PAGEREF _Toc488938613 \h </w:instrText>
        </w:r>
        <w:r w:rsidR="00811663">
          <w:rPr>
            <w:noProof/>
          </w:rPr>
        </w:r>
        <w:r w:rsidR="00811663">
          <w:rPr>
            <w:noProof/>
          </w:rPr>
          <w:fldChar w:fldCharType="separate"/>
        </w:r>
        <w:r w:rsidR="00111C89">
          <w:rPr>
            <w:noProof/>
          </w:rPr>
          <w:t>17</w:t>
        </w:r>
        <w:r w:rsidR="00811663">
          <w:rPr>
            <w:noProof/>
          </w:rPr>
          <w:fldChar w:fldCharType="end"/>
        </w:r>
      </w:hyperlink>
    </w:p>
    <w:p w14:paraId="756083C2" w14:textId="0B86734D" w:rsidR="009D1F53" w:rsidRDefault="00546408">
      <w:pPr>
        <w:pStyle w:val="21"/>
        <w:tabs>
          <w:tab w:val="right" w:leader="dot" w:pos="8494"/>
        </w:tabs>
        <w:spacing w:line="360" w:lineRule="auto"/>
        <w:rPr>
          <w:rFonts w:asciiTheme="minorHAnsi" w:hAnsiTheme="minorHAnsi"/>
          <w:noProof/>
        </w:rPr>
      </w:pPr>
      <w:hyperlink w:anchor="_Toc488938614" w:history="1">
        <w:r w:rsidR="00811663">
          <w:rPr>
            <w:rStyle w:val="af5"/>
            <w:rFonts w:ascii="宋体" w:hAnsi="宋体" w:hint="eastAsia"/>
            <w:noProof/>
          </w:rPr>
          <w:t>五、基金财产的保</w:t>
        </w:r>
        <w:bookmarkStart w:id="4" w:name="_Hlt433117871"/>
        <w:bookmarkStart w:id="5" w:name="_Hlt433117872"/>
        <w:r w:rsidR="00811663">
          <w:rPr>
            <w:rStyle w:val="af5"/>
            <w:rFonts w:ascii="宋体" w:hAnsi="宋体" w:hint="eastAsia"/>
            <w:noProof/>
          </w:rPr>
          <w:t>管</w:t>
        </w:r>
        <w:bookmarkEnd w:id="4"/>
        <w:bookmarkEnd w:id="5"/>
        <w:r w:rsidR="00811663">
          <w:rPr>
            <w:noProof/>
          </w:rPr>
          <w:tab/>
        </w:r>
        <w:r w:rsidR="00811663">
          <w:rPr>
            <w:noProof/>
          </w:rPr>
          <w:fldChar w:fldCharType="begin"/>
        </w:r>
        <w:r w:rsidR="00811663">
          <w:rPr>
            <w:noProof/>
          </w:rPr>
          <w:instrText xml:space="preserve"> PAGEREF _Toc488938614 \h </w:instrText>
        </w:r>
        <w:r w:rsidR="00811663">
          <w:rPr>
            <w:noProof/>
          </w:rPr>
        </w:r>
        <w:r w:rsidR="00811663">
          <w:rPr>
            <w:noProof/>
          </w:rPr>
          <w:fldChar w:fldCharType="separate"/>
        </w:r>
        <w:r w:rsidR="00111C89">
          <w:rPr>
            <w:noProof/>
          </w:rPr>
          <w:t>18</w:t>
        </w:r>
        <w:r w:rsidR="00811663">
          <w:rPr>
            <w:noProof/>
          </w:rPr>
          <w:fldChar w:fldCharType="end"/>
        </w:r>
      </w:hyperlink>
    </w:p>
    <w:p w14:paraId="12AB900E" w14:textId="55172569" w:rsidR="009D1F53" w:rsidRDefault="00546408">
      <w:pPr>
        <w:pStyle w:val="21"/>
        <w:tabs>
          <w:tab w:val="right" w:leader="dot" w:pos="8494"/>
        </w:tabs>
        <w:spacing w:line="360" w:lineRule="auto"/>
        <w:rPr>
          <w:rFonts w:asciiTheme="minorHAnsi" w:hAnsiTheme="minorHAnsi"/>
          <w:noProof/>
        </w:rPr>
      </w:pPr>
      <w:hyperlink w:anchor="_Toc488938615" w:history="1">
        <w:r w:rsidR="00811663">
          <w:rPr>
            <w:rStyle w:val="af5"/>
            <w:rFonts w:ascii="宋体" w:hAnsi="宋体" w:hint="eastAsia"/>
            <w:noProof/>
          </w:rPr>
          <w:t>六、指令的发送、确认及执行</w:t>
        </w:r>
        <w:r w:rsidR="00811663">
          <w:rPr>
            <w:noProof/>
          </w:rPr>
          <w:tab/>
        </w:r>
        <w:r w:rsidR="00811663">
          <w:rPr>
            <w:noProof/>
          </w:rPr>
          <w:fldChar w:fldCharType="begin"/>
        </w:r>
        <w:r w:rsidR="00811663">
          <w:rPr>
            <w:noProof/>
          </w:rPr>
          <w:instrText xml:space="preserve"> PAGEREF _Toc488938615 \h </w:instrText>
        </w:r>
        <w:r w:rsidR="00811663">
          <w:rPr>
            <w:noProof/>
          </w:rPr>
        </w:r>
        <w:r w:rsidR="00811663">
          <w:rPr>
            <w:noProof/>
          </w:rPr>
          <w:fldChar w:fldCharType="separate"/>
        </w:r>
        <w:r w:rsidR="00111C89">
          <w:rPr>
            <w:noProof/>
          </w:rPr>
          <w:t>22</w:t>
        </w:r>
        <w:r w:rsidR="00811663">
          <w:rPr>
            <w:noProof/>
          </w:rPr>
          <w:fldChar w:fldCharType="end"/>
        </w:r>
      </w:hyperlink>
    </w:p>
    <w:p w14:paraId="5AC23630" w14:textId="0D5A8804" w:rsidR="009D1F53" w:rsidRDefault="00546408">
      <w:pPr>
        <w:pStyle w:val="21"/>
        <w:tabs>
          <w:tab w:val="right" w:leader="dot" w:pos="8494"/>
        </w:tabs>
        <w:spacing w:line="360" w:lineRule="auto"/>
        <w:rPr>
          <w:rFonts w:asciiTheme="minorHAnsi" w:hAnsiTheme="minorHAnsi"/>
          <w:noProof/>
        </w:rPr>
      </w:pPr>
      <w:hyperlink w:anchor="_Toc488938616" w:history="1">
        <w:r w:rsidR="00811663">
          <w:rPr>
            <w:rStyle w:val="af5"/>
            <w:rFonts w:ascii="宋体" w:hAnsi="宋体" w:hint="eastAsia"/>
            <w:noProof/>
          </w:rPr>
          <w:t>七、交易及清算交收安排</w:t>
        </w:r>
        <w:r w:rsidR="00811663">
          <w:rPr>
            <w:noProof/>
          </w:rPr>
          <w:tab/>
        </w:r>
        <w:r w:rsidR="00811663">
          <w:rPr>
            <w:noProof/>
          </w:rPr>
          <w:fldChar w:fldCharType="begin"/>
        </w:r>
        <w:r w:rsidR="00811663">
          <w:rPr>
            <w:noProof/>
          </w:rPr>
          <w:instrText xml:space="preserve"> PAGEREF _Toc488938616 \h </w:instrText>
        </w:r>
        <w:r w:rsidR="00811663">
          <w:rPr>
            <w:noProof/>
          </w:rPr>
        </w:r>
        <w:r w:rsidR="00811663">
          <w:rPr>
            <w:noProof/>
          </w:rPr>
          <w:fldChar w:fldCharType="separate"/>
        </w:r>
        <w:r w:rsidR="00111C89">
          <w:rPr>
            <w:noProof/>
          </w:rPr>
          <w:t>27</w:t>
        </w:r>
        <w:r w:rsidR="00811663">
          <w:rPr>
            <w:noProof/>
          </w:rPr>
          <w:fldChar w:fldCharType="end"/>
        </w:r>
      </w:hyperlink>
    </w:p>
    <w:p w14:paraId="67A5A5C1" w14:textId="1F79EC89" w:rsidR="009D1F53" w:rsidRDefault="00546408">
      <w:pPr>
        <w:pStyle w:val="21"/>
        <w:tabs>
          <w:tab w:val="right" w:leader="dot" w:pos="8494"/>
        </w:tabs>
        <w:spacing w:line="360" w:lineRule="auto"/>
        <w:rPr>
          <w:rFonts w:asciiTheme="minorHAnsi" w:hAnsiTheme="minorHAnsi"/>
          <w:noProof/>
        </w:rPr>
      </w:pPr>
      <w:hyperlink w:anchor="_Toc488938617" w:history="1">
        <w:r w:rsidR="00811663">
          <w:rPr>
            <w:rStyle w:val="af5"/>
            <w:rFonts w:ascii="宋体" w:hAnsi="宋体" w:hint="eastAsia"/>
            <w:noProof/>
          </w:rPr>
          <w:t>八、基金资产净值计算、估值和会计核算</w:t>
        </w:r>
        <w:r w:rsidR="00811663">
          <w:rPr>
            <w:noProof/>
          </w:rPr>
          <w:tab/>
        </w:r>
        <w:r w:rsidR="00811663">
          <w:rPr>
            <w:noProof/>
          </w:rPr>
          <w:fldChar w:fldCharType="begin"/>
        </w:r>
        <w:r w:rsidR="00811663">
          <w:rPr>
            <w:noProof/>
          </w:rPr>
          <w:instrText xml:space="preserve"> PAGEREF _Toc488938617 \h </w:instrText>
        </w:r>
        <w:r w:rsidR="00811663">
          <w:rPr>
            <w:noProof/>
          </w:rPr>
        </w:r>
        <w:r w:rsidR="00811663">
          <w:rPr>
            <w:noProof/>
          </w:rPr>
          <w:fldChar w:fldCharType="separate"/>
        </w:r>
        <w:r w:rsidR="00111C89">
          <w:rPr>
            <w:noProof/>
          </w:rPr>
          <w:t>30</w:t>
        </w:r>
        <w:r w:rsidR="00811663">
          <w:rPr>
            <w:noProof/>
          </w:rPr>
          <w:fldChar w:fldCharType="end"/>
        </w:r>
      </w:hyperlink>
    </w:p>
    <w:p w14:paraId="58D4C08B" w14:textId="5289A949" w:rsidR="009D1F53" w:rsidRDefault="00546408">
      <w:pPr>
        <w:pStyle w:val="21"/>
        <w:tabs>
          <w:tab w:val="right" w:leader="dot" w:pos="8494"/>
        </w:tabs>
        <w:spacing w:line="360" w:lineRule="auto"/>
        <w:rPr>
          <w:rFonts w:asciiTheme="minorHAnsi" w:hAnsiTheme="minorHAnsi"/>
          <w:noProof/>
        </w:rPr>
      </w:pPr>
      <w:hyperlink w:anchor="_Toc488938618" w:history="1">
        <w:r w:rsidR="00811663">
          <w:rPr>
            <w:rStyle w:val="af5"/>
            <w:rFonts w:ascii="宋体" w:hAnsi="宋体" w:hint="eastAsia"/>
            <w:noProof/>
          </w:rPr>
          <w:t>九、基金收益分配</w:t>
        </w:r>
        <w:r w:rsidR="00811663">
          <w:rPr>
            <w:noProof/>
          </w:rPr>
          <w:tab/>
        </w:r>
        <w:r w:rsidR="00811663">
          <w:rPr>
            <w:noProof/>
          </w:rPr>
          <w:fldChar w:fldCharType="begin"/>
        </w:r>
        <w:r w:rsidR="00811663">
          <w:rPr>
            <w:noProof/>
          </w:rPr>
          <w:instrText xml:space="preserve"> PAGEREF _Toc488938618 \h </w:instrText>
        </w:r>
        <w:r w:rsidR="00811663">
          <w:rPr>
            <w:noProof/>
          </w:rPr>
        </w:r>
        <w:r w:rsidR="00811663">
          <w:rPr>
            <w:noProof/>
          </w:rPr>
          <w:fldChar w:fldCharType="separate"/>
        </w:r>
        <w:r w:rsidR="00111C89">
          <w:rPr>
            <w:noProof/>
          </w:rPr>
          <w:t>32</w:t>
        </w:r>
        <w:r w:rsidR="00811663">
          <w:rPr>
            <w:noProof/>
          </w:rPr>
          <w:fldChar w:fldCharType="end"/>
        </w:r>
      </w:hyperlink>
    </w:p>
    <w:p w14:paraId="74EB6FC1" w14:textId="368E57C2" w:rsidR="009D1F53" w:rsidRDefault="00546408">
      <w:pPr>
        <w:pStyle w:val="21"/>
        <w:tabs>
          <w:tab w:val="right" w:leader="dot" w:pos="8494"/>
        </w:tabs>
        <w:spacing w:line="360" w:lineRule="auto"/>
        <w:rPr>
          <w:rFonts w:asciiTheme="minorHAnsi" w:hAnsiTheme="minorHAnsi"/>
          <w:noProof/>
        </w:rPr>
      </w:pPr>
      <w:hyperlink w:anchor="_Toc488938619" w:history="1">
        <w:r w:rsidR="00811663">
          <w:rPr>
            <w:rStyle w:val="af5"/>
            <w:rFonts w:ascii="宋体" w:hAnsi="宋体" w:hint="eastAsia"/>
            <w:noProof/>
          </w:rPr>
          <w:t>十、基金信息披露</w:t>
        </w:r>
        <w:r w:rsidR="00811663">
          <w:rPr>
            <w:noProof/>
          </w:rPr>
          <w:tab/>
        </w:r>
        <w:r w:rsidR="00811663">
          <w:rPr>
            <w:noProof/>
          </w:rPr>
          <w:fldChar w:fldCharType="begin"/>
        </w:r>
        <w:r w:rsidR="00811663">
          <w:rPr>
            <w:noProof/>
          </w:rPr>
          <w:instrText xml:space="preserve"> PAGEREF _Toc488938619 \h </w:instrText>
        </w:r>
        <w:r w:rsidR="00811663">
          <w:rPr>
            <w:noProof/>
          </w:rPr>
        </w:r>
        <w:r w:rsidR="00811663">
          <w:rPr>
            <w:noProof/>
          </w:rPr>
          <w:fldChar w:fldCharType="separate"/>
        </w:r>
        <w:r w:rsidR="00111C89">
          <w:rPr>
            <w:noProof/>
          </w:rPr>
          <w:t>33</w:t>
        </w:r>
        <w:r w:rsidR="00811663">
          <w:rPr>
            <w:noProof/>
          </w:rPr>
          <w:fldChar w:fldCharType="end"/>
        </w:r>
      </w:hyperlink>
    </w:p>
    <w:p w14:paraId="072B4876" w14:textId="2F8C59A1" w:rsidR="009D1F53" w:rsidRDefault="00546408">
      <w:pPr>
        <w:pStyle w:val="21"/>
        <w:tabs>
          <w:tab w:val="right" w:leader="dot" w:pos="8494"/>
        </w:tabs>
        <w:spacing w:line="360" w:lineRule="auto"/>
        <w:rPr>
          <w:rFonts w:asciiTheme="minorHAnsi" w:hAnsiTheme="minorHAnsi"/>
          <w:noProof/>
        </w:rPr>
      </w:pPr>
      <w:hyperlink w:anchor="_Toc488938620" w:history="1">
        <w:r w:rsidR="00811663">
          <w:rPr>
            <w:rStyle w:val="af5"/>
            <w:rFonts w:ascii="宋体" w:hAnsi="宋体" w:hint="eastAsia"/>
            <w:noProof/>
          </w:rPr>
          <w:t>十一、基金费用</w:t>
        </w:r>
        <w:r w:rsidR="00811663">
          <w:rPr>
            <w:noProof/>
          </w:rPr>
          <w:tab/>
        </w:r>
        <w:r w:rsidR="00811663">
          <w:rPr>
            <w:noProof/>
          </w:rPr>
          <w:fldChar w:fldCharType="begin"/>
        </w:r>
        <w:r w:rsidR="00811663">
          <w:rPr>
            <w:noProof/>
          </w:rPr>
          <w:instrText xml:space="preserve"> PAGEREF _Toc488938620 \h </w:instrText>
        </w:r>
        <w:r w:rsidR="00811663">
          <w:rPr>
            <w:noProof/>
          </w:rPr>
        </w:r>
        <w:r w:rsidR="00811663">
          <w:rPr>
            <w:noProof/>
          </w:rPr>
          <w:fldChar w:fldCharType="separate"/>
        </w:r>
        <w:r w:rsidR="00111C89">
          <w:rPr>
            <w:noProof/>
          </w:rPr>
          <w:t>35</w:t>
        </w:r>
        <w:r w:rsidR="00811663">
          <w:rPr>
            <w:noProof/>
          </w:rPr>
          <w:fldChar w:fldCharType="end"/>
        </w:r>
      </w:hyperlink>
    </w:p>
    <w:p w14:paraId="22878866" w14:textId="04BE8290" w:rsidR="009D1F53" w:rsidRDefault="00546408">
      <w:pPr>
        <w:pStyle w:val="21"/>
        <w:tabs>
          <w:tab w:val="right" w:leader="dot" w:pos="8494"/>
        </w:tabs>
        <w:spacing w:line="360" w:lineRule="auto"/>
        <w:rPr>
          <w:rFonts w:asciiTheme="minorHAnsi" w:hAnsiTheme="minorHAnsi"/>
          <w:noProof/>
        </w:rPr>
      </w:pPr>
      <w:hyperlink w:anchor="_Toc488938621" w:history="1">
        <w:r w:rsidR="00811663">
          <w:rPr>
            <w:rStyle w:val="af5"/>
            <w:rFonts w:ascii="宋体" w:hAnsi="宋体" w:hint="eastAsia"/>
            <w:noProof/>
          </w:rPr>
          <w:t>十二、基金份额持有人名册的保管</w:t>
        </w:r>
        <w:r w:rsidR="00811663">
          <w:rPr>
            <w:noProof/>
          </w:rPr>
          <w:tab/>
        </w:r>
        <w:r w:rsidR="00811663">
          <w:rPr>
            <w:noProof/>
          </w:rPr>
          <w:fldChar w:fldCharType="begin"/>
        </w:r>
        <w:r w:rsidR="00811663">
          <w:rPr>
            <w:noProof/>
          </w:rPr>
          <w:instrText xml:space="preserve"> PAGEREF _Toc488938621 \h </w:instrText>
        </w:r>
        <w:r w:rsidR="00811663">
          <w:rPr>
            <w:noProof/>
          </w:rPr>
        </w:r>
        <w:r w:rsidR="00811663">
          <w:rPr>
            <w:noProof/>
          </w:rPr>
          <w:fldChar w:fldCharType="separate"/>
        </w:r>
        <w:r w:rsidR="00111C89">
          <w:rPr>
            <w:noProof/>
          </w:rPr>
          <w:t>36</w:t>
        </w:r>
        <w:r w:rsidR="00811663">
          <w:rPr>
            <w:noProof/>
          </w:rPr>
          <w:fldChar w:fldCharType="end"/>
        </w:r>
      </w:hyperlink>
    </w:p>
    <w:p w14:paraId="44886701" w14:textId="778D8D1B" w:rsidR="009D1F53" w:rsidRDefault="00546408">
      <w:pPr>
        <w:pStyle w:val="21"/>
        <w:tabs>
          <w:tab w:val="right" w:leader="dot" w:pos="8494"/>
        </w:tabs>
        <w:spacing w:line="360" w:lineRule="auto"/>
        <w:rPr>
          <w:rFonts w:asciiTheme="minorHAnsi" w:hAnsiTheme="minorHAnsi"/>
          <w:noProof/>
        </w:rPr>
      </w:pPr>
      <w:hyperlink w:anchor="_Toc488938622" w:history="1">
        <w:r w:rsidR="00811663">
          <w:rPr>
            <w:rStyle w:val="af5"/>
            <w:rFonts w:ascii="宋体" w:hAnsi="宋体" w:hint="eastAsia"/>
            <w:noProof/>
          </w:rPr>
          <w:t>十三、基金有关文件档案的保存</w:t>
        </w:r>
        <w:r w:rsidR="00811663">
          <w:rPr>
            <w:noProof/>
          </w:rPr>
          <w:tab/>
        </w:r>
        <w:r w:rsidR="00811663">
          <w:rPr>
            <w:noProof/>
          </w:rPr>
          <w:fldChar w:fldCharType="begin"/>
        </w:r>
        <w:r w:rsidR="00811663">
          <w:rPr>
            <w:noProof/>
          </w:rPr>
          <w:instrText xml:space="preserve"> PAGEREF _Toc488938622 \h </w:instrText>
        </w:r>
        <w:r w:rsidR="00811663">
          <w:rPr>
            <w:noProof/>
          </w:rPr>
        </w:r>
        <w:r w:rsidR="00811663">
          <w:rPr>
            <w:noProof/>
          </w:rPr>
          <w:fldChar w:fldCharType="separate"/>
        </w:r>
        <w:r w:rsidR="00111C89">
          <w:rPr>
            <w:noProof/>
          </w:rPr>
          <w:t>37</w:t>
        </w:r>
        <w:r w:rsidR="00811663">
          <w:rPr>
            <w:noProof/>
          </w:rPr>
          <w:fldChar w:fldCharType="end"/>
        </w:r>
      </w:hyperlink>
    </w:p>
    <w:p w14:paraId="3FE462D0" w14:textId="134D6112" w:rsidR="009D1F53" w:rsidRDefault="00546408">
      <w:pPr>
        <w:pStyle w:val="21"/>
        <w:tabs>
          <w:tab w:val="right" w:leader="dot" w:pos="8494"/>
        </w:tabs>
        <w:spacing w:line="360" w:lineRule="auto"/>
        <w:rPr>
          <w:rFonts w:asciiTheme="minorHAnsi" w:hAnsiTheme="minorHAnsi"/>
          <w:noProof/>
        </w:rPr>
      </w:pPr>
      <w:hyperlink w:anchor="_Toc488938623" w:history="1">
        <w:r w:rsidR="00811663">
          <w:rPr>
            <w:rStyle w:val="af5"/>
            <w:rFonts w:ascii="宋体" w:hAnsi="宋体" w:hint="eastAsia"/>
            <w:noProof/>
          </w:rPr>
          <w:t>十四、基金管理人和基金托管人的更换</w:t>
        </w:r>
        <w:r w:rsidR="00811663">
          <w:rPr>
            <w:noProof/>
          </w:rPr>
          <w:tab/>
        </w:r>
        <w:r w:rsidR="00811663">
          <w:rPr>
            <w:noProof/>
          </w:rPr>
          <w:fldChar w:fldCharType="begin"/>
        </w:r>
        <w:r w:rsidR="00811663">
          <w:rPr>
            <w:noProof/>
          </w:rPr>
          <w:instrText xml:space="preserve"> PAGEREF _Toc488938623 \h </w:instrText>
        </w:r>
        <w:r w:rsidR="00811663">
          <w:rPr>
            <w:noProof/>
          </w:rPr>
        </w:r>
        <w:r w:rsidR="00811663">
          <w:rPr>
            <w:noProof/>
          </w:rPr>
          <w:fldChar w:fldCharType="separate"/>
        </w:r>
        <w:r w:rsidR="00111C89">
          <w:rPr>
            <w:noProof/>
          </w:rPr>
          <w:t>38</w:t>
        </w:r>
        <w:r w:rsidR="00811663">
          <w:rPr>
            <w:noProof/>
          </w:rPr>
          <w:fldChar w:fldCharType="end"/>
        </w:r>
      </w:hyperlink>
    </w:p>
    <w:p w14:paraId="37AF8A0C" w14:textId="3DD32FD6" w:rsidR="009D1F53" w:rsidRDefault="00546408">
      <w:pPr>
        <w:pStyle w:val="21"/>
        <w:tabs>
          <w:tab w:val="right" w:leader="dot" w:pos="8494"/>
        </w:tabs>
        <w:spacing w:line="360" w:lineRule="auto"/>
        <w:rPr>
          <w:rFonts w:asciiTheme="minorHAnsi" w:hAnsiTheme="minorHAnsi"/>
          <w:noProof/>
        </w:rPr>
      </w:pPr>
      <w:hyperlink w:anchor="_Toc488938624" w:history="1">
        <w:r w:rsidR="00811663">
          <w:rPr>
            <w:rStyle w:val="af5"/>
            <w:rFonts w:ascii="宋体" w:hAnsi="宋体" w:hint="eastAsia"/>
            <w:noProof/>
          </w:rPr>
          <w:t>十五、禁止行为</w:t>
        </w:r>
        <w:r w:rsidR="00811663">
          <w:rPr>
            <w:noProof/>
          </w:rPr>
          <w:tab/>
        </w:r>
        <w:r w:rsidR="00811663">
          <w:rPr>
            <w:noProof/>
          </w:rPr>
          <w:fldChar w:fldCharType="begin"/>
        </w:r>
        <w:r w:rsidR="00811663">
          <w:rPr>
            <w:noProof/>
          </w:rPr>
          <w:instrText xml:space="preserve"> PAGEREF _Toc488938624 \h </w:instrText>
        </w:r>
        <w:r w:rsidR="00811663">
          <w:rPr>
            <w:noProof/>
          </w:rPr>
        </w:r>
        <w:r w:rsidR="00811663">
          <w:rPr>
            <w:noProof/>
          </w:rPr>
          <w:fldChar w:fldCharType="separate"/>
        </w:r>
        <w:r w:rsidR="00111C89">
          <w:rPr>
            <w:noProof/>
          </w:rPr>
          <w:t>39</w:t>
        </w:r>
        <w:r w:rsidR="00811663">
          <w:rPr>
            <w:noProof/>
          </w:rPr>
          <w:fldChar w:fldCharType="end"/>
        </w:r>
      </w:hyperlink>
    </w:p>
    <w:p w14:paraId="644FC8F2" w14:textId="2F4E37E0" w:rsidR="009D1F53" w:rsidRDefault="00546408">
      <w:pPr>
        <w:pStyle w:val="21"/>
        <w:tabs>
          <w:tab w:val="right" w:leader="dot" w:pos="8494"/>
        </w:tabs>
        <w:spacing w:line="360" w:lineRule="auto"/>
        <w:rPr>
          <w:rFonts w:asciiTheme="minorHAnsi" w:hAnsiTheme="minorHAnsi"/>
          <w:noProof/>
        </w:rPr>
      </w:pPr>
      <w:hyperlink w:anchor="_Toc488938625" w:history="1">
        <w:r w:rsidR="00811663">
          <w:rPr>
            <w:rStyle w:val="af5"/>
            <w:rFonts w:ascii="宋体" w:hAnsi="宋体" w:hint="eastAsia"/>
            <w:noProof/>
          </w:rPr>
          <w:t>十六、托管协议的变更、终止与基金财产的清算</w:t>
        </w:r>
        <w:r w:rsidR="00811663">
          <w:rPr>
            <w:noProof/>
          </w:rPr>
          <w:tab/>
        </w:r>
        <w:r w:rsidR="00811663">
          <w:rPr>
            <w:noProof/>
          </w:rPr>
          <w:fldChar w:fldCharType="begin"/>
        </w:r>
        <w:r w:rsidR="00811663">
          <w:rPr>
            <w:noProof/>
          </w:rPr>
          <w:instrText xml:space="preserve"> PAGEREF _Toc488938625 \h </w:instrText>
        </w:r>
        <w:r w:rsidR="00811663">
          <w:rPr>
            <w:noProof/>
          </w:rPr>
        </w:r>
        <w:r w:rsidR="00811663">
          <w:rPr>
            <w:noProof/>
          </w:rPr>
          <w:fldChar w:fldCharType="separate"/>
        </w:r>
        <w:r w:rsidR="00111C89">
          <w:rPr>
            <w:noProof/>
          </w:rPr>
          <w:t>40</w:t>
        </w:r>
        <w:r w:rsidR="00811663">
          <w:rPr>
            <w:noProof/>
          </w:rPr>
          <w:fldChar w:fldCharType="end"/>
        </w:r>
      </w:hyperlink>
    </w:p>
    <w:p w14:paraId="63DCDCE7" w14:textId="5A7FF714" w:rsidR="009D1F53" w:rsidRDefault="00546408">
      <w:pPr>
        <w:pStyle w:val="21"/>
        <w:tabs>
          <w:tab w:val="right" w:leader="dot" w:pos="8494"/>
        </w:tabs>
        <w:spacing w:line="360" w:lineRule="auto"/>
        <w:rPr>
          <w:rFonts w:asciiTheme="minorHAnsi" w:hAnsiTheme="minorHAnsi"/>
          <w:noProof/>
        </w:rPr>
      </w:pPr>
      <w:hyperlink w:anchor="_Toc488938626" w:history="1">
        <w:r w:rsidR="00811663">
          <w:rPr>
            <w:rStyle w:val="af5"/>
            <w:rFonts w:ascii="宋体" w:hAnsi="宋体" w:hint="eastAsia"/>
            <w:noProof/>
          </w:rPr>
          <w:t>十七、违约责任</w:t>
        </w:r>
        <w:r w:rsidR="00811663">
          <w:rPr>
            <w:noProof/>
          </w:rPr>
          <w:tab/>
        </w:r>
        <w:r w:rsidR="00811663">
          <w:rPr>
            <w:noProof/>
          </w:rPr>
          <w:fldChar w:fldCharType="begin"/>
        </w:r>
        <w:r w:rsidR="00811663">
          <w:rPr>
            <w:noProof/>
          </w:rPr>
          <w:instrText xml:space="preserve"> PAGEREF _Toc488938626 \h </w:instrText>
        </w:r>
        <w:r w:rsidR="00811663">
          <w:rPr>
            <w:noProof/>
          </w:rPr>
        </w:r>
        <w:r w:rsidR="00811663">
          <w:rPr>
            <w:noProof/>
          </w:rPr>
          <w:fldChar w:fldCharType="separate"/>
        </w:r>
        <w:r w:rsidR="00111C89">
          <w:rPr>
            <w:noProof/>
          </w:rPr>
          <w:t>41</w:t>
        </w:r>
        <w:r w:rsidR="00811663">
          <w:rPr>
            <w:noProof/>
          </w:rPr>
          <w:fldChar w:fldCharType="end"/>
        </w:r>
      </w:hyperlink>
    </w:p>
    <w:p w14:paraId="2B1386D3" w14:textId="63B4C643" w:rsidR="009D1F53" w:rsidRDefault="00546408">
      <w:pPr>
        <w:pStyle w:val="21"/>
        <w:tabs>
          <w:tab w:val="right" w:leader="dot" w:pos="8494"/>
        </w:tabs>
        <w:spacing w:line="360" w:lineRule="auto"/>
        <w:rPr>
          <w:rFonts w:asciiTheme="minorHAnsi" w:hAnsiTheme="minorHAnsi"/>
          <w:noProof/>
        </w:rPr>
      </w:pPr>
      <w:hyperlink w:anchor="_Toc488938627" w:history="1">
        <w:r w:rsidR="00811663">
          <w:rPr>
            <w:rStyle w:val="af5"/>
            <w:rFonts w:ascii="宋体" w:hAnsi="宋体" w:hint="eastAsia"/>
            <w:noProof/>
          </w:rPr>
          <w:t>十八、争议解决方式</w:t>
        </w:r>
        <w:r w:rsidR="00811663">
          <w:rPr>
            <w:noProof/>
          </w:rPr>
          <w:tab/>
        </w:r>
        <w:r w:rsidR="00811663">
          <w:rPr>
            <w:noProof/>
          </w:rPr>
          <w:fldChar w:fldCharType="begin"/>
        </w:r>
        <w:r w:rsidR="00811663">
          <w:rPr>
            <w:noProof/>
          </w:rPr>
          <w:instrText xml:space="preserve"> PAGEREF _Toc488938627 \h </w:instrText>
        </w:r>
        <w:r w:rsidR="00811663">
          <w:rPr>
            <w:noProof/>
          </w:rPr>
        </w:r>
        <w:r w:rsidR="00811663">
          <w:rPr>
            <w:noProof/>
          </w:rPr>
          <w:fldChar w:fldCharType="separate"/>
        </w:r>
        <w:r w:rsidR="00111C89">
          <w:rPr>
            <w:noProof/>
          </w:rPr>
          <w:t>42</w:t>
        </w:r>
        <w:r w:rsidR="00811663">
          <w:rPr>
            <w:noProof/>
          </w:rPr>
          <w:fldChar w:fldCharType="end"/>
        </w:r>
      </w:hyperlink>
    </w:p>
    <w:p w14:paraId="27281EA0" w14:textId="23992156" w:rsidR="009D1F53" w:rsidRDefault="00546408">
      <w:pPr>
        <w:pStyle w:val="21"/>
        <w:tabs>
          <w:tab w:val="right" w:leader="dot" w:pos="8494"/>
        </w:tabs>
        <w:spacing w:line="360" w:lineRule="auto"/>
        <w:rPr>
          <w:rFonts w:asciiTheme="minorHAnsi" w:hAnsiTheme="minorHAnsi"/>
          <w:noProof/>
        </w:rPr>
      </w:pPr>
      <w:hyperlink w:anchor="_Toc488938628" w:history="1">
        <w:r w:rsidR="00811663">
          <w:rPr>
            <w:rStyle w:val="af5"/>
            <w:rFonts w:ascii="宋体" w:hAnsi="宋体" w:hint="eastAsia"/>
            <w:noProof/>
          </w:rPr>
          <w:t>十九、托管协议的效力</w:t>
        </w:r>
        <w:r w:rsidR="00811663">
          <w:rPr>
            <w:noProof/>
          </w:rPr>
          <w:tab/>
        </w:r>
        <w:r w:rsidR="00811663">
          <w:rPr>
            <w:noProof/>
          </w:rPr>
          <w:fldChar w:fldCharType="begin"/>
        </w:r>
        <w:r w:rsidR="00811663">
          <w:rPr>
            <w:noProof/>
          </w:rPr>
          <w:instrText xml:space="preserve"> PAGEREF _Toc488938628 \h </w:instrText>
        </w:r>
        <w:r w:rsidR="00811663">
          <w:rPr>
            <w:noProof/>
          </w:rPr>
        </w:r>
        <w:r w:rsidR="00811663">
          <w:rPr>
            <w:noProof/>
          </w:rPr>
          <w:fldChar w:fldCharType="separate"/>
        </w:r>
        <w:r w:rsidR="00111C89">
          <w:rPr>
            <w:noProof/>
          </w:rPr>
          <w:t>43</w:t>
        </w:r>
        <w:r w:rsidR="00811663">
          <w:rPr>
            <w:noProof/>
          </w:rPr>
          <w:fldChar w:fldCharType="end"/>
        </w:r>
      </w:hyperlink>
    </w:p>
    <w:p w14:paraId="492BAF06" w14:textId="421BE4F2" w:rsidR="009D1F53" w:rsidRDefault="00546408">
      <w:pPr>
        <w:pStyle w:val="21"/>
        <w:tabs>
          <w:tab w:val="right" w:leader="dot" w:pos="8494"/>
        </w:tabs>
        <w:spacing w:line="360" w:lineRule="auto"/>
        <w:rPr>
          <w:rFonts w:asciiTheme="minorHAnsi" w:hAnsiTheme="minorHAnsi"/>
          <w:noProof/>
        </w:rPr>
      </w:pPr>
      <w:hyperlink w:anchor="_Toc488938629" w:history="1">
        <w:r w:rsidR="00811663">
          <w:rPr>
            <w:rStyle w:val="af5"/>
            <w:rFonts w:ascii="宋体" w:hAnsi="宋体" w:hint="eastAsia"/>
            <w:noProof/>
          </w:rPr>
          <w:t>二十、其他事项</w:t>
        </w:r>
        <w:r w:rsidR="00811663">
          <w:rPr>
            <w:noProof/>
          </w:rPr>
          <w:tab/>
        </w:r>
        <w:r w:rsidR="00811663">
          <w:rPr>
            <w:noProof/>
          </w:rPr>
          <w:fldChar w:fldCharType="begin"/>
        </w:r>
        <w:r w:rsidR="00811663">
          <w:rPr>
            <w:noProof/>
          </w:rPr>
          <w:instrText xml:space="preserve"> PAGEREF _Toc488938629 \h </w:instrText>
        </w:r>
        <w:r w:rsidR="00811663">
          <w:rPr>
            <w:noProof/>
          </w:rPr>
        </w:r>
        <w:r w:rsidR="00811663">
          <w:rPr>
            <w:noProof/>
          </w:rPr>
          <w:fldChar w:fldCharType="separate"/>
        </w:r>
        <w:r w:rsidR="00111C89">
          <w:rPr>
            <w:noProof/>
          </w:rPr>
          <w:t>44</w:t>
        </w:r>
        <w:r w:rsidR="00811663">
          <w:rPr>
            <w:noProof/>
          </w:rPr>
          <w:fldChar w:fldCharType="end"/>
        </w:r>
      </w:hyperlink>
    </w:p>
    <w:p w14:paraId="2BE65D49" w14:textId="770BC453" w:rsidR="009D1F53" w:rsidRDefault="00546408">
      <w:pPr>
        <w:pStyle w:val="21"/>
        <w:tabs>
          <w:tab w:val="right" w:leader="dot" w:pos="8494"/>
        </w:tabs>
        <w:spacing w:line="360" w:lineRule="auto"/>
        <w:rPr>
          <w:rFonts w:asciiTheme="minorHAnsi" w:hAnsiTheme="minorHAnsi"/>
          <w:noProof/>
        </w:rPr>
      </w:pPr>
      <w:hyperlink w:anchor="_Toc488938630" w:history="1">
        <w:r w:rsidR="00811663">
          <w:rPr>
            <w:rStyle w:val="af5"/>
            <w:rFonts w:ascii="宋体" w:hAnsi="宋体" w:hint="eastAsia"/>
            <w:noProof/>
          </w:rPr>
          <w:t>二十一、托管协议的签订</w:t>
        </w:r>
        <w:r w:rsidR="00811663">
          <w:rPr>
            <w:noProof/>
          </w:rPr>
          <w:tab/>
        </w:r>
        <w:r w:rsidR="00811663">
          <w:rPr>
            <w:noProof/>
          </w:rPr>
          <w:fldChar w:fldCharType="begin"/>
        </w:r>
        <w:r w:rsidR="00811663">
          <w:rPr>
            <w:noProof/>
          </w:rPr>
          <w:instrText xml:space="preserve"> PAGEREF _Toc488938630 \h </w:instrText>
        </w:r>
        <w:r w:rsidR="00811663">
          <w:rPr>
            <w:noProof/>
          </w:rPr>
        </w:r>
        <w:r w:rsidR="00811663">
          <w:rPr>
            <w:noProof/>
          </w:rPr>
          <w:fldChar w:fldCharType="separate"/>
        </w:r>
        <w:r w:rsidR="00111C89">
          <w:rPr>
            <w:noProof/>
          </w:rPr>
          <w:t>45</w:t>
        </w:r>
        <w:r w:rsidR="00811663">
          <w:rPr>
            <w:noProof/>
          </w:rPr>
          <w:fldChar w:fldCharType="end"/>
        </w:r>
      </w:hyperlink>
    </w:p>
    <w:p w14:paraId="3F9586C5" w14:textId="144DE3C1" w:rsidR="009D1F53" w:rsidRDefault="00546408">
      <w:pPr>
        <w:pStyle w:val="21"/>
        <w:tabs>
          <w:tab w:val="right" w:leader="dot" w:pos="8494"/>
        </w:tabs>
        <w:spacing w:line="360" w:lineRule="auto"/>
        <w:rPr>
          <w:rFonts w:asciiTheme="minorHAnsi" w:hAnsiTheme="minorHAnsi"/>
          <w:noProof/>
        </w:rPr>
      </w:pPr>
      <w:hyperlink w:anchor="_Toc488938631" w:history="1">
        <w:r w:rsidR="00811663">
          <w:rPr>
            <w:rStyle w:val="af5"/>
            <w:rFonts w:ascii="宋体" w:hAnsi="宋体" w:hint="eastAsia"/>
            <w:noProof/>
          </w:rPr>
          <w:t>附件：托管银行证券资金结算规定</w:t>
        </w:r>
        <w:r w:rsidR="00811663">
          <w:rPr>
            <w:noProof/>
          </w:rPr>
          <w:tab/>
        </w:r>
        <w:r w:rsidR="00811663">
          <w:rPr>
            <w:noProof/>
          </w:rPr>
          <w:fldChar w:fldCharType="begin"/>
        </w:r>
        <w:r w:rsidR="00811663">
          <w:rPr>
            <w:noProof/>
          </w:rPr>
          <w:instrText xml:space="preserve"> PAGEREF _Toc488938631 \h </w:instrText>
        </w:r>
        <w:r w:rsidR="00811663">
          <w:rPr>
            <w:noProof/>
          </w:rPr>
        </w:r>
        <w:r w:rsidR="00811663">
          <w:rPr>
            <w:noProof/>
          </w:rPr>
          <w:fldChar w:fldCharType="separate"/>
        </w:r>
        <w:r w:rsidR="00111C89">
          <w:rPr>
            <w:noProof/>
          </w:rPr>
          <w:t>45</w:t>
        </w:r>
        <w:r w:rsidR="00811663">
          <w:rPr>
            <w:noProof/>
          </w:rPr>
          <w:fldChar w:fldCharType="end"/>
        </w:r>
      </w:hyperlink>
    </w:p>
    <w:p w14:paraId="666017D2" w14:textId="77777777" w:rsidR="009D1F53" w:rsidRDefault="00811663">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0F7EAE7B" w14:textId="0FE78A96"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系一家依照中国法律合法成立并有效存续的有限责任公司，按照相关法律法规的规定具备担任基金管理人的资格和能力，拟募集注册</w:t>
      </w:r>
      <w:r w:rsidR="00967F86">
        <w:rPr>
          <w:rFonts w:ascii="宋体" w:hAnsi="宋体" w:cs="Arial" w:hint="eastAsia"/>
          <w:kern w:val="0"/>
          <w:sz w:val="24"/>
        </w:rPr>
        <w:t>交银施罗德安悦平衡养老目标三年持有期混合型发起式基金中基金（FOF）</w:t>
      </w:r>
      <w:r>
        <w:rPr>
          <w:rFonts w:ascii="宋体" w:hAnsi="宋体" w:hint="eastAsia"/>
          <w:kern w:val="0"/>
          <w:sz w:val="24"/>
        </w:rPr>
        <w:t>；</w:t>
      </w:r>
    </w:p>
    <w:p w14:paraId="09F85A56" w14:textId="77777777"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17AE4AD2" w14:textId="170C2F77"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sidR="00967F86">
        <w:rPr>
          <w:rFonts w:ascii="宋体" w:hAnsi="宋体" w:cs="Arial" w:hint="eastAsia"/>
          <w:kern w:val="0"/>
          <w:sz w:val="24"/>
        </w:rPr>
        <w:t>交银施罗德安悦平衡养老目标三年持有期混合型发起式基金中基金（FOF）</w:t>
      </w:r>
      <w:r>
        <w:rPr>
          <w:rFonts w:ascii="宋体" w:hAnsi="宋体" w:hint="eastAsia"/>
          <w:kern w:val="0"/>
          <w:sz w:val="24"/>
        </w:rPr>
        <w:t>的基金管理人，招商银行股份有限公司拟担任</w:t>
      </w:r>
      <w:r w:rsidR="00967F86">
        <w:rPr>
          <w:rFonts w:ascii="宋体" w:hAnsi="宋体" w:cs="Arial" w:hint="eastAsia"/>
          <w:kern w:val="0"/>
          <w:sz w:val="24"/>
        </w:rPr>
        <w:t>交银施罗德安悦平衡养老目标三年持有期混合型发起式基金中基金（FOF）</w:t>
      </w:r>
      <w:r>
        <w:rPr>
          <w:rFonts w:ascii="宋体" w:hAnsi="宋体" w:hint="eastAsia"/>
          <w:kern w:val="0"/>
          <w:sz w:val="24"/>
        </w:rPr>
        <w:t>的基金托管人；</w:t>
      </w:r>
    </w:p>
    <w:p w14:paraId="147908E6" w14:textId="49859496"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为明确</w:t>
      </w:r>
      <w:r w:rsidR="00967F86">
        <w:rPr>
          <w:rFonts w:ascii="宋体" w:hAnsi="宋体" w:cs="Arial" w:hint="eastAsia"/>
          <w:kern w:val="0"/>
          <w:sz w:val="24"/>
        </w:rPr>
        <w:t>交银施罗德安悦平衡养老目标三年持有期混合型发起式基金中基金（FOF）</w:t>
      </w:r>
      <w:r>
        <w:rPr>
          <w:rFonts w:ascii="宋体" w:hAnsi="宋体" w:cs="Arial" w:hint="eastAsia"/>
          <w:kern w:val="0"/>
          <w:sz w:val="24"/>
        </w:rPr>
        <w:t>（以下简称“本基金”或“基金”）</w:t>
      </w:r>
      <w:r>
        <w:rPr>
          <w:rFonts w:ascii="宋体" w:hAnsi="宋体" w:hint="eastAsia"/>
          <w:kern w:val="0"/>
          <w:sz w:val="24"/>
        </w:rPr>
        <w:t>的基金管理人和基金托管人之间的权利义务关系，特制订本托管协议；</w:t>
      </w:r>
    </w:p>
    <w:p w14:paraId="02571249" w14:textId="24A22CB7" w:rsidR="009D1F53" w:rsidRDefault="00811663">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sidR="00967F86">
        <w:rPr>
          <w:rFonts w:ascii="宋体" w:hAnsi="宋体" w:cs="Arial" w:hint="eastAsia"/>
          <w:kern w:val="0"/>
          <w:sz w:val="24"/>
        </w:rPr>
        <w:t>交银施罗德安悦平衡养老目标三年持有期混合型发起式基金中基金（FOF）</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61652CDF" w14:textId="77777777" w:rsidR="009D1F53" w:rsidRDefault="00811663">
      <w:pPr>
        <w:widowControl/>
        <w:spacing w:line="360" w:lineRule="auto"/>
        <w:ind w:firstLineChars="200" w:firstLine="480"/>
        <w:rPr>
          <w:rFonts w:ascii="宋体" w:hAnsi="宋体"/>
          <w:sz w:val="24"/>
          <w:lang w:val="en-GB"/>
        </w:rPr>
      </w:pPr>
      <w:r>
        <w:rPr>
          <w:rFonts w:ascii="宋体" w:hAnsi="宋体" w:hint="eastAsia"/>
          <w:sz w:val="24"/>
          <w:lang w:val="en-GB"/>
        </w:rPr>
        <w:t>若本基金实施侧袋机制的，侧袋机制实施期间的相关安排见基金合同和招募说明书的规定。</w:t>
      </w:r>
    </w:p>
    <w:p w14:paraId="0177434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348082029"/>
      <w:bookmarkStart w:id="7" w:name="_Toc384992691"/>
      <w:bookmarkStart w:id="8" w:name="_Toc488938610"/>
      <w:r>
        <w:rPr>
          <w:rFonts w:ascii="宋体" w:hAnsi="宋体" w:hint="eastAsia"/>
          <w:sz w:val="24"/>
        </w:rPr>
        <w:lastRenderedPageBreak/>
        <w:t>一、基金托管协议当事人</w:t>
      </w:r>
      <w:bookmarkEnd w:id="6"/>
      <w:bookmarkEnd w:id="7"/>
      <w:bookmarkEnd w:id="8"/>
    </w:p>
    <w:p w14:paraId="575BCFBB"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（一）基金管理人</w:t>
      </w:r>
    </w:p>
    <w:p w14:paraId="783D1ED6" w14:textId="77777777" w:rsidR="009D1F53" w:rsidRDefault="00811663">
      <w:pPr>
        <w:spacing w:line="360" w:lineRule="auto"/>
        <w:ind w:firstLineChars="200" w:firstLine="480"/>
        <w:rPr>
          <w:rFonts w:ascii="宋体" w:hAnsi="宋体"/>
          <w:sz w:val="24"/>
        </w:rPr>
      </w:pPr>
      <w:r>
        <w:rPr>
          <w:rFonts w:ascii="宋体" w:hAnsi="宋体" w:hint="eastAsia"/>
          <w:sz w:val="24"/>
        </w:rPr>
        <w:t>名称：交银施罗德基金管理有限公司</w:t>
      </w:r>
    </w:p>
    <w:p w14:paraId="5BD4DE3E" w14:textId="77777777" w:rsidR="009D1F53" w:rsidRDefault="00811663">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105EDCF3" w14:textId="77777777" w:rsidR="009D1F53" w:rsidRDefault="00811663">
      <w:pPr>
        <w:spacing w:line="360" w:lineRule="auto"/>
        <w:ind w:firstLineChars="200" w:firstLine="480"/>
        <w:rPr>
          <w:rFonts w:ascii="宋体" w:hAnsi="宋体"/>
          <w:sz w:val="24"/>
        </w:rPr>
      </w:pPr>
      <w:r>
        <w:rPr>
          <w:rFonts w:ascii="宋体" w:hAnsi="宋体" w:hint="eastAsia"/>
          <w:sz w:val="24"/>
        </w:rPr>
        <w:t>办公地址：上海市浦东新区世纪大道</w:t>
      </w:r>
      <w:r>
        <w:rPr>
          <w:rFonts w:ascii="宋体" w:hAnsi="宋体"/>
          <w:sz w:val="24"/>
        </w:rPr>
        <w:t>8</w:t>
      </w:r>
      <w:r>
        <w:rPr>
          <w:rFonts w:ascii="宋体" w:hAnsi="宋体" w:hint="eastAsia"/>
          <w:sz w:val="24"/>
        </w:rPr>
        <w:t>号国金中心二期</w:t>
      </w:r>
      <w:r>
        <w:rPr>
          <w:rFonts w:ascii="宋体" w:hAnsi="宋体"/>
          <w:sz w:val="24"/>
        </w:rPr>
        <w:t>21-22</w:t>
      </w:r>
      <w:r>
        <w:rPr>
          <w:rFonts w:ascii="宋体" w:hAnsi="宋体" w:hint="eastAsia"/>
          <w:sz w:val="24"/>
        </w:rPr>
        <w:t>楼</w:t>
      </w:r>
    </w:p>
    <w:p w14:paraId="224F0363"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4C41ADC7" w14:textId="07DEC425" w:rsidR="009D1F53" w:rsidRDefault="00811663">
      <w:pPr>
        <w:spacing w:line="360" w:lineRule="auto"/>
        <w:ind w:firstLineChars="200" w:firstLine="480"/>
        <w:rPr>
          <w:rFonts w:ascii="宋体" w:hAnsi="宋体"/>
          <w:sz w:val="24"/>
        </w:rPr>
      </w:pPr>
      <w:r>
        <w:rPr>
          <w:rFonts w:ascii="宋体" w:hAnsi="宋体" w:hint="eastAsia"/>
          <w:sz w:val="24"/>
        </w:rPr>
        <w:t>法定代表人：</w:t>
      </w:r>
      <w:r w:rsidR="00654295">
        <w:rPr>
          <w:rFonts w:ascii="宋体" w:hAnsi="宋体" w:hint="eastAsia"/>
          <w:sz w:val="24"/>
        </w:rPr>
        <w:t>张宏良</w:t>
      </w:r>
    </w:p>
    <w:p w14:paraId="0EB489B5"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3F139323" w14:textId="77777777" w:rsidR="009D1F53" w:rsidRDefault="00811663">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6D0069E6" w14:textId="77777777" w:rsidR="009D1F53" w:rsidRDefault="00811663">
      <w:pPr>
        <w:spacing w:line="360" w:lineRule="auto"/>
        <w:ind w:firstLineChars="202" w:firstLine="485"/>
        <w:rPr>
          <w:rFonts w:ascii="宋体" w:hAnsi="宋体"/>
          <w:sz w:val="24"/>
        </w:rPr>
      </w:pPr>
      <w:r>
        <w:rPr>
          <w:rFonts w:ascii="宋体" w:hAnsi="宋体" w:hint="eastAsia"/>
          <w:sz w:val="24"/>
        </w:rPr>
        <w:t>批准设立文号：中国证监会证监基金字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43EB81A2" w14:textId="77777777" w:rsidR="009D1F53" w:rsidRDefault="00811663">
      <w:pPr>
        <w:spacing w:line="360" w:lineRule="auto"/>
        <w:ind w:firstLineChars="200" w:firstLine="480"/>
        <w:rPr>
          <w:rFonts w:ascii="宋体" w:hAnsi="宋体"/>
          <w:sz w:val="24"/>
        </w:rPr>
      </w:pPr>
      <w:r>
        <w:rPr>
          <w:rFonts w:ascii="宋体" w:hAnsi="宋体" w:hint="eastAsia"/>
          <w:sz w:val="24"/>
        </w:rPr>
        <w:t>组织形式：有限责任公司</w:t>
      </w:r>
    </w:p>
    <w:p w14:paraId="3CD8FF0A" w14:textId="77777777" w:rsidR="009D1F53" w:rsidRDefault="00811663">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BBCFEA4"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4C81DBE1" w14:textId="77777777" w:rsidR="009D1F53" w:rsidRDefault="00811663">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2CDD1BC9"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（二）基金托管人</w:t>
      </w:r>
    </w:p>
    <w:p w14:paraId="397FA7B7" w14:textId="77777777" w:rsidR="009D1F53" w:rsidRDefault="00811663">
      <w:pPr>
        <w:spacing w:line="360" w:lineRule="auto"/>
        <w:ind w:firstLineChars="200" w:firstLine="480"/>
        <w:rPr>
          <w:rFonts w:ascii="宋体" w:hAnsi="宋体"/>
          <w:sz w:val="24"/>
        </w:rPr>
      </w:pPr>
      <w:r>
        <w:rPr>
          <w:rFonts w:ascii="宋体" w:hAnsi="宋体" w:hint="eastAsia"/>
          <w:sz w:val="24"/>
        </w:rPr>
        <w:t>名称：招商银行股份有限公司</w:t>
      </w:r>
    </w:p>
    <w:p w14:paraId="7151EC12" w14:textId="77777777" w:rsidR="009D1F53" w:rsidRDefault="00811663">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6EDA7183" w14:textId="77777777" w:rsidR="009D1F53" w:rsidRDefault="00811663">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4D419BE9"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69071415" w14:textId="77777777" w:rsidR="009D1F53" w:rsidRDefault="00811663">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4F9A4CAF"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6D7CB45B" w14:textId="77777777" w:rsidR="009D1F53" w:rsidRDefault="00811663">
      <w:pPr>
        <w:spacing w:line="360" w:lineRule="auto"/>
        <w:ind w:firstLineChars="200" w:firstLine="480"/>
        <w:rPr>
          <w:rFonts w:ascii="宋体" w:hAnsi="宋体"/>
          <w:bCs/>
          <w:sz w:val="24"/>
        </w:rPr>
      </w:pPr>
      <w:r>
        <w:rPr>
          <w:rFonts w:ascii="宋体" w:hAnsi="宋体" w:hint="eastAsia"/>
          <w:bCs/>
          <w:sz w:val="24"/>
        </w:rPr>
        <w:t>批准设立机关和批准设立文号：中国人民银行银复字（</w:t>
      </w:r>
      <w:r>
        <w:rPr>
          <w:rFonts w:ascii="宋体" w:hAnsi="宋体"/>
          <w:bCs/>
          <w:sz w:val="24"/>
        </w:rPr>
        <w:t>1986</w:t>
      </w:r>
      <w:r>
        <w:rPr>
          <w:rFonts w:ascii="宋体" w:hAnsi="宋体" w:hint="eastAsia"/>
          <w:bCs/>
          <w:sz w:val="24"/>
        </w:rPr>
        <w:t>）</w:t>
      </w:r>
      <w:r>
        <w:rPr>
          <w:rFonts w:ascii="宋体" w:hAnsi="宋体"/>
          <w:bCs/>
          <w:sz w:val="24"/>
        </w:rPr>
        <w:t>175</w:t>
      </w:r>
      <w:r>
        <w:rPr>
          <w:rFonts w:ascii="宋体" w:hAnsi="宋体" w:hint="eastAsia"/>
          <w:bCs/>
          <w:sz w:val="24"/>
        </w:rPr>
        <w:t>号文、银复（</w:t>
      </w:r>
      <w:r>
        <w:rPr>
          <w:rFonts w:ascii="宋体" w:hAnsi="宋体"/>
          <w:bCs/>
          <w:sz w:val="24"/>
        </w:rPr>
        <w:t>1987</w:t>
      </w:r>
      <w:r>
        <w:rPr>
          <w:rFonts w:ascii="宋体" w:hAnsi="宋体" w:hint="eastAsia"/>
          <w:bCs/>
          <w:sz w:val="24"/>
        </w:rPr>
        <w:t>）</w:t>
      </w:r>
      <w:r>
        <w:rPr>
          <w:rFonts w:ascii="宋体" w:hAnsi="宋体"/>
          <w:bCs/>
          <w:sz w:val="24"/>
        </w:rPr>
        <w:t>86</w:t>
      </w:r>
      <w:r>
        <w:rPr>
          <w:rFonts w:ascii="宋体" w:hAnsi="宋体" w:hint="eastAsia"/>
          <w:bCs/>
          <w:sz w:val="24"/>
        </w:rPr>
        <w:t>号文</w:t>
      </w:r>
    </w:p>
    <w:p w14:paraId="641FFEA4" w14:textId="77777777" w:rsidR="009D1F53" w:rsidRDefault="00811663">
      <w:pPr>
        <w:spacing w:line="360" w:lineRule="auto"/>
        <w:ind w:firstLineChars="200" w:firstLine="480"/>
        <w:rPr>
          <w:rFonts w:ascii="宋体" w:hAnsi="宋体"/>
          <w:sz w:val="24"/>
        </w:rPr>
      </w:pPr>
      <w:r>
        <w:rPr>
          <w:rFonts w:ascii="宋体" w:hAnsi="宋体" w:hint="eastAsia"/>
          <w:sz w:val="24"/>
        </w:rPr>
        <w:t>基金托管业务批准文号：证监基金字</w:t>
      </w:r>
      <w:r>
        <w:rPr>
          <w:rFonts w:ascii="宋体" w:hAnsi="宋体"/>
          <w:sz w:val="24"/>
        </w:rPr>
        <w:t>[2002]83号</w:t>
      </w:r>
    </w:p>
    <w:p w14:paraId="3A78D5E3" w14:textId="77777777" w:rsidR="009D1F53" w:rsidRDefault="00811663">
      <w:pPr>
        <w:spacing w:line="360" w:lineRule="auto"/>
        <w:ind w:firstLineChars="200" w:firstLine="480"/>
        <w:rPr>
          <w:rFonts w:ascii="宋体" w:hAnsi="宋体"/>
          <w:sz w:val="24"/>
        </w:rPr>
      </w:pPr>
      <w:r>
        <w:rPr>
          <w:rFonts w:ascii="宋体" w:hAnsi="宋体" w:hint="eastAsia"/>
          <w:sz w:val="24"/>
        </w:rPr>
        <w:t>组织形式：股份有限公司</w:t>
      </w:r>
    </w:p>
    <w:p w14:paraId="48B2260E" w14:textId="77777777" w:rsidR="009D1F53" w:rsidRDefault="00811663">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756AB096"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190571F7"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384992692"/>
      <w:bookmarkStart w:id="10" w:name="_Toc348082030"/>
      <w:bookmarkStart w:id="11" w:name="_Toc488938611"/>
      <w:r>
        <w:rPr>
          <w:rFonts w:ascii="宋体" w:hAnsi="宋体" w:hint="eastAsia"/>
          <w:sz w:val="24"/>
        </w:rPr>
        <w:lastRenderedPageBreak/>
        <w:t>二、基金托管协议的依据、目的和原则</w:t>
      </w:r>
      <w:bookmarkEnd w:id="9"/>
      <w:bookmarkEnd w:id="10"/>
      <w:bookmarkEnd w:id="11"/>
    </w:p>
    <w:p w14:paraId="00F1D3CC"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（一）订立托管协议的依据</w:t>
      </w:r>
    </w:p>
    <w:p w14:paraId="5856DC06" w14:textId="77777777" w:rsidR="009D1F53" w:rsidRDefault="00811663">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sidR="00967F86" w:rsidRPr="000F2BC2">
        <w:rPr>
          <w:rFonts w:ascii="宋体" w:hAnsi="宋体" w:hint="eastAsia"/>
          <w:sz w:val="24"/>
        </w:rPr>
        <w:t>、</w:t>
      </w:r>
      <w:r w:rsidR="00967F86" w:rsidRPr="00967F86">
        <w:rPr>
          <w:rFonts w:ascii="宋体" w:hAnsi="宋体" w:hint="eastAsia"/>
          <w:sz w:val="24"/>
        </w:rPr>
        <w:t>《公开募集证券投资基金运作指引第2号——基金中基金指引》</w:t>
      </w:r>
      <w:r>
        <w:rPr>
          <w:rFonts w:ascii="宋体" w:hAnsi="宋体" w:hint="eastAsia"/>
          <w:sz w:val="24"/>
        </w:rPr>
        <w:t>、</w:t>
      </w:r>
      <w:r w:rsidRPr="00967F86">
        <w:rPr>
          <w:rFonts w:ascii="宋体" w:hAnsi="宋体" w:hint="eastAsia"/>
          <w:sz w:val="24"/>
        </w:rPr>
        <w:t>《公开募集开放式证券投资基金流动性风险管理规定》</w:t>
      </w:r>
      <w:r w:rsidR="00967F86" w:rsidRPr="00967F86">
        <w:rPr>
          <w:rFonts w:ascii="宋体" w:hAnsi="宋体" w:hint="eastAsia"/>
          <w:sz w:val="24"/>
        </w:rPr>
        <w:t>、《养老目标证券投资基金指引（试行）》</w:t>
      </w:r>
      <w:r>
        <w:rPr>
          <w:rFonts w:ascii="宋体" w:hAnsi="宋体" w:hint="eastAsia"/>
          <w:sz w:val="24"/>
        </w:rPr>
        <w:t>等有关法律法规、基金合同及其他有关规定制订。</w:t>
      </w:r>
    </w:p>
    <w:p w14:paraId="1743C4C0"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（二）订立托管协议的目的</w:t>
      </w:r>
    </w:p>
    <w:p w14:paraId="1DDFAE47" w14:textId="77777777" w:rsidR="009D1F53" w:rsidRDefault="00811663">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2D99E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（三）订立托管协议的原则</w:t>
      </w:r>
    </w:p>
    <w:p w14:paraId="55772BE2"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57DB509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348082031"/>
      <w:bookmarkStart w:id="13" w:name="_Toc384992693"/>
      <w:bookmarkStart w:id="14" w:name="_Toc488938612"/>
      <w:r>
        <w:rPr>
          <w:rFonts w:ascii="宋体" w:hAnsi="宋体" w:hint="eastAsia"/>
          <w:sz w:val="24"/>
        </w:rPr>
        <w:lastRenderedPageBreak/>
        <w:t>三、基金托管人对基金管理人的业务监督和核查</w:t>
      </w:r>
      <w:bookmarkEnd w:id="12"/>
      <w:bookmarkEnd w:id="13"/>
      <w:bookmarkEnd w:id="14"/>
    </w:p>
    <w:p w14:paraId="13AED838" w14:textId="77777777" w:rsidR="009D1F53" w:rsidRPr="00967F86" w:rsidRDefault="00811663" w:rsidP="00967F86">
      <w:pPr>
        <w:spacing w:line="360" w:lineRule="auto"/>
        <w:ind w:firstLine="480"/>
        <w:rPr>
          <w:bCs/>
          <w:sz w:val="24"/>
        </w:rPr>
      </w:pPr>
      <w:bookmarkStart w:id="15" w:name="_Hlk68788374"/>
      <w:r w:rsidRPr="00967F86">
        <w:rPr>
          <w:rFonts w:hint="eastAsia"/>
          <w:bCs/>
          <w:sz w:val="24"/>
        </w:rPr>
        <w:t>（一）基金托管人根据有关法律法规的规定以及《基金合同》的约定，对基金投资范围、投资比例、投资限制、关联方交易等进行监督。</w:t>
      </w:r>
      <w:bookmarkEnd w:id="15"/>
    </w:p>
    <w:p w14:paraId="35A99464" w14:textId="77777777" w:rsidR="009D1F53" w:rsidRPr="00967F86" w:rsidRDefault="00811663">
      <w:pPr>
        <w:spacing w:line="360" w:lineRule="auto"/>
        <w:ind w:firstLine="480"/>
        <w:rPr>
          <w:bCs/>
          <w:sz w:val="24"/>
        </w:rPr>
      </w:pPr>
      <w:bookmarkStart w:id="16" w:name="_Hlk494120345"/>
      <w:bookmarkStart w:id="17" w:name="_Hlk126155543"/>
      <w:r w:rsidRPr="00967F86">
        <w:rPr>
          <w:bCs/>
          <w:sz w:val="24"/>
        </w:rPr>
        <w:t>1.</w:t>
      </w:r>
      <w:r w:rsidRPr="00967F86">
        <w:rPr>
          <w:rFonts w:hint="eastAsia"/>
          <w:bCs/>
          <w:sz w:val="24"/>
        </w:rPr>
        <w:t>本基金的投资范围为：</w:t>
      </w:r>
    </w:p>
    <w:p w14:paraId="45AE9512" w14:textId="3B7E547D" w:rsidR="009D1F53" w:rsidRPr="00967F86" w:rsidRDefault="000D6987">
      <w:pPr>
        <w:spacing w:line="360" w:lineRule="auto"/>
        <w:ind w:firstLine="480"/>
        <w:rPr>
          <w:bCs/>
          <w:sz w:val="24"/>
        </w:rPr>
      </w:pPr>
      <w:r w:rsidRPr="000D6987">
        <w:rPr>
          <w:rFonts w:hint="eastAsia"/>
          <w:bCs/>
          <w:sz w:val="24"/>
        </w:rPr>
        <w:t>本基金的投资范围为具有良好流动性的金融工具，包括经中国证监会依法核准或注册的公开募集证券投资基金（含</w:t>
      </w:r>
      <w:r w:rsidRPr="000D6987">
        <w:rPr>
          <w:rFonts w:hint="eastAsia"/>
          <w:bCs/>
          <w:sz w:val="24"/>
        </w:rPr>
        <w:t>ETF</w:t>
      </w:r>
      <w:r w:rsidRPr="000D6987">
        <w:rPr>
          <w:rFonts w:hint="eastAsia"/>
          <w:bCs/>
          <w:sz w:val="24"/>
        </w:rPr>
        <w:t>和</w:t>
      </w:r>
      <w:r w:rsidRPr="000D6987">
        <w:rPr>
          <w:rFonts w:hint="eastAsia"/>
          <w:bCs/>
          <w:sz w:val="24"/>
        </w:rPr>
        <w:t>LOF</w:t>
      </w:r>
      <w:r w:rsidRPr="000D6987">
        <w:rPr>
          <w:rFonts w:hint="eastAsia"/>
          <w:bCs/>
          <w:sz w:val="24"/>
        </w:rPr>
        <w:t>、香港互认基金、</w:t>
      </w:r>
      <w:r w:rsidRPr="000D6987">
        <w:rPr>
          <w:rFonts w:hint="eastAsia"/>
          <w:bCs/>
          <w:sz w:val="24"/>
        </w:rPr>
        <w:t>QDII</w:t>
      </w:r>
      <w:r w:rsidRPr="000D6987">
        <w:rPr>
          <w:rFonts w:hint="eastAsia"/>
          <w:bCs/>
          <w:sz w:val="24"/>
        </w:rPr>
        <w:t>基金）、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5599BE16" w14:textId="77777777" w:rsidR="009D1F53" w:rsidRDefault="00811663">
      <w:pPr>
        <w:spacing w:line="360" w:lineRule="auto"/>
        <w:ind w:firstLine="480"/>
        <w:rPr>
          <w:bCs/>
          <w:sz w:val="24"/>
        </w:rPr>
      </w:pPr>
      <w:r>
        <w:rPr>
          <w:bCs/>
          <w:sz w:val="24"/>
        </w:rPr>
        <w:t>如法律法规或监管机构以后允许基金投资其他品种，基金管理人在履行适当程序后，可以将其纳入投资范围。</w:t>
      </w:r>
    </w:p>
    <w:p w14:paraId="061E3713" w14:textId="77777777" w:rsidR="009D1F53" w:rsidRPr="00967F86" w:rsidRDefault="00811663">
      <w:pPr>
        <w:spacing w:line="360" w:lineRule="auto"/>
        <w:ind w:firstLine="480"/>
        <w:rPr>
          <w:bCs/>
          <w:sz w:val="24"/>
        </w:rPr>
      </w:pPr>
      <w:r w:rsidRPr="00967F86">
        <w:rPr>
          <w:bCs/>
          <w:sz w:val="24"/>
        </w:rPr>
        <w:t>2.</w:t>
      </w:r>
      <w:r w:rsidRPr="00967F86">
        <w:rPr>
          <w:bCs/>
          <w:sz w:val="24"/>
        </w:rPr>
        <w:t>本基金各类品种的投资比例、投资限制为：</w:t>
      </w:r>
    </w:p>
    <w:p w14:paraId="0A7850B4" w14:textId="77777777" w:rsidR="000D6987" w:rsidRPr="000D6987" w:rsidRDefault="000D6987" w:rsidP="000D6987">
      <w:pPr>
        <w:spacing w:line="360" w:lineRule="auto"/>
        <w:ind w:firstLine="480"/>
        <w:rPr>
          <w:bCs/>
          <w:sz w:val="24"/>
        </w:rPr>
      </w:pPr>
      <w:r w:rsidRPr="000D6987">
        <w:rPr>
          <w:rFonts w:hint="eastAsia"/>
          <w:bCs/>
          <w:sz w:val="24"/>
        </w:rPr>
        <w:t>本基金投资于经中国证监会依法核准或注册的公开募集证券投资基金的基金份额的资产不低于本基金资产的</w:t>
      </w:r>
      <w:r w:rsidRPr="000D6987">
        <w:rPr>
          <w:rFonts w:hint="eastAsia"/>
          <w:bCs/>
          <w:sz w:val="24"/>
        </w:rPr>
        <w:t>80%</w:t>
      </w:r>
      <w:r w:rsidRPr="000D6987">
        <w:rPr>
          <w:rFonts w:hint="eastAsia"/>
          <w:bCs/>
          <w:sz w:val="24"/>
        </w:rPr>
        <w:t>；投资于股票（含存托凭证）、股票型基金（包括股票指数基金）、混合型基金和商品基金（含商品期货基金和黄金</w:t>
      </w:r>
      <w:r w:rsidRPr="000D6987">
        <w:rPr>
          <w:rFonts w:hint="eastAsia"/>
          <w:bCs/>
          <w:sz w:val="24"/>
        </w:rPr>
        <w:t>ETF</w:t>
      </w:r>
      <w:r w:rsidRPr="000D6987">
        <w:rPr>
          <w:rFonts w:hint="eastAsia"/>
          <w:bCs/>
          <w:sz w:val="24"/>
        </w:rPr>
        <w:t>）等品种的比例合计不超过基金资产的</w:t>
      </w:r>
      <w:r w:rsidRPr="000D6987">
        <w:rPr>
          <w:rFonts w:hint="eastAsia"/>
          <w:bCs/>
          <w:sz w:val="24"/>
        </w:rPr>
        <w:t>60%</w:t>
      </w:r>
      <w:r w:rsidRPr="000D6987">
        <w:rPr>
          <w:rFonts w:hint="eastAsia"/>
          <w:bCs/>
          <w:sz w:val="24"/>
        </w:rPr>
        <w:t>（其中投资于港股通标的股票的比例占股票资产的</w:t>
      </w:r>
      <w:r w:rsidRPr="000D6987">
        <w:rPr>
          <w:rFonts w:hint="eastAsia"/>
          <w:bCs/>
          <w:sz w:val="24"/>
        </w:rPr>
        <w:t>0%-50%</w:t>
      </w:r>
      <w:r w:rsidRPr="000D6987">
        <w:rPr>
          <w:rFonts w:hint="eastAsia"/>
          <w:bCs/>
          <w:sz w:val="24"/>
        </w:rPr>
        <w:t>）；投资于</w:t>
      </w:r>
      <w:r w:rsidRPr="000D6987">
        <w:rPr>
          <w:rFonts w:hint="eastAsia"/>
          <w:bCs/>
          <w:sz w:val="24"/>
        </w:rPr>
        <w:t>QDII</w:t>
      </w:r>
      <w:r w:rsidRPr="000D6987">
        <w:rPr>
          <w:rFonts w:hint="eastAsia"/>
          <w:bCs/>
          <w:sz w:val="24"/>
        </w:rPr>
        <w:t>基金和香港互认基金的比例合计不超过基金资产的</w:t>
      </w:r>
      <w:r w:rsidRPr="000D6987">
        <w:rPr>
          <w:rFonts w:hint="eastAsia"/>
          <w:bCs/>
          <w:sz w:val="24"/>
        </w:rPr>
        <w:t>20%</w:t>
      </w:r>
      <w:r w:rsidRPr="000D6987">
        <w:rPr>
          <w:rFonts w:hint="eastAsia"/>
          <w:bCs/>
          <w:sz w:val="24"/>
        </w:rPr>
        <w:t>；投资于货币市场基金的比例不超过基金资产的</w:t>
      </w:r>
      <w:r w:rsidRPr="000D6987">
        <w:rPr>
          <w:rFonts w:hint="eastAsia"/>
          <w:bCs/>
          <w:sz w:val="24"/>
        </w:rPr>
        <w:t>15%</w:t>
      </w:r>
      <w:r w:rsidRPr="000D6987">
        <w:rPr>
          <w:rFonts w:hint="eastAsia"/>
          <w:bCs/>
          <w:sz w:val="24"/>
        </w:rPr>
        <w:t>；投资于商品基金（含商品期货基金和黄金</w:t>
      </w:r>
      <w:r w:rsidRPr="000D6987">
        <w:rPr>
          <w:rFonts w:hint="eastAsia"/>
          <w:bCs/>
          <w:sz w:val="24"/>
        </w:rPr>
        <w:t>ETF</w:t>
      </w:r>
      <w:r w:rsidRPr="000D6987">
        <w:rPr>
          <w:rFonts w:hint="eastAsia"/>
          <w:bCs/>
          <w:sz w:val="24"/>
        </w:rPr>
        <w:t>）的比例不超过基金资产的</w:t>
      </w:r>
      <w:r w:rsidRPr="000D6987">
        <w:rPr>
          <w:rFonts w:hint="eastAsia"/>
          <w:bCs/>
          <w:sz w:val="24"/>
        </w:rPr>
        <w:t>10%</w:t>
      </w:r>
      <w:r w:rsidRPr="000D6987">
        <w:rPr>
          <w:rFonts w:hint="eastAsia"/>
          <w:bCs/>
          <w:sz w:val="24"/>
        </w:rPr>
        <w:t>；本基金持有的现金或者到期日在一年以内的政府债券的比例合计不低于基金资产净值的</w:t>
      </w:r>
      <w:r w:rsidRPr="000D6987">
        <w:rPr>
          <w:rFonts w:hint="eastAsia"/>
          <w:bCs/>
          <w:sz w:val="24"/>
        </w:rPr>
        <w:t>5%</w:t>
      </w:r>
      <w:r w:rsidRPr="000D6987">
        <w:rPr>
          <w:rFonts w:hint="eastAsia"/>
          <w:bCs/>
          <w:sz w:val="24"/>
        </w:rPr>
        <w:t>，其中现金不包括结算备付金、存出保证金、应收申购款等。</w:t>
      </w:r>
    </w:p>
    <w:p w14:paraId="44BCBFB7" w14:textId="21B818A0" w:rsidR="000D6987" w:rsidRPr="000D6987" w:rsidRDefault="000D6987" w:rsidP="000D6987">
      <w:pPr>
        <w:spacing w:line="360" w:lineRule="auto"/>
        <w:ind w:firstLine="480"/>
        <w:rPr>
          <w:bCs/>
          <w:sz w:val="24"/>
        </w:rPr>
      </w:pPr>
      <w:r w:rsidRPr="000D6987">
        <w:rPr>
          <w:rFonts w:hint="eastAsia"/>
          <w:bCs/>
          <w:sz w:val="24"/>
        </w:rPr>
        <w:t>本基金投资于权益类资产包括股票（含存托凭证）、股票型基金（包括股票指数基金）、混合型基金的战略配置目标比例为</w:t>
      </w:r>
      <w:r w:rsidRPr="000D6987">
        <w:rPr>
          <w:rFonts w:hint="eastAsia"/>
          <w:bCs/>
          <w:sz w:val="24"/>
        </w:rPr>
        <w:t>50%</w:t>
      </w:r>
      <w:r w:rsidRPr="000D6987">
        <w:rPr>
          <w:rFonts w:hint="eastAsia"/>
          <w:bCs/>
          <w:sz w:val="24"/>
        </w:rPr>
        <w:t>，投资比例为基金资产的</w:t>
      </w:r>
      <w:r w:rsidRPr="000D6987">
        <w:rPr>
          <w:rFonts w:hint="eastAsia"/>
          <w:bCs/>
          <w:sz w:val="24"/>
        </w:rPr>
        <w:t>35%-60%</w:t>
      </w:r>
      <w:r w:rsidRPr="000D6987">
        <w:rPr>
          <w:rFonts w:hint="eastAsia"/>
          <w:bCs/>
          <w:sz w:val="24"/>
        </w:rPr>
        <w:t>。</w:t>
      </w:r>
    </w:p>
    <w:p w14:paraId="0D36D532" w14:textId="77777777" w:rsidR="00242745" w:rsidRPr="00242745" w:rsidRDefault="00242745" w:rsidP="00242745">
      <w:pPr>
        <w:spacing w:line="360" w:lineRule="auto"/>
        <w:ind w:firstLine="480"/>
        <w:rPr>
          <w:bCs/>
          <w:sz w:val="24"/>
        </w:rPr>
      </w:pPr>
      <w:r w:rsidRPr="00242745">
        <w:rPr>
          <w:rFonts w:hint="eastAsia"/>
          <w:bCs/>
          <w:sz w:val="24"/>
        </w:rPr>
        <w:t>计入上述权益类资产的混合型基金需符合下列两个条件之一：</w:t>
      </w:r>
    </w:p>
    <w:p w14:paraId="0B9DA394" w14:textId="77777777" w:rsidR="00242745" w:rsidRPr="00242745" w:rsidRDefault="00242745" w:rsidP="00242745">
      <w:pPr>
        <w:spacing w:line="360" w:lineRule="auto"/>
        <w:ind w:firstLine="480"/>
        <w:rPr>
          <w:bCs/>
          <w:sz w:val="24"/>
        </w:rPr>
      </w:pPr>
      <w:r w:rsidRPr="00242745">
        <w:rPr>
          <w:rFonts w:hint="eastAsia"/>
          <w:bCs/>
          <w:sz w:val="24"/>
        </w:rPr>
        <w:lastRenderedPageBreak/>
        <w:t>1</w:t>
      </w:r>
      <w:r w:rsidRPr="00242745">
        <w:rPr>
          <w:rFonts w:hint="eastAsia"/>
          <w:bCs/>
          <w:sz w:val="24"/>
        </w:rPr>
        <w:t>、基金合同中约定股票投资占基金资产的比例不低于</w:t>
      </w:r>
      <w:r w:rsidRPr="00242745">
        <w:rPr>
          <w:rFonts w:hint="eastAsia"/>
          <w:bCs/>
          <w:sz w:val="24"/>
        </w:rPr>
        <w:t>60%</w:t>
      </w:r>
      <w:r w:rsidRPr="00242745">
        <w:rPr>
          <w:rFonts w:hint="eastAsia"/>
          <w:bCs/>
          <w:sz w:val="24"/>
        </w:rPr>
        <w:t>的混合型基金；</w:t>
      </w:r>
    </w:p>
    <w:p w14:paraId="31B843A4" w14:textId="39991206" w:rsidR="000D6987" w:rsidRPr="000D6987" w:rsidRDefault="00242745" w:rsidP="00242745">
      <w:pPr>
        <w:spacing w:line="360" w:lineRule="auto"/>
        <w:ind w:firstLine="480"/>
        <w:rPr>
          <w:bCs/>
          <w:sz w:val="24"/>
        </w:rPr>
      </w:pPr>
      <w:r w:rsidRPr="00242745">
        <w:rPr>
          <w:rFonts w:hint="eastAsia"/>
          <w:bCs/>
          <w:sz w:val="24"/>
        </w:rPr>
        <w:t>2</w:t>
      </w:r>
      <w:r w:rsidRPr="00242745">
        <w:rPr>
          <w:rFonts w:hint="eastAsia"/>
          <w:bCs/>
          <w:sz w:val="24"/>
        </w:rPr>
        <w:t>、最近四个季度披露的股票投资占基金资产的比例均不低于</w:t>
      </w:r>
      <w:r w:rsidRPr="00242745">
        <w:rPr>
          <w:rFonts w:hint="eastAsia"/>
          <w:bCs/>
          <w:sz w:val="24"/>
        </w:rPr>
        <w:t>60%</w:t>
      </w:r>
      <w:r w:rsidRPr="00242745">
        <w:rPr>
          <w:rFonts w:hint="eastAsia"/>
          <w:bCs/>
          <w:sz w:val="24"/>
        </w:rPr>
        <w:t>的混合型基金。</w:t>
      </w:r>
    </w:p>
    <w:p w14:paraId="6833F737" w14:textId="18CC735D" w:rsidR="009D1F53" w:rsidRDefault="000D6987">
      <w:pPr>
        <w:spacing w:line="360" w:lineRule="auto"/>
        <w:ind w:firstLine="480"/>
        <w:rPr>
          <w:bCs/>
          <w:sz w:val="24"/>
        </w:rPr>
      </w:pPr>
      <w:r w:rsidRPr="000D6987">
        <w:rPr>
          <w:rFonts w:hint="eastAsia"/>
          <w:bCs/>
          <w:sz w:val="24"/>
        </w:rPr>
        <w:t>如果法律法规或中国证监会变更投资品种的投资比例限制，基金管理人在履行适当程序后，可以调整上述投资品种的投资比例。</w:t>
      </w:r>
    </w:p>
    <w:p w14:paraId="2C9FEA59" w14:textId="5D019C30" w:rsidR="009D1F53" w:rsidRDefault="00811663" w:rsidP="00967F86">
      <w:pPr>
        <w:spacing w:line="360" w:lineRule="auto"/>
        <w:ind w:firstLine="480"/>
        <w:rPr>
          <w:bCs/>
          <w:sz w:val="24"/>
        </w:rPr>
      </w:pPr>
      <w:r>
        <w:rPr>
          <w:bCs/>
          <w:sz w:val="24"/>
        </w:rPr>
        <w:t>基金的投资组合应遵循以下限制：</w:t>
      </w:r>
    </w:p>
    <w:p w14:paraId="19A00A0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w:t>
      </w:r>
      <w:r w:rsidRPr="000D6987">
        <w:rPr>
          <w:rFonts w:hint="eastAsia"/>
          <w:bCs/>
          <w:sz w:val="24"/>
        </w:rPr>
        <w:t>）本基金投资于经中国证监会依法核准或注册的公开募集证券投资基金的基金份额的资产不低于本基金资产的</w:t>
      </w:r>
      <w:r w:rsidRPr="000D6987">
        <w:rPr>
          <w:rFonts w:hint="eastAsia"/>
          <w:bCs/>
          <w:sz w:val="24"/>
        </w:rPr>
        <w:t>80%</w:t>
      </w:r>
      <w:r w:rsidRPr="000D6987">
        <w:rPr>
          <w:rFonts w:hint="eastAsia"/>
          <w:bCs/>
          <w:sz w:val="24"/>
        </w:rPr>
        <w:t>；投资于股票（含存托凭证）、股票型基金（包括股票指数基金）、混合型基金和商品基金（含商品期货基金和黄金</w:t>
      </w:r>
      <w:r w:rsidRPr="000D6987">
        <w:rPr>
          <w:rFonts w:hint="eastAsia"/>
          <w:bCs/>
          <w:sz w:val="24"/>
        </w:rPr>
        <w:t>ETF</w:t>
      </w:r>
      <w:r w:rsidRPr="000D6987">
        <w:rPr>
          <w:rFonts w:hint="eastAsia"/>
          <w:bCs/>
          <w:sz w:val="24"/>
        </w:rPr>
        <w:t>）等品种的比例合计不超过基金资产的</w:t>
      </w:r>
      <w:r w:rsidRPr="000D6987">
        <w:rPr>
          <w:rFonts w:hint="eastAsia"/>
          <w:bCs/>
          <w:sz w:val="24"/>
        </w:rPr>
        <w:t>60%</w:t>
      </w:r>
      <w:r w:rsidRPr="000D6987">
        <w:rPr>
          <w:rFonts w:hint="eastAsia"/>
          <w:bCs/>
          <w:sz w:val="24"/>
        </w:rPr>
        <w:t>（其中投资于港股通标的股票的比例占股票资产的</w:t>
      </w:r>
      <w:r w:rsidRPr="000D6987">
        <w:rPr>
          <w:rFonts w:hint="eastAsia"/>
          <w:bCs/>
          <w:sz w:val="24"/>
        </w:rPr>
        <w:t>0%-50%</w:t>
      </w:r>
      <w:r w:rsidRPr="000D6987">
        <w:rPr>
          <w:rFonts w:hint="eastAsia"/>
          <w:bCs/>
          <w:sz w:val="24"/>
        </w:rPr>
        <w:t>）；投资于</w:t>
      </w:r>
      <w:r w:rsidRPr="000D6987">
        <w:rPr>
          <w:rFonts w:hint="eastAsia"/>
          <w:bCs/>
          <w:sz w:val="24"/>
        </w:rPr>
        <w:t>QDII</w:t>
      </w:r>
      <w:r w:rsidRPr="000D6987">
        <w:rPr>
          <w:rFonts w:hint="eastAsia"/>
          <w:bCs/>
          <w:sz w:val="24"/>
        </w:rPr>
        <w:t>基金和香港互认基金的比例合计不超过基金资产的</w:t>
      </w:r>
      <w:r w:rsidRPr="000D6987">
        <w:rPr>
          <w:rFonts w:hint="eastAsia"/>
          <w:bCs/>
          <w:sz w:val="24"/>
        </w:rPr>
        <w:t>20%</w:t>
      </w:r>
      <w:r w:rsidRPr="000D6987">
        <w:rPr>
          <w:rFonts w:hint="eastAsia"/>
          <w:bCs/>
          <w:sz w:val="24"/>
        </w:rPr>
        <w:t>；投资于货币市场基金的比例不超过基金资产的</w:t>
      </w:r>
      <w:r w:rsidRPr="000D6987">
        <w:rPr>
          <w:rFonts w:hint="eastAsia"/>
          <w:bCs/>
          <w:sz w:val="24"/>
        </w:rPr>
        <w:t>15%</w:t>
      </w:r>
      <w:r w:rsidRPr="000D6987">
        <w:rPr>
          <w:rFonts w:hint="eastAsia"/>
          <w:bCs/>
          <w:sz w:val="24"/>
        </w:rPr>
        <w:t>；投资于商品基金（含商品期货基金和黄金</w:t>
      </w:r>
      <w:r w:rsidRPr="000D6987">
        <w:rPr>
          <w:rFonts w:hint="eastAsia"/>
          <w:bCs/>
          <w:sz w:val="24"/>
        </w:rPr>
        <w:t>ETF</w:t>
      </w:r>
      <w:r w:rsidRPr="000D6987">
        <w:rPr>
          <w:rFonts w:hint="eastAsia"/>
          <w:bCs/>
          <w:sz w:val="24"/>
        </w:rPr>
        <w:t>）的比例不超过基金资产的</w:t>
      </w:r>
      <w:r w:rsidRPr="000D6987">
        <w:rPr>
          <w:rFonts w:hint="eastAsia"/>
          <w:bCs/>
          <w:sz w:val="24"/>
        </w:rPr>
        <w:t>10%</w:t>
      </w:r>
      <w:r w:rsidRPr="000D6987">
        <w:rPr>
          <w:rFonts w:hint="eastAsia"/>
          <w:bCs/>
          <w:sz w:val="24"/>
        </w:rPr>
        <w:t>；本基金投资于权益类资产包括股票（含存托凭证）、股票型基金（包括股票指数基金）、混合型基金的战略配置目标比例为</w:t>
      </w:r>
      <w:r w:rsidRPr="000D6987">
        <w:rPr>
          <w:rFonts w:hint="eastAsia"/>
          <w:bCs/>
          <w:sz w:val="24"/>
        </w:rPr>
        <w:t>50%</w:t>
      </w:r>
      <w:r w:rsidRPr="000D6987">
        <w:rPr>
          <w:rFonts w:hint="eastAsia"/>
          <w:bCs/>
          <w:sz w:val="24"/>
        </w:rPr>
        <w:t>，投资比例为基金资产的</w:t>
      </w:r>
      <w:r w:rsidRPr="000D6987">
        <w:rPr>
          <w:rFonts w:hint="eastAsia"/>
          <w:bCs/>
          <w:sz w:val="24"/>
        </w:rPr>
        <w:t>35%-60%</w:t>
      </w:r>
      <w:r w:rsidRPr="000D6987">
        <w:rPr>
          <w:rFonts w:hint="eastAsia"/>
          <w:bCs/>
          <w:sz w:val="24"/>
        </w:rPr>
        <w:t>；</w:t>
      </w:r>
      <w:r w:rsidRPr="000D6987">
        <w:rPr>
          <w:rFonts w:hint="eastAsia"/>
          <w:bCs/>
          <w:sz w:val="24"/>
        </w:rPr>
        <w:t xml:space="preserve"> </w:t>
      </w:r>
    </w:p>
    <w:p w14:paraId="2BAE4521"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w:t>
      </w:r>
      <w:r w:rsidRPr="000D6987">
        <w:rPr>
          <w:rFonts w:hint="eastAsia"/>
          <w:bCs/>
          <w:sz w:val="24"/>
        </w:rPr>
        <w:t>）本基金持有的现金或者到期日在一年以内的政府债券的比例合计不低于基金资产净值的</w:t>
      </w:r>
      <w:r w:rsidRPr="000D6987">
        <w:rPr>
          <w:rFonts w:hint="eastAsia"/>
          <w:bCs/>
          <w:sz w:val="24"/>
        </w:rPr>
        <w:t>5%</w:t>
      </w:r>
      <w:r w:rsidRPr="000D6987">
        <w:rPr>
          <w:rFonts w:hint="eastAsia"/>
          <w:bCs/>
          <w:sz w:val="24"/>
        </w:rPr>
        <w:t>，其中现金不包括结算备付金、存出保证金、应收申购款等；</w:t>
      </w:r>
    </w:p>
    <w:p w14:paraId="579EC38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3</w:t>
      </w:r>
      <w:r w:rsidRPr="000D6987">
        <w:rPr>
          <w:rFonts w:hint="eastAsia"/>
          <w:bCs/>
          <w:sz w:val="24"/>
        </w:rPr>
        <w:t>）本基金持有单只基金的市值，不得高于本基金资产净值的</w:t>
      </w:r>
      <w:r w:rsidRPr="000D6987">
        <w:rPr>
          <w:rFonts w:hint="eastAsia"/>
          <w:bCs/>
          <w:sz w:val="24"/>
        </w:rPr>
        <w:t>20%</w:t>
      </w:r>
      <w:r w:rsidRPr="000D6987">
        <w:rPr>
          <w:rFonts w:hint="eastAsia"/>
          <w:bCs/>
          <w:sz w:val="24"/>
        </w:rPr>
        <w:t>，且不得持有其他基金中基金；</w:t>
      </w:r>
    </w:p>
    <w:p w14:paraId="00BEEE67"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4</w:t>
      </w:r>
      <w:r w:rsidRPr="000D6987">
        <w:rPr>
          <w:rFonts w:hint="eastAsia"/>
          <w:bCs/>
          <w:sz w:val="24"/>
        </w:rPr>
        <w:t>）本基金管理人管理的全部基金（除</w:t>
      </w:r>
      <w:r w:rsidRPr="000D6987">
        <w:rPr>
          <w:rFonts w:hint="eastAsia"/>
          <w:bCs/>
          <w:sz w:val="24"/>
        </w:rPr>
        <w:t>ETF</w:t>
      </w:r>
      <w:r w:rsidRPr="000D6987">
        <w:rPr>
          <w:rFonts w:hint="eastAsia"/>
          <w:bCs/>
          <w:sz w:val="24"/>
        </w:rPr>
        <w:t>联接基金外）持有单只基金不得超过被投资基金净资产的</w:t>
      </w:r>
      <w:r w:rsidRPr="000D6987">
        <w:rPr>
          <w:rFonts w:hint="eastAsia"/>
          <w:bCs/>
          <w:sz w:val="24"/>
        </w:rPr>
        <w:t>20%</w:t>
      </w:r>
      <w:r w:rsidRPr="000D6987">
        <w:rPr>
          <w:rFonts w:hint="eastAsia"/>
          <w:bCs/>
          <w:sz w:val="24"/>
        </w:rPr>
        <w:t>，被投资基金净资产规模以最近定期报告披露的规模为准；</w:t>
      </w:r>
    </w:p>
    <w:p w14:paraId="37CCA449"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5</w:t>
      </w:r>
      <w:r w:rsidRPr="000D6987">
        <w:rPr>
          <w:rFonts w:hint="eastAsia"/>
          <w:bCs/>
          <w:sz w:val="24"/>
        </w:rPr>
        <w:t>）本基金不得持有具有复杂、衍生品性质的基金份额，包括分级基金和中国证监会认定的其他基金份额；</w:t>
      </w:r>
    </w:p>
    <w:p w14:paraId="40C74735"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6</w:t>
      </w:r>
      <w:r w:rsidRPr="000D6987">
        <w:rPr>
          <w:rFonts w:hint="eastAsia"/>
          <w:bCs/>
          <w:sz w:val="24"/>
        </w:rPr>
        <w:t>）本基金投资其他基金时，被投资基金（不含指数基金、</w:t>
      </w:r>
      <w:r w:rsidRPr="000D6987">
        <w:rPr>
          <w:rFonts w:hint="eastAsia"/>
          <w:bCs/>
          <w:sz w:val="24"/>
        </w:rPr>
        <w:t>ETF</w:t>
      </w:r>
      <w:r w:rsidRPr="000D6987">
        <w:rPr>
          <w:rFonts w:hint="eastAsia"/>
          <w:bCs/>
          <w:sz w:val="24"/>
        </w:rPr>
        <w:t>和商品基金等品种）的运作期限不少于</w:t>
      </w:r>
      <w:r w:rsidRPr="000D6987">
        <w:rPr>
          <w:rFonts w:hint="eastAsia"/>
          <w:bCs/>
          <w:sz w:val="24"/>
        </w:rPr>
        <w:t>2</w:t>
      </w:r>
      <w:r w:rsidRPr="000D6987">
        <w:rPr>
          <w:rFonts w:hint="eastAsia"/>
          <w:bCs/>
          <w:sz w:val="24"/>
        </w:rPr>
        <w:t>年、最近两年平均季末基金净资产应当不低于</w:t>
      </w:r>
      <w:r w:rsidRPr="000D6987">
        <w:rPr>
          <w:rFonts w:hint="eastAsia"/>
          <w:bCs/>
          <w:sz w:val="24"/>
        </w:rPr>
        <w:t>2</w:t>
      </w:r>
      <w:r w:rsidRPr="000D6987">
        <w:rPr>
          <w:rFonts w:hint="eastAsia"/>
          <w:bCs/>
          <w:sz w:val="24"/>
        </w:rPr>
        <w:t>亿元；被投资基金为指数基金、</w:t>
      </w:r>
      <w:r w:rsidRPr="000D6987">
        <w:rPr>
          <w:rFonts w:hint="eastAsia"/>
          <w:bCs/>
          <w:sz w:val="24"/>
        </w:rPr>
        <w:t>ETF</w:t>
      </w:r>
      <w:r w:rsidRPr="000D6987">
        <w:rPr>
          <w:rFonts w:hint="eastAsia"/>
          <w:bCs/>
          <w:sz w:val="24"/>
        </w:rPr>
        <w:t>和商品基金等品种的，运作期限应当不少于</w:t>
      </w:r>
      <w:r w:rsidRPr="000D6987">
        <w:rPr>
          <w:rFonts w:hint="eastAsia"/>
          <w:bCs/>
          <w:sz w:val="24"/>
        </w:rPr>
        <w:t>1</w:t>
      </w:r>
      <w:r w:rsidRPr="000D6987">
        <w:rPr>
          <w:rFonts w:hint="eastAsia"/>
          <w:bCs/>
          <w:sz w:val="24"/>
        </w:rPr>
        <w:t>年，最近定期报告披露的季末基金净资产应当不低于</w:t>
      </w:r>
      <w:r w:rsidRPr="000D6987">
        <w:rPr>
          <w:rFonts w:hint="eastAsia"/>
          <w:bCs/>
          <w:sz w:val="24"/>
        </w:rPr>
        <w:t>1</w:t>
      </w:r>
      <w:r w:rsidRPr="000D6987">
        <w:rPr>
          <w:rFonts w:hint="eastAsia"/>
          <w:bCs/>
          <w:sz w:val="24"/>
        </w:rPr>
        <w:t>亿元；</w:t>
      </w:r>
    </w:p>
    <w:p w14:paraId="38039485"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7</w:t>
      </w:r>
      <w:r w:rsidRPr="000D6987">
        <w:rPr>
          <w:rFonts w:hint="eastAsia"/>
          <w:bCs/>
          <w:sz w:val="24"/>
        </w:rPr>
        <w:t>）本基金投资其他基金时，被投资基金的基金管理人及被投资基金的基金经理最近</w:t>
      </w:r>
      <w:r w:rsidRPr="000D6987">
        <w:rPr>
          <w:rFonts w:hint="eastAsia"/>
          <w:bCs/>
          <w:sz w:val="24"/>
        </w:rPr>
        <w:t>2</w:t>
      </w:r>
      <w:r w:rsidRPr="000D6987">
        <w:rPr>
          <w:rFonts w:hint="eastAsia"/>
          <w:bCs/>
          <w:sz w:val="24"/>
        </w:rPr>
        <w:t>年没有重大违法违纪行为；</w:t>
      </w:r>
    </w:p>
    <w:p w14:paraId="7C658B1A" w14:textId="77777777" w:rsidR="000D6987" w:rsidRPr="000D6987" w:rsidRDefault="000D6987" w:rsidP="000D6987">
      <w:pPr>
        <w:spacing w:line="360" w:lineRule="auto"/>
        <w:ind w:firstLine="480"/>
        <w:rPr>
          <w:bCs/>
          <w:sz w:val="24"/>
        </w:rPr>
      </w:pPr>
      <w:r w:rsidRPr="000D6987">
        <w:rPr>
          <w:rFonts w:hint="eastAsia"/>
          <w:bCs/>
          <w:sz w:val="24"/>
        </w:rPr>
        <w:lastRenderedPageBreak/>
        <w:t>（</w:t>
      </w:r>
      <w:r w:rsidRPr="000D6987">
        <w:rPr>
          <w:rFonts w:hint="eastAsia"/>
          <w:bCs/>
          <w:sz w:val="24"/>
        </w:rPr>
        <w:t>8</w:t>
      </w:r>
      <w:r w:rsidRPr="000D6987">
        <w:rPr>
          <w:rFonts w:hint="eastAsia"/>
          <w:bCs/>
          <w:sz w:val="24"/>
        </w:rPr>
        <w:t>）本基金投资于封闭运作基金、定期开放基金等流通受限基金的，其公允价值不得超过本基金资产净值的</w:t>
      </w:r>
      <w:r w:rsidRPr="000D6987">
        <w:rPr>
          <w:rFonts w:hint="eastAsia"/>
          <w:bCs/>
          <w:sz w:val="24"/>
        </w:rPr>
        <w:t>10%</w:t>
      </w:r>
      <w:r w:rsidRPr="000D6987">
        <w:rPr>
          <w:rFonts w:hint="eastAsia"/>
          <w:bCs/>
          <w:sz w:val="24"/>
        </w:rPr>
        <w:t>；</w:t>
      </w:r>
    </w:p>
    <w:p w14:paraId="5E966E03"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9</w:t>
      </w:r>
      <w:r w:rsidRPr="000D6987">
        <w:rPr>
          <w:rFonts w:hint="eastAsia"/>
          <w:bCs/>
          <w:sz w:val="24"/>
        </w:rPr>
        <w:t>）本基金持有一家公司发行的证券（同一家公司在内地和香港同时上市的</w:t>
      </w:r>
      <w:r w:rsidRPr="000D6987">
        <w:rPr>
          <w:rFonts w:hint="eastAsia"/>
          <w:bCs/>
          <w:sz w:val="24"/>
        </w:rPr>
        <w:t>A+H</w:t>
      </w:r>
      <w:r w:rsidRPr="000D6987">
        <w:rPr>
          <w:rFonts w:hint="eastAsia"/>
          <w:bCs/>
          <w:sz w:val="24"/>
        </w:rPr>
        <w:t>股合并计算，不含本基金所投资的基金份额），其市值不超过基金资产净值的</w:t>
      </w:r>
      <w:r w:rsidRPr="000D6987">
        <w:rPr>
          <w:rFonts w:hint="eastAsia"/>
          <w:bCs/>
          <w:sz w:val="24"/>
        </w:rPr>
        <w:t>10%</w:t>
      </w:r>
      <w:r w:rsidRPr="000D6987">
        <w:rPr>
          <w:rFonts w:hint="eastAsia"/>
          <w:bCs/>
          <w:sz w:val="24"/>
        </w:rPr>
        <w:t>；</w:t>
      </w:r>
    </w:p>
    <w:p w14:paraId="4C0755CF"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10</w:t>
      </w:r>
      <w:r w:rsidRPr="000D6987">
        <w:rPr>
          <w:rFonts w:hint="eastAsia"/>
          <w:bCs/>
          <w:sz w:val="24"/>
        </w:rPr>
        <w:t>）本基金管理人管理的全部基金持有一家公司发行的证券（同一家公司在内地和香港同时上市的</w:t>
      </w:r>
      <w:r w:rsidRPr="000D6987">
        <w:rPr>
          <w:rFonts w:hint="eastAsia"/>
          <w:bCs/>
          <w:sz w:val="24"/>
        </w:rPr>
        <w:t>A+H</w:t>
      </w:r>
      <w:r w:rsidRPr="000D6987">
        <w:rPr>
          <w:rFonts w:hint="eastAsia"/>
          <w:bCs/>
          <w:sz w:val="24"/>
        </w:rPr>
        <w:t>股合并计算，不含本基金所投资的基金份额），不超过该证券的</w:t>
      </w:r>
      <w:r w:rsidRPr="000D6987">
        <w:rPr>
          <w:rFonts w:hint="eastAsia"/>
          <w:bCs/>
          <w:sz w:val="24"/>
        </w:rPr>
        <w:t>10%</w:t>
      </w:r>
      <w:r w:rsidRPr="000D6987">
        <w:rPr>
          <w:rFonts w:hint="eastAsia"/>
          <w:bCs/>
          <w:sz w:val="24"/>
        </w:rPr>
        <w:t>，完全按照有关指数的构成比例进行证券投资的基金品种可以不受此条款规定的比例限制；</w:t>
      </w:r>
    </w:p>
    <w:p w14:paraId="5073D58B"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11</w:t>
      </w:r>
      <w:r w:rsidRPr="000D6987">
        <w:rPr>
          <w:rFonts w:hint="eastAsia"/>
          <w:bCs/>
          <w:sz w:val="24"/>
        </w:rPr>
        <w:t>）本基金管理人管理的全部开放式基金（包括开放式基金以及处于开放期的定期开放基金）持有一家上市公司发行的可流通股票，不得超过该上市公司可流通股票的</w:t>
      </w:r>
      <w:r w:rsidRPr="000D6987">
        <w:rPr>
          <w:rFonts w:hint="eastAsia"/>
          <w:bCs/>
          <w:sz w:val="24"/>
        </w:rPr>
        <w:t>15%</w:t>
      </w:r>
      <w:r w:rsidRPr="000D6987">
        <w:rPr>
          <w:rFonts w:hint="eastAsia"/>
          <w:bCs/>
          <w:sz w:val="24"/>
        </w:rPr>
        <w:t>；本基金管理人管理的全部投资组合持有一家上市公司发行的可流通股票，不得超过该上市公司可流通股票的</w:t>
      </w:r>
      <w:r w:rsidRPr="000D6987">
        <w:rPr>
          <w:rFonts w:hint="eastAsia"/>
          <w:bCs/>
          <w:sz w:val="24"/>
        </w:rPr>
        <w:t>30%</w:t>
      </w:r>
      <w:r w:rsidRPr="000D6987">
        <w:rPr>
          <w:rFonts w:hint="eastAsia"/>
          <w:bCs/>
          <w:sz w:val="24"/>
        </w:rPr>
        <w:t>；完全按照有关指数的构成比例进行证券投资的开放式基金以及中国证监会认定的特殊投资组合可不受前述比例限制；</w:t>
      </w:r>
    </w:p>
    <w:p w14:paraId="06D40C31"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12</w:t>
      </w:r>
      <w:r w:rsidRPr="000D6987">
        <w:rPr>
          <w:rFonts w:hint="eastAsia"/>
          <w:bCs/>
          <w:sz w:val="24"/>
        </w:rPr>
        <w:t>）本基金主动投资于流动性受限资产的市值合计不得超过本基金资产净值的</w:t>
      </w:r>
      <w:r w:rsidRPr="000D6987">
        <w:rPr>
          <w:rFonts w:hint="eastAsia"/>
          <w:bCs/>
          <w:sz w:val="24"/>
        </w:rPr>
        <w:t>15%</w:t>
      </w:r>
      <w:r w:rsidRPr="000D6987">
        <w:rPr>
          <w:rFonts w:hint="eastAsia"/>
          <w:bCs/>
          <w:sz w:val="24"/>
        </w:rPr>
        <w:t>；因证券市场波动、上市公司股票停牌、基金规模变动等基金管理人之外的因素致使基金不符合该比例限制的，基金管理人不得主动新增流动性受限资产的投资；</w:t>
      </w:r>
    </w:p>
    <w:p w14:paraId="0FE46D59"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13</w:t>
      </w:r>
      <w:r w:rsidRPr="000D6987">
        <w:rPr>
          <w:rFonts w:hint="eastAsia"/>
          <w:bCs/>
          <w:sz w:val="24"/>
        </w:rPr>
        <w:t>）本基金与私募类证券资管产品及中国证监会认定的其他主体为交易对手开展逆回购交易的，可接受质押品的资质要求应当与基金合同约定的投资范围保持一致；</w:t>
      </w:r>
    </w:p>
    <w:p w14:paraId="4943B5F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14</w:t>
      </w:r>
      <w:r w:rsidRPr="000D6987">
        <w:rPr>
          <w:rFonts w:hint="eastAsia"/>
          <w:bCs/>
          <w:sz w:val="24"/>
        </w:rPr>
        <w:t>）本基金投资于同一原始权益人的各类资产支持证券的比例，不得超过基金资产净值的</w:t>
      </w:r>
      <w:r w:rsidRPr="000D6987">
        <w:rPr>
          <w:rFonts w:hint="eastAsia"/>
          <w:bCs/>
          <w:sz w:val="24"/>
        </w:rPr>
        <w:t>10%</w:t>
      </w:r>
      <w:r w:rsidRPr="000D6987">
        <w:rPr>
          <w:rFonts w:hint="eastAsia"/>
          <w:bCs/>
          <w:sz w:val="24"/>
        </w:rPr>
        <w:t>；</w:t>
      </w:r>
    </w:p>
    <w:p w14:paraId="45A98FC3"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15</w:t>
      </w:r>
      <w:r w:rsidRPr="000D6987">
        <w:rPr>
          <w:rFonts w:hint="eastAsia"/>
          <w:bCs/>
          <w:sz w:val="24"/>
        </w:rPr>
        <w:t>）本基金持有的全部资产支持证券，其市值不得超过基金资产净值的</w:t>
      </w:r>
      <w:r w:rsidRPr="000D6987">
        <w:rPr>
          <w:rFonts w:hint="eastAsia"/>
          <w:bCs/>
          <w:sz w:val="24"/>
        </w:rPr>
        <w:t>20%</w:t>
      </w:r>
      <w:r w:rsidRPr="000D6987">
        <w:rPr>
          <w:rFonts w:hint="eastAsia"/>
          <w:bCs/>
          <w:sz w:val="24"/>
        </w:rPr>
        <w:t>；</w:t>
      </w:r>
    </w:p>
    <w:p w14:paraId="14FD186A"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16</w:t>
      </w:r>
      <w:r w:rsidRPr="000D6987">
        <w:rPr>
          <w:rFonts w:hint="eastAsia"/>
          <w:bCs/>
          <w:sz w:val="24"/>
        </w:rPr>
        <w:t>）本基金持有的同一（指同一信用级别）资产支持证券的比例，不得超过该资产支持证券规模的</w:t>
      </w:r>
      <w:r w:rsidRPr="000D6987">
        <w:rPr>
          <w:rFonts w:hint="eastAsia"/>
          <w:bCs/>
          <w:sz w:val="24"/>
        </w:rPr>
        <w:t>10%</w:t>
      </w:r>
      <w:r w:rsidRPr="000D6987">
        <w:rPr>
          <w:rFonts w:hint="eastAsia"/>
          <w:bCs/>
          <w:sz w:val="24"/>
        </w:rPr>
        <w:t>；</w:t>
      </w:r>
    </w:p>
    <w:p w14:paraId="4C9E558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17</w:t>
      </w:r>
      <w:r w:rsidRPr="000D6987">
        <w:rPr>
          <w:rFonts w:hint="eastAsia"/>
          <w:bCs/>
          <w:sz w:val="24"/>
        </w:rPr>
        <w:t>）本基金管理人管理的全部基金投资于同一原始权益人的各类资产支持证券，不得超过其各类资产支持证券合计规模的</w:t>
      </w:r>
      <w:r w:rsidRPr="000D6987">
        <w:rPr>
          <w:rFonts w:hint="eastAsia"/>
          <w:bCs/>
          <w:sz w:val="24"/>
        </w:rPr>
        <w:t>10%</w:t>
      </w:r>
      <w:r w:rsidRPr="000D6987">
        <w:rPr>
          <w:rFonts w:hint="eastAsia"/>
          <w:bCs/>
          <w:sz w:val="24"/>
        </w:rPr>
        <w:t>；</w:t>
      </w:r>
    </w:p>
    <w:p w14:paraId="7144E127"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18</w:t>
      </w:r>
      <w:r w:rsidRPr="000D6987">
        <w:rPr>
          <w:rFonts w:hint="eastAsia"/>
          <w:bCs/>
          <w:sz w:val="24"/>
        </w:rPr>
        <w:t>）本基金应投资于信用级别评级为</w:t>
      </w:r>
      <w:r w:rsidRPr="000D6987">
        <w:rPr>
          <w:rFonts w:hint="eastAsia"/>
          <w:bCs/>
          <w:sz w:val="24"/>
        </w:rPr>
        <w:t>BBB</w:t>
      </w:r>
      <w:r w:rsidRPr="000D6987">
        <w:rPr>
          <w:rFonts w:hint="eastAsia"/>
          <w:bCs/>
          <w:sz w:val="24"/>
        </w:rPr>
        <w:t>以上（含</w:t>
      </w:r>
      <w:r w:rsidRPr="000D6987">
        <w:rPr>
          <w:rFonts w:hint="eastAsia"/>
          <w:bCs/>
          <w:sz w:val="24"/>
        </w:rPr>
        <w:t>BBB</w:t>
      </w:r>
      <w:r w:rsidRPr="000D6987">
        <w:rPr>
          <w:rFonts w:hint="eastAsia"/>
          <w:bCs/>
          <w:sz w:val="24"/>
        </w:rPr>
        <w:t>）的资产支持证券。</w:t>
      </w:r>
      <w:r w:rsidRPr="000D6987">
        <w:rPr>
          <w:rFonts w:hint="eastAsia"/>
          <w:bCs/>
          <w:sz w:val="24"/>
        </w:rPr>
        <w:lastRenderedPageBreak/>
        <w:t>基金持有资产支持证券期间，如果其信用等级下降、不再符合投资标准，应在评级报告发布之日起</w:t>
      </w:r>
      <w:r w:rsidRPr="000D6987">
        <w:rPr>
          <w:rFonts w:hint="eastAsia"/>
          <w:bCs/>
          <w:sz w:val="24"/>
        </w:rPr>
        <w:t>3</w:t>
      </w:r>
      <w:r w:rsidRPr="000D6987">
        <w:rPr>
          <w:rFonts w:hint="eastAsia"/>
          <w:bCs/>
          <w:sz w:val="24"/>
        </w:rPr>
        <w:t>个月内予以全部卖出；</w:t>
      </w:r>
    </w:p>
    <w:p w14:paraId="7A7E9AB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19</w:t>
      </w:r>
      <w:r w:rsidRPr="000D6987">
        <w:rPr>
          <w:rFonts w:hint="eastAsia"/>
          <w:bCs/>
          <w:sz w:val="24"/>
        </w:rPr>
        <w:t>）基金财产参与股票发行申购，本基金所申报的金额不超过本基金的总资产，本基金所申报的股票数量不超过拟发行股票公司本次发行股票的总量；</w:t>
      </w:r>
    </w:p>
    <w:p w14:paraId="66014626"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20</w:t>
      </w:r>
      <w:r w:rsidRPr="000D6987">
        <w:rPr>
          <w:rFonts w:hint="eastAsia"/>
          <w:bCs/>
          <w:sz w:val="24"/>
        </w:rPr>
        <w:t>）本基金资产总值不超过基金资产净值的</w:t>
      </w:r>
      <w:r w:rsidRPr="000D6987">
        <w:rPr>
          <w:rFonts w:hint="eastAsia"/>
          <w:bCs/>
          <w:sz w:val="24"/>
        </w:rPr>
        <w:t>140%</w:t>
      </w:r>
      <w:r w:rsidRPr="000D6987">
        <w:rPr>
          <w:rFonts w:hint="eastAsia"/>
          <w:bCs/>
          <w:sz w:val="24"/>
        </w:rPr>
        <w:t>；</w:t>
      </w:r>
    </w:p>
    <w:p w14:paraId="59ED1584"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21</w:t>
      </w:r>
      <w:r w:rsidRPr="000D6987">
        <w:rPr>
          <w:rFonts w:hint="eastAsia"/>
          <w:bCs/>
          <w:sz w:val="24"/>
        </w:rPr>
        <w:t>）本基金投资存托凭证的比例限制依照境内上市交易的股票执行；</w:t>
      </w:r>
    </w:p>
    <w:p w14:paraId="775F508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22</w:t>
      </w:r>
      <w:r w:rsidRPr="000D6987">
        <w:rPr>
          <w:rFonts w:hint="eastAsia"/>
          <w:bCs/>
          <w:sz w:val="24"/>
        </w:rPr>
        <w:t>）法律法规及中国证监会规定的和《基金合同》约定的其他投资限制。</w:t>
      </w:r>
    </w:p>
    <w:p w14:paraId="259B3966" w14:textId="4BA8614E" w:rsidR="009D1F53" w:rsidRPr="00967F86" w:rsidRDefault="000D6987" w:rsidP="00967F86">
      <w:pPr>
        <w:spacing w:line="360" w:lineRule="auto"/>
        <w:ind w:firstLine="480"/>
        <w:rPr>
          <w:bCs/>
          <w:sz w:val="24"/>
        </w:rPr>
      </w:pPr>
      <w:r w:rsidRPr="000D6987">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0D6987">
        <w:rPr>
          <w:rFonts w:hint="eastAsia"/>
          <w:bCs/>
          <w:sz w:val="24"/>
        </w:rPr>
        <w:t>3</w:t>
      </w:r>
      <w:r w:rsidRPr="000D6987">
        <w:rPr>
          <w:rFonts w:hint="eastAsia"/>
          <w:bCs/>
          <w:sz w:val="24"/>
        </w:rPr>
        <w:t>）项、第（</w:t>
      </w:r>
      <w:r w:rsidRPr="000D6987">
        <w:rPr>
          <w:rFonts w:hint="eastAsia"/>
          <w:bCs/>
          <w:sz w:val="24"/>
        </w:rPr>
        <w:t>4</w:t>
      </w:r>
      <w:r w:rsidRPr="000D6987">
        <w:rPr>
          <w:rFonts w:hint="eastAsia"/>
          <w:bCs/>
          <w:sz w:val="24"/>
        </w:rPr>
        <w:t>）项规定投资比例的，基金管理人应当在</w:t>
      </w:r>
      <w:r w:rsidRPr="000D6987">
        <w:rPr>
          <w:rFonts w:hint="eastAsia"/>
          <w:bCs/>
          <w:sz w:val="24"/>
        </w:rPr>
        <w:t>20</w:t>
      </w:r>
      <w:r w:rsidRPr="000D6987">
        <w:rPr>
          <w:rFonts w:hint="eastAsia"/>
          <w:bCs/>
          <w:sz w:val="24"/>
        </w:rPr>
        <w:t>个交易日内进行调整；对于第（</w:t>
      </w:r>
      <w:r w:rsidRPr="000D6987">
        <w:rPr>
          <w:rFonts w:hint="eastAsia"/>
          <w:bCs/>
          <w:sz w:val="24"/>
        </w:rPr>
        <w:t>2</w:t>
      </w:r>
      <w:r w:rsidRPr="000D6987">
        <w:rPr>
          <w:rFonts w:hint="eastAsia"/>
          <w:bCs/>
          <w:sz w:val="24"/>
        </w:rPr>
        <w:t>）项、第（</w:t>
      </w:r>
      <w:r w:rsidRPr="000D6987">
        <w:rPr>
          <w:rFonts w:hint="eastAsia"/>
          <w:bCs/>
          <w:sz w:val="24"/>
        </w:rPr>
        <w:t>3</w:t>
      </w:r>
      <w:r w:rsidRPr="000D6987">
        <w:rPr>
          <w:rFonts w:hint="eastAsia"/>
          <w:bCs/>
          <w:sz w:val="24"/>
        </w:rPr>
        <w:t>）项、第（</w:t>
      </w:r>
      <w:r w:rsidRPr="000D6987">
        <w:rPr>
          <w:rFonts w:hint="eastAsia"/>
          <w:bCs/>
          <w:sz w:val="24"/>
        </w:rPr>
        <w:t>4</w:t>
      </w:r>
      <w:r w:rsidRPr="000D6987">
        <w:rPr>
          <w:rFonts w:hint="eastAsia"/>
          <w:bCs/>
          <w:sz w:val="24"/>
        </w:rPr>
        <w:t>）项、第（</w:t>
      </w:r>
      <w:r w:rsidRPr="000D6987">
        <w:rPr>
          <w:rFonts w:hint="eastAsia"/>
          <w:bCs/>
          <w:sz w:val="24"/>
        </w:rPr>
        <w:t>12</w:t>
      </w:r>
      <w:r w:rsidRPr="000D6987">
        <w:rPr>
          <w:rFonts w:hint="eastAsia"/>
          <w:bCs/>
          <w:sz w:val="24"/>
        </w:rPr>
        <w:t>）项、第（</w:t>
      </w:r>
      <w:r w:rsidRPr="000D6987">
        <w:rPr>
          <w:rFonts w:hint="eastAsia"/>
          <w:bCs/>
          <w:sz w:val="24"/>
        </w:rPr>
        <w:t>13</w:t>
      </w:r>
      <w:r w:rsidRPr="000D6987">
        <w:rPr>
          <w:rFonts w:hint="eastAsia"/>
          <w:bCs/>
          <w:sz w:val="24"/>
        </w:rPr>
        <w:t>）项及第（</w:t>
      </w:r>
      <w:r w:rsidRPr="000D6987">
        <w:rPr>
          <w:rFonts w:hint="eastAsia"/>
          <w:bCs/>
          <w:sz w:val="24"/>
        </w:rPr>
        <w:t>18</w:t>
      </w:r>
      <w:r w:rsidRPr="000D6987">
        <w:rPr>
          <w:rFonts w:hint="eastAsia"/>
          <w:bCs/>
          <w:sz w:val="24"/>
        </w:rPr>
        <w:t>）项以外的其他情形，基金管理人应当在</w:t>
      </w:r>
      <w:r w:rsidRPr="000D6987">
        <w:rPr>
          <w:rFonts w:hint="eastAsia"/>
          <w:bCs/>
          <w:sz w:val="24"/>
        </w:rPr>
        <w:t>10</w:t>
      </w:r>
      <w:r w:rsidRPr="000D6987">
        <w:rPr>
          <w:rFonts w:hint="eastAsia"/>
          <w:bCs/>
          <w:sz w:val="24"/>
        </w:rPr>
        <w:t>个交易日内进行调整，但中国证监会规定的特殊情形除外。法律法规另有规定的，从其规定。</w:t>
      </w:r>
    </w:p>
    <w:p w14:paraId="4EF5D160" w14:textId="77777777" w:rsidR="009D1F53" w:rsidRPr="00967F86" w:rsidRDefault="00811663" w:rsidP="00967F86">
      <w:pPr>
        <w:spacing w:line="360" w:lineRule="auto"/>
        <w:ind w:firstLine="480"/>
        <w:rPr>
          <w:bCs/>
          <w:sz w:val="24"/>
        </w:rPr>
      </w:pPr>
      <w:r w:rsidRPr="00967F86">
        <w:rPr>
          <w:bCs/>
          <w:sz w:val="24"/>
        </w:rPr>
        <w:t>3.</w:t>
      </w:r>
      <w:r w:rsidRPr="00967F86">
        <w:rPr>
          <w:rFonts w:hint="eastAsia"/>
          <w:bCs/>
          <w:sz w:val="24"/>
        </w:rPr>
        <w:t>本基金财产不得用于以下投资或者活动：</w:t>
      </w:r>
    </w:p>
    <w:p w14:paraId="476E291D"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1</w:t>
      </w:r>
      <w:r w:rsidRPr="00967F86">
        <w:rPr>
          <w:bCs/>
          <w:sz w:val="24"/>
        </w:rPr>
        <w:t>）承销证券；</w:t>
      </w:r>
    </w:p>
    <w:p w14:paraId="682C242F"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2</w:t>
      </w:r>
      <w:r w:rsidRPr="00967F86">
        <w:rPr>
          <w:bCs/>
          <w:sz w:val="24"/>
        </w:rPr>
        <w:t>）违反规定向他人贷款或者提供担保；</w:t>
      </w:r>
    </w:p>
    <w:p w14:paraId="00751970"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3</w:t>
      </w:r>
      <w:r w:rsidRPr="00967F86">
        <w:rPr>
          <w:bCs/>
          <w:sz w:val="24"/>
        </w:rPr>
        <w:t>）从事承担无限责任的投资；</w:t>
      </w:r>
    </w:p>
    <w:p w14:paraId="49664326" w14:textId="247CF09C"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4</w:t>
      </w:r>
      <w:r w:rsidRPr="00967F86">
        <w:rPr>
          <w:bCs/>
          <w:sz w:val="24"/>
        </w:rPr>
        <w:t>）向</w:t>
      </w:r>
      <w:r w:rsidRPr="00967F86">
        <w:rPr>
          <w:rFonts w:hint="eastAsia"/>
          <w:bCs/>
          <w:sz w:val="24"/>
        </w:rPr>
        <w:t>其基金管理人、基金托管人出资；</w:t>
      </w:r>
    </w:p>
    <w:p w14:paraId="732AEBAB" w14:textId="6827566E" w:rsidR="009D1F53" w:rsidRPr="00967F86" w:rsidRDefault="00811663" w:rsidP="00967F86">
      <w:pPr>
        <w:spacing w:line="360" w:lineRule="auto"/>
        <w:ind w:firstLine="480"/>
        <w:rPr>
          <w:bCs/>
          <w:sz w:val="24"/>
        </w:rPr>
      </w:pPr>
      <w:r w:rsidRPr="00967F86">
        <w:rPr>
          <w:rFonts w:hint="eastAsia"/>
          <w:bCs/>
          <w:sz w:val="24"/>
        </w:rPr>
        <w:t>（</w:t>
      </w:r>
      <w:r w:rsidR="00967F86" w:rsidRPr="00967F86">
        <w:rPr>
          <w:rFonts w:hint="eastAsia"/>
          <w:bCs/>
          <w:sz w:val="24"/>
        </w:rPr>
        <w:t>5</w:t>
      </w:r>
      <w:r w:rsidRPr="00967F86">
        <w:rPr>
          <w:bCs/>
          <w:sz w:val="24"/>
        </w:rPr>
        <w:t>）从事内幕交易、操纵证券交易价格及其他不正当的证券交易活动；</w:t>
      </w:r>
    </w:p>
    <w:p w14:paraId="50A005FE" w14:textId="482B97EC" w:rsidR="009D1F53" w:rsidRPr="00967F86" w:rsidRDefault="00811663" w:rsidP="00967F86">
      <w:pPr>
        <w:spacing w:line="360" w:lineRule="auto"/>
        <w:ind w:firstLine="480"/>
        <w:rPr>
          <w:bCs/>
          <w:sz w:val="24"/>
        </w:rPr>
      </w:pPr>
      <w:r w:rsidRPr="00967F86">
        <w:rPr>
          <w:rFonts w:hint="eastAsia"/>
          <w:bCs/>
          <w:sz w:val="24"/>
        </w:rPr>
        <w:t>（</w:t>
      </w:r>
      <w:r w:rsidR="00967F86" w:rsidRPr="00967F86">
        <w:rPr>
          <w:rFonts w:hint="eastAsia"/>
          <w:bCs/>
          <w:sz w:val="24"/>
        </w:rPr>
        <w:t>6</w:t>
      </w:r>
      <w:r w:rsidRPr="00967F86">
        <w:rPr>
          <w:bCs/>
          <w:sz w:val="24"/>
        </w:rPr>
        <w:t>）法律、行政法规</w:t>
      </w:r>
      <w:r w:rsidRPr="00967F86">
        <w:rPr>
          <w:rFonts w:hint="eastAsia"/>
          <w:bCs/>
          <w:sz w:val="24"/>
        </w:rPr>
        <w:t>和中国证监会规定禁止的其他活动。</w:t>
      </w:r>
    </w:p>
    <w:bookmarkEnd w:id="16"/>
    <w:p w14:paraId="2612B951" w14:textId="77777777" w:rsidR="009D1F53" w:rsidRDefault="00811663" w:rsidP="00967F86">
      <w:pPr>
        <w:spacing w:line="360" w:lineRule="auto"/>
        <w:ind w:firstLine="480"/>
        <w:rPr>
          <w:rFonts w:ascii="宋体" w:hAnsi="宋体"/>
          <w:sz w:val="24"/>
        </w:rPr>
      </w:pPr>
      <w:r w:rsidRPr="00967F86">
        <w:rPr>
          <w:rFonts w:hint="eastAsia"/>
          <w:bCs/>
          <w:sz w:val="24"/>
        </w:rPr>
        <w:t>基金管理人运用基金财产买卖基金管理人、基金托管人及其控股股东、实际控制人或者与其有重大利害关系的公司发行的证券或者承销期内承销的证券，或者</w:t>
      </w:r>
      <w:r>
        <w:rPr>
          <w:rFonts w:ascii="宋体" w:hAnsi="宋体" w:hint="eastAsia"/>
          <w:sz w:val="24"/>
        </w:rPr>
        <w:t>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5C1C50" w14:textId="77777777" w:rsidR="009D1F53" w:rsidRDefault="00811663">
      <w:pPr>
        <w:spacing w:line="360" w:lineRule="auto"/>
        <w:ind w:firstLineChars="200" w:firstLine="480"/>
        <w:rPr>
          <w:rFonts w:ascii="宋体" w:hAnsi="宋体"/>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3B6F244" w14:textId="30231087" w:rsidR="009D1F53" w:rsidRDefault="0081166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w:t>
      </w:r>
      <w:r>
        <w:rPr>
          <w:rFonts w:ascii="宋体" w:hAnsi="宋体"/>
          <w:sz w:val="24"/>
        </w:rPr>
        <w:lastRenderedPageBreak/>
        <w:t>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1BFF6DD9" w14:textId="190DB95C" w:rsidR="001A7E89" w:rsidRDefault="00811663" w:rsidP="0089499B">
      <w:pPr>
        <w:spacing w:line="360" w:lineRule="auto"/>
        <w:ind w:firstLineChars="200" w:firstLine="480"/>
        <w:rPr>
          <w:rFonts w:ascii="宋体" w:hAnsi="宋体"/>
          <w:sz w:val="24"/>
        </w:rPr>
      </w:pPr>
      <w:r>
        <w:rPr>
          <w:rFonts w:ascii="宋体" w:hAnsi="宋体"/>
          <w:sz w:val="24"/>
        </w:rPr>
        <w:t>5.</w:t>
      </w:r>
      <w:r w:rsidR="00A46F51" w:rsidRPr="00A46F51">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9F38B84" w14:textId="77777777" w:rsidR="009D1F53" w:rsidRDefault="00811663">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7"/>
    <w:p w14:paraId="1F3C352D" w14:textId="77777777" w:rsidR="009D1F53" w:rsidRDefault="00811663">
      <w:pPr>
        <w:spacing w:line="360" w:lineRule="auto"/>
        <w:ind w:firstLineChars="200" w:firstLine="480"/>
        <w:rPr>
          <w:rFonts w:ascii="宋体" w:hAnsi="宋体"/>
          <w:sz w:val="24"/>
        </w:rPr>
      </w:pPr>
      <w:r>
        <w:rPr>
          <w:rFonts w:ascii="宋体" w:hAnsi="宋体" w:hint="eastAsia"/>
          <w:sz w:val="24"/>
        </w:rPr>
        <w:t>本基金投资银行存款应符合如下规定：</w:t>
      </w:r>
    </w:p>
    <w:p w14:paraId="63D0BA3D" w14:textId="77777777" w:rsidR="009D1F53" w:rsidRDefault="00811663">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5985AD85" w14:textId="77777777" w:rsidR="009D1F53" w:rsidRDefault="00811663">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14:paraId="785EAEB7" w14:textId="77777777" w:rsidR="009D1F53" w:rsidRDefault="0081166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636195C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31BC7B91"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w:t>
      </w:r>
      <w:r>
        <w:rPr>
          <w:rFonts w:ascii="宋体" w:hAnsi="宋体" w:hint="eastAsia"/>
          <w:sz w:val="24"/>
        </w:rPr>
        <w:lastRenderedPageBreak/>
        <w:t>动性方面的风险。</w:t>
      </w:r>
    </w:p>
    <w:p w14:paraId="26DD35F4"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0F6BA809"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01A254E" w14:textId="77777777" w:rsidR="009D1F53" w:rsidRDefault="00811663">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p>
    <w:p w14:paraId="7615F879" w14:textId="77777777" w:rsidR="009D1F53" w:rsidRPr="00967F86" w:rsidRDefault="00811663" w:rsidP="00967F86">
      <w:pPr>
        <w:spacing w:line="360" w:lineRule="auto"/>
        <w:ind w:firstLineChars="200" w:firstLine="480"/>
        <w:rPr>
          <w:rFonts w:ascii="宋体" w:hAnsi="宋体"/>
          <w:sz w:val="24"/>
        </w:rPr>
      </w:pPr>
      <w:r w:rsidRPr="00967F86">
        <w:rPr>
          <w:rFonts w:ascii="宋体" w:hAnsi="宋体"/>
          <w:sz w:val="24"/>
        </w:rPr>
        <w:t>1.基金投资银行存款协议的签订</w:t>
      </w:r>
    </w:p>
    <w:p w14:paraId="1EEB3D7B" w14:textId="1D5B2612" w:rsidR="008C18F2" w:rsidRPr="008C18F2"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w:t>
      </w:r>
      <w:r w:rsidR="008C18F2" w:rsidRPr="004A745F">
        <w:rPr>
          <w:rFonts w:ascii="宋体" w:hAnsi="宋体" w:hint="eastAsia"/>
          <w:sz w:val="24"/>
        </w:rPr>
        <w:t>《基金存款业务总体合作协议》（以下简称《总体合作协议》），确定《存款协议书》的格式范本。《总体合作协议》和《存款协议书》的格式范本由基金托管人与基金管理人共同商定。</w:t>
      </w:r>
    </w:p>
    <w:p w14:paraId="0D33184C" w14:textId="69B3E01F"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w:t>
      </w:r>
      <w:r w:rsidR="002828C6" w:rsidRPr="004A745F">
        <w:rPr>
          <w:rFonts w:ascii="宋体" w:hAnsi="宋体" w:hint="eastAsia"/>
          <w:sz w:val="24"/>
        </w:rPr>
        <w:t>《总体合作协议》</w:t>
      </w:r>
      <w:r w:rsidR="000A66AE" w:rsidRPr="00F66FAE">
        <w:rPr>
          <w:rFonts w:ascii="宋体" w:hAnsi="宋体" w:hint="eastAsia"/>
          <w:sz w:val="24"/>
        </w:rPr>
        <w:t>和</w:t>
      </w:r>
      <w:r>
        <w:rPr>
          <w:rFonts w:ascii="宋体" w:hAnsi="宋体" w:hint="eastAsia"/>
          <w:sz w:val="24"/>
        </w:rPr>
        <w:t>《存款协议书》的内容进行复核，审查存款银行资格等。</w:t>
      </w:r>
    </w:p>
    <w:p w14:paraId="7C37C3E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026403F0"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上门交付存款证实书或其他有效存款凭证的，基金托管人可向存款分支机构的上级行发出存款余额询证函，存款分支机构及其上级行应予配合。</w:t>
      </w:r>
    </w:p>
    <w:p w14:paraId="51F7C183"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8C7A8B1" w14:textId="77777777" w:rsidR="009D1F53" w:rsidRDefault="00811663">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E9F6093" w14:textId="77777777" w:rsidR="009D1F53" w:rsidRDefault="0081166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1348ABD1" w14:textId="77777777" w:rsidR="009D1F53" w:rsidRDefault="00811663" w:rsidP="00967F86">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65F41E2E" w14:textId="7CDB3F1C"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w:t>
      </w:r>
      <w:r w:rsidR="009C7EB5" w:rsidRPr="00F66FAE">
        <w:rPr>
          <w:rFonts w:ascii="宋体" w:hAnsi="宋体" w:hint="eastAsia"/>
          <w:sz w:val="24"/>
        </w:rPr>
        <w:t>《总体合作协议》</w:t>
      </w:r>
      <w:r w:rsidR="001671BA">
        <w:rPr>
          <w:rFonts w:ascii="宋体" w:hAnsi="宋体" w:hint="eastAsia"/>
          <w:sz w:val="24"/>
        </w:rPr>
        <w:t>、</w:t>
      </w:r>
      <w:r>
        <w:rPr>
          <w:rFonts w:ascii="宋体" w:hAnsi="宋体" w:hint="eastAsia"/>
          <w:sz w:val="24"/>
        </w:rPr>
        <w:t>《存款协议书》等，以基金的名义在存款银行总行或授权分行指定的分支机构开立银行账户。</w:t>
      </w:r>
    </w:p>
    <w:p w14:paraId="6136BFD2"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0C69D7D3" w14:textId="77777777" w:rsidR="009D1F53" w:rsidRDefault="00811663" w:rsidP="00967F86">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538968C8"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14:paraId="5985A429" w14:textId="77777777" w:rsidR="009D1F53" w:rsidRDefault="00811663">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6F79B1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406F97D" w14:textId="77777777" w:rsidR="009D1F53" w:rsidRDefault="00811663">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）的方式快递或上门交付至基金托管人，原存款凭证自动作废。</w:t>
      </w:r>
    </w:p>
    <w:p w14:paraId="6A9DE263"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4602CFB9" w14:textId="77777777" w:rsidR="009D1F53" w:rsidRDefault="00811663">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74E7CB4A" w14:textId="5A315269" w:rsidR="009D1F53" w:rsidRDefault="00811663" w:rsidP="00967F86">
      <w:pPr>
        <w:spacing w:line="360" w:lineRule="auto"/>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w:t>
      </w:r>
      <w:r>
        <w:rPr>
          <w:rFonts w:ascii="宋体" w:hAnsi="宋体" w:hint="eastAsia"/>
          <w:sz w:val="24"/>
        </w:rPr>
        <w:t>基金托管人于每季度向存款银行发起查询查复，</w:t>
      </w:r>
      <w:r>
        <w:rPr>
          <w:rFonts w:ascii="宋体" w:hAnsi="宋体"/>
          <w:sz w:val="24"/>
        </w:rPr>
        <w:t>存款银行应</w:t>
      </w:r>
      <w:r>
        <w:rPr>
          <w:rFonts w:ascii="宋体" w:hAnsi="宋体" w:hint="eastAsia"/>
          <w:sz w:val="24"/>
        </w:rPr>
        <w:t>按照人行查询查复的有关时限要求及时回复</w:t>
      </w:r>
      <w:r>
        <w:rPr>
          <w:rFonts w:ascii="宋体" w:hAnsi="宋体"/>
          <w:sz w:val="24"/>
        </w:rPr>
        <w:t>。</w:t>
      </w:r>
      <w:r w:rsidR="005A0066" w:rsidRPr="00F66FAE">
        <w:rPr>
          <w:rFonts w:ascii="宋体" w:hAnsi="宋体" w:hint="eastAsia"/>
          <w:sz w:val="24"/>
        </w:rPr>
        <w:t>基金管理人有责任督促存款银行及时回复查询查复。</w:t>
      </w:r>
      <w:r w:rsidRPr="00F66FAE">
        <w:rPr>
          <w:rFonts w:ascii="宋体" w:hAnsi="宋体"/>
          <w:sz w:val="24"/>
        </w:rPr>
        <w:t>因</w:t>
      </w:r>
      <w:r>
        <w:rPr>
          <w:rFonts w:ascii="宋体" w:hAnsi="宋体"/>
          <w:sz w:val="24"/>
        </w:rPr>
        <w:t>存款银</w:t>
      </w:r>
      <w:r>
        <w:rPr>
          <w:rFonts w:ascii="宋体" w:hAnsi="宋体" w:hint="eastAsia"/>
          <w:sz w:val="24"/>
        </w:rPr>
        <w:t>行未及时回复造成的资金被挪用、盗取的责任由存款银行承担。</w:t>
      </w:r>
    </w:p>
    <w:p w14:paraId="7B6EC2FA"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存款银行应配合基金托管人对存款凭证的询证，并在询证函上加盖存款银行公章寄送至基金托管人指定联系人。</w:t>
      </w:r>
    </w:p>
    <w:p w14:paraId="633ADCA4" w14:textId="77777777" w:rsidR="009D1F53" w:rsidRDefault="00811663" w:rsidP="00967F8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）到期兑付</w:t>
      </w:r>
    </w:p>
    <w:p w14:paraId="642F681A"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09B99633" w14:textId="77777777" w:rsidR="009D1F53" w:rsidRDefault="00811663">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FC3D375" w14:textId="77777777" w:rsidR="009D1F53" w:rsidRDefault="00811663">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693FA70" w14:textId="77777777" w:rsidR="009D1F53" w:rsidRDefault="00811663">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75FB4060" w14:textId="77777777" w:rsidR="009D1F53" w:rsidRDefault="00811663" w:rsidP="00967F86">
      <w:pPr>
        <w:spacing w:line="360" w:lineRule="auto"/>
        <w:ind w:firstLineChars="200" w:firstLine="480"/>
        <w:rPr>
          <w:rFonts w:ascii="宋体" w:hAnsi="宋体"/>
          <w:sz w:val="24"/>
        </w:rPr>
      </w:pPr>
      <w:r>
        <w:rPr>
          <w:rFonts w:ascii="宋体" w:hAnsi="宋体"/>
          <w:sz w:val="24"/>
        </w:rPr>
        <w:t>4.提前支取</w:t>
      </w:r>
    </w:p>
    <w:p w14:paraId="42E18ABA" w14:textId="77777777" w:rsidR="009D1F53" w:rsidRDefault="00811663">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6193D21E" w14:textId="77777777" w:rsidR="009D1F53" w:rsidRDefault="00811663">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7EF0ACD9" w14:textId="77777777" w:rsidR="009D1F53" w:rsidRDefault="00811663" w:rsidP="00967F86">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基金投资银行存款的监督</w:t>
      </w:r>
    </w:p>
    <w:p w14:paraId="72240CDF" w14:textId="2A45547F" w:rsidR="009D1F53" w:rsidRDefault="00811663">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14:paraId="6C0EB395" w14:textId="6D021B20" w:rsidR="009D1F53" w:rsidRDefault="00811663">
      <w:pPr>
        <w:spacing w:line="360" w:lineRule="auto"/>
        <w:ind w:firstLineChars="200" w:firstLine="480"/>
        <w:rPr>
          <w:rFonts w:ascii="宋体" w:hAnsi="宋体"/>
          <w:sz w:val="24"/>
        </w:rPr>
      </w:pPr>
      <w:bookmarkStart w:id="18" w:name="_Hlk68788494"/>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w:t>
      </w:r>
      <w:r>
        <w:rPr>
          <w:rFonts w:ascii="宋体" w:hAnsi="宋体" w:hint="eastAsia"/>
          <w:sz w:val="24"/>
        </w:rPr>
        <w:lastRenderedPageBreak/>
        <w:t>保及时将更新后的交易对手名单发送给基金托管人，否则由此造成的损失应由基金管理人承担。</w:t>
      </w:r>
      <w:r w:rsidR="001B10CD" w:rsidRPr="00F66FAE">
        <w:rPr>
          <w:rFonts w:ascii="宋体" w:hAnsi="宋体" w:hint="eastAsia"/>
          <w:sz w:val="24"/>
        </w:rPr>
        <w:t>如基金管理人在基金投资运作之前未向基金托管人提供银行间债券市场交易对手名单的，视为基金管理人认可全市场交易对手。</w:t>
      </w:r>
      <w:r>
        <w:rPr>
          <w:rFonts w:ascii="宋体" w:hAnsi="宋体"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006C5DC6">
        <w:rPr>
          <w:rFonts w:ascii="宋体" w:hAnsi="宋体" w:hint="eastAsia"/>
          <w:sz w:val="24"/>
        </w:rPr>
        <w:t>3个交易日内</w:t>
      </w:r>
      <w:r>
        <w:rPr>
          <w:rFonts w:ascii="宋体" w:hAnsi="宋体"/>
          <w:sz w:val="24"/>
        </w:rPr>
        <w:t>与基金托管人协商解决。</w:t>
      </w:r>
      <w:bookmarkEnd w:id="18"/>
    </w:p>
    <w:p w14:paraId="0B0C3C9D" w14:textId="40C754F8" w:rsidR="009D1F53" w:rsidRDefault="00811663">
      <w:pPr>
        <w:spacing w:line="360" w:lineRule="auto"/>
        <w:ind w:firstLineChars="200" w:firstLine="480"/>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F7E12A6" w14:textId="77777777" w:rsidR="009D1F53" w:rsidRDefault="00811663">
      <w:pPr>
        <w:spacing w:line="360" w:lineRule="auto"/>
        <w:ind w:firstLineChars="200" w:firstLine="480"/>
        <w:rPr>
          <w:rFonts w:ascii="宋体" w:hAnsi="宋体"/>
          <w:sz w:val="24"/>
        </w:rPr>
      </w:pPr>
      <w:r>
        <w:rPr>
          <w:rFonts w:ascii="宋体" w:hAnsi="宋体" w:hint="eastAsia"/>
          <w:sz w:val="24"/>
        </w:rPr>
        <w:t>（五）本基金投资流通受限证券，应遵守《关于基金投资非公开发行股票等流通受限证券有关问题的通知》等有关监管规定。</w:t>
      </w:r>
    </w:p>
    <w:p w14:paraId="529E4C4F" w14:textId="77777777" w:rsidR="009D1F53" w:rsidRDefault="00811663">
      <w:pPr>
        <w:spacing w:line="360" w:lineRule="auto"/>
        <w:ind w:firstLineChars="200" w:firstLine="480"/>
        <w:rPr>
          <w:rFonts w:ascii="宋体" w:hAnsi="宋体"/>
          <w:sz w:val="24"/>
        </w:rPr>
      </w:pPr>
      <w:r>
        <w:rPr>
          <w:rFonts w:ascii="宋体" w:hAnsi="宋体"/>
          <w:sz w:val="24"/>
        </w:rPr>
        <w:t>1.流通受限证券包括由</w:t>
      </w:r>
      <w:r>
        <w:rPr>
          <w:rFonts w:ascii="宋体" w:hAnsi="宋体" w:hint="eastAsia"/>
          <w:sz w:val="24"/>
        </w:rPr>
        <w:t>相关法律法规</w:t>
      </w:r>
      <w:r>
        <w:rPr>
          <w:rFonts w:ascii="宋体" w:hAnsi="宋体"/>
          <w:sz w:val="24"/>
        </w:rPr>
        <w:t>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DE26305" w14:textId="77777777" w:rsidR="009D1F53" w:rsidRDefault="00811663">
      <w:pPr>
        <w:spacing w:line="360" w:lineRule="auto"/>
        <w:ind w:firstLineChars="200" w:firstLine="480"/>
        <w:rPr>
          <w:rFonts w:ascii="宋体" w:hAnsi="宋体"/>
          <w:sz w:val="24"/>
        </w:rPr>
      </w:pPr>
      <w:r>
        <w:rPr>
          <w:rFonts w:ascii="宋体" w:hAnsi="宋体" w:hint="eastAsia"/>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10FD7503"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本基金不得投资未经中国证监会批准的非公开发行证券。</w:t>
      </w:r>
    </w:p>
    <w:p w14:paraId="667E9E6C"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本基金不得投资有锁定期但锁定期不明确的证券。</w:t>
      </w:r>
    </w:p>
    <w:p w14:paraId="22908721" w14:textId="77777777" w:rsidR="009D1F53" w:rsidRDefault="0081166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基金管理人应在基金首次投资流通受限证券前，向基金托管人提供经基金</w:t>
      </w:r>
      <w:r>
        <w:rPr>
          <w:rFonts w:ascii="宋体" w:hAnsi="宋体" w:hint="eastAsia"/>
          <w:sz w:val="24"/>
        </w:rPr>
        <w:lastRenderedPageBreak/>
        <w:t>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D9CB410"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FB490B2" w14:textId="105A72A8" w:rsidR="009D1F53" w:rsidRDefault="00811663">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0C048A">
        <w:rPr>
          <w:rFonts w:ascii="宋体" w:hAnsi="宋体" w:hint="eastAsia"/>
          <w:sz w:val="24"/>
        </w:rPr>
        <w:t>所有</w:t>
      </w:r>
      <w:r>
        <w:rPr>
          <w:rFonts w:ascii="宋体" w:hAnsi="宋体" w:hint="eastAsia"/>
          <w:sz w:val="24"/>
        </w:rPr>
        <w:t>损失。对本基金因投资流通受限证券导致的流动性风险，基金托管人不承担任何责任。</w:t>
      </w:r>
    </w:p>
    <w:p w14:paraId="6D1FD00F" w14:textId="77777777" w:rsidR="009D1F53" w:rsidRDefault="00811663">
      <w:pPr>
        <w:spacing w:line="360" w:lineRule="auto"/>
        <w:ind w:firstLineChars="200" w:firstLine="48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Pr>
          <w:rFonts w:ascii="宋体" w:hAnsi="宋体" w:hint="eastAsia"/>
          <w:sz w:val="24"/>
        </w:rPr>
        <w:t>于拟执行投资指令前两个工作日将上述信息书面发至基金托管人，保证基金托管人有足够的时间进行审核。</w:t>
      </w:r>
    </w:p>
    <w:p w14:paraId="787DAFA7" w14:textId="77777777" w:rsidR="009D1F53" w:rsidRDefault="00811663">
      <w:pPr>
        <w:spacing w:line="360" w:lineRule="auto"/>
        <w:ind w:firstLineChars="200" w:firstLine="480"/>
        <w:rPr>
          <w:rFonts w:ascii="宋体" w:hAnsi="宋体"/>
          <w:sz w:val="24"/>
        </w:rPr>
      </w:pPr>
      <w:r>
        <w:rPr>
          <w:rFonts w:ascii="宋体" w:hAnsi="宋体" w:hint="eastAsia"/>
          <w:sz w:val="24"/>
        </w:rPr>
        <w:t>由于基金管理人未及时提供有关证券的具体的必要的信息，致使基金托管人无法审核认购指令而影响认购款项划拨的，基金托管人免于承担责任。</w:t>
      </w:r>
    </w:p>
    <w:p w14:paraId="08C8A291" w14:textId="77777777" w:rsidR="009D1F53" w:rsidRDefault="00811663">
      <w:pPr>
        <w:spacing w:line="360" w:lineRule="auto"/>
        <w:ind w:firstLineChars="200" w:firstLine="480"/>
        <w:rPr>
          <w:rFonts w:ascii="宋体" w:hAnsi="宋体"/>
          <w:sz w:val="24"/>
        </w:rPr>
      </w:pPr>
      <w:r>
        <w:rPr>
          <w:rFonts w:ascii="宋体" w:hAnsi="宋体"/>
          <w:sz w:val="24"/>
        </w:rPr>
        <w:t>4.基金托管人依照法律法规</w:t>
      </w:r>
      <w:r>
        <w:rPr>
          <w:rFonts w:ascii="宋体" w:hAnsi="宋体" w:hint="eastAsia"/>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41142C2" w14:textId="77777777" w:rsidR="009D1F53" w:rsidRDefault="00811663">
      <w:pPr>
        <w:spacing w:line="360" w:lineRule="auto"/>
        <w:ind w:firstLineChars="200" w:firstLine="480"/>
        <w:rPr>
          <w:rFonts w:ascii="宋体" w:hAnsi="宋体" w:cs="Arial"/>
          <w:szCs w:val="21"/>
        </w:rPr>
      </w:pPr>
      <w:r>
        <w:rPr>
          <w:rFonts w:ascii="宋体" w:hAnsi="宋体"/>
          <w:sz w:val="24"/>
        </w:rPr>
        <w:t>5.基金管理</w:t>
      </w:r>
      <w:r>
        <w:rPr>
          <w:rFonts w:ascii="宋体" w:hAnsi="宋体" w:hint="eastAsia"/>
          <w:sz w:val="24"/>
        </w:rPr>
        <w:t>人</w:t>
      </w:r>
      <w:r>
        <w:rPr>
          <w:rFonts w:ascii="宋体" w:hAnsi="宋体"/>
          <w:sz w:val="24"/>
        </w:rPr>
        <w:t>应在基金投资非公开发行股票后</w:t>
      </w:r>
      <w:r>
        <w:rPr>
          <w:rFonts w:ascii="宋体" w:hAnsi="宋体" w:hint="eastAsia"/>
          <w:sz w:val="24"/>
        </w:rPr>
        <w:t>按照法律法规规定的期限，</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14:paraId="753ADB26" w14:textId="77777777" w:rsidR="009D1F53" w:rsidRDefault="00811663">
      <w:pPr>
        <w:spacing w:line="360" w:lineRule="auto"/>
        <w:ind w:firstLineChars="200" w:firstLine="480"/>
        <w:rPr>
          <w:rFonts w:ascii="宋体" w:hAnsi="宋体"/>
          <w:sz w:val="24"/>
        </w:rPr>
      </w:pPr>
      <w:r>
        <w:rPr>
          <w:rFonts w:ascii="宋体" w:hAnsi="宋体" w:hint="eastAsia"/>
          <w:sz w:val="24"/>
        </w:rPr>
        <w:lastRenderedPageBreak/>
        <w:t>（六）基金管理人应当对投资中期票据业务进行研究，认真评估中期票据投资业务的风险，本着审慎、勤勉尽责的原则进行中期票据的投资业务，并应符合法律法规及监管机构的相关规定。</w:t>
      </w:r>
    </w:p>
    <w:p w14:paraId="0AA30F7D" w14:textId="5E82C59F" w:rsidR="009B4FA3" w:rsidRPr="009B4FA3" w:rsidRDefault="009B4FA3">
      <w:pPr>
        <w:spacing w:line="360" w:lineRule="auto"/>
        <w:ind w:firstLineChars="200" w:firstLine="480"/>
        <w:rPr>
          <w:rFonts w:ascii="宋体" w:hAnsi="宋体"/>
          <w:sz w:val="24"/>
        </w:rPr>
      </w:pPr>
      <w:r w:rsidRPr="00F66FAE">
        <w:rPr>
          <w:rFonts w:ascii="宋体" w:hAnsi="宋体" w:hint="eastAsia"/>
          <w:sz w:val="24"/>
        </w:rPr>
        <w:t>（七）本基金拟通过第三方基金销售机构投资开放式基金，基金管理人负责选择销售机构，并确保在销售机构预留的备案回款账户为本基金托管账户。</w:t>
      </w:r>
    </w:p>
    <w:p w14:paraId="6DF6365D" w14:textId="4025761E" w:rsidR="009D1F53" w:rsidRDefault="00811663">
      <w:pPr>
        <w:spacing w:line="360" w:lineRule="auto"/>
        <w:ind w:firstLineChars="200" w:firstLine="480"/>
        <w:rPr>
          <w:rFonts w:ascii="宋体" w:hAnsi="宋体"/>
          <w:sz w:val="24"/>
        </w:rPr>
      </w:pPr>
      <w:r>
        <w:rPr>
          <w:rFonts w:ascii="宋体" w:hAnsi="宋体" w:hint="eastAsia"/>
          <w:sz w:val="24"/>
        </w:rPr>
        <w:t>（</w:t>
      </w:r>
      <w:r w:rsidR="006D3EF0" w:rsidRPr="006D3EF0">
        <w:rPr>
          <w:rFonts w:ascii="宋体" w:hAnsi="宋体" w:hint="eastAsia"/>
          <w:sz w:val="24"/>
        </w:rPr>
        <w:t>八</w:t>
      </w:r>
      <w:r>
        <w:rPr>
          <w:rFonts w:ascii="宋体" w:hAnsi="宋体" w:hint="eastAsia"/>
          <w:sz w:val="24"/>
        </w:rPr>
        <w:t>）基金托管人根据有关法律法规的规定及《基金合同》的约定，对</w:t>
      </w:r>
      <w:r w:rsidR="002C08B1" w:rsidRPr="00B47D25">
        <w:rPr>
          <w:rFonts w:ascii="宋体" w:hAnsi="宋体" w:hint="eastAsia"/>
          <w:sz w:val="24"/>
        </w:rPr>
        <w:t>各类基金份额的</w:t>
      </w:r>
      <w:r>
        <w:rPr>
          <w:rFonts w:ascii="宋体" w:hAnsi="宋体" w:hint="eastAsia"/>
          <w:sz w:val="24"/>
        </w:rPr>
        <w:t>基金资产净值计算及基金份额净值计算、基金费用开支及收入确定、基金收益分配、相关信息披露、基金宣传推介材料中登载基金业绩表现数据等进行监督和核查。</w:t>
      </w:r>
    </w:p>
    <w:p w14:paraId="19908DD7" w14:textId="45576D70" w:rsidR="009D1F53" w:rsidRDefault="00811663">
      <w:pPr>
        <w:spacing w:line="360" w:lineRule="auto"/>
        <w:ind w:firstLineChars="200" w:firstLine="480"/>
        <w:rPr>
          <w:rFonts w:ascii="宋体" w:hAnsi="宋体"/>
          <w:sz w:val="24"/>
        </w:rPr>
      </w:pPr>
      <w:r>
        <w:rPr>
          <w:rFonts w:ascii="宋体" w:hAnsi="宋体"/>
          <w:sz w:val="24"/>
        </w:rPr>
        <w:t>（</w:t>
      </w:r>
      <w:r w:rsidR="006D3EF0">
        <w:rPr>
          <w:rFonts w:ascii="宋体" w:hAnsi="宋体" w:hint="eastAsia"/>
          <w:sz w:val="24"/>
        </w:rPr>
        <w:t>九</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99E34EA" w14:textId="2B75F710" w:rsidR="009D1F53" w:rsidRDefault="00811663">
      <w:pPr>
        <w:spacing w:line="360" w:lineRule="auto"/>
        <w:ind w:firstLineChars="200" w:firstLine="480"/>
        <w:rPr>
          <w:rFonts w:ascii="宋体" w:hAnsi="宋体"/>
          <w:sz w:val="24"/>
        </w:rPr>
      </w:pPr>
      <w:r>
        <w:rPr>
          <w:rFonts w:ascii="宋体" w:hAnsi="宋体" w:hint="eastAsia"/>
          <w:sz w:val="24"/>
        </w:rPr>
        <w:t>（</w:t>
      </w:r>
      <w:r w:rsidR="006D3EF0">
        <w:rPr>
          <w:rFonts w:ascii="宋体" w:hAnsi="宋体" w:hint="eastAsia"/>
          <w:sz w:val="24"/>
        </w:rPr>
        <w:t>十</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560DD9C" w14:textId="56E48232" w:rsidR="009D1F53" w:rsidRDefault="00811663">
      <w:pPr>
        <w:spacing w:line="360" w:lineRule="auto"/>
        <w:ind w:firstLineChars="200" w:firstLine="480"/>
        <w:rPr>
          <w:rFonts w:ascii="宋体" w:hAnsi="宋体"/>
          <w:sz w:val="24"/>
        </w:rPr>
      </w:pPr>
      <w:r>
        <w:rPr>
          <w:rFonts w:ascii="宋体" w:hAnsi="宋体" w:hint="eastAsia"/>
          <w:sz w:val="24"/>
        </w:rPr>
        <w:t>（</w:t>
      </w:r>
      <w:r w:rsidRPr="006D3EF0">
        <w:rPr>
          <w:rFonts w:ascii="宋体" w:hAnsi="宋体" w:hint="eastAsia"/>
          <w:sz w:val="24"/>
        </w:rPr>
        <w:t>十</w:t>
      </w:r>
      <w:r w:rsidR="006D3EF0">
        <w:rPr>
          <w:rFonts w:ascii="宋体" w:hAnsi="宋体" w:hint="eastAsia"/>
          <w:sz w:val="24"/>
        </w:rPr>
        <w:t>一</w:t>
      </w:r>
      <w:r>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10227308" w14:textId="63A28DFD" w:rsidR="009D1F53" w:rsidRDefault="00811663">
      <w:pPr>
        <w:spacing w:line="360" w:lineRule="auto"/>
        <w:ind w:firstLineChars="200" w:firstLine="480"/>
        <w:rPr>
          <w:rFonts w:ascii="宋体" w:hAnsi="宋体"/>
          <w:sz w:val="24"/>
        </w:rPr>
      </w:pPr>
      <w:r>
        <w:rPr>
          <w:rFonts w:ascii="宋体" w:hAnsi="宋体" w:hint="eastAsia"/>
          <w:sz w:val="24"/>
        </w:rPr>
        <w:t>（十</w:t>
      </w:r>
      <w:r w:rsidR="006D3EF0">
        <w:rPr>
          <w:rFonts w:ascii="宋体" w:hAnsi="宋体" w:hint="eastAsia"/>
          <w:sz w:val="24"/>
        </w:rPr>
        <w:t>二</w:t>
      </w:r>
      <w:r>
        <w:rPr>
          <w:rFonts w:ascii="宋体" w:hAnsi="宋体" w:hint="eastAsia"/>
          <w:sz w:val="24"/>
        </w:rPr>
        <w:t>）基金托管人发现基金管理人有重大违规行为，应及时报告中国证监会，同时通知基金管理人限期纠正。</w:t>
      </w:r>
    </w:p>
    <w:p w14:paraId="14A3A6B7" w14:textId="77376D0C" w:rsidR="009D1F53" w:rsidRDefault="00811663">
      <w:pPr>
        <w:spacing w:line="360" w:lineRule="auto"/>
        <w:ind w:firstLineChars="200" w:firstLine="480"/>
        <w:rPr>
          <w:rFonts w:ascii="宋体" w:hAnsi="宋体"/>
          <w:sz w:val="24"/>
        </w:rPr>
      </w:pPr>
      <w:r>
        <w:rPr>
          <w:rFonts w:ascii="宋体" w:hAnsi="宋体" w:hint="eastAsia"/>
          <w:sz w:val="24"/>
        </w:rPr>
        <w:t>（十</w:t>
      </w:r>
      <w:r w:rsidR="006D3EF0">
        <w:rPr>
          <w:rFonts w:ascii="宋体" w:hAnsi="宋体" w:hint="eastAsia"/>
          <w:sz w:val="24"/>
        </w:rPr>
        <w:t>三</w:t>
      </w:r>
      <w:r>
        <w:rPr>
          <w:rFonts w:ascii="宋体" w:hAnsi="宋体" w:hint="eastAsia"/>
          <w:sz w:val="24"/>
        </w:rPr>
        <w:t>）侧袋机制的实施和投资运作安排</w:t>
      </w:r>
    </w:p>
    <w:p w14:paraId="653F85C8" w14:textId="77777777" w:rsidR="009D1F53" w:rsidRDefault="0081166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w:t>
      </w:r>
      <w:r>
        <w:rPr>
          <w:rFonts w:ascii="宋体" w:hAnsi="宋体" w:hint="eastAsia"/>
          <w:sz w:val="24"/>
        </w:rPr>
        <w:lastRenderedPageBreak/>
        <w:t>份额持有人利益的原则，基金管理人经与基金托管人协商一致，并咨询会计师事务所意见后，可以依照法律法规及基金合同的约定启用侧袋机制。</w:t>
      </w:r>
    </w:p>
    <w:p w14:paraId="50FC388D" w14:textId="77777777" w:rsidR="009D1F53" w:rsidRDefault="00811663">
      <w:pPr>
        <w:spacing w:line="360" w:lineRule="auto"/>
        <w:ind w:firstLineChars="200" w:firstLine="480"/>
        <w:rPr>
          <w:rFonts w:ascii="宋体" w:hAnsi="宋体"/>
          <w:sz w:val="24"/>
        </w:rPr>
      </w:pPr>
      <w:r>
        <w:rPr>
          <w:rFonts w:ascii="宋体" w:hAnsi="宋体" w:hint="eastAsia"/>
          <w:sz w:val="24"/>
        </w:rPr>
        <w:t>侧袋机制实施期间，基金合同约定的投资组合比例、投资策略、组合限制、业绩比较基准、风险收益特征等约定仅适用于主袋账户。</w:t>
      </w:r>
    </w:p>
    <w:p w14:paraId="77124C77" w14:textId="77777777" w:rsidR="009D1F53" w:rsidRDefault="00811663">
      <w:pPr>
        <w:spacing w:line="360" w:lineRule="auto"/>
        <w:ind w:firstLineChars="200"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侧袋账户的实施条件、实施程序、运作安排、投资安排、特定资产的处置变现和支付等对投资者权益有重大影响的事项详见招募说明书的规定。</w:t>
      </w:r>
    </w:p>
    <w:p w14:paraId="140C69DE" w14:textId="77777777" w:rsidR="009D1F53" w:rsidRDefault="00811663">
      <w:pPr>
        <w:pStyle w:val="2"/>
        <w:spacing w:beforeLines="100" w:before="312" w:afterLines="50" w:after="156" w:line="360" w:lineRule="auto"/>
        <w:jc w:val="center"/>
        <w:rPr>
          <w:rFonts w:ascii="宋体" w:hAnsi="宋体"/>
          <w:sz w:val="24"/>
        </w:rPr>
      </w:pPr>
      <w:bookmarkStart w:id="19" w:name="_Toc118212950"/>
      <w:bookmarkStart w:id="20" w:name="_Toc118774803"/>
      <w:bookmarkStart w:id="21" w:name="_Toc110761796"/>
      <w:bookmarkStart w:id="22" w:name="_Toc86225291"/>
      <w:bookmarkStart w:id="23" w:name="_Toc86737929"/>
      <w:bookmarkStart w:id="24" w:name="_Toc110765660"/>
      <w:bookmarkStart w:id="25" w:name="_Toc86649722"/>
      <w:bookmarkStart w:id="26" w:name="_Toc86726439"/>
      <w:bookmarkStart w:id="27" w:name="_Toc108512358"/>
      <w:bookmarkStart w:id="28" w:name="_Toc120435783"/>
      <w:bookmarkStart w:id="29" w:name="_Toc89163368"/>
      <w:bookmarkStart w:id="30" w:name="_Toc86223242"/>
      <w:bookmarkStart w:id="31" w:name="_Toc86727355"/>
      <w:bookmarkStart w:id="32" w:name="_Toc119402710"/>
      <w:bookmarkStart w:id="33" w:name="_Toc110830492"/>
      <w:bookmarkStart w:id="34" w:name="_Toc118972648"/>
      <w:r>
        <w:rPr>
          <w:rFonts w:ascii="宋体" w:hAnsi="宋体"/>
          <w:sz w:val="24"/>
        </w:rPr>
        <w:br w:type="page"/>
      </w:r>
      <w:bookmarkStart w:id="35" w:name="_Toc384992694"/>
      <w:bookmarkStart w:id="36" w:name="_Toc488938613"/>
      <w:bookmarkStart w:id="37" w:name="_Toc348082032"/>
      <w:r>
        <w:rPr>
          <w:rFonts w:ascii="宋体" w:hAnsi="宋体" w:hint="eastAsia"/>
          <w:sz w:val="24"/>
        </w:rPr>
        <w:lastRenderedPageBreak/>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B462E35" w14:textId="442FCF3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7757D5" w:rsidRPr="007757D5">
        <w:rPr>
          <w:rFonts w:ascii="宋体" w:hAnsi="宋体" w:hint="eastAsia"/>
          <w:sz w:val="24"/>
        </w:rPr>
        <w:t>各类基金份额的</w:t>
      </w:r>
      <w:r>
        <w:rPr>
          <w:rFonts w:ascii="宋体" w:hAnsi="宋体" w:hint="eastAsia"/>
          <w:sz w:val="24"/>
        </w:rPr>
        <w:t>基金资产净值和基金份额净值、根据基金管理人指令办理清算交收、相关信息披露和监督基金投资运作等行为。</w:t>
      </w:r>
    </w:p>
    <w:p w14:paraId="0E6788D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4F85A1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6A43B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5589C5F4" w14:textId="77777777" w:rsidR="009D1F53" w:rsidRDefault="00811663">
      <w:pPr>
        <w:pStyle w:val="2"/>
        <w:spacing w:beforeLines="100" w:before="312" w:afterLines="50" w:after="156" w:line="360" w:lineRule="auto"/>
        <w:jc w:val="center"/>
        <w:rPr>
          <w:rFonts w:ascii="宋体" w:hAnsi="宋体"/>
          <w:sz w:val="24"/>
        </w:rPr>
      </w:pPr>
      <w:bookmarkStart w:id="38" w:name="_Toc86737930"/>
      <w:bookmarkStart w:id="39" w:name="_Toc118212951"/>
      <w:bookmarkStart w:id="40" w:name="_Toc86727356"/>
      <w:bookmarkStart w:id="41" w:name="_Toc86223243"/>
      <w:bookmarkStart w:id="42" w:name="_Toc108512359"/>
      <w:bookmarkStart w:id="43" w:name="_Toc86225292"/>
      <w:bookmarkStart w:id="44" w:name="_Toc86204789"/>
      <w:bookmarkStart w:id="45" w:name="_Toc118972649"/>
      <w:bookmarkStart w:id="46" w:name="_Toc120435784"/>
      <w:bookmarkStart w:id="47" w:name="_Toc84133786"/>
      <w:bookmarkStart w:id="48" w:name="_Toc119402711"/>
      <w:bookmarkStart w:id="49" w:name="_Toc110765661"/>
      <w:bookmarkStart w:id="50" w:name="_Toc110761797"/>
      <w:bookmarkStart w:id="51" w:name="_Toc89163369"/>
      <w:bookmarkStart w:id="52" w:name="_Toc86649723"/>
      <w:bookmarkStart w:id="53" w:name="_Toc110830493"/>
      <w:bookmarkStart w:id="54" w:name="_Toc118774804"/>
      <w:bookmarkStart w:id="55" w:name="_Toc84234388"/>
      <w:bookmarkStart w:id="56" w:name="_Toc86726440"/>
      <w:bookmarkStart w:id="57" w:name="_Toc84234435"/>
      <w:r>
        <w:rPr>
          <w:rFonts w:ascii="宋体" w:hAnsi="宋体"/>
          <w:sz w:val="24"/>
        </w:rPr>
        <w:br w:type="page"/>
      </w:r>
      <w:bookmarkStart w:id="58" w:name="_Toc384992695"/>
      <w:bookmarkStart w:id="59" w:name="_Toc488938614"/>
      <w:bookmarkStart w:id="60" w:name="_Toc348082033"/>
      <w:r>
        <w:rPr>
          <w:rFonts w:ascii="宋体" w:hAnsi="宋体" w:hint="eastAsia"/>
          <w:sz w:val="24"/>
        </w:rPr>
        <w:lastRenderedPageBreak/>
        <w:t>五、基金财产的保管</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17C024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2D710397" w14:textId="43FE4DFC"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63A3737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1092BF75" w14:textId="59022102"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等</w:t>
      </w:r>
      <w:r>
        <w:rPr>
          <w:rFonts w:ascii="宋体" w:hAnsi="宋体" w:hint="eastAsia"/>
          <w:sz w:val="24"/>
        </w:rPr>
        <w:t>投资所需的相关账户。</w:t>
      </w:r>
    </w:p>
    <w:p w14:paraId="68C7A9B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14:paraId="4EC5E25C"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889D55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14:paraId="5589A4BC" w14:textId="32722C1E" w:rsidR="004841C1" w:rsidRDefault="00811663">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基金托管人对因为基金管理人投资产生的存放或存管在基金托管人以外机构的基金资产，或交由证券公司负责清算交收的基金资产及其收益</w:t>
      </w:r>
      <w:r w:rsidR="004841C1" w:rsidRPr="00F66FAE">
        <w:rPr>
          <w:rFonts w:ascii="宋体" w:hAnsi="宋体" w:hint="eastAsia"/>
          <w:sz w:val="24"/>
        </w:rPr>
        <w:t>包括但不限于证券交易资金账户内的资金、证券类基金资产等）</w:t>
      </w:r>
      <w:r>
        <w:rPr>
          <w:rFonts w:ascii="宋体" w:hAnsi="宋体" w:hint="eastAsia"/>
          <w:sz w:val="24"/>
        </w:rPr>
        <w:t>，由于该等机构或该机构会员单位等本协议当事人外第三方的欺诈、疏忽、过失或破产等原因给基金资产造成的损失等不承担责任。</w:t>
      </w:r>
    </w:p>
    <w:p w14:paraId="14FC646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31A3D72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75819495"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1.基金募集期间募集</w:t>
      </w:r>
      <w:r w:rsidRPr="00967F86">
        <w:rPr>
          <w:rFonts w:ascii="宋体" w:hAnsi="宋体"/>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sidRPr="00967F86">
        <w:rPr>
          <w:rFonts w:ascii="宋体" w:hAnsi="宋体"/>
          <w:sz w:val="24"/>
        </w:rPr>
        <w:t>或基金管理人委托的登记机构</w:t>
      </w:r>
      <w:r>
        <w:rPr>
          <w:rFonts w:ascii="宋体" w:hAnsi="宋体"/>
          <w:sz w:val="24"/>
        </w:rPr>
        <w:t>开立并管理。</w:t>
      </w:r>
    </w:p>
    <w:p w14:paraId="072E18C9" w14:textId="41B921D8"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2.基金募集期满或基金停止募集时，</w:t>
      </w:r>
      <w:r w:rsidR="00CC1AC2" w:rsidRPr="00CC1AC2">
        <w:rPr>
          <w:rFonts w:ascii="宋体" w:hAnsi="宋体" w:hint="eastAsia"/>
          <w:sz w:val="24"/>
        </w:rPr>
        <w:t>发起资金提供方认购金额、发起资金提供方及其承诺的持有期限</w:t>
      </w:r>
      <w:r>
        <w:rPr>
          <w:rFonts w:ascii="宋体" w:hAnsi="宋体"/>
          <w:sz w:val="24"/>
        </w:rPr>
        <w:t>符合《基金法》、《运作办法》等有关规定后，基金管理人应将属于基金财产的全部资金划入基金托管人</w:t>
      </w:r>
      <w:r>
        <w:rPr>
          <w:rFonts w:ascii="宋体" w:hAnsi="宋体" w:hint="eastAsia"/>
          <w:sz w:val="24"/>
        </w:rPr>
        <w:t>为基金开立的基金资金账户，同时在</w:t>
      </w:r>
      <w:r>
        <w:rPr>
          <w:rFonts w:ascii="宋体" w:hAnsi="宋体" w:hint="eastAsia"/>
          <w:sz w:val="24"/>
        </w:rPr>
        <w:lastRenderedPageBreak/>
        <w:t>规定时间内，基金管理人应聘请符合《中华人民共和国证券法》规定的会计师事务所进行验资，出具验资报告。出具的验资报告由参加验资的</w:t>
      </w:r>
      <w:r>
        <w:rPr>
          <w:rFonts w:ascii="宋体" w:hAnsi="宋体"/>
          <w:sz w:val="24"/>
        </w:rPr>
        <w:t>2名或2名以上中国注册会计师签字方为有效。</w:t>
      </w:r>
    </w:p>
    <w:p w14:paraId="0E7985D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3.若基金募集期限届满，未能达到基金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6710C3D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0935685F" w14:textId="76542652"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sidR="00967F86" w:rsidRPr="00967F86">
        <w:rPr>
          <w:rFonts w:ascii="宋体" w:hAnsi="宋体" w:hint="eastAsia"/>
          <w:sz w:val="24"/>
        </w:rPr>
        <w:t>交银施罗德安悦平衡养老目标三年持有期混合型发起式基金中基金（FOF）</w:t>
      </w:r>
      <w:r>
        <w:rPr>
          <w:rFonts w:ascii="宋体" w:hAnsi="宋体" w:hint="eastAsia"/>
          <w:sz w:val="24"/>
        </w:rPr>
        <w:t>”，预留印鉴为基金托管人印章。</w:t>
      </w:r>
    </w:p>
    <w:p w14:paraId="60F1BB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34B3508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5E243C61" w14:textId="154F033D"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（四）基金证券账户的开立和管理</w:t>
      </w:r>
    </w:p>
    <w:p w14:paraId="2F2D351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7459D99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FD5ED5"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1FCD4EEA" w14:textId="01DDAE56" w:rsidR="004841C1" w:rsidRPr="00F66FAE" w:rsidRDefault="00811663" w:rsidP="004841C1">
      <w:pPr>
        <w:adjustRightInd w:val="0"/>
        <w:snapToGrid w:val="0"/>
        <w:spacing w:line="360" w:lineRule="auto"/>
        <w:ind w:firstLineChars="200" w:firstLine="480"/>
        <w:rPr>
          <w:rFonts w:ascii="宋体" w:hAnsi="宋体"/>
          <w:sz w:val="24"/>
        </w:rPr>
      </w:pPr>
      <w:r>
        <w:rPr>
          <w:rFonts w:ascii="宋体" w:hAnsi="宋体"/>
          <w:sz w:val="24"/>
        </w:rPr>
        <w:t>4.</w:t>
      </w:r>
      <w:r w:rsidR="004841C1" w:rsidRPr="00F66FAE">
        <w:rPr>
          <w:rFonts w:ascii="宋体" w:hAnsi="宋体"/>
          <w:sz w:val="24"/>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22592C2B" w14:textId="77777777" w:rsidR="004841C1" w:rsidRPr="00F66FAE" w:rsidRDefault="004841C1" w:rsidP="00F66FAE">
      <w:pPr>
        <w:adjustRightInd w:val="0"/>
        <w:snapToGrid w:val="0"/>
        <w:spacing w:line="360" w:lineRule="auto"/>
        <w:ind w:firstLineChars="200" w:firstLine="480"/>
        <w:rPr>
          <w:rFonts w:ascii="宋体" w:hAnsi="宋体"/>
          <w:sz w:val="24"/>
        </w:rPr>
      </w:pPr>
      <w:r w:rsidRPr="00F66FAE">
        <w:rPr>
          <w:rFonts w:ascii="宋体" w:hAnsi="宋体" w:hint="eastAsia"/>
          <w:sz w:val="24"/>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14:paraId="759882CE" w14:textId="77777777" w:rsidR="008053D9" w:rsidRDefault="004841C1" w:rsidP="004841C1">
      <w:pPr>
        <w:adjustRightInd w:val="0"/>
        <w:snapToGrid w:val="0"/>
        <w:spacing w:line="360" w:lineRule="auto"/>
        <w:ind w:firstLineChars="200" w:firstLine="480"/>
        <w:rPr>
          <w:rFonts w:ascii="宋体" w:hAnsi="宋体"/>
          <w:sz w:val="24"/>
        </w:rPr>
      </w:pPr>
      <w:r w:rsidRPr="00F66FAE">
        <w:rPr>
          <w:rFonts w:ascii="宋体" w:hAnsi="宋体"/>
          <w:sz w:val="24"/>
        </w:rPr>
        <w:t>5.基金管理人承诺证券交易资金账户为主资金账户，不开立任何辅助资金账</w:t>
      </w:r>
      <w:r w:rsidRPr="00F66FAE">
        <w:rPr>
          <w:rFonts w:ascii="宋体" w:hAnsi="宋体"/>
          <w:sz w:val="24"/>
        </w:rPr>
        <w:lastRenderedPageBreak/>
        <w:t>户；不为证券交易资金账户另行开立银行托管账户以外的其他银行账户。</w:t>
      </w:r>
    </w:p>
    <w:p w14:paraId="5A968CED" w14:textId="3075DCAE" w:rsidR="009D1F53" w:rsidRDefault="004841C1" w:rsidP="00C6015A">
      <w:pPr>
        <w:adjustRightInd w:val="0"/>
        <w:snapToGrid w:val="0"/>
        <w:spacing w:line="360" w:lineRule="auto"/>
        <w:ind w:firstLineChars="200" w:firstLine="480"/>
        <w:rPr>
          <w:rFonts w:ascii="宋体" w:hAnsi="宋体"/>
          <w:sz w:val="24"/>
        </w:rPr>
      </w:pPr>
      <w:r w:rsidRPr="00F66FAE">
        <w:rPr>
          <w:rFonts w:ascii="宋体" w:hAnsi="宋体"/>
          <w:sz w:val="24"/>
        </w:rPr>
        <w:t>6.</w:t>
      </w:r>
      <w:r w:rsidR="00811663">
        <w:rPr>
          <w:rFonts w:ascii="宋体" w:hAnsi="宋体"/>
          <w:sz w:val="24"/>
        </w:rPr>
        <w:t>若中国证监会或其他监管机构在本托管协议订立日之后允许基金从事其他投资品种的投资业务，涉及相关账户的开立、使用的，</w:t>
      </w:r>
      <w:r w:rsidR="00811663" w:rsidRPr="00F66FAE">
        <w:rPr>
          <w:rFonts w:ascii="宋体" w:hAnsi="宋体" w:hint="eastAsia"/>
          <w:sz w:val="24"/>
        </w:rPr>
        <w:t>按有关规定开立、使用并管理；</w:t>
      </w:r>
      <w:r w:rsidR="00811663">
        <w:rPr>
          <w:rFonts w:ascii="宋体" w:hAnsi="宋体" w:hint="eastAsia"/>
          <w:sz w:val="24"/>
        </w:rPr>
        <w:t>若无相关规定，则基金托管人比照上述关于账户开立、使用的规定执行。</w:t>
      </w:r>
    </w:p>
    <w:p w14:paraId="5CA93DC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（五）债券托管账户的开设和管理</w:t>
      </w:r>
    </w:p>
    <w:p w14:paraId="63B3174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89052BC" w14:textId="4A0E3982" w:rsidR="009D1F53" w:rsidRDefault="00811663" w:rsidP="00C6015A">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六</w:t>
      </w:r>
      <w:r>
        <w:rPr>
          <w:rFonts w:ascii="宋体" w:hAnsi="宋体" w:hint="eastAsia"/>
          <w:sz w:val="24"/>
        </w:rPr>
        <w:t>）其他账户的开立和管理</w:t>
      </w:r>
    </w:p>
    <w:p w14:paraId="64D71374" w14:textId="2F7D5940"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A122C6C" w14:textId="36D3D3B1" w:rsidR="009D1F53" w:rsidRDefault="00811663" w:rsidP="008B7B6B">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3EF890" w14:textId="3B1C66A1" w:rsidR="009D1F53" w:rsidRDefault="00811663">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14:paraId="08D2712D" w14:textId="70276EC6"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七</w:t>
      </w:r>
      <w:r>
        <w:rPr>
          <w:rFonts w:ascii="宋体" w:hAnsi="宋体" w:hint="eastAsia"/>
          <w:sz w:val="24"/>
        </w:rPr>
        <w:t>）基金财产投资的有关有价凭证等的保管</w:t>
      </w:r>
    </w:p>
    <w:p w14:paraId="0C4C7C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D3FDB1B" w14:textId="0B2C10C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八</w:t>
      </w:r>
      <w:r>
        <w:rPr>
          <w:rFonts w:ascii="宋体" w:hAnsi="宋体" w:hint="eastAsia"/>
          <w:sz w:val="24"/>
        </w:rPr>
        <w:t>）与基金财产有关的重大合同的保管</w:t>
      </w:r>
    </w:p>
    <w:p w14:paraId="45C5999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w:t>
      </w:r>
      <w:r>
        <w:rPr>
          <w:rFonts w:ascii="宋体" w:hAnsi="宋体" w:hint="eastAsia"/>
          <w:sz w:val="24"/>
        </w:rPr>
        <w:lastRenderedPageBreak/>
        <w:t>低于法律法规规定的最低期限</w:t>
      </w:r>
      <w:r>
        <w:rPr>
          <w:rFonts w:ascii="宋体" w:hAnsi="宋体"/>
          <w:sz w:val="24"/>
        </w:rPr>
        <w:t>。</w:t>
      </w:r>
    </w:p>
    <w:p w14:paraId="48A1F6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86F9D4F" w14:textId="77777777" w:rsidR="009D1F53" w:rsidRDefault="00811663">
      <w:pPr>
        <w:pStyle w:val="2"/>
        <w:spacing w:beforeLines="100" w:before="312" w:afterLines="50" w:after="156" w:line="360" w:lineRule="auto"/>
        <w:jc w:val="center"/>
        <w:rPr>
          <w:rFonts w:ascii="宋体" w:hAnsi="宋体"/>
          <w:sz w:val="24"/>
        </w:rPr>
      </w:pPr>
      <w:bookmarkStart w:id="61" w:name="_Toc118972650"/>
      <w:bookmarkStart w:id="62" w:name="_Toc118212952"/>
      <w:bookmarkStart w:id="63" w:name="_Toc86223244"/>
      <w:bookmarkStart w:id="64" w:name="_Toc110761798"/>
      <w:bookmarkStart w:id="65" w:name="_Toc89163370"/>
      <w:bookmarkStart w:id="66" w:name="_Toc86649724"/>
      <w:bookmarkStart w:id="67" w:name="_Toc120435785"/>
      <w:bookmarkStart w:id="68" w:name="_Toc86225293"/>
      <w:bookmarkStart w:id="69" w:name="_Toc86726441"/>
      <w:bookmarkStart w:id="70" w:name="_Toc84133787"/>
      <w:bookmarkStart w:id="71" w:name="_Toc108512360"/>
      <w:bookmarkStart w:id="72" w:name="_Toc86204790"/>
      <w:bookmarkStart w:id="73" w:name="_Toc118774805"/>
      <w:bookmarkStart w:id="74" w:name="_Toc119402712"/>
      <w:bookmarkStart w:id="75" w:name="_Toc110830494"/>
      <w:bookmarkStart w:id="76" w:name="_Toc86727357"/>
      <w:bookmarkStart w:id="77" w:name="_Toc84234389"/>
      <w:bookmarkStart w:id="78" w:name="_Toc86737931"/>
      <w:bookmarkStart w:id="79" w:name="_Toc110765662"/>
      <w:bookmarkStart w:id="80" w:name="_Toc84234436"/>
      <w:r>
        <w:rPr>
          <w:rFonts w:ascii="宋体" w:hAnsi="宋体"/>
          <w:sz w:val="24"/>
        </w:rPr>
        <w:br w:type="page"/>
      </w:r>
      <w:bookmarkStart w:id="81" w:name="_Toc348082034"/>
      <w:bookmarkStart w:id="82" w:name="_Toc488938615"/>
      <w:bookmarkStart w:id="83" w:name="_Toc384992696"/>
      <w:r>
        <w:rPr>
          <w:rFonts w:ascii="宋体" w:hAnsi="宋体" w:hint="eastAsia"/>
          <w:sz w:val="24"/>
        </w:rPr>
        <w:lastRenderedPageBreak/>
        <w:t>六、指令的发送、确认及执行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CF2A6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43F6152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基金管理人发送的指令包括电子指令和纸质指令。</w:t>
      </w:r>
    </w:p>
    <w:p w14:paraId="5295B38F" w14:textId="6654ED06" w:rsidR="009D1F53" w:rsidRPr="004215BF" w:rsidRDefault="00811663" w:rsidP="00F66FAE">
      <w:pPr>
        <w:adjustRightInd w:val="0"/>
        <w:snapToGrid w:val="0"/>
        <w:spacing w:line="360" w:lineRule="auto"/>
        <w:ind w:firstLine="426"/>
        <w:rPr>
          <w:rFonts w:ascii="宋体" w:hAnsi="宋体"/>
          <w:sz w:val="24"/>
        </w:rPr>
      </w:pPr>
      <w:r>
        <w:rPr>
          <w:rFonts w:ascii="宋体" w:hAnsi="宋体" w:hint="eastAsia"/>
          <w:sz w:val="24"/>
        </w:rPr>
        <w:t>电子指令包括基金管理人发送的电子指令（采用电子报文传送的电子指令、招商银行托管+综合服务平台录入的电子指令）、自动产生的电子指令（网上托管银行托管人端根据</w:t>
      </w:r>
      <w:r w:rsidR="004215BF" w:rsidRPr="00F66FAE">
        <w:rPr>
          <w:rFonts w:ascii="宋体" w:hAnsi="宋体" w:hint="eastAsia"/>
          <w:sz w:val="24"/>
        </w:rPr>
        <w:t>管理人同意</w:t>
      </w:r>
      <w:r>
        <w:rPr>
          <w:rFonts w:ascii="宋体" w:hAnsi="宋体" w:hint="eastAsia"/>
          <w:sz w:val="24"/>
        </w:rPr>
        <w:t>设定的业务规则自动产生的电子指令）。</w:t>
      </w:r>
      <w:r w:rsidR="004215BF" w:rsidRPr="00F66FAE">
        <w:rPr>
          <w:rFonts w:ascii="宋体" w:hAnsi="宋体" w:hint="eastAsia"/>
          <w:sz w:val="24"/>
        </w:rPr>
        <w:t>纸质指令包括基金管理人给基金托管人传真指令或原件指令。</w:t>
      </w:r>
    </w:p>
    <w:p w14:paraId="5416589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851FC1C" w14:textId="74990E0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w:t>
      </w:r>
      <w:r w:rsidR="00F66FAE">
        <w:rPr>
          <w:rFonts w:ascii="宋体" w:hAnsi="宋体" w:hint="eastAsia"/>
          <w:sz w:val="24"/>
        </w:rPr>
        <w:t>，</w:t>
      </w:r>
      <w:r>
        <w:rPr>
          <w:rFonts w:ascii="宋体" w:hAnsi="宋体" w:hint="eastAsia"/>
          <w:sz w:val="24"/>
        </w:rPr>
        <w:t>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7C41BB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00B5A01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52CC1D0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7B825AA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52DBA38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1.指令发送的方式：</w:t>
      </w:r>
    </w:p>
    <w:p w14:paraId="4F1E9378" w14:textId="02052DA2"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基金管理人选择以下第（2）</w:t>
      </w:r>
      <w:r w:rsidR="008C6954">
        <w:rPr>
          <w:rFonts w:ascii="宋体" w:hAnsi="宋体" w:hint="eastAsia"/>
          <w:sz w:val="24"/>
        </w:rPr>
        <w:t>、（3）</w:t>
      </w:r>
      <w:r>
        <w:rPr>
          <w:rFonts w:ascii="宋体" w:hAnsi="宋体" w:hint="eastAsia"/>
          <w:sz w:val="24"/>
        </w:rPr>
        <w:t>种方式向基金托管人发送指令：</w:t>
      </w:r>
    </w:p>
    <w:p w14:paraId="630C395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（1）基金管理人通过招商银行托管+综合服务平台录入方式，向基金托管人发送电子划款指令或投资指令。</w:t>
      </w:r>
    </w:p>
    <w:p w14:paraId="6701654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3B97FD8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基金管理人和基金托管人另行签订《招商银行“托管+”综合服务平台服务协议》，具体事宜以《招商银行“托管+”综合服务平台服务协议》的约定为准。</w:t>
      </w:r>
    </w:p>
    <w:p w14:paraId="50E5497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（2）基金管理人通过深证通电子直连对接方式，向基金托管人发送电子划款指令或投资指令。</w:t>
      </w:r>
    </w:p>
    <w:p w14:paraId="073FD03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基金管理人通过深证通电子直连对接方式发送电子指令的，基金管理人应至少在本基金成立日前一日，通过预留邮箱或加盖预留印鉴的函件告知基金托管人本基金的资产代码。</w:t>
      </w:r>
    </w:p>
    <w:p w14:paraId="3622B49A" w14:textId="2EBAFFBA"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对于基金管理人通过上述（1）、（2）方式发送的指令，基金管理人不得否认其效力。</w:t>
      </w:r>
    </w:p>
    <w:p w14:paraId="6C7758C0" w14:textId="6723C1DC"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3994B1A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（3）基金管理人选择以传真方式发送指令</w:t>
      </w:r>
    </w:p>
    <w:p w14:paraId="1870A09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对于基金管理人通过预留传真号码发出的指令，基金管理人不得否认其效力。</w:t>
      </w:r>
    </w:p>
    <w:p w14:paraId="33CDDF4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7BFA9A0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（4）基金管理人快递寄送或现场交互指令原件的形式传递指令</w:t>
      </w:r>
    </w:p>
    <w:p w14:paraId="57F2E69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如需变更指令发送形式，基金管理人须提前向基金托管人提供变更指令发送形式的指令发送方式变更通知书。</w:t>
      </w:r>
    </w:p>
    <w:p w14:paraId="1C84FA9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2.指令附件的发送方式</w:t>
      </w:r>
    </w:p>
    <w:p w14:paraId="348EFEA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向基金托管人发送指令的同时，通过招商银行托管+综合服务平台、预留传真号码或预留指令附件发送电子邮箱提供相关合同、交易凭证或其他证明材料。基金管理人对该等资料的真实性、有效性、完整性和合法合规性负责。</w:t>
      </w:r>
    </w:p>
    <w:p w14:paraId="6CCC072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对于通过招商银行托管+综合服务平台、预留传真号码或预留电子邮箱发出的指令附件，基金管理人不得否认其效力。</w:t>
      </w:r>
    </w:p>
    <w:p w14:paraId="6A3C90F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3.指令发送的时间</w:t>
      </w:r>
    </w:p>
    <w:p w14:paraId="3091DCA6" w14:textId="27A21FFB"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w:t>
      </w:r>
      <w:r w:rsidR="00FC03CC">
        <w:rPr>
          <w:rFonts w:ascii="宋体" w:hAnsi="宋体" w:hint="eastAsia"/>
          <w:sz w:val="24"/>
        </w:rPr>
        <w:t>新股、</w:t>
      </w:r>
      <w:r>
        <w:rPr>
          <w:rFonts w:ascii="宋体" w:hAnsi="宋体" w:hint="eastAsia"/>
          <w:sz w:val="24"/>
        </w:rPr>
        <w:t>新债申购等网下公开发行业务，基金管理人应于网下申购缴款日的10:00前将指令发送给基金托管人。</w:t>
      </w:r>
    </w:p>
    <w:p w14:paraId="3575FF1E" w14:textId="4A34E5D4" w:rsidR="00FC03CC" w:rsidRDefault="00FC03CC">
      <w:pPr>
        <w:adjustRightInd w:val="0"/>
        <w:snapToGrid w:val="0"/>
        <w:spacing w:line="360" w:lineRule="auto"/>
        <w:ind w:firstLineChars="200" w:firstLine="480"/>
        <w:rPr>
          <w:rFonts w:ascii="宋体" w:hAnsi="宋体"/>
          <w:sz w:val="24"/>
        </w:rPr>
      </w:pPr>
      <w:r w:rsidRPr="00FC03CC">
        <w:rPr>
          <w:rFonts w:ascii="宋体" w:hAnsi="宋体" w:hint="eastAsia"/>
          <w:sz w:val="24"/>
        </w:rPr>
        <w:t>对于场内业务，基金管理人在运用基金财产开展场内证券交易前，基金管理人通过基金托管账户与证券</w:t>
      </w:r>
      <w:r w:rsidR="00E70F36">
        <w:rPr>
          <w:rFonts w:ascii="宋体" w:hAnsi="宋体" w:hint="eastAsia"/>
          <w:sz w:val="24"/>
        </w:rPr>
        <w:t>交易</w:t>
      </w:r>
      <w:r w:rsidRPr="00FC03CC">
        <w:rPr>
          <w:rFonts w:ascii="宋体" w:hAnsi="宋体" w:hint="eastAsia"/>
          <w:sz w:val="24"/>
        </w:rPr>
        <w:t>资金账户已建立的第三方存管系统在基金托管户与证券</w:t>
      </w:r>
      <w:r w:rsidR="00E70F36">
        <w:rPr>
          <w:rFonts w:ascii="宋体" w:hAnsi="宋体" w:hint="eastAsia"/>
          <w:sz w:val="24"/>
        </w:rPr>
        <w:t>交易</w:t>
      </w:r>
      <w:r w:rsidRPr="00FC03CC">
        <w:rPr>
          <w:rFonts w:ascii="宋体" w:hAnsi="宋体" w:hint="eastAsia"/>
          <w:sz w:val="24"/>
        </w:rPr>
        <w:t>资金账户之间划款，即银证互转。</w:t>
      </w:r>
    </w:p>
    <w:p w14:paraId="66CA9761" w14:textId="00682861" w:rsidR="009D1F53" w:rsidRPr="00583475" w:rsidRDefault="00811663">
      <w:pPr>
        <w:adjustRightInd w:val="0"/>
        <w:snapToGrid w:val="0"/>
        <w:spacing w:line="360" w:lineRule="auto"/>
        <w:ind w:firstLineChars="200" w:firstLine="480"/>
        <w:rPr>
          <w:rFonts w:ascii="宋体" w:hAnsi="宋体"/>
          <w:sz w:val="24"/>
        </w:rPr>
      </w:pPr>
      <w:r>
        <w:rPr>
          <w:rFonts w:ascii="宋体" w:hAnsi="宋体" w:hint="eastAsia"/>
          <w:sz w:val="24"/>
        </w:rPr>
        <w:t>对于银行间业务，基金管理人应于交易日15:00前将银行间成交单及相关划款指令发送至基金托管人。基金管理人应与基金托管人确认基金托管人已完成证书和权限设置后方可进行本基金的银行间交易。</w:t>
      </w:r>
    </w:p>
    <w:p w14:paraId="051E6498" w14:textId="483868D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对于指定时间出款的交易指令，基金管理人应提前2小时将指令发送至基金托管人；对于基金管理人于15:00以后发送至基金托管人的指令，基金托管人不保证当日出款</w:t>
      </w:r>
      <w:r w:rsidR="003746F3" w:rsidRPr="00F66FAE">
        <w:rPr>
          <w:rFonts w:ascii="宋体" w:hAnsi="宋体" w:hint="eastAsia"/>
          <w:sz w:val="24"/>
        </w:rPr>
        <w:t>，如出款不成功，基金托管人不承担责任</w:t>
      </w:r>
      <w:r w:rsidR="00F66FAE">
        <w:rPr>
          <w:rFonts w:ascii="宋体" w:hAnsi="宋体" w:hint="eastAsia"/>
          <w:sz w:val="24"/>
        </w:rPr>
        <w:t>。</w:t>
      </w:r>
    </w:p>
    <w:p w14:paraId="7A05D47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4.纸质指令的确认</w:t>
      </w:r>
    </w:p>
    <w:p w14:paraId="4CB4AA6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14:paraId="49F91A4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5.指令的执行</w:t>
      </w:r>
    </w:p>
    <w:p w14:paraId="7472548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298807C2" w14:textId="36E1B7AD" w:rsidR="004765E5" w:rsidRPr="00F66FAE" w:rsidRDefault="00811663" w:rsidP="004765E5">
      <w:pPr>
        <w:adjustRightInd w:val="0"/>
        <w:snapToGrid w:val="0"/>
        <w:spacing w:line="360" w:lineRule="auto"/>
        <w:ind w:firstLineChars="200" w:firstLine="480"/>
        <w:rPr>
          <w:rFonts w:ascii="宋体" w:hAnsi="宋体"/>
          <w:sz w:val="24"/>
        </w:rPr>
      </w:pPr>
      <w:r>
        <w:rPr>
          <w:rFonts w:ascii="宋体" w:hAnsi="宋体" w:hint="eastAsia"/>
          <w:sz w:val="24"/>
        </w:rPr>
        <w:t>基金托管人确认收到基金管理人发送的指令后，应对指令进行形式审查，验证指令的要素</w:t>
      </w:r>
      <w:r w:rsidR="004765E5" w:rsidRPr="00F66FAE">
        <w:rPr>
          <w:rFonts w:ascii="宋体" w:hAnsi="宋体" w:hint="eastAsia"/>
          <w:sz w:val="24"/>
        </w:rPr>
        <w:t>（金额、收款账号、收款户名、用途）是否齐全，传真指令还应审核印鉴和印章</w:t>
      </w:r>
      <w:r w:rsidR="004765E5" w:rsidRPr="00F66FAE">
        <w:rPr>
          <w:rFonts w:ascii="宋体" w:hAnsi="宋体"/>
          <w:sz w:val="24"/>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w:t>
      </w:r>
      <w:r w:rsidR="004765E5" w:rsidRPr="00F66FAE">
        <w:rPr>
          <w:rFonts w:ascii="宋体" w:hAnsi="宋体"/>
          <w:sz w:val="24"/>
        </w:rPr>
        <w:lastRenderedPageBreak/>
        <w:t>基金管理人提交的指令按照本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14:paraId="6122DD52" w14:textId="45636F10" w:rsidR="009D1F53" w:rsidRDefault="004765E5">
      <w:pPr>
        <w:adjustRightInd w:val="0"/>
        <w:snapToGrid w:val="0"/>
        <w:spacing w:line="360" w:lineRule="auto"/>
        <w:ind w:firstLineChars="200" w:firstLine="480"/>
        <w:rPr>
          <w:rFonts w:ascii="宋体" w:hAnsi="宋体"/>
          <w:sz w:val="24"/>
        </w:rPr>
      </w:pPr>
      <w:r>
        <w:rPr>
          <w:rFonts w:ascii="宋体" w:hAnsi="宋体" w:hint="eastAsia"/>
          <w:sz w:val="24"/>
        </w:rPr>
        <w:t xml:space="preserve"> 托管人审核</w:t>
      </w:r>
      <w:r w:rsidR="00811663">
        <w:rPr>
          <w:rFonts w:ascii="宋体" w:hAnsi="宋体" w:hint="eastAsia"/>
          <w:sz w:val="24"/>
        </w:rPr>
        <w:t>指令无误后应在规定期限内及时执行。</w:t>
      </w:r>
    </w:p>
    <w:p w14:paraId="119177D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6.指令的撤销</w:t>
      </w:r>
    </w:p>
    <w:p w14:paraId="14B05AC4" w14:textId="12A8920E"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在指令未执行的前提下，若基金管理人撤销指令，基金管理人应在原指令上注明“作废”、“废”</w:t>
      </w:r>
      <w:r w:rsidR="004765E5" w:rsidRPr="00F66FAE">
        <w:rPr>
          <w:rFonts w:ascii="宋体" w:hAnsi="宋体" w:hint="eastAsia"/>
          <w:sz w:val="24"/>
        </w:rPr>
        <w:t>、“取消”</w:t>
      </w:r>
      <w:r>
        <w:rPr>
          <w:rFonts w:ascii="宋体" w:hAnsi="宋体" w:hint="eastAsia"/>
          <w:sz w:val="24"/>
        </w:rPr>
        <w:t>等字样并加盖预留印鉴及被授权人</w:t>
      </w:r>
      <w:r w:rsidR="005545F9" w:rsidRPr="00F66FAE">
        <w:rPr>
          <w:rFonts w:ascii="宋体" w:hAnsi="宋体" w:hint="eastAsia"/>
          <w:sz w:val="24"/>
        </w:rPr>
        <w:t>印章/签字</w:t>
      </w:r>
      <w:r>
        <w:rPr>
          <w:rFonts w:ascii="宋体" w:hAnsi="宋体" w:hint="eastAsia"/>
          <w:sz w:val="24"/>
        </w:rPr>
        <w:t>后传真给基金托管人，并电话通知基金托管人。若撤销电子指令，基金管理人应通过相关系统撤销，系统功能不支持撤销的，应参照撤销传真指令方式撤销电子指令。</w:t>
      </w:r>
    </w:p>
    <w:p w14:paraId="4C96BFE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（四）基金管理人发送错误指令的情形和处理程序</w:t>
      </w:r>
    </w:p>
    <w:p w14:paraId="4E4C212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1、基金管理人发送错误指令的情形包括指令发送人员无权或超越权限发送指令，指令不能辨识或要素不全导致无法执行等情形。</w:t>
      </w:r>
    </w:p>
    <w:p w14:paraId="59A0F67D" w14:textId="2BDAADD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2、当基金托管人认为所接受指令为错误指令时，应及时与基金管理人进行电话确认，</w:t>
      </w:r>
      <w:r w:rsidR="005545F9">
        <w:rPr>
          <w:rFonts w:ascii="宋体" w:hAnsi="宋体" w:hint="eastAsia"/>
          <w:sz w:val="24"/>
        </w:rPr>
        <w:t>并</w:t>
      </w:r>
      <w:r>
        <w:rPr>
          <w:rFonts w:ascii="宋体" w:hAnsi="宋体" w:hint="eastAsia"/>
          <w:sz w:val="24"/>
        </w:rPr>
        <w:t>暂停指令的执行</w:t>
      </w:r>
      <w:r w:rsidR="0006037C">
        <w:rPr>
          <w:rFonts w:ascii="宋体" w:hAnsi="宋体" w:hint="eastAsia"/>
          <w:sz w:val="24"/>
        </w:rPr>
        <w:t>,</w:t>
      </w:r>
      <w:r w:rsidR="005545F9" w:rsidRPr="00F66FAE">
        <w:rPr>
          <w:rFonts w:ascii="宋体" w:hAnsi="宋体" w:hint="eastAsia"/>
          <w:sz w:val="24"/>
        </w:rPr>
        <w:t>由基金管理人撤销指令或撤销后再重新发送指令</w:t>
      </w:r>
      <w:r>
        <w:rPr>
          <w:rFonts w:ascii="宋体" w:hAnsi="宋体" w:hint="eastAsia"/>
          <w:sz w:val="24"/>
        </w:rPr>
        <w:t>。</w:t>
      </w:r>
    </w:p>
    <w:p w14:paraId="0F1CF60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65170B23" w14:textId="406E466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0083300E" w:rsidRPr="00F66FAE">
        <w:rPr>
          <w:rFonts w:ascii="宋体" w:hAnsi="宋体" w:hint="eastAsia"/>
          <w:sz w:val="24"/>
        </w:rPr>
        <w:t>法规规定期限</w:t>
      </w:r>
      <w:r w:rsidR="0083300E" w:rsidRPr="00F66FAE">
        <w:rPr>
          <w:rFonts w:ascii="宋体" w:hAnsi="宋体"/>
          <w:sz w:val="24"/>
        </w:rPr>
        <w:t>内</w:t>
      </w:r>
      <w:r w:rsidR="0083300E" w:rsidRPr="00F66FAE">
        <w:rPr>
          <w:rFonts w:ascii="宋体" w:hAnsi="宋体" w:hint="eastAsia"/>
          <w:sz w:val="24"/>
        </w:rPr>
        <w:t>及时</w:t>
      </w:r>
      <w:r w:rsidR="0083300E" w:rsidRPr="00F66FAE">
        <w:rPr>
          <w:rFonts w:ascii="宋体" w:hAnsi="宋体"/>
          <w:sz w:val="24"/>
        </w:rPr>
        <w:t>纠正</w:t>
      </w:r>
      <w:r w:rsidR="0083300E" w:rsidRPr="00F66FAE">
        <w:rPr>
          <w:rFonts w:ascii="宋体" w:hAnsi="宋体" w:hint="eastAsia"/>
          <w:sz w:val="24"/>
        </w:rPr>
        <w:t>。</w:t>
      </w:r>
      <w:r>
        <w:rPr>
          <w:rFonts w:ascii="宋体" w:hAnsi="宋体" w:hint="eastAsia"/>
          <w:sz w:val="24"/>
        </w:rPr>
        <w:t>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14:paraId="4013181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618E89A0" w14:textId="5B400945" w:rsidR="00C36FB3" w:rsidRPr="00C36FB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w:t>
      </w:r>
      <w:r w:rsidR="00C36FB3">
        <w:rPr>
          <w:rFonts w:ascii="宋体" w:hAnsi="宋体" w:cs="Arial" w:hint="eastAsia"/>
          <w:szCs w:val="21"/>
        </w:rPr>
        <w:t>。</w:t>
      </w:r>
      <w:r w:rsidR="00C36FB3" w:rsidRPr="00F66FAE">
        <w:rPr>
          <w:rFonts w:ascii="宋体" w:hAnsi="宋体" w:hint="eastAsia"/>
          <w:sz w:val="24"/>
        </w:rPr>
        <w:t>除因故意或重大过失致使本基金、基金管理人的利益受到损害而负赔偿责任外，基金托管人对执行基金管理人的合法指令对委托财产造成的损失不承担赔偿责任。</w:t>
      </w:r>
      <w:r w:rsidR="00C36FB3" w:rsidRPr="00F66FAE" w:rsidDel="00A36FD6">
        <w:rPr>
          <w:rFonts w:ascii="宋体" w:hAnsi="宋体"/>
          <w:sz w:val="24"/>
        </w:rPr>
        <w:t xml:space="preserve"> </w:t>
      </w:r>
    </w:p>
    <w:p w14:paraId="2A13D2CB"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（七）更换被授权人员的程序</w:t>
      </w:r>
    </w:p>
    <w:p w14:paraId="558A8F36" w14:textId="124A90DB"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w:t>
      </w:r>
      <w:r w:rsidR="00DC0E19" w:rsidRPr="00F66FAE">
        <w:rPr>
          <w:rFonts w:ascii="宋体" w:hAnsi="宋体" w:hint="eastAsia"/>
          <w:sz w:val="24"/>
        </w:rPr>
        <w:t>、变更或新增接收传真指令的号码、预留电话号码、预留邮箱，</w:t>
      </w:r>
      <w:r>
        <w:rPr>
          <w:rFonts w:ascii="宋体" w:hAnsi="宋体" w:hint="eastAsia"/>
          <w:sz w:val="24"/>
        </w:rPr>
        <w:t>必须提前至少一个交易日，使用传真方式或其他基金管理人和基金托管人认可的方式</w:t>
      </w:r>
      <w:r w:rsidR="00C361AE" w:rsidRPr="00F66FAE">
        <w:rPr>
          <w:rFonts w:ascii="宋体" w:hAnsi="宋体" w:hint="eastAsia"/>
          <w:sz w:val="24"/>
        </w:rPr>
        <w:t>重新</w:t>
      </w:r>
      <w:r>
        <w:rPr>
          <w:rFonts w:ascii="宋体" w:hAnsi="宋体" w:hint="eastAsia"/>
          <w:sz w:val="24"/>
        </w:rPr>
        <w:t>向基金托管人发出加盖基金管理人公司公章的</w:t>
      </w:r>
      <w:r w:rsidR="00FB7C25" w:rsidRPr="00F66FAE">
        <w:rPr>
          <w:rFonts w:ascii="宋体" w:hAnsi="宋体" w:hint="eastAsia"/>
          <w:sz w:val="24"/>
        </w:rPr>
        <w:t>授权通知书</w:t>
      </w:r>
      <w:r>
        <w:rPr>
          <w:rFonts w:ascii="宋体" w:hAnsi="宋体" w:hint="eastAsia"/>
          <w:sz w:val="24"/>
        </w:rPr>
        <w:t>，同时电话通知基金托管人。经基金管理人与基金托管人以电话方式或其他基金管理人和基金托管人认可的方式确认后，于授权通知</w:t>
      </w:r>
      <w:r w:rsidR="000163B2">
        <w:rPr>
          <w:rFonts w:ascii="宋体" w:hAnsi="宋体" w:hint="eastAsia"/>
          <w:sz w:val="24"/>
        </w:rPr>
        <w:t>书</w:t>
      </w:r>
      <w:r>
        <w:rPr>
          <w:rFonts w:ascii="宋体" w:hAnsi="宋体" w:hint="eastAsia"/>
          <w:sz w:val="24"/>
        </w:rPr>
        <w:t>载明的生效时间生效，同时原授权通知</w:t>
      </w:r>
      <w:r w:rsidR="000163B2">
        <w:rPr>
          <w:rFonts w:ascii="宋体" w:hAnsi="宋体" w:hint="eastAsia"/>
          <w:sz w:val="24"/>
        </w:rPr>
        <w:t>书</w:t>
      </w:r>
      <w:r>
        <w:rPr>
          <w:rFonts w:ascii="宋体" w:hAnsi="宋体" w:hint="eastAsia"/>
          <w:sz w:val="24"/>
        </w:rPr>
        <w:t>失效。基金管理人在此后三个工作日内将被授权人变更通知的正本送交基金托管人。</w:t>
      </w:r>
      <w:r w:rsidR="000163B2" w:rsidRPr="00F66FAE">
        <w:rPr>
          <w:rFonts w:ascii="宋体" w:hAnsi="宋体" w:hint="eastAsia"/>
          <w:sz w:val="24"/>
        </w:rPr>
        <w:t>授权通知书正本内容与基金托管人收到的传真</w:t>
      </w:r>
      <w:r w:rsidR="004642BA">
        <w:rPr>
          <w:rFonts w:ascii="宋体" w:hAnsi="宋体" w:hint="eastAsia"/>
          <w:sz w:val="24"/>
        </w:rPr>
        <w:t>或扫描件</w:t>
      </w:r>
      <w:r w:rsidR="000163B2" w:rsidRPr="00F66FAE">
        <w:rPr>
          <w:rFonts w:ascii="宋体" w:hAnsi="宋体" w:hint="eastAsia"/>
          <w:sz w:val="24"/>
        </w:rPr>
        <w:t>不一致的，</w:t>
      </w:r>
      <w:r>
        <w:rPr>
          <w:rFonts w:ascii="宋体" w:hAnsi="宋体" w:hint="eastAsia"/>
          <w:sz w:val="24"/>
        </w:rPr>
        <w:t>以基金托管人收到的传真为准。</w:t>
      </w:r>
    </w:p>
    <w:p w14:paraId="3FA4DFD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14:paraId="332AF63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1233A88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62D4A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1409BC58" w14:textId="7E248AF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责任。在正常业务受理渠道和指令规定的时间内，因基金托管人原因造成未能及时或正确执行合法合规的指令而导致基金财产受损的，基金托管人应承担相应的责任，但如遇到不可抗力的情况除外。</w:t>
      </w:r>
    </w:p>
    <w:p w14:paraId="548B2D1F" w14:textId="6DE37816"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w:t>
      </w:r>
      <w:r w:rsidR="00D06AF0" w:rsidRPr="00F66FAE">
        <w:rPr>
          <w:rFonts w:ascii="宋体" w:hAnsi="宋体" w:hint="eastAsia"/>
          <w:sz w:val="24"/>
        </w:rPr>
        <w:t>印鉴和签名的表面一致性</w:t>
      </w:r>
      <w:r>
        <w:rPr>
          <w:rFonts w:ascii="宋体" w:hAnsi="宋体" w:hint="eastAsia"/>
          <w:sz w:val="24"/>
        </w:rPr>
        <w:t>形式审核职责，如果基金管理人的指令存在事实上未经授权、欺诈、伪造或未能及时提供授权通知</w:t>
      </w:r>
      <w:r w:rsidR="00D06AF0">
        <w:rPr>
          <w:rFonts w:ascii="宋体" w:hAnsi="宋体" w:hint="eastAsia"/>
          <w:sz w:val="24"/>
        </w:rPr>
        <w:t>书</w:t>
      </w:r>
      <w:r>
        <w:rPr>
          <w:rFonts w:ascii="宋体" w:hAnsi="宋体" w:hint="eastAsia"/>
          <w:sz w:val="24"/>
        </w:rPr>
        <w:t>等情形，基金托管人不承担因执行有关指令或拒绝执行有关指令而给基金管理人或基金资产或任何第三方带来的损失，全部责任由基金管理人承担，但基金托管人未按托管协议约定尽形式审核义务执行指令而造成损失的情形除外。</w:t>
      </w:r>
    </w:p>
    <w:p w14:paraId="7A4EDE17" w14:textId="77777777" w:rsidR="009D1F53" w:rsidRDefault="00811663">
      <w:pPr>
        <w:pStyle w:val="2"/>
        <w:spacing w:beforeLines="100" w:before="312" w:afterLines="50" w:after="156" w:line="360" w:lineRule="auto"/>
        <w:jc w:val="center"/>
        <w:rPr>
          <w:rFonts w:ascii="宋体" w:hAnsi="宋体"/>
          <w:sz w:val="24"/>
        </w:rPr>
      </w:pPr>
      <w:bookmarkStart w:id="84" w:name="_Toc120435786"/>
      <w:bookmarkStart w:id="85" w:name="_Toc86204791"/>
      <w:bookmarkStart w:id="86" w:name="_Toc118774806"/>
      <w:bookmarkStart w:id="87" w:name="_Toc89163371"/>
      <w:bookmarkStart w:id="88" w:name="_Toc84234437"/>
      <w:bookmarkStart w:id="89" w:name="_Toc86726442"/>
      <w:bookmarkStart w:id="90" w:name="_Toc86225294"/>
      <w:bookmarkStart w:id="91" w:name="_Toc118972651"/>
      <w:bookmarkStart w:id="92" w:name="_Toc86223245"/>
      <w:bookmarkStart w:id="93" w:name="_Toc86649725"/>
      <w:bookmarkStart w:id="94" w:name="_Toc119402713"/>
      <w:bookmarkStart w:id="95" w:name="_Toc86737932"/>
      <w:bookmarkStart w:id="96" w:name="_Toc110761799"/>
      <w:bookmarkStart w:id="97" w:name="_Toc118212953"/>
      <w:bookmarkStart w:id="98" w:name="_Toc84133788"/>
      <w:bookmarkStart w:id="99" w:name="_Toc110830495"/>
      <w:bookmarkStart w:id="100" w:name="_Toc108512361"/>
      <w:bookmarkStart w:id="101" w:name="_Toc84234390"/>
      <w:bookmarkStart w:id="102" w:name="_Toc86727358"/>
      <w:bookmarkStart w:id="103" w:name="_Toc110765663"/>
      <w:r>
        <w:rPr>
          <w:rFonts w:ascii="宋体" w:hAnsi="宋体"/>
          <w:sz w:val="24"/>
        </w:rPr>
        <w:br w:type="page"/>
      </w:r>
      <w:bookmarkStart w:id="104" w:name="_Toc384992697"/>
      <w:bookmarkStart w:id="105" w:name="_Toc488938616"/>
      <w:bookmarkStart w:id="106" w:name="_Toc348082035"/>
      <w:r>
        <w:rPr>
          <w:rFonts w:ascii="宋体" w:hAnsi="宋体" w:hint="eastAsia"/>
          <w:sz w:val="24"/>
        </w:rPr>
        <w:lastRenderedPageBreak/>
        <w:t>七、交易及清算交收安排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EAB24C6" w14:textId="140E3902"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（一）选择代理证券买卖的证券经营机构</w:t>
      </w:r>
    </w:p>
    <w:p w14:paraId="4E65994D" w14:textId="11920395" w:rsidR="00C64AB9" w:rsidRPr="005809B4" w:rsidRDefault="00C64AB9" w:rsidP="005809B4">
      <w:pPr>
        <w:adjustRightInd w:val="0"/>
        <w:snapToGrid w:val="0"/>
        <w:spacing w:line="360" w:lineRule="auto"/>
        <w:ind w:firstLineChars="200" w:firstLine="480"/>
        <w:rPr>
          <w:rFonts w:ascii="宋体" w:hAnsi="宋体"/>
          <w:sz w:val="24"/>
        </w:rPr>
      </w:pPr>
      <w:r w:rsidRPr="005809B4">
        <w:rPr>
          <w:rFonts w:ascii="宋体" w:hAnsi="宋体" w:hint="eastAsia"/>
          <w:sz w:val="24"/>
        </w:rPr>
        <w:t>1、基金管理人应制定选择的标准和程序，并负责根据相关标准以及内部管理制度对有关证券经营机构进行考察后确定代理本基金证券买卖</w:t>
      </w:r>
      <w:r w:rsidR="00E476AE">
        <w:rPr>
          <w:rFonts w:ascii="宋体" w:hAnsi="宋体" w:hint="eastAsia"/>
          <w:sz w:val="24"/>
        </w:rPr>
        <w:t>的</w:t>
      </w:r>
      <w:r w:rsidRPr="005809B4">
        <w:rPr>
          <w:rFonts w:ascii="宋体" w:hAnsi="宋体" w:hint="eastAsia"/>
          <w:sz w:val="24"/>
        </w:rPr>
        <w:t>证券经营机构，并承担相应责任。基金管理人和被选择的证券经营机构签订证券经纪合同或其他约定的形式，由基金管理人通知基金托管人，并按法律法规</w:t>
      </w:r>
      <w:r w:rsidRPr="005809B4">
        <w:rPr>
          <w:rFonts w:ascii="宋体" w:hAnsi="宋体"/>
          <w:sz w:val="24"/>
        </w:rPr>
        <w:t>要求</w:t>
      </w:r>
      <w:r w:rsidRPr="005809B4">
        <w:rPr>
          <w:rFonts w:ascii="宋体" w:hAnsi="宋体" w:hint="eastAsia"/>
          <w:sz w:val="24"/>
        </w:rPr>
        <w:t>在法定信息披露报告中披露有关内容。基金管理人、基金托管人和证券经纪机构可就本基金参与证券交易的具体事项另行签订证券经纪服务协议。</w:t>
      </w:r>
    </w:p>
    <w:p w14:paraId="285A895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0151D588" w14:textId="0140F89C"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本基金通过证券经纪机构进行的交易由证券经纪机构作为结算参与人代理本基金进行结算；本基金其他证券交易由基金托管人或相关机构负责结算。基金管理人、基金托管人以及被选择的证券经纪机构应根据有关法律法规及相关业务规则，签订证券</w:t>
      </w:r>
      <w:r w:rsidRPr="00F66FAE">
        <w:rPr>
          <w:rFonts w:ascii="宋体" w:hAnsi="宋体"/>
          <w:sz w:val="24"/>
        </w:rPr>
        <w:t>经纪服务</w:t>
      </w:r>
      <w:r w:rsidRPr="00F66FAE">
        <w:rPr>
          <w:rFonts w:ascii="宋体" w:hAnsi="宋体" w:hint="eastAsia"/>
          <w:sz w:val="24"/>
        </w:rPr>
        <w:t>协议，用以具体明确三方在证券交易资金结算业务中的责任。</w:t>
      </w:r>
      <w:r w:rsidRPr="00F66FAE">
        <w:rPr>
          <w:rFonts w:ascii="宋体" w:hAnsi="宋体"/>
          <w:sz w:val="24"/>
        </w:rPr>
        <w:t xml:space="preserve"> </w:t>
      </w:r>
    </w:p>
    <w:p w14:paraId="3B797E46" w14:textId="77777777"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对基金管理人的资金划拨指令，基金托管人在复核无误后应在规定期限内执行不得延误。</w:t>
      </w:r>
      <w:r w:rsidRPr="00F66FAE">
        <w:rPr>
          <w:rFonts w:ascii="宋体" w:hAnsi="宋体"/>
          <w:sz w:val="24"/>
        </w:rPr>
        <w:t xml:space="preserve"> </w:t>
      </w:r>
    </w:p>
    <w:p w14:paraId="3EEE224A" w14:textId="77777777"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本基金投资于所有场外交易的资金汇划，由基金托管人负责办理。</w:t>
      </w:r>
    </w:p>
    <w:p w14:paraId="6B06DCCF" w14:textId="16DB4B4A" w:rsidR="006B1990" w:rsidRPr="006B1990" w:rsidRDefault="006B1990">
      <w:pPr>
        <w:adjustRightInd w:val="0"/>
        <w:snapToGrid w:val="0"/>
        <w:spacing w:line="360" w:lineRule="auto"/>
        <w:ind w:firstLineChars="200" w:firstLine="480"/>
        <w:rPr>
          <w:rFonts w:ascii="宋体" w:hAnsi="宋体"/>
          <w:sz w:val="24"/>
        </w:rPr>
      </w:pPr>
      <w:r w:rsidRPr="00F66FAE">
        <w:rPr>
          <w:rFonts w:ascii="宋体" w:hAnsi="宋体" w:hint="eastAsia"/>
          <w:sz w:val="24"/>
        </w:rPr>
        <w:t>证券经纪机构代理本基金财产与中登公司完成证券交易及非交易涉及的证券资金结算业务，并承担由证券经纪机构原因造成的正常结算、交收业务无法完成的责任。</w:t>
      </w:r>
    </w:p>
    <w:p w14:paraId="72B7C95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0FB395F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778C5D9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5EF08E80"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15:00前向基金托管人发送前一开放日上述有关数据，并保证相关数据的准确、完整。</w:t>
      </w:r>
    </w:p>
    <w:p w14:paraId="4D97BA8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50DB10A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14:paraId="7F1AA11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3BA2178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546DE77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755B45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4DF568D1" w14:textId="1A5D4F44"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2E12C0" w:rsidRPr="00F66FAE">
        <w:rPr>
          <w:rFonts w:ascii="宋体" w:hAnsi="宋体" w:hint="eastAsia"/>
          <w:sz w:val="24"/>
        </w:rPr>
        <w:t>责任由基金管理人承担，</w:t>
      </w:r>
      <w:r>
        <w:rPr>
          <w:rFonts w:ascii="宋体" w:hAnsi="宋体" w:hint="eastAsia"/>
          <w:sz w:val="24"/>
        </w:rPr>
        <w:t>基金托管人不承担垫款义务。</w:t>
      </w:r>
    </w:p>
    <w:p w14:paraId="5AC2FEA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9.资金指令</w:t>
      </w:r>
    </w:p>
    <w:p w14:paraId="05AF452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2FFB9FE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63328BD4" w14:textId="77777777" w:rsidR="009D1F53" w:rsidRDefault="00811663" w:rsidP="00967F86">
      <w:pPr>
        <w:adjustRightInd w:val="0"/>
        <w:snapToGrid w:val="0"/>
        <w:spacing w:line="360" w:lineRule="auto"/>
        <w:ind w:firstLineChars="200" w:firstLine="480"/>
        <w:rPr>
          <w:rFonts w:ascii="宋体" w:hAnsi="宋体"/>
          <w:sz w:val="24"/>
        </w:rPr>
      </w:pPr>
      <w:bookmarkStart w:id="107" w:name="_Hlk68788554"/>
      <w:r>
        <w:rPr>
          <w:rFonts w:ascii="宋体" w:hAnsi="宋体" w:hint="eastAsia"/>
          <w:sz w:val="24"/>
        </w:rPr>
        <w:t>（四）资金净额结算</w:t>
      </w:r>
    </w:p>
    <w:p w14:paraId="252B2A38" w14:textId="6DE0419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E2B42">
        <w:rPr>
          <w:rFonts w:ascii="宋体" w:hAnsi="宋体" w:hint="eastAsia"/>
          <w:sz w:val="24"/>
        </w:rPr>
        <w:t>及时</w:t>
      </w:r>
      <w:r>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bookmarkEnd w:id="107"/>
    </w:p>
    <w:p w14:paraId="03FF76E5" w14:textId="77777777" w:rsidR="009D1F53" w:rsidRPr="00967F86" w:rsidRDefault="00811663">
      <w:pPr>
        <w:adjustRightInd w:val="0"/>
        <w:snapToGrid w:val="0"/>
        <w:spacing w:line="360" w:lineRule="auto"/>
        <w:ind w:firstLineChars="200" w:firstLine="480"/>
        <w:rPr>
          <w:rFonts w:ascii="宋体" w:hAnsi="宋体"/>
          <w:sz w:val="24"/>
        </w:rPr>
      </w:pPr>
      <w:r>
        <w:rPr>
          <w:rFonts w:ascii="宋体" w:hAnsi="宋体" w:hint="eastAsia"/>
          <w:sz w:val="24"/>
        </w:rPr>
        <w:t>当存在资金账户净应付额时，如基金</w:t>
      </w:r>
      <w:r w:rsidRPr="00967F86">
        <w:rPr>
          <w:rFonts w:ascii="宋体" w:hAnsi="宋体" w:hint="eastAsia"/>
          <w:sz w:val="24"/>
        </w:rPr>
        <w:t>资金</w:t>
      </w:r>
      <w:r>
        <w:rPr>
          <w:rFonts w:ascii="宋体" w:hAnsi="宋体" w:hint="eastAsia"/>
          <w:sz w:val="24"/>
        </w:rPr>
        <w:t>账户有足够的资金，基金托管人应按</w:t>
      </w:r>
      <w:r>
        <w:rPr>
          <w:rFonts w:ascii="宋体" w:hAnsi="宋体" w:hint="eastAsia"/>
          <w:sz w:val="24"/>
        </w:rPr>
        <w:lastRenderedPageBreak/>
        <w:t>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7A80ECC7"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3F089A5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14:paraId="48159B7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根据指令及时将分红款划往基金清算账户。</w:t>
      </w:r>
    </w:p>
    <w:p w14:paraId="7FF96C2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1EB8260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08" w:name="_Toc384992698"/>
      <w:bookmarkStart w:id="109" w:name="_Toc348082036"/>
      <w:bookmarkStart w:id="110" w:name="_Toc488938617"/>
      <w:r>
        <w:rPr>
          <w:rFonts w:ascii="宋体" w:hAnsi="宋体" w:hint="eastAsia"/>
          <w:sz w:val="24"/>
        </w:rPr>
        <w:lastRenderedPageBreak/>
        <w:t>八、基金资产净值计算、估值和会计核算</w:t>
      </w:r>
      <w:bookmarkEnd w:id="108"/>
      <w:bookmarkEnd w:id="109"/>
      <w:bookmarkEnd w:id="110"/>
    </w:p>
    <w:p w14:paraId="1996F9F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50002709"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1.基金资产净值</w:t>
      </w:r>
    </w:p>
    <w:p w14:paraId="30E667D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122AD909" w14:textId="02C1D9B8" w:rsidR="009D1F53" w:rsidRDefault="007757D5">
      <w:pPr>
        <w:adjustRightInd w:val="0"/>
        <w:snapToGrid w:val="0"/>
        <w:spacing w:line="360" w:lineRule="auto"/>
        <w:ind w:firstLineChars="200" w:firstLine="480"/>
        <w:rPr>
          <w:rFonts w:ascii="宋体" w:hAnsi="宋体"/>
          <w:sz w:val="24"/>
        </w:rPr>
      </w:pPr>
      <w:r w:rsidRPr="007757D5">
        <w:rPr>
          <w:rFonts w:ascii="宋体" w:hAnsi="宋体" w:hint="eastAsia"/>
          <w:sz w:val="24"/>
        </w:rPr>
        <w:t>各类基金份额的</w:t>
      </w:r>
      <w:r w:rsidR="00811663">
        <w:rPr>
          <w:rFonts w:ascii="宋体" w:hAnsi="宋体" w:hint="eastAsia"/>
          <w:sz w:val="24"/>
        </w:rPr>
        <w:t>基金份额净值是按照每个</w:t>
      </w:r>
      <w:r w:rsidR="008B7B6B">
        <w:rPr>
          <w:rFonts w:ascii="宋体" w:hAnsi="宋体" w:hint="eastAsia"/>
          <w:sz w:val="24"/>
        </w:rPr>
        <w:t>估值日</w:t>
      </w:r>
      <w:r w:rsidR="00811663">
        <w:rPr>
          <w:rFonts w:ascii="宋体" w:hAnsi="宋体" w:hint="eastAsia"/>
          <w:sz w:val="24"/>
        </w:rPr>
        <w:t>，</w:t>
      </w:r>
      <w:r w:rsidRPr="00DA67B3">
        <w:rPr>
          <w:rFonts w:hint="eastAsia"/>
          <w:bCs/>
          <w:sz w:val="24"/>
        </w:rPr>
        <w:t>该类基金份额的</w:t>
      </w:r>
      <w:r w:rsidR="00811663">
        <w:rPr>
          <w:rFonts w:ascii="宋体" w:hAnsi="宋体" w:hint="eastAsia"/>
          <w:sz w:val="24"/>
        </w:rPr>
        <w:t>基金资产净值除以</w:t>
      </w:r>
      <w:r w:rsidR="002C58DB">
        <w:rPr>
          <w:rFonts w:hint="eastAsia"/>
          <w:bCs/>
          <w:sz w:val="24"/>
        </w:rPr>
        <w:t>估值</w:t>
      </w:r>
      <w:r w:rsidR="002C58DB">
        <w:rPr>
          <w:bCs/>
          <w:sz w:val="24"/>
        </w:rPr>
        <w:t>日</w:t>
      </w:r>
      <w:r w:rsidRPr="00DA67B3">
        <w:rPr>
          <w:rFonts w:hint="eastAsia"/>
          <w:bCs/>
          <w:sz w:val="24"/>
        </w:rPr>
        <w:t>该类</w:t>
      </w:r>
      <w:r w:rsidR="00811663">
        <w:rPr>
          <w:rFonts w:ascii="宋体" w:hAnsi="宋体" w:hint="eastAsia"/>
          <w:sz w:val="24"/>
        </w:rPr>
        <w:t>基金份额的余额数量计算，精确到</w:t>
      </w:r>
      <w:r w:rsidR="00811663">
        <w:rPr>
          <w:rFonts w:ascii="宋体" w:hAnsi="宋体"/>
          <w:sz w:val="24"/>
        </w:rPr>
        <w:t>0.0001元，小数点后第</w:t>
      </w:r>
      <w:r w:rsidR="00811663">
        <w:rPr>
          <w:rFonts w:ascii="宋体" w:hAnsi="宋体" w:hint="eastAsia"/>
          <w:sz w:val="24"/>
        </w:rPr>
        <w:t>五位四舍五入。</w:t>
      </w:r>
      <w:r w:rsidR="00811663">
        <w:rPr>
          <w:rFonts w:ascii="宋体" w:hAnsi="宋体"/>
          <w:sz w:val="24"/>
        </w:rPr>
        <w:t>基金管理人可以设立大额赎回情形下的净值精度应急调整机制</w:t>
      </w:r>
      <w:r w:rsidR="00811663">
        <w:rPr>
          <w:rFonts w:ascii="宋体" w:hAnsi="宋体" w:hint="eastAsia"/>
          <w:bCs/>
          <w:sz w:val="24"/>
        </w:rPr>
        <w:t>，具体可参见相关公告</w:t>
      </w:r>
      <w:r w:rsidR="00811663">
        <w:rPr>
          <w:rFonts w:ascii="宋体" w:hAnsi="宋体"/>
          <w:sz w:val="24"/>
        </w:rPr>
        <w:t>。</w:t>
      </w:r>
      <w:r w:rsidR="00811663">
        <w:rPr>
          <w:rFonts w:ascii="宋体" w:hAnsi="宋体" w:hint="eastAsia"/>
          <w:sz w:val="24"/>
        </w:rPr>
        <w:t>国家另有规定的，从其规定。</w:t>
      </w:r>
      <w:r w:rsidR="004D03C2" w:rsidRPr="004D03C2">
        <w:rPr>
          <w:rFonts w:ascii="宋体" w:hAnsi="宋体" w:hint="eastAsia"/>
          <w:sz w:val="24"/>
        </w:rPr>
        <w:t>T日的</w:t>
      </w:r>
      <w:r w:rsidR="00322177">
        <w:rPr>
          <w:rFonts w:ascii="宋体" w:hAnsi="宋体" w:hint="eastAsia"/>
          <w:sz w:val="24"/>
        </w:rPr>
        <w:t>各类</w:t>
      </w:r>
      <w:r w:rsidR="004D03C2" w:rsidRPr="004D03C2">
        <w:rPr>
          <w:rFonts w:ascii="宋体" w:hAnsi="宋体" w:hint="eastAsia"/>
          <w:sz w:val="24"/>
        </w:rPr>
        <w:t>基金份额净值在所投资基金披露净值或万份收益当日（法定节假日顺延至第一个交易日）计算，并在T+3日内披露本基金T日</w:t>
      </w:r>
      <w:r w:rsidR="00604370" w:rsidRPr="00DA67B3">
        <w:rPr>
          <w:rFonts w:hint="eastAsia"/>
          <w:bCs/>
          <w:sz w:val="24"/>
        </w:rPr>
        <w:t>各类基金份额</w:t>
      </w:r>
      <w:r w:rsidR="004D03C2" w:rsidRPr="004D03C2">
        <w:rPr>
          <w:rFonts w:ascii="宋体" w:hAnsi="宋体" w:hint="eastAsia"/>
          <w:sz w:val="24"/>
        </w:rPr>
        <w:t>的基金份额净值和基金份额累计净值。</w:t>
      </w:r>
    </w:p>
    <w:p w14:paraId="10D4E2A6" w14:textId="787DA8EA"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w:t>
      </w:r>
      <w:r w:rsidR="00604370">
        <w:rPr>
          <w:rFonts w:ascii="宋体" w:hAnsi="宋体" w:hint="eastAsia"/>
          <w:sz w:val="24"/>
        </w:rPr>
        <w:t>分别</w:t>
      </w:r>
      <w:r>
        <w:rPr>
          <w:rFonts w:ascii="宋体" w:hAnsi="宋体" w:hint="eastAsia"/>
          <w:sz w:val="24"/>
        </w:rPr>
        <w:t>计算</w:t>
      </w:r>
      <w:r w:rsidR="00604370" w:rsidRPr="00DA67B3">
        <w:rPr>
          <w:rFonts w:hint="eastAsia"/>
          <w:bCs/>
          <w:sz w:val="24"/>
        </w:rPr>
        <w:t>各类基金份额的</w:t>
      </w:r>
      <w:r>
        <w:rPr>
          <w:rFonts w:ascii="宋体" w:hAnsi="宋体" w:hint="eastAsia"/>
          <w:sz w:val="24"/>
        </w:rPr>
        <w:t>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5207AC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2.复核程序</w:t>
      </w:r>
    </w:p>
    <w:p w14:paraId="0B71C588" w14:textId="2A0374D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w:t>
      </w:r>
      <w:r w:rsidR="00604370" w:rsidRPr="00DA67B3">
        <w:rPr>
          <w:rFonts w:hint="eastAsia"/>
          <w:bCs/>
          <w:sz w:val="24"/>
        </w:rPr>
        <w:t>各类</w:t>
      </w:r>
      <w:r>
        <w:rPr>
          <w:rFonts w:ascii="宋体" w:hAnsi="宋体" w:hint="eastAsia"/>
          <w:sz w:val="24"/>
        </w:rPr>
        <w:t>基金资产净值、基金份额净值发送基金托管人，经基金托管人复核无误后，由基金管理人依据基金合同和相关法律法规的规定对外公布。</w:t>
      </w:r>
    </w:p>
    <w:p w14:paraId="26B39EC4" w14:textId="2C398708" w:rsidR="009D1F53" w:rsidRPr="00A32091" w:rsidRDefault="00811663">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E8D0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BD659B5" w14:textId="77777777" w:rsidR="009D1F53" w:rsidRDefault="00811663">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093C45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684CBE26"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14:paraId="6327AB1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03DC8CA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3F0C5B4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581580C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w:t>
      </w:r>
      <w:r>
        <w:rPr>
          <w:rFonts w:ascii="宋体" w:hAnsi="宋体" w:hint="eastAsia"/>
          <w:sz w:val="24"/>
        </w:rPr>
        <w:lastRenderedPageBreak/>
        <w:t>法和会计处理原则，分别独立地设置、记录和保管本基金的全套账册，对相关各方各自的账册定期进行核对，互相监督，以保证基金资产的安全。</w:t>
      </w:r>
    </w:p>
    <w:p w14:paraId="4BF9A2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（六）基金财务报表与报告的编制和复核</w:t>
      </w:r>
    </w:p>
    <w:p w14:paraId="42E9D2F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1.财务报表的编制</w:t>
      </w:r>
    </w:p>
    <w:p w14:paraId="1F4E85E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2272B4C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2.报表复核</w:t>
      </w:r>
    </w:p>
    <w:p w14:paraId="258EC8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1ACFBE1"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1447DC9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3E6CF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68A598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（八）实施侧袋机制期间的基金资产估值</w:t>
      </w:r>
    </w:p>
    <w:p w14:paraId="33C734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本基金实施侧袋机制的，应根据基金合同的约定对主袋账户资产进行估值并披露主袋账户的基金净值信息，暂停披露侧袋账户份额净值。</w:t>
      </w:r>
    </w:p>
    <w:p w14:paraId="7C2B07BB"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1" w:name="_Toc348082037"/>
      <w:bookmarkStart w:id="112" w:name="_Toc384992699"/>
      <w:bookmarkStart w:id="113" w:name="_Toc488938618"/>
      <w:r>
        <w:rPr>
          <w:rFonts w:ascii="宋体" w:hAnsi="宋体" w:hint="eastAsia"/>
          <w:sz w:val="24"/>
        </w:rPr>
        <w:lastRenderedPageBreak/>
        <w:t>九、基金收益分配</w:t>
      </w:r>
      <w:bookmarkEnd w:id="111"/>
      <w:bookmarkEnd w:id="112"/>
      <w:bookmarkEnd w:id="113"/>
    </w:p>
    <w:p w14:paraId="19D48467"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08E8137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4" w:name="_Toc384992700"/>
      <w:bookmarkStart w:id="115" w:name="_Toc488938619"/>
      <w:bookmarkStart w:id="116" w:name="_Toc348082038"/>
      <w:r>
        <w:rPr>
          <w:rFonts w:ascii="宋体" w:hAnsi="宋体" w:hint="eastAsia"/>
          <w:sz w:val="24"/>
        </w:rPr>
        <w:lastRenderedPageBreak/>
        <w:t>十、基金信息披露</w:t>
      </w:r>
      <w:bookmarkEnd w:id="114"/>
      <w:bookmarkEnd w:id="115"/>
      <w:bookmarkEnd w:id="116"/>
    </w:p>
    <w:p w14:paraId="4A3EE6D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6A2990B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7A12CB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5D3E6FA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3F4F4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6055CD81" w14:textId="59482F6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、基金定期报告（包括基金年度报告、基金中期报告和基金季度报告）、临时报告、澄清公告、基金份额持有人大会决议、实施侧袋机制期间的信息披露、清算报告、基金投资资产支持证券、</w:t>
      </w:r>
      <w:r w:rsidR="008B7B6B">
        <w:rPr>
          <w:rFonts w:ascii="宋体" w:hAnsi="宋体" w:hint="eastAsia"/>
          <w:sz w:val="24"/>
        </w:rPr>
        <w:t>基金</w:t>
      </w:r>
      <w:r w:rsidR="008B7B6B" w:rsidRPr="008B7B6B">
        <w:rPr>
          <w:rFonts w:ascii="宋体" w:hAnsi="宋体" w:hint="eastAsia"/>
          <w:sz w:val="24"/>
        </w:rPr>
        <w:t>投资证券投资基金</w:t>
      </w:r>
      <w:r>
        <w:rPr>
          <w:rFonts w:ascii="宋体" w:hAnsi="宋体" w:hint="eastAsia"/>
          <w:sz w:val="24"/>
        </w:rPr>
        <w:t>、</w:t>
      </w:r>
      <w:r w:rsidRPr="00967F86">
        <w:rPr>
          <w:rFonts w:ascii="宋体" w:hAnsi="宋体" w:hint="eastAsia"/>
          <w:sz w:val="24"/>
        </w:rPr>
        <w:t>港股通标的股票</w:t>
      </w:r>
      <w:r>
        <w:rPr>
          <w:rFonts w:ascii="宋体" w:hAnsi="宋体" w:hint="eastAsia"/>
          <w:sz w:val="24"/>
        </w:rPr>
        <w:t>情况、中国证监会规定的其他信息。基金年度报告需经符合《中华人民共和国证券法》规定的会计师事务所审计后，方可披露。</w:t>
      </w:r>
    </w:p>
    <w:p w14:paraId="56B9A6BA" w14:textId="19CF01D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B3E17BF" w14:textId="77777777" w:rsidR="008B7B6B" w:rsidRDefault="008B7B6B">
      <w:pPr>
        <w:adjustRightInd w:val="0"/>
        <w:snapToGrid w:val="0"/>
        <w:spacing w:line="360" w:lineRule="auto"/>
        <w:ind w:firstLineChars="200" w:firstLine="480"/>
        <w:rPr>
          <w:rFonts w:ascii="宋体" w:hAnsi="宋体"/>
          <w:sz w:val="24"/>
        </w:rPr>
      </w:pPr>
      <w:r w:rsidRPr="008B7B6B">
        <w:rPr>
          <w:rFonts w:ascii="宋体" w:hAnsi="宋体" w:hint="eastAsia"/>
          <w:sz w:val="24"/>
        </w:rPr>
        <w:t>本基金在定期报告和招募说明书（更新）中应设立专门章节披露所持基金的相关情况并揭示相关风险：1、投资策略、持仓情况、损益情况、净值披露时间等；2、交易及持有基金产生的费用，包括申购费、赎回费、销售服务费、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w:t>
      </w:r>
      <w:r w:rsidRPr="008B7B6B">
        <w:rPr>
          <w:rFonts w:ascii="宋体" w:hAnsi="宋体" w:hint="eastAsia"/>
          <w:sz w:val="24"/>
        </w:rPr>
        <w:lastRenderedPageBreak/>
        <w:t>金的情况。</w:t>
      </w:r>
    </w:p>
    <w:p w14:paraId="114E0F7C" w14:textId="77777777" w:rsidR="009D1F53" w:rsidRDefault="00811663">
      <w:pPr>
        <w:adjustRightInd w:val="0"/>
        <w:snapToGrid w:val="0"/>
        <w:spacing w:line="360" w:lineRule="auto"/>
        <w:ind w:firstLineChars="200" w:firstLine="480"/>
        <w:rPr>
          <w:rFonts w:ascii="宋体" w:hAnsi="宋体"/>
          <w:sz w:val="24"/>
        </w:rPr>
      </w:pPr>
      <w:r>
        <w:rPr>
          <w:rFonts w:hint="eastAsia"/>
          <w:bCs/>
          <w:sz w:val="24"/>
        </w:rPr>
        <w:t>本基金可投资港股通标的股票，</w:t>
      </w:r>
      <w:r>
        <w:rPr>
          <w:rFonts w:ascii="宋体" w:hAnsi="宋体" w:hint="eastAsia"/>
          <w:sz w:val="24"/>
        </w:rPr>
        <w:t>基金应当在季度报告、中期报告、年度报告等定期报告和招募说明书（更新）等文件中披露港股通标的股票的投资情况。法律法规或中国证监会另有规定的，从其规定。</w:t>
      </w:r>
    </w:p>
    <w:p w14:paraId="7AB4B4D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018B00DE"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1.职责</w:t>
      </w:r>
    </w:p>
    <w:p w14:paraId="4CACE6E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022930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696FE69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sidRPr="00967F86">
        <w:rPr>
          <w:rFonts w:ascii="宋体" w:hAnsi="宋体" w:hint="eastAsia"/>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04EED1C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8F38B39"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1230FD2D" w14:textId="11DA1918" w:rsidR="009D1F53" w:rsidRPr="00967F86" w:rsidRDefault="00811663">
      <w:pPr>
        <w:adjustRightInd w:val="0"/>
        <w:snapToGrid w:val="0"/>
        <w:spacing w:line="360" w:lineRule="auto"/>
        <w:ind w:firstLineChars="200" w:firstLine="480"/>
        <w:rPr>
          <w:rFonts w:ascii="宋体" w:hAnsi="宋体"/>
          <w:sz w:val="24"/>
        </w:rPr>
      </w:pPr>
      <w:r>
        <w:rPr>
          <w:rFonts w:ascii="宋体" w:hAnsi="宋体"/>
          <w:sz w:val="24"/>
        </w:rPr>
        <w:t>(2)基金投资所涉及的证券</w:t>
      </w:r>
      <w:r>
        <w:rPr>
          <w:rFonts w:ascii="宋体" w:hAnsi="宋体" w:hint="eastAsia"/>
          <w:sz w:val="24"/>
        </w:rPr>
        <w:t>交易市场遇法定节假日或因其他原因暂停营业时；</w:t>
      </w:r>
    </w:p>
    <w:p w14:paraId="7C6D574C"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09BB0868"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2.程序</w:t>
      </w:r>
    </w:p>
    <w:p w14:paraId="673E32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82E001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3.信息文本的存放</w:t>
      </w:r>
    </w:p>
    <w:p w14:paraId="77C53981" w14:textId="77777777" w:rsidR="009D1F53"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依法必须披露的信息发布后，基金管理人、基金托管人应当按照相关法律法规规定将信息置备于各自办公场所，供社会公众查阅、复制</w:t>
      </w:r>
      <w:r w:rsidRPr="00967F86">
        <w:rPr>
          <w:rFonts w:ascii="宋体" w:hAnsi="宋体"/>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14:paraId="643C05F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7" w:name="_Toc348082039"/>
      <w:bookmarkStart w:id="118" w:name="_Toc384992701"/>
      <w:bookmarkStart w:id="119" w:name="_Toc488938620"/>
      <w:r>
        <w:rPr>
          <w:rFonts w:ascii="宋体" w:hAnsi="宋体" w:hint="eastAsia"/>
          <w:sz w:val="24"/>
        </w:rPr>
        <w:lastRenderedPageBreak/>
        <w:t>十一、基金费用</w:t>
      </w:r>
      <w:bookmarkEnd w:id="117"/>
      <w:bookmarkEnd w:id="118"/>
      <w:bookmarkEnd w:id="119"/>
    </w:p>
    <w:p w14:paraId="6DBCE6F5" w14:textId="77777777" w:rsidR="009D1F53" w:rsidRPr="00967F86"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（一）基金托管费的计提方法、计提标准和支付方式如下：</w:t>
      </w:r>
    </w:p>
    <w:p w14:paraId="17F3AFED" w14:textId="586B4619" w:rsidR="00604370" w:rsidRDefault="00CB7220" w:rsidP="00CB7220">
      <w:pPr>
        <w:adjustRightInd w:val="0"/>
        <w:snapToGrid w:val="0"/>
        <w:spacing w:line="360" w:lineRule="auto"/>
        <w:ind w:firstLineChars="200" w:firstLine="480"/>
        <w:rPr>
          <w:sz w:val="24"/>
        </w:rPr>
      </w:pPr>
      <w:r w:rsidRPr="00CB7220">
        <w:rPr>
          <w:rFonts w:hint="eastAsia"/>
          <w:sz w:val="24"/>
        </w:rPr>
        <w:t>本基金基金财产中持有的基金托管人自身托管的基金部分不收取托管费。本基金</w:t>
      </w:r>
      <w:r w:rsidR="00604370" w:rsidRPr="00DA67B3">
        <w:rPr>
          <w:rFonts w:hint="eastAsia"/>
          <w:bCs/>
          <w:sz w:val="24"/>
        </w:rPr>
        <w:t>各类基金份额按照不同的年费率计提托管费，各类基金份额</w:t>
      </w:r>
      <w:r w:rsidRPr="00CB7220">
        <w:rPr>
          <w:rFonts w:hint="eastAsia"/>
          <w:sz w:val="24"/>
        </w:rPr>
        <w:t>的托管费按前一日</w:t>
      </w:r>
      <w:r w:rsidR="00604370">
        <w:rPr>
          <w:rFonts w:hint="eastAsia"/>
          <w:bCs/>
          <w:sz w:val="24"/>
        </w:rPr>
        <w:t>该类</w:t>
      </w:r>
      <w:r w:rsidR="00CC253B" w:rsidRPr="00CC253B">
        <w:rPr>
          <w:rFonts w:hint="eastAsia"/>
          <w:bCs/>
          <w:sz w:val="24"/>
        </w:rPr>
        <w:t>基金份额</w:t>
      </w:r>
      <w:r w:rsidRPr="00CB7220">
        <w:rPr>
          <w:rFonts w:hint="eastAsia"/>
          <w:sz w:val="24"/>
        </w:rPr>
        <w:t>基金资产净值扣除</w:t>
      </w:r>
      <w:r w:rsidR="00604370">
        <w:rPr>
          <w:rFonts w:hint="eastAsia"/>
          <w:bCs/>
          <w:sz w:val="24"/>
        </w:rPr>
        <w:t>该类</w:t>
      </w:r>
      <w:r w:rsidRPr="00CB7220">
        <w:rPr>
          <w:rFonts w:hint="eastAsia"/>
          <w:sz w:val="24"/>
        </w:rPr>
        <w:t>基金财产中持有的基金托管人自身托管的基金部分所对应资产后剩余部分的年</w:t>
      </w:r>
      <w:r w:rsidR="00604370">
        <w:rPr>
          <w:rFonts w:hint="eastAsia"/>
          <w:sz w:val="24"/>
        </w:rPr>
        <w:t>托管</w:t>
      </w:r>
      <w:r w:rsidRPr="00CB7220">
        <w:rPr>
          <w:rFonts w:hint="eastAsia"/>
          <w:sz w:val="24"/>
        </w:rPr>
        <w:t>费率计提。</w:t>
      </w:r>
    </w:p>
    <w:p w14:paraId="27796EA6" w14:textId="77777777" w:rsidR="00604370" w:rsidRDefault="00604370" w:rsidP="00CB7220">
      <w:pPr>
        <w:adjustRightInd w:val="0"/>
        <w:snapToGrid w:val="0"/>
        <w:spacing w:line="360" w:lineRule="auto"/>
        <w:ind w:firstLineChars="200" w:firstLine="480"/>
        <w:rPr>
          <w:sz w:val="24"/>
        </w:rPr>
      </w:pPr>
      <w:r w:rsidRPr="00604370">
        <w:rPr>
          <w:rFonts w:hint="eastAsia"/>
          <w:sz w:val="24"/>
        </w:rPr>
        <w:t>本基金</w:t>
      </w:r>
      <w:r w:rsidRPr="00604370">
        <w:rPr>
          <w:rFonts w:hint="eastAsia"/>
          <w:sz w:val="24"/>
        </w:rPr>
        <w:t>A</w:t>
      </w:r>
      <w:r w:rsidRPr="00604370">
        <w:rPr>
          <w:rFonts w:hint="eastAsia"/>
          <w:sz w:val="24"/>
        </w:rPr>
        <w:t>类基金份额的年托管费率为</w:t>
      </w:r>
      <w:r w:rsidRPr="00604370">
        <w:rPr>
          <w:rFonts w:hint="eastAsia"/>
          <w:sz w:val="24"/>
        </w:rPr>
        <w:t>0.15%</w:t>
      </w:r>
      <w:r w:rsidRPr="00604370">
        <w:rPr>
          <w:rFonts w:hint="eastAsia"/>
          <w:sz w:val="24"/>
        </w:rPr>
        <w:t>；本基金</w:t>
      </w:r>
      <w:r w:rsidRPr="00604370">
        <w:rPr>
          <w:rFonts w:hint="eastAsia"/>
          <w:sz w:val="24"/>
        </w:rPr>
        <w:t>Y</w:t>
      </w:r>
      <w:r w:rsidRPr="00604370">
        <w:rPr>
          <w:rFonts w:hint="eastAsia"/>
          <w:sz w:val="24"/>
        </w:rPr>
        <w:t>类基金份额的年托管费率为</w:t>
      </w:r>
      <w:r w:rsidRPr="00604370">
        <w:rPr>
          <w:rFonts w:hint="eastAsia"/>
          <w:sz w:val="24"/>
        </w:rPr>
        <w:t>0.075%</w:t>
      </w:r>
      <w:r w:rsidRPr="00604370">
        <w:rPr>
          <w:rFonts w:hint="eastAsia"/>
          <w:sz w:val="24"/>
        </w:rPr>
        <w:t>。</w:t>
      </w:r>
    </w:p>
    <w:p w14:paraId="02F5413D" w14:textId="76975A8B" w:rsidR="00CB7220" w:rsidRPr="00CB7220" w:rsidRDefault="00CB7220" w:rsidP="00CB7220">
      <w:pPr>
        <w:adjustRightInd w:val="0"/>
        <w:snapToGrid w:val="0"/>
        <w:spacing w:line="360" w:lineRule="auto"/>
        <w:ind w:firstLineChars="200" w:firstLine="480"/>
        <w:rPr>
          <w:sz w:val="24"/>
        </w:rPr>
      </w:pPr>
      <w:r w:rsidRPr="00CB7220">
        <w:rPr>
          <w:rFonts w:hint="eastAsia"/>
          <w:sz w:val="24"/>
        </w:rPr>
        <w:t>托管费的计算方法如下：</w:t>
      </w:r>
    </w:p>
    <w:p w14:paraId="15D47AEF" w14:textId="105358BD"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w:t>
      </w:r>
      <w:r w:rsidRPr="00CB7220">
        <w:rPr>
          <w:rFonts w:hint="eastAsia"/>
          <w:sz w:val="24"/>
        </w:rPr>
        <w:t>E</w:t>
      </w:r>
      <w:r w:rsidRPr="00CB7220">
        <w:rPr>
          <w:rFonts w:hint="eastAsia"/>
          <w:sz w:val="24"/>
        </w:rPr>
        <w:t>×</w:t>
      </w:r>
      <w:r w:rsidR="00604370" w:rsidRPr="00604370">
        <w:rPr>
          <w:rFonts w:hint="eastAsia"/>
          <w:sz w:val="24"/>
        </w:rPr>
        <w:t>年托管费率</w:t>
      </w:r>
      <w:r w:rsidRPr="00CB7220">
        <w:rPr>
          <w:rFonts w:hint="eastAsia"/>
          <w:sz w:val="24"/>
        </w:rPr>
        <w:t>÷当年天数</w:t>
      </w:r>
      <w:r w:rsidRPr="00CB7220">
        <w:rPr>
          <w:rFonts w:hint="eastAsia"/>
          <w:sz w:val="24"/>
        </w:rPr>
        <w:tab/>
      </w:r>
    </w:p>
    <w:p w14:paraId="137CD807" w14:textId="28251368"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为</w:t>
      </w:r>
      <w:r w:rsidR="00604370" w:rsidRPr="00DA67B3">
        <w:rPr>
          <w:rFonts w:hint="eastAsia"/>
          <w:bCs/>
          <w:sz w:val="24"/>
        </w:rPr>
        <w:t>各类基金份额</w:t>
      </w:r>
      <w:r w:rsidRPr="00CB7220">
        <w:rPr>
          <w:rFonts w:hint="eastAsia"/>
          <w:sz w:val="24"/>
        </w:rPr>
        <w:t>每日应计提的基金托管费</w:t>
      </w:r>
    </w:p>
    <w:p w14:paraId="37784DAD" w14:textId="7B14E24B" w:rsidR="00CB7220" w:rsidRPr="00CB7220" w:rsidRDefault="00CB7220" w:rsidP="00CB7220">
      <w:pPr>
        <w:adjustRightInd w:val="0"/>
        <w:snapToGrid w:val="0"/>
        <w:spacing w:line="360" w:lineRule="auto"/>
        <w:ind w:firstLineChars="200" w:firstLine="480"/>
        <w:rPr>
          <w:sz w:val="24"/>
        </w:rPr>
      </w:pPr>
      <w:r w:rsidRPr="00CB7220">
        <w:rPr>
          <w:rFonts w:hint="eastAsia"/>
          <w:sz w:val="24"/>
        </w:rPr>
        <w:t>E</w:t>
      </w:r>
      <w:r w:rsidRPr="00CB7220">
        <w:rPr>
          <w:rFonts w:hint="eastAsia"/>
          <w:sz w:val="24"/>
        </w:rPr>
        <w:t>为</w:t>
      </w:r>
      <w:r w:rsidR="00604370" w:rsidRPr="00DA67B3">
        <w:rPr>
          <w:rFonts w:hint="eastAsia"/>
          <w:bCs/>
          <w:sz w:val="24"/>
        </w:rPr>
        <w:t>各类基金份额</w:t>
      </w:r>
      <w:r w:rsidRPr="00CB7220">
        <w:rPr>
          <w:rFonts w:hint="eastAsia"/>
          <w:sz w:val="24"/>
        </w:rPr>
        <w:t>前一日的</w:t>
      </w:r>
      <w:r w:rsidR="00604370">
        <w:rPr>
          <w:rFonts w:hint="eastAsia"/>
          <w:bCs/>
          <w:sz w:val="24"/>
        </w:rPr>
        <w:t>该类</w:t>
      </w:r>
      <w:r w:rsidRPr="00CB7220">
        <w:rPr>
          <w:rFonts w:hint="eastAsia"/>
          <w:sz w:val="24"/>
        </w:rPr>
        <w:t>基金资产净值扣除</w:t>
      </w:r>
      <w:r w:rsidR="00604370">
        <w:rPr>
          <w:rFonts w:hint="eastAsia"/>
          <w:bCs/>
          <w:sz w:val="24"/>
        </w:rPr>
        <w:t>该类</w:t>
      </w:r>
      <w:r w:rsidRPr="00CB7220">
        <w:rPr>
          <w:rFonts w:hint="eastAsia"/>
          <w:sz w:val="24"/>
        </w:rPr>
        <w:t>基金财产中持有的基金托管人自身托管的基金部分所对应资产后剩余部分，若为负数，则</w:t>
      </w:r>
      <w:r w:rsidRPr="00CB7220">
        <w:rPr>
          <w:rFonts w:hint="eastAsia"/>
          <w:sz w:val="24"/>
        </w:rPr>
        <w:t>E</w:t>
      </w:r>
      <w:r w:rsidRPr="00CB7220">
        <w:rPr>
          <w:rFonts w:hint="eastAsia"/>
          <w:sz w:val="24"/>
        </w:rPr>
        <w:t>取</w:t>
      </w:r>
      <w:r w:rsidRPr="00CB7220">
        <w:rPr>
          <w:rFonts w:hint="eastAsia"/>
          <w:sz w:val="24"/>
        </w:rPr>
        <w:t>0</w:t>
      </w:r>
      <w:r w:rsidRPr="00CB7220">
        <w:rPr>
          <w:rFonts w:hint="eastAsia"/>
          <w:sz w:val="24"/>
        </w:rPr>
        <w:t>。</w:t>
      </w:r>
    </w:p>
    <w:p w14:paraId="14A30599" w14:textId="0CC804F7" w:rsidR="009D1F53" w:rsidRDefault="00CB7220">
      <w:pPr>
        <w:adjustRightInd w:val="0"/>
        <w:snapToGrid w:val="0"/>
        <w:spacing w:line="360" w:lineRule="auto"/>
        <w:ind w:firstLineChars="200" w:firstLine="480"/>
        <w:rPr>
          <w:sz w:val="24"/>
        </w:rPr>
      </w:pPr>
      <w:r w:rsidRPr="00CB7220">
        <w:rPr>
          <w:rFonts w:hint="eastAsia"/>
          <w:sz w:val="24"/>
        </w:rPr>
        <w:t>基金托管费每日计提，逐日累计至每月月末，按月支付。由基金管理人与基金托管人核对一致后，由基金托管人按照与基金管理人协商一致的方式自动于次月首日起</w:t>
      </w:r>
      <w:r w:rsidRPr="00CB7220">
        <w:rPr>
          <w:rFonts w:hint="eastAsia"/>
          <w:sz w:val="24"/>
        </w:rPr>
        <w:t>5</w:t>
      </w:r>
      <w:r w:rsidRPr="00CB7220">
        <w:rPr>
          <w:rFonts w:hint="eastAsia"/>
          <w:sz w:val="24"/>
        </w:rPr>
        <w:t>个工作日内从基金财产中一次性支付给基金托管人，若遇法定节假日、休息日或不可抗力致使无法按时支付的，支付日期顺延。</w:t>
      </w:r>
    </w:p>
    <w:p w14:paraId="7826E44E" w14:textId="6A0E8AE3" w:rsidR="009C20CF"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（二）基金其他费用按照《基金合同》的约定计提和支付。</w:t>
      </w:r>
    </w:p>
    <w:p w14:paraId="0C488799" w14:textId="77777777" w:rsidR="009D1F53" w:rsidRDefault="00811663">
      <w:pPr>
        <w:pStyle w:val="2"/>
        <w:spacing w:beforeLines="100" w:before="312" w:afterLines="50" w:after="156" w:line="360" w:lineRule="auto"/>
        <w:jc w:val="center"/>
        <w:rPr>
          <w:rFonts w:ascii="宋体" w:hAnsi="宋体"/>
          <w:sz w:val="21"/>
        </w:rPr>
      </w:pPr>
      <w:r>
        <w:rPr>
          <w:rFonts w:ascii="宋体" w:hAnsi="宋体"/>
          <w:sz w:val="21"/>
        </w:rPr>
        <w:br w:type="page"/>
      </w:r>
      <w:bookmarkStart w:id="120" w:name="_Toc384992702"/>
      <w:bookmarkStart w:id="121" w:name="_Toc488938621"/>
      <w:bookmarkStart w:id="122" w:name="_Toc348082040"/>
      <w:r>
        <w:rPr>
          <w:rFonts w:ascii="宋体" w:hAnsi="宋体" w:hint="eastAsia"/>
          <w:sz w:val="24"/>
        </w:rPr>
        <w:lastRenderedPageBreak/>
        <w:t>十二、基金份额持有人名册的保管</w:t>
      </w:r>
      <w:bookmarkEnd w:id="120"/>
      <w:bookmarkEnd w:id="121"/>
      <w:bookmarkEnd w:id="122"/>
    </w:p>
    <w:p w14:paraId="5586A32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292D7C8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510E7EA9" w14:textId="77777777" w:rsidR="009D1F53" w:rsidRDefault="00811663">
      <w:pPr>
        <w:pStyle w:val="2"/>
        <w:spacing w:beforeLines="100" w:before="312" w:afterLines="50" w:after="156" w:line="360" w:lineRule="auto"/>
        <w:ind w:firstLine="480"/>
        <w:jc w:val="center"/>
      </w:pPr>
      <w:r>
        <w:rPr>
          <w:rFonts w:ascii="宋体" w:hAnsi="宋体"/>
          <w:b w:val="0"/>
          <w:sz w:val="24"/>
        </w:rPr>
        <w:br w:type="page"/>
      </w:r>
      <w:bookmarkStart w:id="123" w:name="_Toc348082041"/>
      <w:bookmarkStart w:id="124" w:name="_Toc488938622"/>
      <w:bookmarkStart w:id="125" w:name="_Toc384992703"/>
      <w:r>
        <w:rPr>
          <w:rFonts w:ascii="宋体" w:hAnsi="宋体" w:hint="eastAsia"/>
          <w:sz w:val="24"/>
        </w:rPr>
        <w:lastRenderedPageBreak/>
        <w:t>十三、基金有关文件档案的保存</w:t>
      </w:r>
      <w:bookmarkEnd w:id="123"/>
      <w:bookmarkEnd w:id="124"/>
      <w:bookmarkEnd w:id="125"/>
    </w:p>
    <w:p w14:paraId="341E07C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7F1CB30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0B0D290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12EBB368"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14:paraId="774E69A8"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163839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060E83B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若基金管理人</w:t>
      </w:r>
      <w:r>
        <w:rPr>
          <w:rFonts w:ascii="宋体" w:hAnsi="宋体"/>
          <w:sz w:val="24"/>
        </w:rPr>
        <w:t>/基金托管人发生变更，未变更的一方有义务协助变更后的接任人接收相应文件。</w:t>
      </w:r>
    </w:p>
    <w:p w14:paraId="75DF717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1811FE9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6" w:name="_Toc488938623"/>
      <w:bookmarkStart w:id="127" w:name="_Toc348082042"/>
      <w:bookmarkStart w:id="128" w:name="_Toc384992704"/>
      <w:r>
        <w:rPr>
          <w:rFonts w:ascii="宋体" w:hAnsi="宋体" w:hint="eastAsia"/>
          <w:sz w:val="24"/>
        </w:rPr>
        <w:lastRenderedPageBreak/>
        <w:t>十四、基金管理人和基金托管人的更换</w:t>
      </w:r>
      <w:bookmarkEnd w:id="126"/>
      <w:bookmarkEnd w:id="127"/>
      <w:bookmarkEnd w:id="128"/>
    </w:p>
    <w:p w14:paraId="055FA3AC" w14:textId="77777777" w:rsidR="009D1F53" w:rsidRDefault="00811663">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并与新任基金管理人或临时基金管理人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基金托管人应给予积极配合，并与新任基金管理人或临时基金管理人核对基金资产总值和基金资产净值。</w:t>
      </w:r>
    </w:p>
    <w:p w14:paraId="4116AA4B" w14:textId="77777777" w:rsidR="009D1F53" w:rsidRDefault="00811663">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并与新任基金托管人或临时基金托管人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基金管理人应给予积极配合，并与新任基金托管人或临时基金托管人核对基金资产总值和基金资产净值。</w:t>
      </w:r>
    </w:p>
    <w:p w14:paraId="1D8FCA8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（三）其他事宜见基金合同的相关约定。</w:t>
      </w:r>
    </w:p>
    <w:p w14:paraId="305A4BC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9" w:name="_Toc348082043"/>
      <w:bookmarkStart w:id="130" w:name="_Toc488938624"/>
      <w:bookmarkStart w:id="131" w:name="_Toc384992705"/>
      <w:r>
        <w:rPr>
          <w:rFonts w:ascii="宋体" w:hAnsi="宋体" w:hint="eastAsia"/>
          <w:sz w:val="24"/>
        </w:rPr>
        <w:lastRenderedPageBreak/>
        <w:t>十五、禁止行为</w:t>
      </w:r>
      <w:bookmarkEnd w:id="129"/>
      <w:bookmarkEnd w:id="130"/>
      <w:bookmarkEnd w:id="131"/>
    </w:p>
    <w:p w14:paraId="1318FE5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40E2E1B2" w14:textId="77777777" w:rsidR="009D1F53" w:rsidRDefault="00811663">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5AF92E13" w14:textId="77777777" w:rsidR="009D1F53" w:rsidRDefault="00811663">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24696286" w14:textId="77777777" w:rsidR="009D1F53" w:rsidRDefault="00811663">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79F57D6D" w14:textId="77777777" w:rsidR="009D1F53" w:rsidRDefault="00811663">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59D9BB21" w14:textId="70733C8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w:t>
      </w:r>
      <w:r w:rsidR="002251C7">
        <w:rPr>
          <w:rFonts w:ascii="宋体" w:hAnsi="宋体" w:hint="eastAsia"/>
          <w:sz w:val="24"/>
        </w:rPr>
        <w:t>泄露</w:t>
      </w:r>
      <w:r>
        <w:rPr>
          <w:rFonts w:ascii="宋体" w:hAnsi="宋体" w:hint="eastAsia"/>
          <w:sz w:val="24"/>
        </w:rPr>
        <w:t>基金运作和管理过程中任何尚未按法律法规规定的方式公开披露的信息。</w:t>
      </w:r>
    </w:p>
    <w:p w14:paraId="10ECB6A2" w14:textId="77777777" w:rsidR="009D1F53" w:rsidRDefault="00811663">
      <w:pPr>
        <w:pStyle w:val="a8"/>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64272FE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4E669773" w14:textId="77777777" w:rsidR="009D1F53" w:rsidRDefault="00811663">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50CCF663" w14:textId="77777777" w:rsidR="009D1F53" w:rsidRDefault="00811663">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6215051C" w14:textId="77777777" w:rsidR="009D1F53" w:rsidRDefault="00811663">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32" w:name="_Toc384992706"/>
      <w:bookmarkStart w:id="133" w:name="_Toc488938625"/>
      <w:bookmarkStart w:id="134" w:name="_Toc348082044"/>
      <w:r>
        <w:rPr>
          <w:rFonts w:ascii="宋体" w:hAnsi="宋体" w:hint="eastAsia"/>
          <w:sz w:val="24"/>
        </w:rPr>
        <w:lastRenderedPageBreak/>
        <w:t>十六、托管协议的变更、终止与基金财产的清算</w:t>
      </w:r>
      <w:bookmarkEnd w:id="132"/>
      <w:bookmarkEnd w:id="133"/>
      <w:bookmarkEnd w:id="134"/>
    </w:p>
    <w:p w14:paraId="5B71F88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3E577E4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3D95191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1BF0DF1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1、《基金合同》终止；</w:t>
      </w:r>
    </w:p>
    <w:p w14:paraId="02AAB39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69B7AF7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46D2863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1574397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26CC336A"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02DD260E"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35" w:name="_Toc488938626"/>
      <w:bookmarkStart w:id="136" w:name="_Toc384992707"/>
      <w:bookmarkStart w:id="137" w:name="_Toc348082045"/>
      <w:r>
        <w:rPr>
          <w:rFonts w:ascii="宋体" w:hAnsi="宋体" w:hint="eastAsia"/>
          <w:sz w:val="24"/>
        </w:rPr>
        <w:lastRenderedPageBreak/>
        <w:t>十七、违约责任</w:t>
      </w:r>
      <w:bookmarkEnd w:id="135"/>
      <w:bookmarkEnd w:id="136"/>
      <w:bookmarkEnd w:id="137"/>
    </w:p>
    <w:p w14:paraId="79099191"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7F226781"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65E9AC22"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507D8053"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79B0C02C"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0CC957E4"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233D7BB4"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08BF72E0"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14:paraId="33A69D9E"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9F9909D" w14:textId="77777777" w:rsidR="009D1F53" w:rsidRDefault="00811663">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8" w:name="_Toc348082046"/>
    </w:p>
    <w:p w14:paraId="162DA530" w14:textId="77777777" w:rsidR="009D1F53" w:rsidRDefault="00811663">
      <w:pPr>
        <w:pStyle w:val="2"/>
        <w:spacing w:beforeLines="100" w:before="312" w:afterLines="50" w:after="156" w:line="360" w:lineRule="auto"/>
        <w:jc w:val="center"/>
        <w:rPr>
          <w:rFonts w:ascii="宋体" w:hAnsi="宋体"/>
          <w:sz w:val="24"/>
        </w:rPr>
      </w:pPr>
      <w:bookmarkStart w:id="139" w:name="_Toc488938627"/>
      <w:bookmarkStart w:id="140" w:name="_Toc384992708"/>
      <w:r>
        <w:rPr>
          <w:rFonts w:ascii="宋体" w:hAnsi="宋体" w:hint="eastAsia"/>
          <w:sz w:val="24"/>
        </w:rPr>
        <w:lastRenderedPageBreak/>
        <w:t>十八、争议解决方式</w:t>
      </w:r>
      <w:bookmarkEnd w:id="138"/>
      <w:bookmarkEnd w:id="139"/>
      <w:bookmarkEnd w:id="140"/>
    </w:p>
    <w:p w14:paraId="7026E7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1F8145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D5FD06B" w14:textId="55076892"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r w:rsidR="00F77BB5">
        <w:rPr>
          <w:rFonts w:ascii="宋体" w:hAnsi="宋体" w:hint="eastAsia"/>
          <w:sz w:val="24"/>
        </w:rPr>
        <w:t>并从其解释</w:t>
      </w:r>
      <w:r>
        <w:rPr>
          <w:rFonts w:ascii="宋体" w:hAnsi="宋体" w:hint="eastAsia"/>
          <w:sz w:val="24"/>
        </w:rPr>
        <w:t>。</w:t>
      </w:r>
    </w:p>
    <w:p w14:paraId="1FCB77E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1" w:name="_Toc384992709"/>
      <w:bookmarkStart w:id="142" w:name="_Toc348082047"/>
      <w:bookmarkStart w:id="143" w:name="_Toc488938628"/>
      <w:r>
        <w:rPr>
          <w:rFonts w:ascii="宋体" w:hAnsi="宋体" w:hint="eastAsia"/>
          <w:sz w:val="24"/>
        </w:rPr>
        <w:lastRenderedPageBreak/>
        <w:t>十九、托管协议的效力</w:t>
      </w:r>
      <w:bookmarkEnd w:id="141"/>
      <w:bookmarkEnd w:id="142"/>
      <w:bookmarkEnd w:id="143"/>
    </w:p>
    <w:p w14:paraId="5BC2D8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5D06863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5E58472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BAE3BB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6636D80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610AE6C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4" w:name="_Toc488938629"/>
      <w:bookmarkStart w:id="145" w:name="_Toc384992710"/>
      <w:bookmarkStart w:id="146" w:name="_Toc348082048"/>
      <w:r>
        <w:rPr>
          <w:rFonts w:ascii="宋体" w:hAnsi="宋体" w:hint="eastAsia"/>
          <w:sz w:val="24"/>
        </w:rPr>
        <w:lastRenderedPageBreak/>
        <w:t>二十、其他事项</w:t>
      </w:r>
      <w:bookmarkEnd w:id="144"/>
      <w:bookmarkEnd w:id="145"/>
      <w:bookmarkEnd w:id="146"/>
    </w:p>
    <w:p w14:paraId="7A433BE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005DD2D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5282CE26"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7" w:name="_Toc348082049"/>
      <w:bookmarkStart w:id="148" w:name="_Toc488938630"/>
      <w:bookmarkStart w:id="149" w:name="_Toc384992711"/>
      <w:r>
        <w:rPr>
          <w:rFonts w:ascii="宋体" w:hAnsi="宋体" w:hint="eastAsia"/>
          <w:sz w:val="24"/>
        </w:rPr>
        <w:lastRenderedPageBreak/>
        <w:t>二十一、托管协议的签订</w:t>
      </w:r>
      <w:bookmarkEnd w:id="147"/>
      <w:bookmarkEnd w:id="148"/>
      <w:bookmarkEnd w:id="149"/>
    </w:p>
    <w:p w14:paraId="7F2B6FBA"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14:paraId="406A304D" w14:textId="77777777" w:rsidR="009D1F53" w:rsidRDefault="00811663">
      <w:pPr>
        <w:widowControl/>
        <w:jc w:val="left"/>
        <w:rPr>
          <w:rFonts w:ascii="宋体" w:hAnsi="宋体"/>
          <w:b/>
          <w:sz w:val="24"/>
        </w:rPr>
      </w:pPr>
      <w:bookmarkStart w:id="150" w:name="_Toc384992712"/>
      <w:bookmarkStart w:id="151" w:name="_Toc488938631"/>
      <w:r>
        <w:rPr>
          <w:rFonts w:ascii="宋体" w:hAnsi="宋体"/>
          <w:b/>
          <w:sz w:val="24"/>
        </w:rPr>
        <w:br w:type="page"/>
      </w:r>
    </w:p>
    <w:bookmarkEnd w:id="150"/>
    <w:bookmarkEnd w:id="151"/>
    <w:p w14:paraId="27ECB162" w14:textId="77777777" w:rsidR="009D1F53" w:rsidRDefault="009D1F53">
      <w:pPr>
        <w:widowControl/>
        <w:jc w:val="left"/>
        <w:rPr>
          <w:rFonts w:ascii="宋体"/>
          <w:szCs w:val="21"/>
        </w:rPr>
      </w:pPr>
    </w:p>
    <w:p w14:paraId="3E5DD3BE" w14:textId="2F435A69" w:rsidR="009D1F53" w:rsidRDefault="00811663">
      <w:pPr>
        <w:outlineLvl w:val="0"/>
        <w:rPr>
          <w:rFonts w:ascii="宋体"/>
          <w:szCs w:val="21"/>
        </w:rPr>
      </w:pPr>
      <w:r>
        <w:rPr>
          <w:rFonts w:ascii="宋体" w:hint="eastAsia"/>
          <w:szCs w:val="21"/>
        </w:rPr>
        <w:t>（本页为《</w:t>
      </w:r>
      <w:r w:rsidR="00967F86">
        <w:rPr>
          <w:rFonts w:ascii="宋体" w:hint="eastAsia"/>
          <w:b/>
          <w:szCs w:val="21"/>
        </w:rPr>
        <w:t>交银施罗德安悦平衡养老目标三年持有期混合型发起式基金中基金（FOF）</w:t>
      </w:r>
      <w:r>
        <w:rPr>
          <w:rFonts w:ascii="宋体" w:hint="eastAsia"/>
          <w:b/>
          <w:szCs w:val="21"/>
        </w:rPr>
        <w:t>托管协议</w:t>
      </w:r>
      <w:r>
        <w:rPr>
          <w:rFonts w:ascii="宋体" w:hint="eastAsia"/>
          <w:szCs w:val="21"/>
        </w:rPr>
        <w:t>》签署页，无正文）</w:t>
      </w:r>
    </w:p>
    <w:p w14:paraId="30910361" w14:textId="77777777" w:rsidR="009D1F53" w:rsidRDefault="009D1F53">
      <w:pPr>
        <w:widowControl/>
        <w:spacing w:before="100" w:beforeAutospacing="1" w:after="100" w:afterAutospacing="1" w:line="360" w:lineRule="auto"/>
        <w:jc w:val="left"/>
        <w:rPr>
          <w:rFonts w:ascii="宋体" w:hAnsi="宋体"/>
          <w:color w:val="000000"/>
          <w:szCs w:val="21"/>
        </w:rPr>
      </w:pPr>
    </w:p>
    <w:p w14:paraId="463B7488" w14:textId="77777777" w:rsidR="009D1F53" w:rsidRDefault="009D1F53">
      <w:pPr>
        <w:widowControl/>
        <w:spacing w:before="100" w:beforeAutospacing="1" w:after="100" w:afterAutospacing="1" w:line="360" w:lineRule="auto"/>
        <w:jc w:val="left"/>
        <w:rPr>
          <w:rFonts w:ascii="宋体" w:hAnsi="宋体"/>
          <w:color w:val="000000"/>
          <w:szCs w:val="21"/>
        </w:rPr>
      </w:pPr>
    </w:p>
    <w:p w14:paraId="71F26C81" w14:textId="77777777" w:rsidR="009D1F53" w:rsidRDefault="00811663">
      <w:pPr>
        <w:spacing w:before="100" w:beforeAutospacing="1" w:after="100" w:afterAutospacing="1" w:line="360" w:lineRule="auto"/>
        <w:ind w:firstLine="403"/>
        <w:rPr>
          <w:rFonts w:ascii="宋体" w:hAnsi="宋体"/>
          <w:szCs w:val="21"/>
        </w:rPr>
      </w:pPr>
      <w:r>
        <w:rPr>
          <w:rFonts w:ascii="宋体" w:hAnsi="宋体"/>
          <w:szCs w:val="21"/>
        </w:rPr>
        <w:t>基金管理人：</w:t>
      </w:r>
      <w:r>
        <w:rPr>
          <w:rFonts w:ascii="宋体" w:hAnsi="宋体" w:hint="eastAsia"/>
          <w:szCs w:val="21"/>
        </w:rPr>
        <w:t>交银施罗德</w:t>
      </w:r>
      <w:r>
        <w:rPr>
          <w:rFonts w:ascii="宋体" w:hAnsi="宋体"/>
          <w:szCs w:val="21"/>
        </w:rPr>
        <w:t>基金管理有限公司（公章）</w:t>
      </w:r>
    </w:p>
    <w:p w14:paraId="7C398EAA"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47230F10"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2705A3AB"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E649C35"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ascii="宋体" w:hAnsi="宋体" w:hint="eastAsia"/>
          <w:kern w:val="0"/>
          <w:szCs w:val="21"/>
        </w:rPr>
        <w:t xml:space="preserve">  </w:t>
      </w:r>
      <w:r>
        <w:rPr>
          <w:rFonts w:ascii="宋体" w:hAnsi="宋体"/>
          <w:kern w:val="0"/>
          <w:szCs w:val="21"/>
        </w:rPr>
        <w:t xml:space="preserve">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4C962DE"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签订地：　</w:t>
      </w:r>
    </w:p>
    <w:p w14:paraId="0CE28850"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6994183C"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7172B852"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Pr>
          <w:rFonts w:ascii="宋体" w:hAnsi="宋体" w:hint="eastAsia"/>
          <w:kern w:val="0"/>
          <w:szCs w:val="21"/>
        </w:rPr>
        <w:t>招商银行股份有限公司</w:t>
      </w:r>
      <w:r>
        <w:rPr>
          <w:rFonts w:ascii="宋体" w:hAnsi="宋体" w:hint="eastAsia"/>
          <w:szCs w:val="21"/>
        </w:rPr>
        <w:t>（公章）</w:t>
      </w:r>
    </w:p>
    <w:p w14:paraId="59160BA9"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3DCA458F"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3DB5FC2"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61F56307"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DE4DD4F"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ascii="宋体" w:hAnsi="宋体" w:hint="eastAsia"/>
          <w:kern w:val="0"/>
          <w:szCs w:val="21"/>
        </w:rPr>
        <w:t>中国深圳</w:t>
      </w:r>
    </w:p>
    <w:bookmarkEnd w:id="2"/>
    <w:p w14:paraId="700AEA66" w14:textId="77777777" w:rsidR="009D1F53" w:rsidRDefault="009D1F53">
      <w:pPr>
        <w:adjustRightInd w:val="0"/>
        <w:snapToGrid w:val="0"/>
        <w:spacing w:line="360" w:lineRule="auto"/>
        <w:rPr>
          <w:rFonts w:ascii="宋体" w:hAnsi="宋体"/>
          <w:sz w:val="24"/>
        </w:rPr>
      </w:pPr>
    </w:p>
    <w:sectPr w:rsidR="009D1F53">
      <w:footerReference w:type="default" r:id="rId46"/>
      <w:pgSz w:w="11906" w:h="16838"/>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2C9E3" w16cid:durableId="2B04AC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6F951" w14:textId="77777777" w:rsidR="00546408" w:rsidRDefault="00546408">
      <w:r>
        <w:separator/>
      </w:r>
    </w:p>
  </w:endnote>
  <w:endnote w:type="continuationSeparator" w:id="0">
    <w:p w14:paraId="478CBC0A" w14:textId="77777777" w:rsidR="00546408" w:rsidRDefault="0054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A00002BF" w:usb1="184F6CFA" w:usb2="00000012"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39F4" w14:textId="77777777" w:rsidR="00322177" w:rsidRDefault="00322177">
    <w:pPr>
      <w:pStyle w:val="aa"/>
      <w:jc w:val="center"/>
    </w:pPr>
  </w:p>
  <w:p w14:paraId="0ADD246E" w14:textId="77777777" w:rsidR="00322177" w:rsidRDefault="0032217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sdtPr>
    <w:sdtEndPr/>
    <w:sdtContent>
      <w:p w14:paraId="6F9C603B" w14:textId="77777777" w:rsidR="00322177" w:rsidRDefault="00322177">
        <w:pPr>
          <w:pStyle w:val="aa"/>
          <w:jc w:val="center"/>
        </w:pPr>
        <w:r>
          <w:fldChar w:fldCharType="begin"/>
        </w:r>
        <w:r>
          <w:instrText>PAGE   \* MERGEFORMAT</w:instrText>
        </w:r>
        <w:r>
          <w:fldChar w:fldCharType="separate"/>
        </w:r>
        <w:r>
          <w:rPr>
            <w:lang w:val="zh-CN"/>
          </w:rPr>
          <w:t>1</w:t>
        </w:r>
        <w:r>
          <w:fldChar w:fldCharType="end"/>
        </w:r>
      </w:p>
    </w:sdtContent>
  </w:sdt>
  <w:p w14:paraId="5D249E62" w14:textId="77777777" w:rsidR="00322177" w:rsidRDefault="0032217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462E" w14:textId="77777777" w:rsidR="00322177" w:rsidRDefault="00322177">
    <w:pPr>
      <w:pStyle w:val="aa"/>
      <w:jc w:val="center"/>
    </w:pPr>
  </w:p>
  <w:p w14:paraId="6FC7F8EC" w14:textId="77777777" w:rsidR="00322177" w:rsidRDefault="0032217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5B65" w14:textId="77777777" w:rsidR="00546408" w:rsidRDefault="00546408">
      <w:r>
        <w:separator/>
      </w:r>
    </w:p>
  </w:footnote>
  <w:footnote w:type="continuationSeparator" w:id="0">
    <w:p w14:paraId="2571AF7E" w14:textId="77777777" w:rsidR="00546408" w:rsidRDefault="0054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746"/>
    <w:rsid w:val="0001290F"/>
    <w:rsid w:val="0001438D"/>
    <w:rsid w:val="00014D21"/>
    <w:rsid w:val="000163B2"/>
    <w:rsid w:val="00016A01"/>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35DD"/>
    <w:rsid w:val="000337AC"/>
    <w:rsid w:val="00034340"/>
    <w:rsid w:val="0003594D"/>
    <w:rsid w:val="00037CA5"/>
    <w:rsid w:val="00040C89"/>
    <w:rsid w:val="000412F9"/>
    <w:rsid w:val="00041C79"/>
    <w:rsid w:val="00041EA9"/>
    <w:rsid w:val="00042898"/>
    <w:rsid w:val="000428F1"/>
    <w:rsid w:val="00042BF0"/>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11D"/>
    <w:rsid w:val="00055240"/>
    <w:rsid w:val="000557E4"/>
    <w:rsid w:val="00056CF4"/>
    <w:rsid w:val="00057377"/>
    <w:rsid w:val="0006037C"/>
    <w:rsid w:val="000606F2"/>
    <w:rsid w:val="00060843"/>
    <w:rsid w:val="000609AF"/>
    <w:rsid w:val="00062145"/>
    <w:rsid w:val="000634D4"/>
    <w:rsid w:val="00064E77"/>
    <w:rsid w:val="00065232"/>
    <w:rsid w:val="00065A6E"/>
    <w:rsid w:val="00066315"/>
    <w:rsid w:val="0006703B"/>
    <w:rsid w:val="0006718A"/>
    <w:rsid w:val="000671F1"/>
    <w:rsid w:val="00067DA7"/>
    <w:rsid w:val="000710B2"/>
    <w:rsid w:val="00071723"/>
    <w:rsid w:val="00071A1F"/>
    <w:rsid w:val="00072176"/>
    <w:rsid w:val="0007281A"/>
    <w:rsid w:val="00072ACB"/>
    <w:rsid w:val="000730A6"/>
    <w:rsid w:val="000740C7"/>
    <w:rsid w:val="00074758"/>
    <w:rsid w:val="00074F42"/>
    <w:rsid w:val="00075FBB"/>
    <w:rsid w:val="0007618E"/>
    <w:rsid w:val="00076C89"/>
    <w:rsid w:val="0007714A"/>
    <w:rsid w:val="00080AFA"/>
    <w:rsid w:val="00080E58"/>
    <w:rsid w:val="0008111E"/>
    <w:rsid w:val="00082FA8"/>
    <w:rsid w:val="00083D8D"/>
    <w:rsid w:val="00083E80"/>
    <w:rsid w:val="0009016D"/>
    <w:rsid w:val="000906C3"/>
    <w:rsid w:val="00090707"/>
    <w:rsid w:val="00091E90"/>
    <w:rsid w:val="0009373C"/>
    <w:rsid w:val="000939B2"/>
    <w:rsid w:val="00095055"/>
    <w:rsid w:val="00095A9B"/>
    <w:rsid w:val="00095D92"/>
    <w:rsid w:val="00097239"/>
    <w:rsid w:val="00097973"/>
    <w:rsid w:val="000A009F"/>
    <w:rsid w:val="000A1593"/>
    <w:rsid w:val="000A1777"/>
    <w:rsid w:val="000A1DF9"/>
    <w:rsid w:val="000A20C8"/>
    <w:rsid w:val="000A2AFC"/>
    <w:rsid w:val="000A2BFC"/>
    <w:rsid w:val="000A2F85"/>
    <w:rsid w:val="000A5645"/>
    <w:rsid w:val="000A6170"/>
    <w:rsid w:val="000A66AE"/>
    <w:rsid w:val="000B0CA6"/>
    <w:rsid w:val="000B1EB5"/>
    <w:rsid w:val="000B2189"/>
    <w:rsid w:val="000B26CD"/>
    <w:rsid w:val="000B3268"/>
    <w:rsid w:val="000B6AA8"/>
    <w:rsid w:val="000B6EE4"/>
    <w:rsid w:val="000C035A"/>
    <w:rsid w:val="000C0479"/>
    <w:rsid w:val="000C048A"/>
    <w:rsid w:val="000C100E"/>
    <w:rsid w:val="000C101E"/>
    <w:rsid w:val="000C19BE"/>
    <w:rsid w:val="000C1D2F"/>
    <w:rsid w:val="000C1FA6"/>
    <w:rsid w:val="000C2444"/>
    <w:rsid w:val="000C26FF"/>
    <w:rsid w:val="000C5514"/>
    <w:rsid w:val="000C5A20"/>
    <w:rsid w:val="000C5D0B"/>
    <w:rsid w:val="000C5F89"/>
    <w:rsid w:val="000C6767"/>
    <w:rsid w:val="000C68E7"/>
    <w:rsid w:val="000C6E67"/>
    <w:rsid w:val="000C6FAD"/>
    <w:rsid w:val="000C7071"/>
    <w:rsid w:val="000D0599"/>
    <w:rsid w:val="000D2799"/>
    <w:rsid w:val="000D38A7"/>
    <w:rsid w:val="000D3D87"/>
    <w:rsid w:val="000D5D21"/>
    <w:rsid w:val="000D6987"/>
    <w:rsid w:val="000D7E47"/>
    <w:rsid w:val="000E0514"/>
    <w:rsid w:val="000E2B42"/>
    <w:rsid w:val="000E35CB"/>
    <w:rsid w:val="000E3B08"/>
    <w:rsid w:val="000E444F"/>
    <w:rsid w:val="000E4462"/>
    <w:rsid w:val="000E5798"/>
    <w:rsid w:val="000E5B9C"/>
    <w:rsid w:val="000E6573"/>
    <w:rsid w:val="000E6FDC"/>
    <w:rsid w:val="000E7A28"/>
    <w:rsid w:val="000F06C8"/>
    <w:rsid w:val="000F2048"/>
    <w:rsid w:val="000F2B08"/>
    <w:rsid w:val="000F3A96"/>
    <w:rsid w:val="000F52DC"/>
    <w:rsid w:val="000F6A2D"/>
    <w:rsid w:val="00101318"/>
    <w:rsid w:val="00101A94"/>
    <w:rsid w:val="00101B49"/>
    <w:rsid w:val="00101B58"/>
    <w:rsid w:val="00102071"/>
    <w:rsid w:val="00104401"/>
    <w:rsid w:val="0010485A"/>
    <w:rsid w:val="001051B2"/>
    <w:rsid w:val="00105310"/>
    <w:rsid w:val="00110704"/>
    <w:rsid w:val="00111C89"/>
    <w:rsid w:val="00113B59"/>
    <w:rsid w:val="00115064"/>
    <w:rsid w:val="001152C2"/>
    <w:rsid w:val="00115B29"/>
    <w:rsid w:val="00117512"/>
    <w:rsid w:val="0011768A"/>
    <w:rsid w:val="0011783B"/>
    <w:rsid w:val="00117CA1"/>
    <w:rsid w:val="00120287"/>
    <w:rsid w:val="00120ABE"/>
    <w:rsid w:val="001210BD"/>
    <w:rsid w:val="00123D4A"/>
    <w:rsid w:val="00124047"/>
    <w:rsid w:val="00125DA4"/>
    <w:rsid w:val="00125F2F"/>
    <w:rsid w:val="00126670"/>
    <w:rsid w:val="00130A39"/>
    <w:rsid w:val="00130E71"/>
    <w:rsid w:val="00131569"/>
    <w:rsid w:val="00131E99"/>
    <w:rsid w:val="00132D3A"/>
    <w:rsid w:val="00132EDF"/>
    <w:rsid w:val="00133130"/>
    <w:rsid w:val="0013367F"/>
    <w:rsid w:val="00134CB2"/>
    <w:rsid w:val="00135008"/>
    <w:rsid w:val="00135F72"/>
    <w:rsid w:val="00136679"/>
    <w:rsid w:val="00137F2A"/>
    <w:rsid w:val="00140CFC"/>
    <w:rsid w:val="001423AF"/>
    <w:rsid w:val="00142C02"/>
    <w:rsid w:val="001451B1"/>
    <w:rsid w:val="00145994"/>
    <w:rsid w:val="00146246"/>
    <w:rsid w:val="001462F0"/>
    <w:rsid w:val="0014681A"/>
    <w:rsid w:val="00150C0F"/>
    <w:rsid w:val="00150CDF"/>
    <w:rsid w:val="00151394"/>
    <w:rsid w:val="00153191"/>
    <w:rsid w:val="00153CD2"/>
    <w:rsid w:val="0015471A"/>
    <w:rsid w:val="0015665A"/>
    <w:rsid w:val="00156A3F"/>
    <w:rsid w:val="00156BC9"/>
    <w:rsid w:val="00160684"/>
    <w:rsid w:val="00160700"/>
    <w:rsid w:val="00161DD2"/>
    <w:rsid w:val="0016490F"/>
    <w:rsid w:val="001671BA"/>
    <w:rsid w:val="00170A79"/>
    <w:rsid w:val="00171737"/>
    <w:rsid w:val="00171DA2"/>
    <w:rsid w:val="00172530"/>
    <w:rsid w:val="0017370E"/>
    <w:rsid w:val="001742D1"/>
    <w:rsid w:val="00174565"/>
    <w:rsid w:val="001748DD"/>
    <w:rsid w:val="00174E51"/>
    <w:rsid w:val="00175369"/>
    <w:rsid w:val="00176684"/>
    <w:rsid w:val="00177171"/>
    <w:rsid w:val="001772BD"/>
    <w:rsid w:val="00181D8B"/>
    <w:rsid w:val="00182D88"/>
    <w:rsid w:val="00185465"/>
    <w:rsid w:val="00185825"/>
    <w:rsid w:val="00185AD1"/>
    <w:rsid w:val="0018653A"/>
    <w:rsid w:val="00187094"/>
    <w:rsid w:val="00190D4F"/>
    <w:rsid w:val="00190E8F"/>
    <w:rsid w:val="0019101B"/>
    <w:rsid w:val="0019121E"/>
    <w:rsid w:val="0019194A"/>
    <w:rsid w:val="00192901"/>
    <w:rsid w:val="001945D9"/>
    <w:rsid w:val="00195849"/>
    <w:rsid w:val="00195B9F"/>
    <w:rsid w:val="00195EB0"/>
    <w:rsid w:val="001961E4"/>
    <w:rsid w:val="00196252"/>
    <w:rsid w:val="00197C29"/>
    <w:rsid w:val="001A27BB"/>
    <w:rsid w:val="001A31BA"/>
    <w:rsid w:val="001A4014"/>
    <w:rsid w:val="001A4100"/>
    <w:rsid w:val="001A49AD"/>
    <w:rsid w:val="001A5E3B"/>
    <w:rsid w:val="001A63A2"/>
    <w:rsid w:val="001A7E89"/>
    <w:rsid w:val="001B07DD"/>
    <w:rsid w:val="001B088A"/>
    <w:rsid w:val="001B0BFD"/>
    <w:rsid w:val="001B10CD"/>
    <w:rsid w:val="001B185D"/>
    <w:rsid w:val="001B3960"/>
    <w:rsid w:val="001B3B5D"/>
    <w:rsid w:val="001B43CF"/>
    <w:rsid w:val="001B4F0D"/>
    <w:rsid w:val="001B6562"/>
    <w:rsid w:val="001B6B56"/>
    <w:rsid w:val="001B714B"/>
    <w:rsid w:val="001C044F"/>
    <w:rsid w:val="001C0471"/>
    <w:rsid w:val="001C1B03"/>
    <w:rsid w:val="001C2010"/>
    <w:rsid w:val="001C2A8E"/>
    <w:rsid w:val="001C3C95"/>
    <w:rsid w:val="001C4757"/>
    <w:rsid w:val="001C5B7E"/>
    <w:rsid w:val="001C5B95"/>
    <w:rsid w:val="001C715A"/>
    <w:rsid w:val="001C7718"/>
    <w:rsid w:val="001D0D88"/>
    <w:rsid w:val="001D25D0"/>
    <w:rsid w:val="001D2E08"/>
    <w:rsid w:val="001D3A89"/>
    <w:rsid w:val="001D4655"/>
    <w:rsid w:val="001D46C2"/>
    <w:rsid w:val="001D47F2"/>
    <w:rsid w:val="001D4D5D"/>
    <w:rsid w:val="001D5CCB"/>
    <w:rsid w:val="001D5FA4"/>
    <w:rsid w:val="001D672E"/>
    <w:rsid w:val="001D695B"/>
    <w:rsid w:val="001D6F8C"/>
    <w:rsid w:val="001D747C"/>
    <w:rsid w:val="001E2081"/>
    <w:rsid w:val="001E4AAA"/>
    <w:rsid w:val="001E5F15"/>
    <w:rsid w:val="001E6DD9"/>
    <w:rsid w:val="001F0F63"/>
    <w:rsid w:val="001F14A9"/>
    <w:rsid w:val="001F1527"/>
    <w:rsid w:val="001F1893"/>
    <w:rsid w:val="001F2D81"/>
    <w:rsid w:val="001F31FB"/>
    <w:rsid w:val="001F40F9"/>
    <w:rsid w:val="001F4169"/>
    <w:rsid w:val="001F50A0"/>
    <w:rsid w:val="001F62FA"/>
    <w:rsid w:val="001F6F44"/>
    <w:rsid w:val="001F7CC0"/>
    <w:rsid w:val="002009F5"/>
    <w:rsid w:val="00200A19"/>
    <w:rsid w:val="002019B6"/>
    <w:rsid w:val="00201FEC"/>
    <w:rsid w:val="00203CF6"/>
    <w:rsid w:val="00206847"/>
    <w:rsid w:val="00206B78"/>
    <w:rsid w:val="002071A9"/>
    <w:rsid w:val="00207F28"/>
    <w:rsid w:val="00211354"/>
    <w:rsid w:val="00211444"/>
    <w:rsid w:val="00211B78"/>
    <w:rsid w:val="00215314"/>
    <w:rsid w:val="00215979"/>
    <w:rsid w:val="00216CAA"/>
    <w:rsid w:val="0022136B"/>
    <w:rsid w:val="002215D2"/>
    <w:rsid w:val="00221EC6"/>
    <w:rsid w:val="0022203E"/>
    <w:rsid w:val="00222087"/>
    <w:rsid w:val="00222341"/>
    <w:rsid w:val="002243FC"/>
    <w:rsid w:val="002251C7"/>
    <w:rsid w:val="002300D0"/>
    <w:rsid w:val="002306C9"/>
    <w:rsid w:val="00231B62"/>
    <w:rsid w:val="002330CA"/>
    <w:rsid w:val="002332D3"/>
    <w:rsid w:val="00237AD7"/>
    <w:rsid w:val="0024032B"/>
    <w:rsid w:val="00240AC9"/>
    <w:rsid w:val="00242261"/>
    <w:rsid w:val="00242673"/>
    <w:rsid w:val="00242745"/>
    <w:rsid w:val="00242885"/>
    <w:rsid w:val="00242944"/>
    <w:rsid w:val="00242E69"/>
    <w:rsid w:val="002435BA"/>
    <w:rsid w:val="00246B69"/>
    <w:rsid w:val="00247986"/>
    <w:rsid w:val="00247FC1"/>
    <w:rsid w:val="002605AA"/>
    <w:rsid w:val="0026065F"/>
    <w:rsid w:val="00260D3F"/>
    <w:rsid w:val="002631C1"/>
    <w:rsid w:val="002640F2"/>
    <w:rsid w:val="002648F6"/>
    <w:rsid w:val="00264C0E"/>
    <w:rsid w:val="00266019"/>
    <w:rsid w:val="00266A06"/>
    <w:rsid w:val="00267009"/>
    <w:rsid w:val="00270DB2"/>
    <w:rsid w:val="00270EF0"/>
    <w:rsid w:val="00271A77"/>
    <w:rsid w:val="00271D6C"/>
    <w:rsid w:val="00273145"/>
    <w:rsid w:val="002759C1"/>
    <w:rsid w:val="00275EA7"/>
    <w:rsid w:val="00276643"/>
    <w:rsid w:val="00276889"/>
    <w:rsid w:val="00276CBA"/>
    <w:rsid w:val="0027704D"/>
    <w:rsid w:val="002818A1"/>
    <w:rsid w:val="00281AF5"/>
    <w:rsid w:val="002828C6"/>
    <w:rsid w:val="00282BAE"/>
    <w:rsid w:val="00285D79"/>
    <w:rsid w:val="00285E1A"/>
    <w:rsid w:val="0028655B"/>
    <w:rsid w:val="00286BBA"/>
    <w:rsid w:val="00287A94"/>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97BC3"/>
    <w:rsid w:val="002A0B4E"/>
    <w:rsid w:val="002A0E01"/>
    <w:rsid w:val="002A13EB"/>
    <w:rsid w:val="002A2BDE"/>
    <w:rsid w:val="002A5F77"/>
    <w:rsid w:val="002A7235"/>
    <w:rsid w:val="002A7896"/>
    <w:rsid w:val="002A790E"/>
    <w:rsid w:val="002A7E1A"/>
    <w:rsid w:val="002A7E73"/>
    <w:rsid w:val="002B11CF"/>
    <w:rsid w:val="002B19DD"/>
    <w:rsid w:val="002B24AB"/>
    <w:rsid w:val="002B2AD4"/>
    <w:rsid w:val="002B3361"/>
    <w:rsid w:val="002B6B76"/>
    <w:rsid w:val="002B7266"/>
    <w:rsid w:val="002B7527"/>
    <w:rsid w:val="002C06EA"/>
    <w:rsid w:val="002C08B1"/>
    <w:rsid w:val="002C0B5A"/>
    <w:rsid w:val="002C225E"/>
    <w:rsid w:val="002C2B27"/>
    <w:rsid w:val="002C51A0"/>
    <w:rsid w:val="002C58DB"/>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12C0"/>
    <w:rsid w:val="002E2BC0"/>
    <w:rsid w:val="002E3DED"/>
    <w:rsid w:val="002E46D7"/>
    <w:rsid w:val="002E54B5"/>
    <w:rsid w:val="002E674D"/>
    <w:rsid w:val="002F1E2E"/>
    <w:rsid w:val="002F2074"/>
    <w:rsid w:val="002F211E"/>
    <w:rsid w:val="002F2A53"/>
    <w:rsid w:val="002F3F6D"/>
    <w:rsid w:val="002F4759"/>
    <w:rsid w:val="002F50A3"/>
    <w:rsid w:val="002F6520"/>
    <w:rsid w:val="002F66B1"/>
    <w:rsid w:val="002F68F6"/>
    <w:rsid w:val="003026F5"/>
    <w:rsid w:val="00302EDD"/>
    <w:rsid w:val="003041B7"/>
    <w:rsid w:val="00304551"/>
    <w:rsid w:val="00304B4C"/>
    <w:rsid w:val="00306429"/>
    <w:rsid w:val="00307E80"/>
    <w:rsid w:val="00310E68"/>
    <w:rsid w:val="0031175B"/>
    <w:rsid w:val="003123ED"/>
    <w:rsid w:val="003137F2"/>
    <w:rsid w:val="0031445C"/>
    <w:rsid w:val="003154CF"/>
    <w:rsid w:val="00316D8B"/>
    <w:rsid w:val="00317638"/>
    <w:rsid w:val="00320364"/>
    <w:rsid w:val="00320987"/>
    <w:rsid w:val="003215E2"/>
    <w:rsid w:val="00322177"/>
    <w:rsid w:val="003221AF"/>
    <w:rsid w:val="00322A50"/>
    <w:rsid w:val="00322A70"/>
    <w:rsid w:val="00323511"/>
    <w:rsid w:val="003237BF"/>
    <w:rsid w:val="003249BC"/>
    <w:rsid w:val="0032522B"/>
    <w:rsid w:val="00325B34"/>
    <w:rsid w:val="003267F2"/>
    <w:rsid w:val="00326833"/>
    <w:rsid w:val="0032743C"/>
    <w:rsid w:val="00330931"/>
    <w:rsid w:val="00330FD6"/>
    <w:rsid w:val="00333237"/>
    <w:rsid w:val="00333679"/>
    <w:rsid w:val="003336F7"/>
    <w:rsid w:val="00333F0C"/>
    <w:rsid w:val="00334E12"/>
    <w:rsid w:val="00334F74"/>
    <w:rsid w:val="003355AD"/>
    <w:rsid w:val="00336068"/>
    <w:rsid w:val="003369A7"/>
    <w:rsid w:val="003373CE"/>
    <w:rsid w:val="00342DF8"/>
    <w:rsid w:val="003431C7"/>
    <w:rsid w:val="0034487F"/>
    <w:rsid w:val="00345036"/>
    <w:rsid w:val="0035094C"/>
    <w:rsid w:val="0035144A"/>
    <w:rsid w:val="00352A1F"/>
    <w:rsid w:val="003532E6"/>
    <w:rsid w:val="00353894"/>
    <w:rsid w:val="0035518C"/>
    <w:rsid w:val="00355528"/>
    <w:rsid w:val="00360142"/>
    <w:rsid w:val="00360FE3"/>
    <w:rsid w:val="0036532A"/>
    <w:rsid w:val="003659AF"/>
    <w:rsid w:val="003665D0"/>
    <w:rsid w:val="00367391"/>
    <w:rsid w:val="00367C29"/>
    <w:rsid w:val="003703AC"/>
    <w:rsid w:val="00371CDD"/>
    <w:rsid w:val="003726C2"/>
    <w:rsid w:val="00372795"/>
    <w:rsid w:val="00372AA7"/>
    <w:rsid w:val="00373576"/>
    <w:rsid w:val="0037431E"/>
    <w:rsid w:val="003746F3"/>
    <w:rsid w:val="00375D08"/>
    <w:rsid w:val="00376451"/>
    <w:rsid w:val="00377AE1"/>
    <w:rsid w:val="0038018C"/>
    <w:rsid w:val="00380369"/>
    <w:rsid w:val="00380497"/>
    <w:rsid w:val="0038158C"/>
    <w:rsid w:val="0038216E"/>
    <w:rsid w:val="00383076"/>
    <w:rsid w:val="003843E0"/>
    <w:rsid w:val="00384BAF"/>
    <w:rsid w:val="00385747"/>
    <w:rsid w:val="00387C59"/>
    <w:rsid w:val="003903E5"/>
    <w:rsid w:val="00390C24"/>
    <w:rsid w:val="003922A7"/>
    <w:rsid w:val="003940F0"/>
    <w:rsid w:val="003945E5"/>
    <w:rsid w:val="0039535D"/>
    <w:rsid w:val="0039673F"/>
    <w:rsid w:val="003979A1"/>
    <w:rsid w:val="003A0B79"/>
    <w:rsid w:val="003A0C6A"/>
    <w:rsid w:val="003A1410"/>
    <w:rsid w:val="003A30E5"/>
    <w:rsid w:val="003A4F07"/>
    <w:rsid w:val="003A51B0"/>
    <w:rsid w:val="003A54AA"/>
    <w:rsid w:val="003A54D4"/>
    <w:rsid w:val="003A5A02"/>
    <w:rsid w:val="003A6024"/>
    <w:rsid w:val="003A6B7B"/>
    <w:rsid w:val="003A6DEE"/>
    <w:rsid w:val="003A726C"/>
    <w:rsid w:val="003B1340"/>
    <w:rsid w:val="003B1506"/>
    <w:rsid w:val="003B1E7A"/>
    <w:rsid w:val="003B2C35"/>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4D8"/>
    <w:rsid w:val="003E16F3"/>
    <w:rsid w:val="003E1AC2"/>
    <w:rsid w:val="003E277A"/>
    <w:rsid w:val="003E399E"/>
    <w:rsid w:val="003E40CE"/>
    <w:rsid w:val="003E43F4"/>
    <w:rsid w:val="003E46C5"/>
    <w:rsid w:val="003E4D9A"/>
    <w:rsid w:val="003E7379"/>
    <w:rsid w:val="003F1846"/>
    <w:rsid w:val="003F4614"/>
    <w:rsid w:val="003F6DC1"/>
    <w:rsid w:val="003F784C"/>
    <w:rsid w:val="00400293"/>
    <w:rsid w:val="004008A7"/>
    <w:rsid w:val="00400ACD"/>
    <w:rsid w:val="00401C64"/>
    <w:rsid w:val="004038C3"/>
    <w:rsid w:val="00404A81"/>
    <w:rsid w:val="00405405"/>
    <w:rsid w:val="004054AD"/>
    <w:rsid w:val="00405DB1"/>
    <w:rsid w:val="00405EE8"/>
    <w:rsid w:val="0040782C"/>
    <w:rsid w:val="00407946"/>
    <w:rsid w:val="00410CDA"/>
    <w:rsid w:val="0041104A"/>
    <w:rsid w:val="00411088"/>
    <w:rsid w:val="00411479"/>
    <w:rsid w:val="00412D2C"/>
    <w:rsid w:val="00413681"/>
    <w:rsid w:val="00413CFC"/>
    <w:rsid w:val="004142E4"/>
    <w:rsid w:val="004215BF"/>
    <w:rsid w:val="00422C78"/>
    <w:rsid w:val="00422E33"/>
    <w:rsid w:val="00423845"/>
    <w:rsid w:val="004255F7"/>
    <w:rsid w:val="00425D01"/>
    <w:rsid w:val="004265DC"/>
    <w:rsid w:val="0042752D"/>
    <w:rsid w:val="004275E3"/>
    <w:rsid w:val="00427FD7"/>
    <w:rsid w:val="00431AC3"/>
    <w:rsid w:val="00431BE1"/>
    <w:rsid w:val="00431F66"/>
    <w:rsid w:val="004324F7"/>
    <w:rsid w:val="00434945"/>
    <w:rsid w:val="004359C6"/>
    <w:rsid w:val="004365D5"/>
    <w:rsid w:val="00436ADD"/>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57C92"/>
    <w:rsid w:val="004611DE"/>
    <w:rsid w:val="00461247"/>
    <w:rsid w:val="00461F61"/>
    <w:rsid w:val="0046263A"/>
    <w:rsid w:val="004642B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765E5"/>
    <w:rsid w:val="0048026F"/>
    <w:rsid w:val="0048062A"/>
    <w:rsid w:val="00480C1D"/>
    <w:rsid w:val="00481C7C"/>
    <w:rsid w:val="004828D8"/>
    <w:rsid w:val="00482E20"/>
    <w:rsid w:val="004841C1"/>
    <w:rsid w:val="00486012"/>
    <w:rsid w:val="0048671F"/>
    <w:rsid w:val="0048715E"/>
    <w:rsid w:val="00490250"/>
    <w:rsid w:val="004902D5"/>
    <w:rsid w:val="004907C1"/>
    <w:rsid w:val="00491689"/>
    <w:rsid w:val="00491DA6"/>
    <w:rsid w:val="00492170"/>
    <w:rsid w:val="00492BCA"/>
    <w:rsid w:val="00492E8F"/>
    <w:rsid w:val="00493296"/>
    <w:rsid w:val="00493DC8"/>
    <w:rsid w:val="00493E77"/>
    <w:rsid w:val="00494817"/>
    <w:rsid w:val="00495DE7"/>
    <w:rsid w:val="004972EE"/>
    <w:rsid w:val="00497C6B"/>
    <w:rsid w:val="004A4931"/>
    <w:rsid w:val="004A622D"/>
    <w:rsid w:val="004A745F"/>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188"/>
    <w:rsid w:val="004C2330"/>
    <w:rsid w:val="004C707D"/>
    <w:rsid w:val="004C788B"/>
    <w:rsid w:val="004D0342"/>
    <w:rsid w:val="004D03C2"/>
    <w:rsid w:val="004D1333"/>
    <w:rsid w:val="004D1696"/>
    <w:rsid w:val="004D236A"/>
    <w:rsid w:val="004D2553"/>
    <w:rsid w:val="004D2A62"/>
    <w:rsid w:val="004D2E26"/>
    <w:rsid w:val="004D2FCF"/>
    <w:rsid w:val="004D4661"/>
    <w:rsid w:val="004D5ACC"/>
    <w:rsid w:val="004E0435"/>
    <w:rsid w:val="004E0F7D"/>
    <w:rsid w:val="004E1291"/>
    <w:rsid w:val="004E14CC"/>
    <w:rsid w:val="004E2130"/>
    <w:rsid w:val="004E3D38"/>
    <w:rsid w:val="004E4F3B"/>
    <w:rsid w:val="004E54FE"/>
    <w:rsid w:val="004E7184"/>
    <w:rsid w:val="004F0A7A"/>
    <w:rsid w:val="004F1C65"/>
    <w:rsid w:val="004F42C1"/>
    <w:rsid w:val="004F6344"/>
    <w:rsid w:val="005017A2"/>
    <w:rsid w:val="005019AC"/>
    <w:rsid w:val="00502A59"/>
    <w:rsid w:val="00503D3F"/>
    <w:rsid w:val="005044D9"/>
    <w:rsid w:val="00504AC5"/>
    <w:rsid w:val="00505AC7"/>
    <w:rsid w:val="005068F3"/>
    <w:rsid w:val="00506941"/>
    <w:rsid w:val="00511893"/>
    <w:rsid w:val="00511C6C"/>
    <w:rsid w:val="005129B2"/>
    <w:rsid w:val="00512D6B"/>
    <w:rsid w:val="00513B3E"/>
    <w:rsid w:val="005140D7"/>
    <w:rsid w:val="005143A9"/>
    <w:rsid w:val="005154CF"/>
    <w:rsid w:val="00515D94"/>
    <w:rsid w:val="00516547"/>
    <w:rsid w:val="00516942"/>
    <w:rsid w:val="00516B64"/>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3BA5"/>
    <w:rsid w:val="005451F9"/>
    <w:rsid w:val="005456CF"/>
    <w:rsid w:val="00546408"/>
    <w:rsid w:val="005465E7"/>
    <w:rsid w:val="0054720E"/>
    <w:rsid w:val="005477FF"/>
    <w:rsid w:val="00547C44"/>
    <w:rsid w:val="005502D9"/>
    <w:rsid w:val="00550F23"/>
    <w:rsid w:val="005545F9"/>
    <w:rsid w:val="005549E1"/>
    <w:rsid w:val="00555C51"/>
    <w:rsid w:val="00555CDD"/>
    <w:rsid w:val="00556EE6"/>
    <w:rsid w:val="00557A00"/>
    <w:rsid w:val="00557B43"/>
    <w:rsid w:val="00560010"/>
    <w:rsid w:val="00560594"/>
    <w:rsid w:val="00560D1B"/>
    <w:rsid w:val="00561C93"/>
    <w:rsid w:val="005630A4"/>
    <w:rsid w:val="00564D50"/>
    <w:rsid w:val="00565F62"/>
    <w:rsid w:val="005660EE"/>
    <w:rsid w:val="0056678C"/>
    <w:rsid w:val="00566BC7"/>
    <w:rsid w:val="00567FC5"/>
    <w:rsid w:val="00570215"/>
    <w:rsid w:val="00570851"/>
    <w:rsid w:val="00571B4A"/>
    <w:rsid w:val="005752B1"/>
    <w:rsid w:val="00580351"/>
    <w:rsid w:val="005809B4"/>
    <w:rsid w:val="00580A4E"/>
    <w:rsid w:val="005822B8"/>
    <w:rsid w:val="00582659"/>
    <w:rsid w:val="00582D4A"/>
    <w:rsid w:val="00583475"/>
    <w:rsid w:val="00583F43"/>
    <w:rsid w:val="00584149"/>
    <w:rsid w:val="005849A4"/>
    <w:rsid w:val="0058583D"/>
    <w:rsid w:val="00586675"/>
    <w:rsid w:val="00586F61"/>
    <w:rsid w:val="00591E65"/>
    <w:rsid w:val="00592546"/>
    <w:rsid w:val="00593932"/>
    <w:rsid w:val="00593AFE"/>
    <w:rsid w:val="00594A4C"/>
    <w:rsid w:val="0059540C"/>
    <w:rsid w:val="00595488"/>
    <w:rsid w:val="005A0066"/>
    <w:rsid w:val="005A06D7"/>
    <w:rsid w:val="005A1ED1"/>
    <w:rsid w:val="005A41FF"/>
    <w:rsid w:val="005A7140"/>
    <w:rsid w:val="005B060E"/>
    <w:rsid w:val="005B0A60"/>
    <w:rsid w:val="005B1738"/>
    <w:rsid w:val="005B1842"/>
    <w:rsid w:val="005B240C"/>
    <w:rsid w:val="005B2D41"/>
    <w:rsid w:val="005B3C50"/>
    <w:rsid w:val="005B4925"/>
    <w:rsid w:val="005B55BB"/>
    <w:rsid w:val="005B595D"/>
    <w:rsid w:val="005B6483"/>
    <w:rsid w:val="005B66FD"/>
    <w:rsid w:val="005B685B"/>
    <w:rsid w:val="005B6A9D"/>
    <w:rsid w:val="005B6E41"/>
    <w:rsid w:val="005B77B1"/>
    <w:rsid w:val="005B78AB"/>
    <w:rsid w:val="005C0810"/>
    <w:rsid w:val="005C1900"/>
    <w:rsid w:val="005C2546"/>
    <w:rsid w:val="005C3BCB"/>
    <w:rsid w:val="005C3F89"/>
    <w:rsid w:val="005C4C31"/>
    <w:rsid w:val="005C4FF8"/>
    <w:rsid w:val="005C6AF7"/>
    <w:rsid w:val="005C7F22"/>
    <w:rsid w:val="005D0B42"/>
    <w:rsid w:val="005D215C"/>
    <w:rsid w:val="005D2E49"/>
    <w:rsid w:val="005D31D4"/>
    <w:rsid w:val="005D3BFB"/>
    <w:rsid w:val="005D500B"/>
    <w:rsid w:val="005D517B"/>
    <w:rsid w:val="005D58AE"/>
    <w:rsid w:val="005D6727"/>
    <w:rsid w:val="005D7F1C"/>
    <w:rsid w:val="005E041C"/>
    <w:rsid w:val="005E2933"/>
    <w:rsid w:val="005E585B"/>
    <w:rsid w:val="005E6DD6"/>
    <w:rsid w:val="005E6E86"/>
    <w:rsid w:val="005E7938"/>
    <w:rsid w:val="005F0A71"/>
    <w:rsid w:val="005F0B96"/>
    <w:rsid w:val="005F0EBB"/>
    <w:rsid w:val="005F20E0"/>
    <w:rsid w:val="005F288F"/>
    <w:rsid w:val="005F2B6C"/>
    <w:rsid w:val="005F2BCB"/>
    <w:rsid w:val="005F3385"/>
    <w:rsid w:val="005F3898"/>
    <w:rsid w:val="005F3B5B"/>
    <w:rsid w:val="005F3CC2"/>
    <w:rsid w:val="005F3E7C"/>
    <w:rsid w:val="005F58C7"/>
    <w:rsid w:val="005F6095"/>
    <w:rsid w:val="00601FEB"/>
    <w:rsid w:val="00603694"/>
    <w:rsid w:val="00604370"/>
    <w:rsid w:val="00604636"/>
    <w:rsid w:val="0060476E"/>
    <w:rsid w:val="00604DBB"/>
    <w:rsid w:val="00605C33"/>
    <w:rsid w:val="00606788"/>
    <w:rsid w:val="00607523"/>
    <w:rsid w:val="006100CE"/>
    <w:rsid w:val="0061136C"/>
    <w:rsid w:val="006114C3"/>
    <w:rsid w:val="00611826"/>
    <w:rsid w:val="00611B88"/>
    <w:rsid w:val="00611F48"/>
    <w:rsid w:val="00612AC2"/>
    <w:rsid w:val="00613136"/>
    <w:rsid w:val="00613F8A"/>
    <w:rsid w:val="00613FA0"/>
    <w:rsid w:val="00614C03"/>
    <w:rsid w:val="00615A06"/>
    <w:rsid w:val="00620FF8"/>
    <w:rsid w:val="00621321"/>
    <w:rsid w:val="00622B5E"/>
    <w:rsid w:val="0062431B"/>
    <w:rsid w:val="006244CD"/>
    <w:rsid w:val="006251A8"/>
    <w:rsid w:val="006256CA"/>
    <w:rsid w:val="00625BD5"/>
    <w:rsid w:val="006265C6"/>
    <w:rsid w:val="00627886"/>
    <w:rsid w:val="00630010"/>
    <w:rsid w:val="00631DFF"/>
    <w:rsid w:val="00632EEC"/>
    <w:rsid w:val="00636D06"/>
    <w:rsid w:val="006379C9"/>
    <w:rsid w:val="00640F20"/>
    <w:rsid w:val="006413E8"/>
    <w:rsid w:val="00643393"/>
    <w:rsid w:val="00643A03"/>
    <w:rsid w:val="00644B26"/>
    <w:rsid w:val="006475D5"/>
    <w:rsid w:val="006520C3"/>
    <w:rsid w:val="00652128"/>
    <w:rsid w:val="00652650"/>
    <w:rsid w:val="00652DBF"/>
    <w:rsid w:val="00654295"/>
    <w:rsid w:val="006578DB"/>
    <w:rsid w:val="00660707"/>
    <w:rsid w:val="006609C1"/>
    <w:rsid w:val="00660A76"/>
    <w:rsid w:val="00660A7E"/>
    <w:rsid w:val="00660D25"/>
    <w:rsid w:val="00661B0C"/>
    <w:rsid w:val="0066355D"/>
    <w:rsid w:val="00663B13"/>
    <w:rsid w:val="00664949"/>
    <w:rsid w:val="006666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3550"/>
    <w:rsid w:val="00694A60"/>
    <w:rsid w:val="00694C3B"/>
    <w:rsid w:val="00695477"/>
    <w:rsid w:val="006975FC"/>
    <w:rsid w:val="00697602"/>
    <w:rsid w:val="006A292D"/>
    <w:rsid w:val="006A2CB1"/>
    <w:rsid w:val="006A4214"/>
    <w:rsid w:val="006A4448"/>
    <w:rsid w:val="006B1990"/>
    <w:rsid w:val="006B2ACD"/>
    <w:rsid w:val="006B31A4"/>
    <w:rsid w:val="006B36BB"/>
    <w:rsid w:val="006B3A0D"/>
    <w:rsid w:val="006B42CE"/>
    <w:rsid w:val="006B61D0"/>
    <w:rsid w:val="006B6A5C"/>
    <w:rsid w:val="006B7571"/>
    <w:rsid w:val="006B7B59"/>
    <w:rsid w:val="006C2573"/>
    <w:rsid w:val="006C2D9F"/>
    <w:rsid w:val="006C5DC6"/>
    <w:rsid w:val="006C7BF9"/>
    <w:rsid w:val="006C7C04"/>
    <w:rsid w:val="006D08D9"/>
    <w:rsid w:val="006D1B6A"/>
    <w:rsid w:val="006D1DD6"/>
    <w:rsid w:val="006D1FDB"/>
    <w:rsid w:val="006D2279"/>
    <w:rsid w:val="006D385A"/>
    <w:rsid w:val="006D3EF0"/>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176"/>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44FE"/>
    <w:rsid w:val="0071633D"/>
    <w:rsid w:val="007171DE"/>
    <w:rsid w:val="00717934"/>
    <w:rsid w:val="00717FC9"/>
    <w:rsid w:val="00720094"/>
    <w:rsid w:val="007206A3"/>
    <w:rsid w:val="0072101E"/>
    <w:rsid w:val="00722A46"/>
    <w:rsid w:val="007244D7"/>
    <w:rsid w:val="00727284"/>
    <w:rsid w:val="00731589"/>
    <w:rsid w:val="007318E8"/>
    <w:rsid w:val="007328E1"/>
    <w:rsid w:val="00732CE8"/>
    <w:rsid w:val="00733239"/>
    <w:rsid w:val="00734A9B"/>
    <w:rsid w:val="00734ADA"/>
    <w:rsid w:val="00735EE5"/>
    <w:rsid w:val="0074108A"/>
    <w:rsid w:val="0074155D"/>
    <w:rsid w:val="00741591"/>
    <w:rsid w:val="00742B70"/>
    <w:rsid w:val="0074402F"/>
    <w:rsid w:val="00746CAE"/>
    <w:rsid w:val="00752925"/>
    <w:rsid w:val="00752A49"/>
    <w:rsid w:val="00754294"/>
    <w:rsid w:val="00755BCE"/>
    <w:rsid w:val="00755BD7"/>
    <w:rsid w:val="0075647E"/>
    <w:rsid w:val="0075665E"/>
    <w:rsid w:val="00756875"/>
    <w:rsid w:val="00756BF1"/>
    <w:rsid w:val="00756E58"/>
    <w:rsid w:val="00757158"/>
    <w:rsid w:val="00757919"/>
    <w:rsid w:val="00757CE1"/>
    <w:rsid w:val="00757EF2"/>
    <w:rsid w:val="0076074D"/>
    <w:rsid w:val="0076471D"/>
    <w:rsid w:val="007662C0"/>
    <w:rsid w:val="00766662"/>
    <w:rsid w:val="00766773"/>
    <w:rsid w:val="00766C71"/>
    <w:rsid w:val="00766CC7"/>
    <w:rsid w:val="00766F04"/>
    <w:rsid w:val="0076736B"/>
    <w:rsid w:val="00772F60"/>
    <w:rsid w:val="0077494E"/>
    <w:rsid w:val="00774D42"/>
    <w:rsid w:val="007757D5"/>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5E2"/>
    <w:rsid w:val="00792AAD"/>
    <w:rsid w:val="007937B3"/>
    <w:rsid w:val="00793C1F"/>
    <w:rsid w:val="00794F2B"/>
    <w:rsid w:val="00795F2B"/>
    <w:rsid w:val="00796B3C"/>
    <w:rsid w:val="00796D87"/>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A7FAF"/>
    <w:rsid w:val="007B0E25"/>
    <w:rsid w:val="007B26CA"/>
    <w:rsid w:val="007B2DFC"/>
    <w:rsid w:val="007B2EB0"/>
    <w:rsid w:val="007B40D4"/>
    <w:rsid w:val="007B4881"/>
    <w:rsid w:val="007B49DC"/>
    <w:rsid w:val="007B65FA"/>
    <w:rsid w:val="007B6692"/>
    <w:rsid w:val="007C0329"/>
    <w:rsid w:val="007C0BF0"/>
    <w:rsid w:val="007C1033"/>
    <w:rsid w:val="007C564B"/>
    <w:rsid w:val="007C7465"/>
    <w:rsid w:val="007D2175"/>
    <w:rsid w:val="007D3CD7"/>
    <w:rsid w:val="007D43E8"/>
    <w:rsid w:val="007D4EBE"/>
    <w:rsid w:val="007D5C10"/>
    <w:rsid w:val="007E07DF"/>
    <w:rsid w:val="007E1AC2"/>
    <w:rsid w:val="007E296A"/>
    <w:rsid w:val="007E330C"/>
    <w:rsid w:val="007E37D0"/>
    <w:rsid w:val="007E53FF"/>
    <w:rsid w:val="007E6F7F"/>
    <w:rsid w:val="007E7A88"/>
    <w:rsid w:val="007F0197"/>
    <w:rsid w:val="007F0C87"/>
    <w:rsid w:val="007F29F5"/>
    <w:rsid w:val="007F2C2B"/>
    <w:rsid w:val="007F2F36"/>
    <w:rsid w:val="007F419F"/>
    <w:rsid w:val="007F54BA"/>
    <w:rsid w:val="007F64C0"/>
    <w:rsid w:val="007F678E"/>
    <w:rsid w:val="007F6EBD"/>
    <w:rsid w:val="007F7757"/>
    <w:rsid w:val="0080033D"/>
    <w:rsid w:val="00800A62"/>
    <w:rsid w:val="00800A9F"/>
    <w:rsid w:val="00801335"/>
    <w:rsid w:val="00802AA3"/>
    <w:rsid w:val="008037E4"/>
    <w:rsid w:val="00804494"/>
    <w:rsid w:val="008053D9"/>
    <w:rsid w:val="00805F2E"/>
    <w:rsid w:val="00806B5F"/>
    <w:rsid w:val="00806BB3"/>
    <w:rsid w:val="00806BE9"/>
    <w:rsid w:val="00807072"/>
    <w:rsid w:val="00807401"/>
    <w:rsid w:val="00807D4B"/>
    <w:rsid w:val="00810902"/>
    <w:rsid w:val="00811663"/>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971"/>
    <w:rsid w:val="00831A2E"/>
    <w:rsid w:val="00832DBF"/>
    <w:rsid w:val="00832E33"/>
    <w:rsid w:val="0083300E"/>
    <w:rsid w:val="008334AE"/>
    <w:rsid w:val="00834752"/>
    <w:rsid w:val="00835BBB"/>
    <w:rsid w:val="00835EAD"/>
    <w:rsid w:val="00836508"/>
    <w:rsid w:val="00836E06"/>
    <w:rsid w:val="00840D08"/>
    <w:rsid w:val="00841986"/>
    <w:rsid w:val="008424AE"/>
    <w:rsid w:val="00842A4E"/>
    <w:rsid w:val="0084355C"/>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16A9"/>
    <w:rsid w:val="0086277F"/>
    <w:rsid w:val="00864095"/>
    <w:rsid w:val="008650F1"/>
    <w:rsid w:val="00865974"/>
    <w:rsid w:val="00866432"/>
    <w:rsid w:val="00870568"/>
    <w:rsid w:val="0087067E"/>
    <w:rsid w:val="00870727"/>
    <w:rsid w:val="008726BD"/>
    <w:rsid w:val="00872BB9"/>
    <w:rsid w:val="0087504C"/>
    <w:rsid w:val="00875ACE"/>
    <w:rsid w:val="008768C8"/>
    <w:rsid w:val="0087697D"/>
    <w:rsid w:val="00877385"/>
    <w:rsid w:val="008774FC"/>
    <w:rsid w:val="00877E66"/>
    <w:rsid w:val="00880D4D"/>
    <w:rsid w:val="00881910"/>
    <w:rsid w:val="008830A1"/>
    <w:rsid w:val="00884A40"/>
    <w:rsid w:val="00884FF8"/>
    <w:rsid w:val="0088517F"/>
    <w:rsid w:val="00886015"/>
    <w:rsid w:val="0088608E"/>
    <w:rsid w:val="00890463"/>
    <w:rsid w:val="00891D4B"/>
    <w:rsid w:val="0089499B"/>
    <w:rsid w:val="00894EC0"/>
    <w:rsid w:val="00895C7C"/>
    <w:rsid w:val="0089669A"/>
    <w:rsid w:val="00896C5A"/>
    <w:rsid w:val="00896D71"/>
    <w:rsid w:val="0089767F"/>
    <w:rsid w:val="008A05AF"/>
    <w:rsid w:val="008A0D1F"/>
    <w:rsid w:val="008A0EC8"/>
    <w:rsid w:val="008A2276"/>
    <w:rsid w:val="008A273A"/>
    <w:rsid w:val="008A2DBE"/>
    <w:rsid w:val="008A381C"/>
    <w:rsid w:val="008A3BF5"/>
    <w:rsid w:val="008A413C"/>
    <w:rsid w:val="008A475E"/>
    <w:rsid w:val="008A48F8"/>
    <w:rsid w:val="008A4AF8"/>
    <w:rsid w:val="008A583E"/>
    <w:rsid w:val="008A594C"/>
    <w:rsid w:val="008A5B6B"/>
    <w:rsid w:val="008A6962"/>
    <w:rsid w:val="008A6F2E"/>
    <w:rsid w:val="008A70DB"/>
    <w:rsid w:val="008A7AFB"/>
    <w:rsid w:val="008A7E71"/>
    <w:rsid w:val="008B007A"/>
    <w:rsid w:val="008B3310"/>
    <w:rsid w:val="008B35A5"/>
    <w:rsid w:val="008B3600"/>
    <w:rsid w:val="008B4216"/>
    <w:rsid w:val="008B608B"/>
    <w:rsid w:val="008B64CD"/>
    <w:rsid w:val="008B6774"/>
    <w:rsid w:val="008B7B6B"/>
    <w:rsid w:val="008C0FCB"/>
    <w:rsid w:val="008C115C"/>
    <w:rsid w:val="008C18F2"/>
    <w:rsid w:val="008C27DB"/>
    <w:rsid w:val="008C362F"/>
    <w:rsid w:val="008C5868"/>
    <w:rsid w:val="008C62B8"/>
    <w:rsid w:val="008C6954"/>
    <w:rsid w:val="008C6E81"/>
    <w:rsid w:val="008C75C4"/>
    <w:rsid w:val="008D1B5E"/>
    <w:rsid w:val="008D2326"/>
    <w:rsid w:val="008D24F9"/>
    <w:rsid w:val="008D251D"/>
    <w:rsid w:val="008D3DBB"/>
    <w:rsid w:val="008D4F39"/>
    <w:rsid w:val="008D62CA"/>
    <w:rsid w:val="008D6E17"/>
    <w:rsid w:val="008D71CC"/>
    <w:rsid w:val="008E125E"/>
    <w:rsid w:val="008E1EC1"/>
    <w:rsid w:val="008E3770"/>
    <w:rsid w:val="008E4344"/>
    <w:rsid w:val="008E4DAC"/>
    <w:rsid w:val="008E6C96"/>
    <w:rsid w:val="008F0650"/>
    <w:rsid w:val="008F0D47"/>
    <w:rsid w:val="008F2631"/>
    <w:rsid w:val="008F2B93"/>
    <w:rsid w:val="008F6378"/>
    <w:rsid w:val="00900BD8"/>
    <w:rsid w:val="00901340"/>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4DA7"/>
    <w:rsid w:val="00935656"/>
    <w:rsid w:val="00937F6D"/>
    <w:rsid w:val="0094002C"/>
    <w:rsid w:val="009428D7"/>
    <w:rsid w:val="00942F8C"/>
    <w:rsid w:val="00944BA7"/>
    <w:rsid w:val="009454F9"/>
    <w:rsid w:val="00946A85"/>
    <w:rsid w:val="0094778B"/>
    <w:rsid w:val="00950757"/>
    <w:rsid w:val="00950C87"/>
    <w:rsid w:val="00950CCE"/>
    <w:rsid w:val="00950F26"/>
    <w:rsid w:val="00952965"/>
    <w:rsid w:val="00952B6F"/>
    <w:rsid w:val="00953D84"/>
    <w:rsid w:val="00954268"/>
    <w:rsid w:val="00954499"/>
    <w:rsid w:val="00954EED"/>
    <w:rsid w:val="009556C6"/>
    <w:rsid w:val="00955893"/>
    <w:rsid w:val="00957CFA"/>
    <w:rsid w:val="009610E7"/>
    <w:rsid w:val="009615C7"/>
    <w:rsid w:val="009619EB"/>
    <w:rsid w:val="00961AF3"/>
    <w:rsid w:val="00962DED"/>
    <w:rsid w:val="00966A97"/>
    <w:rsid w:val="00966E0D"/>
    <w:rsid w:val="00967F86"/>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4FA3"/>
    <w:rsid w:val="009B579C"/>
    <w:rsid w:val="009B57E0"/>
    <w:rsid w:val="009B5CE9"/>
    <w:rsid w:val="009B60DF"/>
    <w:rsid w:val="009B7353"/>
    <w:rsid w:val="009C08FE"/>
    <w:rsid w:val="009C0DF4"/>
    <w:rsid w:val="009C20CF"/>
    <w:rsid w:val="009C340D"/>
    <w:rsid w:val="009C38DC"/>
    <w:rsid w:val="009C3F7E"/>
    <w:rsid w:val="009C4402"/>
    <w:rsid w:val="009C4AAE"/>
    <w:rsid w:val="009C4DE8"/>
    <w:rsid w:val="009C5068"/>
    <w:rsid w:val="009C5BB6"/>
    <w:rsid w:val="009C6BB2"/>
    <w:rsid w:val="009C6D89"/>
    <w:rsid w:val="009C7626"/>
    <w:rsid w:val="009C7EB5"/>
    <w:rsid w:val="009D1F53"/>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4B6B"/>
    <w:rsid w:val="00A0506D"/>
    <w:rsid w:val="00A05121"/>
    <w:rsid w:val="00A0534D"/>
    <w:rsid w:val="00A063D0"/>
    <w:rsid w:val="00A07EC8"/>
    <w:rsid w:val="00A101E3"/>
    <w:rsid w:val="00A106F5"/>
    <w:rsid w:val="00A10943"/>
    <w:rsid w:val="00A10ED9"/>
    <w:rsid w:val="00A13F97"/>
    <w:rsid w:val="00A15F89"/>
    <w:rsid w:val="00A16593"/>
    <w:rsid w:val="00A17EB5"/>
    <w:rsid w:val="00A21CE1"/>
    <w:rsid w:val="00A22BCB"/>
    <w:rsid w:val="00A240AD"/>
    <w:rsid w:val="00A24175"/>
    <w:rsid w:val="00A245E5"/>
    <w:rsid w:val="00A246A9"/>
    <w:rsid w:val="00A25552"/>
    <w:rsid w:val="00A26AB3"/>
    <w:rsid w:val="00A26D6B"/>
    <w:rsid w:val="00A27125"/>
    <w:rsid w:val="00A27519"/>
    <w:rsid w:val="00A27BEE"/>
    <w:rsid w:val="00A32091"/>
    <w:rsid w:val="00A32231"/>
    <w:rsid w:val="00A33B04"/>
    <w:rsid w:val="00A33F18"/>
    <w:rsid w:val="00A34B83"/>
    <w:rsid w:val="00A352A1"/>
    <w:rsid w:val="00A357D2"/>
    <w:rsid w:val="00A36248"/>
    <w:rsid w:val="00A37A5E"/>
    <w:rsid w:val="00A40295"/>
    <w:rsid w:val="00A41504"/>
    <w:rsid w:val="00A41860"/>
    <w:rsid w:val="00A419E5"/>
    <w:rsid w:val="00A4286A"/>
    <w:rsid w:val="00A42A69"/>
    <w:rsid w:val="00A4633F"/>
    <w:rsid w:val="00A46F51"/>
    <w:rsid w:val="00A47A6A"/>
    <w:rsid w:val="00A50139"/>
    <w:rsid w:val="00A547D4"/>
    <w:rsid w:val="00A55109"/>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54BA"/>
    <w:rsid w:val="00A75844"/>
    <w:rsid w:val="00A77881"/>
    <w:rsid w:val="00A77D78"/>
    <w:rsid w:val="00A81138"/>
    <w:rsid w:val="00A8351C"/>
    <w:rsid w:val="00A83D75"/>
    <w:rsid w:val="00A849C0"/>
    <w:rsid w:val="00A84AB9"/>
    <w:rsid w:val="00A852E9"/>
    <w:rsid w:val="00A862EB"/>
    <w:rsid w:val="00A86CDE"/>
    <w:rsid w:val="00A86DBF"/>
    <w:rsid w:val="00A90182"/>
    <w:rsid w:val="00A903EA"/>
    <w:rsid w:val="00A918D2"/>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0D8C"/>
    <w:rsid w:val="00AB1D9C"/>
    <w:rsid w:val="00AB3AE2"/>
    <w:rsid w:val="00AB3B4C"/>
    <w:rsid w:val="00AB3D14"/>
    <w:rsid w:val="00AB5F29"/>
    <w:rsid w:val="00AB65AE"/>
    <w:rsid w:val="00AC14EA"/>
    <w:rsid w:val="00AC20F1"/>
    <w:rsid w:val="00AC54D8"/>
    <w:rsid w:val="00AC7BE3"/>
    <w:rsid w:val="00AD065B"/>
    <w:rsid w:val="00AD2E99"/>
    <w:rsid w:val="00AD37C6"/>
    <w:rsid w:val="00AD397F"/>
    <w:rsid w:val="00AD4D41"/>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0E2D"/>
    <w:rsid w:val="00AF10F9"/>
    <w:rsid w:val="00AF2353"/>
    <w:rsid w:val="00AF29BA"/>
    <w:rsid w:val="00AF29CE"/>
    <w:rsid w:val="00AF2D59"/>
    <w:rsid w:val="00AF31D0"/>
    <w:rsid w:val="00AF6887"/>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6717"/>
    <w:rsid w:val="00B30863"/>
    <w:rsid w:val="00B30A52"/>
    <w:rsid w:val="00B3114E"/>
    <w:rsid w:val="00B31EF3"/>
    <w:rsid w:val="00B32C0D"/>
    <w:rsid w:val="00B3499C"/>
    <w:rsid w:val="00B3563B"/>
    <w:rsid w:val="00B361BB"/>
    <w:rsid w:val="00B368D9"/>
    <w:rsid w:val="00B37C57"/>
    <w:rsid w:val="00B37D2D"/>
    <w:rsid w:val="00B4022D"/>
    <w:rsid w:val="00B40EA3"/>
    <w:rsid w:val="00B42B56"/>
    <w:rsid w:val="00B42CB4"/>
    <w:rsid w:val="00B43F78"/>
    <w:rsid w:val="00B44EEC"/>
    <w:rsid w:val="00B46621"/>
    <w:rsid w:val="00B47D25"/>
    <w:rsid w:val="00B501DA"/>
    <w:rsid w:val="00B5336D"/>
    <w:rsid w:val="00B544D6"/>
    <w:rsid w:val="00B5476F"/>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7E3"/>
    <w:rsid w:val="00B95CFC"/>
    <w:rsid w:val="00B96881"/>
    <w:rsid w:val="00BA0223"/>
    <w:rsid w:val="00BA10C2"/>
    <w:rsid w:val="00BA1FCF"/>
    <w:rsid w:val="00BA4E54"/>
    <w:rsid w:val="00BA5353"/>
    <w:rsid w:val="00BA6A0F"/>
    <w:rsid w:val="00BA6E70"/>
    <w:rsid w:val="00BB0426"/>
    <w:rsid w:val="00BB0623"/>
    <w:rsid w:val="00BB204F"/>
    <w:rsid w:val="00BB2B87"/>
    <w:rsid w:val="00BB6B24"/>
    <w:rsid w:val="00BB7F82"/>
    <w:rsid w:val="00BC005C"/>
    <w:rsid w:val="00BC0F8E"/>
    <w:rsid w:val="00BC1462"/>
    <w:rsid w:val="00BC163C"/>
    <w:rsid w:val="00BC2AB2"/>
    <w:rsid w:val="00BC40D7"/>
    <w:rsid w:val="00BC4F68"/>
    <w:rsid w:val="00BC66EB"/>
    <w:rsid w:val="00BC751E"/>
    <w:rsid w:val="00BD0295"/>
    <w:rsid w:val="00BD0BFF"/>
    <w:rsid w:val="00BD0EFB"/>
    <w:rsid w:val="00BD27C8"/>
    <w:rsid w:val="00BD2D7E"/>
    <w:rsid w:val="00BD310C"/>
    <w:rsid w:val="00BD3127"/>
    <w:rsid w:val="00BD3407"/>
    <w:rsid w:val="00BD3A23"/>
    <w:rsid w:val="00BD4848"/>
    <w:rsid w:val="00BD48A6"/>
    <w:rsid w:val="00BD4FD3"/>
    <w:rsid w:val="00BE1360"/>
    <w:rsid w:val="00BE1F96"/>
    <w:rsid w:val="00BE1FE7"/>
    <w:rsid w:val="00BE2AEC"/>
    <w:rsid w:val="00BE2C2F"/>
    <w:rsid w:val="00BE32ED"/>
    <w:rsid w:val="00BE3691"/>
    <w:rsid w:val="00BE4978"/>
    <w:rsid w:val="00BE4A3A"/>
    <w:rsid w:val="00BE5ECC"/>
    <w:rsid w:val="00BE6E72"/>
    <w:rsid w:val="00BE76B9"/>
    <w:rsid w:val="00BF24DC"/>
    <w:rsid w:val="00BF2874"/>
    <w:rsid w:val="00BF2C5A"/>
    <w:rsid w:val="00BF3559"/>
    <w:rsid w:val="00BF41DA"/>
    <w:rsid w:val="00BF4FB5"/>
    <w:rsid w:val="00BF5A45"/>
    <w:rsid w:val="00BF5B7A"/>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380D"/>
    <w:rsid w:val="00C342C2"/>
    <w:rsid w:val="00C34680"/>
    <w:rsid w:val="00C34FE9"/>
    <w:rsid w:val="00C35D67"/>
    <w:rsid w:val="00C361AE"/>
    <w:rsid w:val="00C36FB3"/>
    <w:rsid w:val="00C405A7"/>
    <w:rsid w:val="00C41223"/>
    <w:rsid w:val="00C44272"/>
    <w:rsid w:val="00C443D4"/>
    <w:rsid w:val="00C44C70"/>
    <w:rsid w:val="00C451DC"/>
    <w:rsid w:val="00C46966"/>
    <w:rsid w:val="00C479DB"/>
    <w:rsid w:val="00C5120F"/>
    <w:rsid w:val="00C52154"/>
    <w:rsid w:val="00C5361F"/>
    <w:rsid w:val="00C54410"/>
    <w:rsid w:val="00C55A43"/>
    <w:rsid w:val="00C562F5"/>
    <w:rsid w:val="00C5780C"/>
    <w:rsid w:val="00C60089"/>
    <w:rsid w:val="00C6015A"/>
    <w:rsid w:val="00C60E74"/>
    <w:rsid w:val="00C64AB9"/>
    <w:rsid w:val="00C666E3"/>
    <w:rsid w:val="00C73BD5"/>
    <w:rsid w:val="00C74739"/>
    <w:rsid w:val="00C74879"/>
    <w:rsid w:val="00C7566F"/>
    <w:rsid w:val="00C75B21"/>
    <w:rsid w:val="00C77CA7"/>
    <w:rsid w:val="00C77D41"/>
    <w:rsid w:val="00C8101F"/>
    <w:rsid w:val="00C81E26"/>
    <w:rsid w:val="00C82637"/>
    <w:rsid w:val="00C82765"/>
    <w:rsid w:val="00C8304B"/>
    <w:rsid w:val="00C83466"/>
    <w:rsid w:val="00C861CA"/>
    <w:rsid w:val="00C86829"/>
    <w:rsid w:val="00C868EB"/>
    <w:rsid w:val="00C90543"/>
    <w:rsid w:val="00C90795"/>
    <w:rsid w:val="00C928F5"/>
    <w:rsid w:val="00C92F34"/>
    <w:rsid w:val="00C937F0"/>
    <w:rsid w:val="00C94905"/>
    <w:rsid w:val="00C94E5A"/>
    <w:rsid w:val="00C96289"/>
    <w:rsid w:val="00C97C62"/>
    <w:rsid w:val="00CA13E6"/>
    <w:rsid w:val="00CA2396"/>
    <w:rsid w:val="00CA2560"/>
    <w:rsid w:val="00CA3FAC"/>
    <w:rsid w:val="00CA47A3"/>
    <w:rsid w:val="00CA65F8"/>
    <w:rsid w:val="00CA6D82"/>
    <w:rsid w:val="00CB174C"/>
    <w:rsid w:val="00CB1D7B"/>
    <w:rsid w:val="00CB2D8D"/>
    <w:rsid w:val="00CB40E0"/>
    <w:rsid w:val="00CB4F66"/>
    <w:rsid w:val="00CB5002"/>
    <w:rsid w:val="00CB5BC9"/>
    <w:rsid w:val="00CB60CC"/>
    <w:rsid w:val="00CB6149"/>
    <w:rsid w:val="00CB647B"/>
    <w:rsid w:val="00CB7220"/>
    <w:rsid w:val="00CC01C2"/>
    <w:rsid w:val="00CC13D2"/>
    <w:rsid w:val="00CC1AC2"/>
    <w:rsid w:val="00CC253B"/>
    <w:rsid w:val="00CC2A6E"/>
    <w:rsid w:val="00CC30EC"/>
    <w:rsid w:val="00CC32DD"/>
    <w:rsid w:val="00CC3D2F"/>
    <w:rsid w:val="00CC4287"/>
    <w:rsid w:val="00CC4451"/>
    <w:rsid w:val="00CC694F"/>
    <w:rsid w:val="00CC7E8D"/>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318"/>
    <w:rsid w:val="00CF070D"/>
    <w:rsid w:val="00CF1BD7"/>
    <w:rsid w:val="00CF2FDE"/>
    <w:rsid w:val="00CF502F"/>
    <w:rsid w:val="00CF5676"/>
    <w:rsid w:val="00CF5A65"/>
    <w:rsid w:val="00CF6DD7"/>
    <w:rsid w:val="00CF71EE"/>
    <w:rsid w:val="00CF7755"/>
    <w:rsid w:val="00CF7C44"/>
    <w:rsid w:val="00D00BB6"/>
    <w:rsid w:val="00D02099"/>
    <w:rsid w:val="00D05B72"/>
    <w:rsid w:val="00D06AF0"/>
    <w:rsid w:val="00D06CFA"/>
    <w:rsid w:val="00D076A4"/>
    <w:rsid w:val="00D10B32"/>
    <w:rsid w:val="00D11101"/>
    <w:rsid w:val="00D121DA"/>
    <w:rsid w:val="00D1282F"/>
    <w:rsid w:val="00D12E7D"/>
    <w:rsid w:val="00D13508"/>
    <w:rsid w:val="00D13AC5"/>
    <w:rsid w:val="00D1474B"/>
    <w:rsid w:val="00D16D15"/>
    <w:rsid w:val="00D204A6"/>
    <w:rsid w:val="00D20847"/>
    <w:rsid w:val="00D20F45"/>
    <w:rsid w:val="00D20F51"/>
    <w:rsid w:val="00D21104"/>
    <w:rsid w:val="00D2114E"/>
    <w:rsid w:val="00D219DF"/>
    <w:rsid w:val="00D21BBD"/>
    <w:rsid w:val="00D21EC3"/>
    <w:rsid w:val="00D2395F"/>
    <w:rsid w:val="00D23A99"/>
    <w:rsid w:val="00D24A96"/>
    <w:rsid w:val="00D25113"/>
    <w:rsid w:val="00D25D20"/>
    <w:rsid w:val="00D2621F"/>
    <w:rsid w:val="00D26D5C"/>
    <w:rsid w:val="00D272DE"/>
    <w:rsid w:val="00D27602"/>
    <w:rsid w:val="00D27D3A"/>
    <w:rsid w:val="00D31995"/>
    <w:rsid w:val="00D31BFA"/>
    <w:rsid w:val="00D34969"/>
    <w:rsid w:val="00D35023"/>
    <w:rsid w:val="00D35600"/>
    <w:rsid w:val="00D362A4"/>
    <w:rsid w:val="00D3701F"/>
    <w:rsid w:val="00D37F98"/>
    <w:rsid w:val="00D41337"/>
    <w:rsid w:val="00D438F7"/>
    <w:rsid w:val="00D43C45"/>
    <w:rsid w:val="00D46506"/>
    <w:rsid w:val="00D47B40"/>
    <w:rsid w:val="00D51987"/>
    <w:rsid w:val="00D520A3"/>
    <w:rsid w:val="00D531CD"/>
    <w:rsid w:val="00D54E87"/>
    <w:rsid w:val="00D555B9"/>
    <w:rsid w:val="00D55C41"/>
    <w:rsid w:val="00D56ABD"/>
    <w:rsid w:val="00D56DDF"/>
    <w:rsid w:val="00D56DFA"/>
    <w:rsid w:val="00D572EF"/>
    <w:rsid w:val="00D609D7"/>
    <w:rsid w:val="00D63730"/>
    <w:rsid w:val="00D64D49"/>
    <w:rsid w:val="00D664D8"/>
    <w:rsid w:val="00D72C9C"/>
    <w:rsid w:val="00D73DF2"/>
    <w:rsid w:val="00D748CF"/>
    <w:rsid w:val="00D74CE7"/>
    <w:rsid w:val="00D74DB0"/>
    <w:rsid w:val="00D7640E"/>
    <w:rsid w:val="00D766FD"/>
    <w:rsid w:val="00D76F14"/>
    <w:rsid w:val="00D807DC"/>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97515"/>
    <w:rsid w:val="00DA1279"/>
    <w:rsid w:val="00DA31C9"/>
    <w:rsid w:val="00DA3242"/>
    <w:rsid w:val="00DA4514"/>
    <w:rsid w:val="00DA4D85"/>
    <w:rsid w:val="00DA5F3F"/>
    <w:rsid w:val="00DA614E"/>
    <w:rsid w:val="00DB207F"/>
    <w:rsid w:val="00DB301D"/>
    <w:rsid w:val="00DB3BE4"/>
    <w:rsid w:val="00DB3CF8"/>
    <w:rsid w:val="00DB442A"/>
    <w:rsid w:val="00DB4A78"/>
    <w:rsid w:val="00DB4AE5"/>
    <w:rsid w:val="00DB5BB7"/>
    <w:rsid w:val="00DB7853"/>
    <w:rsid w:val="00DB7EC3"/>
    <w:rsid w:val="00DB7FAB"/>
    <w:rsid w:val="00DC0097"/>
    <w:rsid w:val="00DC0C3C"/>
    <w:rsid w:val="00DC0E19"/>
    <w:rsid w:val="00DC18DD"/>
    <w:rsid w:val="00DC3796"/>
    <w:rsid w:val="00DC42BE"/>
    <w:rsid w:val="00DC4479"/>
    <w:rsid w:val="00DC6BFE"/>
    <w:rsid w:val="00DC6EC1"/>
    <w:rsid w:val="00DC748F"/>
    <w:rsid w:val="00DC7D10"/>
    <w:rsid w:val="00DC7E74"/>
    <w:rsid w:val="00DD0660"/>
    <w:rsid w:val="00DD1166"/>
    <w:rsid w:val="00DD151D"/>
    <w:rsid w:val="00DD1A6D"/>
    <w:rsid w:val="00DD25A5"/>
    <w:rsid w:val="00DD34E8"/>
    <w:rsid w:val="00DD363B"/>
    <w:rsid w:val="00DD3987"/>
    <w:rsid w:val="00DD3AC3"/>
    <w:rsid w:val="00DD568D"/>
    <w:rsid w:val="00DD5B89"/>
    <w:rsid w:val="00DD7053"/>
    <w:rsid w:val="00DE0157"/>
    <w:rsid w:val="00DE08B6"/>
    <w:rsid w:val="00DE407F"/>
    <w:rsid w:val="00DE40EA"/>
    <w:rsid w:val="00DE4F7C"/>
    <w:rsid w:val="00DE521E"/>
    <w:rsid w:val="00DE7719"/>
    <w:rsid w:val="00DE7E91"/>
    <w:rsid w:val="00DF154F"/>
    <w:rsid w:val="00DF1605"/>
    <w:rsid w:val="00DF22E9"/>
    <w:rsid w:val="00DF2AB8"/>
    <w:rsid w:val="00DF34B5"/>
    <w:rsid w:val="00DF3717"/>
    <w:rsid w:val="00DF4957"/>
    <w:rsid w:val="00DF4B20"/>
    <w:rsid w:val="00DF560A"/>
    <w:rsid w:val="00DF75D4"/>
    <w:rsid w:val="00DF7CF3"/>
    <w:rsid w:val="00E00308"/>
    <w:rsid w:val="00E00607"/>
    <w:rsid w:val="00E008E1"/>
    <w:rsid w:val="00E01A48"/>
    <w:rsid w:val="00E04FF3"/>
    <w:rsid w:val="00E05427"/>
    <w:rsid w:val="00E059BE"/>
    <w:rsid w:val="00E05D3F"/>
    <w:rsid w:val="00E062AD"/>
    <w:rsid w:val="00E0643C"/>
    <w:rsid w:val="00E1062A"/>
    <w:rsid w:val="00E11EB3"/>
    <w:rsid w:val="00E12670"/>
    <w:rsid w:val="00E12CDB"/>
    <w:rsid w:val="00E13C85"/>
    <w:rsid w:val="00E140DB"/>
    <w:rsid w:val="00E15056"/>
    <w:rsid w:val="00E15472"/>
    <w:rsid w:val="00E165D3"/>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1FB"/>
    <w:rsid w:val="00E31932"/>
    <w:rsid w:val="00E31C1B"/>
    <w:rsid w:val="00E3280F"/>
    <w:rsid w:val="00E33ADC"/>
    <w:rsid w:val="00E34149"/>
    <w:rsid w:val="00E36372"/>
    <w:rsid w:val="00E36445"/>
    <w:rsid w:val="00E36674"/>
    <w:rsid w:val="00E36939"/>
    <w:rsid w:val="00E37D92"/>
    <w:rsid w:val="00E401CD"/>
    <w:rsid w:val="00E41A40"/>
    <w:rsid w:val="00E42CDA"/>
    <w:rsid w:val="00E43062"/>
    <w:rsid w:val="00E43354"/>
    <w:rsid w:val="00E43A57"/>
    <w:rsid w:val="00E4548E"/>
    <w:rsid w:val="00E476AE"/>
    <w:rsid w:val="00E47B7D"/>
    <w:rsid w:val="00E51C8F"/>
    <w:rsid w:val="00E578ED"/>
    <w:rsid w:val="00E60608"/>
    <w:rsid w:val="00E60BC8"/>
    <w:rsid w:val="00E61E70"/>
    <w:rsid w:val="00E61EEA"/>
    <w:rsid w:val="00E64659"/>
    <w:rsid w:val="00E64E60"/>
    <w:rsid w:val="00E65123"/>
    <w:rsid w:val="00E669C2"/>
    <w:rsid w:val="00E678B6"/>
    <w:rsid w:val="00E70F36"/>
    <w:rsid w:val="00E72662"/>
    <w:rsid w:val="00E7380A"/>
    <w:rsid w:val="00E74729"/>
    <w:rsid w:val="00E75929"/>
    <w:rsid w:val="00E76012"/>
    <w:rsid w:val="00E77AEC"/>
    <w:rsid w:val="00E77CC9"/>
    <w:rsid w:val="00E77DD3"/>
    <w:rsid w:val="00E8097E"/>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6FC6"/>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1CD"/>
    <w:rsid w:val="00EC38EC"/>
    <w:rsid w:val="00EC3A70"/>
    <w:rsid w:val="00EC3ACF"/>
    <w:rsid w:val="00EC41BB"/>
    <w:rsid w:val="00EC469C"/>
    <w:rsid w:val="00EC4787"/>
    <w:rsid w:val="00EC6E75"/>
    <w:rsid w:val="00ED0D81"/>
    <w:rsid w:val="00ED1B91"/>
    <w:rsid w:val="00ED206F"/>
    <w:rsid w:val="00ED20F2"/>
    <w:rsid w:val="00ED24E8"/>
    <w:rsid w:val="00ED2A25"/>
    <w:rsid w:val="00ED386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EF79AB"/>
    <w:rsid w:val="00F01222"/>
    <w:rsid w:val="00F03538"/>
    <w:rsid w:val="00F06A78"/>
    <w:rsid w:val="00F112E6"/>
    <w:rsid w:val="00F12153"/>
    <w:rsid w:val="00F1286B"/>
    <w:rsid w:val="00F13963"/>
    <w:rsid w:val="00F13999"/>
    <w:rsid w:val="00F13BAB"/>
    <w:rsid w:val="00F1403C"/>
    <w:rsid w:val="00F15A80"/>
    <w:rsid w:val="00F17916"/>
    <w:rsid w:val="00F20DB4"/>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3B0A"/>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6FAE"/>
    <w:rsid w:val="00F67A52"/>
    <w:rsid w:val="00F67AC6"/>
    <w:rsid w:val="00F708B2"/>
    <w:rsid w:val="00F715C5"/>
    <w:rsid w:val="00F72213"/>
    <w:rsid w:val="00F7456A"/>
    <w:rsid w:val="00F74CBB"/>
    <w:rsid w:val="00F75C2F"/>
    <w:rsid w:val="00F7649D"/>
    <w:rsid w:val="00F7790F"/>
    <w:rsid w:val="00F77BB5"/>
    <w:rsid w:val="00F8034E"/>
    <w:rsid w:val="00F84435"/>
    <w:rsid w:val="00F848C5"/>
    <w:rsid w:val="00F84B55"/>
    <w:rsid w:val="00F85DBF"/>
    <w:rsid w:val="00F86BC2"/>
    <w:rsid w:val="00F87F1A"/>
    <w:rsid w:val="00F90DB7"/>
    <w:rsid w:val="00F913BD"/>
    <w:rsid w:val="00F91F73"/>
    <w:rsid w:val="00F92336"/>
    <w:rsid w:val="00F927EF"/>
    <w:rsid w:val="00F93B57"/>
    <w:rsid w:val="00F94F01"/>
    <w:rsid w:val="00F94F04"/>
    <w:rsid w:val="00F9534F"/>
    <w:rsid w:val="00F95FF6"/>
    <w:rsid w:val="00F97809"/>
    <w:rsid w:val="00F97BB0"/>
    <w:rsid w:val="00F97C50"/>
    <w:rsid w:val="00FA0E11"/>
    <w:rsid w:val="00FA20C5"/>
    <w:rsid w:val="00FA4754"/>
    <w:rsid w:val="00FA50BB"/>
    <w:rsid w:val="00FA6503"/>
    <w:rsid w:val="00FA7884"/>
    <w:rsid w:val="00FA7C33"/>
    <w:rsid w:val="00FB27EB"/>
    <w:rsid w:val="00FB7845"/>
    <w:rsid w:val="00FB7B1C"/>
    <w:rsid w:val="00FB7C25"/>
    <w:rsid w:val="00FB7F4F"/>
    <w:rsid w:val="00FC03CC"/>
    <w:rsid w:val="00FC0DF4"/>
    <w:rsid w:val="00FC16AD"/>
    <w:rsid w:val="00FC1F16"/>
    <w:rsid w:val="00FC217E"/>
    <w:rsid w:val="00FC33C9"/>
    <w:rsid w:val="00FC6337"/>
    <w:rsid w:val="00FD08AE"/>
    <w:rsid w:val="00FD1EED"/>
    <w:rsid w:val="00FD209A"/>
    <w:rsid w:val="00FD20E5"/>
    <w:rsid w:val="00FD2D65"/>
    <w:rsid w:val="00FD32FC"/>
    <w:rsid w:val="00FD520D"/>
    <w:rsid w:val="00FD5FFF"/>
    <w:rsid w:val="00FD74C1"/>
    <w:rsid w:val="00FE13D9"/>
    <w:rsid w:val="00FE1AF1"/>
    <w:rsid w:val="00FE2BF6"/>
    <w:rsid w:val="00FE37A6"/>
    <w:rsid w:val="00FE4D41"/>
    <w:rsid w:val="00FE67A8"/>
    <w:rsid w:val="00FE792D"/>
    <w:rsid w:val="00FF1E0E"/>
    <w:rsid w:val="00FF32BC"/>
    <w:rsid w:val="00FF517F"/>
    <w:rsid w:val="06176615"/>
    <w:rsid w:val="11F91E59"/>
    <w:rsid w:val="12204B80"/>
    <w:rsid w:val="1A9D352D"/>
    <w:rsid w:val="1B7F4438"/>
    <w:rsid w:val="20AD0EEA"/>
    <w:rsid w:val="219E56C2"/>
    <w:rsid w:val="27E84267"/>
    <w:rsid w:val="3EE81156"/>
    <w:rsid w:val="404539BD"/>
    <w:rsid w:val="452C5D2F"/>
    <w:rsid w:val="625D72EF"/>
    <w:rsid w:val="6A7C73F0"/>
    <w:rsid w:val="6CA00E49"/>
    <w:rsid w:val="74DE4125"/>
    <w:rsid w:val="79540BBE"/>
    <w:rsid w:val="79D45380"/>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BE0A0"/>
  <w15:docId w15:val="{9F6191F8-E951-4161-A667-7C093873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e">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6">
    <w:name w:val="批注文字 字符"/>
    <w:link w:val="a5"/>
    <w:qFormat/>
    <w:rPr>
      <w:kern w:val="2"/>
      <w:sz w:val="21"/>
      <w:szCs w:val="24"/>
    </w:rPr>
  </w:style>
  <w:style w:type="paragraph" w:customStyle="1" w:styleId="12">
    <w:name w:val="修订1"/>
    <w:hidden/>
    <w:uiPriority w:val="99"/>
    <w:semiHidden/>
    <w:qFormat/>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2">
    <w:name w:val="修订2"/>
    <w:hidden/>
    <w:uiPriority w:val="99"/>
    <w:unhideWhenUsed/>
    <w:qFormat/>
    <w:rPr>
      <w:kern w:val="2"/>
      <w:sz w:val="21"/>
      <w:szCs w:val="24"/>
    </w:rPr>
  </w:style>
  <w:style w:type="paragraph" w:customStyle="1" w:styleId="Style49">
    <w:name w:val="_Style 49"/>
    <w:qFormat/>
    <w:pPr>
      <w:widowControl w:val="0"/>
      <w:jc w:val="both"/>
    </w:pPr>
    <w:rPr>
      <w:kern w:val="2"/>
      <w:sz w:val="21"/>
      <w:szCs w:val="24"/>
    </w:rPr>
  </w:style>
  <w:style w:type="character" w:customStyle="1" w:styleId="Char0">
    <w:name w:val="批注文字 Char"/>
    <w:qFormat/>
    <w:rPr>
      <w:rFonts w:eastAsia="宋体"/>
      <w:kern w:val="2"/>
      <w:sz w:val="21"/>
      <w:szCs w:val="24"/>
      <w:lang w:val="en-US" w:eastAsia="zh-CN" w:bidi="ar-SA"/>
    </w:rPr>
  </w:style>
  <w:style w:type="character" w:customStyle="1" w:styleId="Char4">
    <w:name w:val="标题 Char"/>
    <w:qFormat/>
    <w:rPr>
      <w:rFonts w:ascii="Arial" w:hAnsi="Arial" w:cs="Arial"/>
      <w:b/>
      <w:bCs/>
      <w:kern w:val="2"/>
      <w:sz w:val="32"/>
      <w:szCs w:val="32"/>
    </w:rPr>
  </w:style>
  <w:style w:type="character" w:customStyle="1" w:styleId="Char5">
    <w:name w:val="页脚 Char"/>
    <w:uiPriority w:val="99"/>
    <w:qFormat/>
    <w:rPr>
      <w:kern w:val="2"/>
      <w:sz w:val="18"/>
      <w:szCs w:val="18"/>
    </w:rPr>
  </w:style>
  <w:style w:type="character" w:customStyle="1" w:styleId="Char6">
    <w:name w:val="页眉 Char"/>
    <w:uiPriority w:val="99"/>
    <w:qFormat/>
    <w:rPr>
      <w:kern w:val="2"/>
      <w:sz w:val="18"/>
      <w:szCs w:val="18"/>
    </w:rPr>
  </w:style>
  <w:style w:type="character" w:customStyle="1" w:styleId="1Char">
    <w:name w:val="标题 1 Char"/>
    <w:basedOn w:val="a1"/>
    <w:qFormat/>
    <w:rPr>
      <w:b/>
      <w:bCs/>
      <w:kern w:val="44"/>
      <w:sz w:val="44"/>
      <w:szCs w:val="44"/>
    </w:rPr>
  </w:style>
  <w:style w:type="paragraph" w:customStyle="1" w:styleId="31">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13">
    <w:name w:val="批注文字 字符1"/>
    <w:basedOn w:val="a1"/>
    <w:qFormat/>
    <w:rsid w:val="005D517B"/>
    <w:rPr>
      <w:rFonts w:ascii="Times New Roman" w:eastAsia="宋体" w:hAnsi="Times New Roman" w:cs="Times New Roman"/>
      <w:szCs w:val="20"/>
    </w:rPr>
  </w:style>
  <w:style w:type="paragraph" w:styleId="af7">
    <w:name w:val="Revision"/>
    <w:hidden/>
    <w:uiPriority w:val="99"/>
    <w:semiHidden/>
    <w:rsid w:val="001A7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s:customData xmlns="http://www.wps.cn/officeDocument/2013/wpsCustomData" xmlns:s="http://www.wps.cn/officeDocument/2013/wpsCustomData">
  <customSectProps>
    <customSectPr/>
    <customSectPr/>
    <customSectPr/>
    <customSectPr/>
  </customSectProps>
</s:customDat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D501-72A9-4519-87E3-0114C322F390}">
  <ds:schemaRefs>
    <ds:schemaRef ds:uri="http://schemas.openxmlformats.org/officeDocument/2006/bibliography"/>
  </ds:schemaRefs>
</ds:datastoreItem>
</file>

<file path=customXml/itemProps10.xml><?xml version="1.0" encoding="utf-8"?>
<ds:datastoreItem xmlns:ds="http://schemas.openxmlformats.org/officeDocument/2006/customXml" ds:itemID="{AF5AAE1F-4040-417F-8A71-3438DE704C50}">
  <ds:schemaRefs>
    <ds:schemaRef ds:uri="http://schemas.openxmlformats.org/officeDocument/2006/bibliography"/>
  </ds:schemaRefs>
</ds:datastoreItem>
</file>

<file path=customXml/itemProps11.xml><?xml version="1.0" encoding="utf-8"?>
<ds:datastoreItem xmlns:ds="http://schemas.openxmlformats.org/officeDocument/2006/customXml" ds:itemID="{319CB528-92BA-4E2C-8BA7-D7E592219FF4}">
  <ds:schemaRefs>
    <ds:schemaRef ds:uri="http://schemas.openxmlformats.org/officeDocument/2006/bibliography"/>
  </ds:schemaRefs>
</ds:datastoreItem>
</file>

<file path=customXml/itemProps12.xml><?xml version="1.0" encoding="utf-8"?>
<ds:datastoreItem xmlns:ds="http://schemas.openxmlformats.org/officeDocument/2006/customXml" ds:itemID="{DA10EFDD-0CFD-4B8E-B6C4-AD123696BCC7}">
  <ds:schemaRefs>
    <ds:schemaRef ds:uri="http://schemas.openxmlformats.org/officeDocument/2006/bibliography"/>
  </ds:schemaRefs>
</ds:datastoreItem>
</file>

<file path=customXml/itemProps13.xml><?xml version="1.0" encoding="utf-8"?>
<ds:datastoreItem xmlns:ds="http://schemas.openxmlformats.org/officeDocument/2006/customXml" ds:itemID="{DD959781-723F-4CE1-95E0-9E15CA197C78}">
  <ds:schemaRefs>
    <ds:schemaRef ds:uri="http://schemas.openxmlformats.org/officeDocument/2006/bibliography"/>
  </ds:schemaRefs>
</ds:datastoreItem>
</file>

<file path=customXml/itemProps14.xml><?xml version="1.0" encoding="utf-8"?>
<ds:datastoreItem xmlns:ds="http://schemas.openxmlformats.org/officeDocument/2006/customXml" ds:itemID="{DDCFB7D1-7AF2-4D88-AEC8-8260329B20A7}">
  <ds:schemaRefs>
    <ds:schemaRef ds:uri="http://schemas.openxmlformats.org/officeDocument/2006/bibliography"/>
  </ds:schemaRefs>
</ds:datastoreItem>
</file>

<file path=customXml/itemProps15.xml><?xml version="1.0" encoding="utf-8"?>
<ds:datastoreItem xmlns:ds="http://schemas.openxmlformats.org/officeDocument/2006/customXml" ds:itemID="{00DDD81E-9F50-490E-8842-6883EE397824}">
  <ds:schemaRefs>
    <ds:schemaRef ds:uri="http://schemas.openxmlformats.org/officeDocument/2006/bibliography"/>
  </ds:schemaRefs>
</ds:datastoreItem>
</file>

<file path=customXml/itemProps16.xml><?xml version="1.0" encoding="utf-8"?>
<ds:datastoreItem xmlns:ds="http://schemas.openxmlformats.org/officeDocument/2006/customXml" ds:itemID="{B7D71555-C007-4E2C-9998-427EC4780850}">
  <ds:schemaRefs>
    <ds:schemaRef ds:uri="http://schemas.openxmlformats.org/officeDocument/2006/bibliography"/>
  </ds:schemaRefs>
</ds:datastoreItem>
</file>

<file path=customXml/itemProps17.xml><?xml version="1.0" encoding="utf-8"?>
<ds:datastoreItem xmlns:ds="http://schemas.openxmlformats.org/officeDocument/2006/customXml" ds:itemID="{15B78AE9-4880-45CE-9EE9-2E7598A9D66A}">
  <ds:schemaRefs>
    <ds:schemaRef ds:uri="http://schemas.openxmlformats.org/officeDocument/2006/bibliography"/>
  </ds:schemaRefs>
</ds:datastoreItem>
</file>

<file path=customXml/itemProps18.xml><?xml version="1.0" encoding="utf-8"?>
<ds:datastoreItem xmlns:ds="http://schemas.openxmlformats.org/officeDocument/2006/customXml" ds:itemID="{8C27E1F4-7B25-4883-BB08-60210105F7B1}">
  <ds:schemaRefs>
    <ds:schemaRef ds:uri="http://schemas.openxmlformats.org/officeDocument/2006/bibliography"/>
  </ds:schemaRefs>
</ds:datastoreItem>
</file>

<file path=customXml/itemProps19.xml><?xml version="1.0" encoding="utf-8"?>
<ds:datastoreItem xmlns:ds="http://schemas.openxmlformats.org/officeDocument/2006/customXml" ds:itemID="{82296D77-3014-4894-8997-EAE69A3B10C9}">
  <ds:schemaRefs>
    <ds:schemaRef ds:uri="http://schemas.openxmlformats.org/officeDocument/2006/bibliography"/>
  </ds:schemaRefs>
</ds:datastoreItem>
</file>

<file path=customXml/itemProps2.xml><?xml version="1.0" encoding="utf-8"?>
<ds:datastoreItem xmlns:ds="http://schemas.openxmlformats.org/officeDocument/2006/customXml" ds:itemID="{418DC8BB-E7D5-4939-BDA2-F938C61F0BB8}">
  <ds:schemaRefs>
    <ds:schemaRef ds:uri="http://schemas.openxmlformats.org/officeDocument/2006/bibliography"/>
  </ds:schemaRefs>
</ds:datastoreItem>
</file>

<file path=customXml/itemProps20.xml><?xml version="1.0" encoding="utf-8"?>
<ds:datastoreItem xmlns:ds="http://schemas.openxmlformats.org/officeDocument/2006/customXml" ds:itemID="{47BB07E6-C803-422F-8779-B0C810CF1A60}">
  <ds:schemaRefs>
    <ds:schemaRef ds:uri="http://schemas.openxmlformats.org/officeDocument/2006/bibliography"/>
  </ds:schemaRefs>
</ds:datastoreItem>
</file>

<file path=customXml/itemProps21.xml><?xml version="1.0" encoding="utf-8"?>
<ds:datastoreItem xmlns:ds="http://schemas.openxmlformats.org/officeDocument/2006/customXml" ds:itemID="{129914DE-CACE-4C20-84A9-DF178E469500}">
  <ds:schemaRefs>
    <ds:schemaRef ds:uri="http://schemas.openxmlformats.org/officeDocument/2006/bibliography"/>
  </ds:schemaRefs>
</ds:datastoreItem>
</file>

<file path=customXml/itemProps22.xml><?xml version="1.0" encoding="utf-8"?>
<ds:datastoreItem xmlns:ds="http://schemas.openxmlformats.org/officeDocument/2006/customXml" ds:itemID="{2651D9E7-F2CC-442E-84C7-7CB281B979D9}">
  <ds:schemaRefs>
    <ds:schemaRef ds:uri="http://schemas.openxmlformats.org/officeDocument/2006/bibliography"/>
  </ds:schemaRefs>
</ds:datastoreItem>
</file>

<file path=customXml/itemProps23.xml><?xml version="1.0" encoding="utf-8"?>
<ds:datastoreItem xmlns:ds="http://schemas.openxmlformats.org/officeDocument/2006/customXml" ds:itemID="{69404671-AFCF-4088-B83F-432F2902560F}">
  <ds:schemaRefs>
    <ds:schemaRef ds:uri="http://schemas.openxmlformats.org/officeDocument/2006/bibliography"/>
  </ds:schemaRefs>
</ds:datastoreItem>
</file>

<file path=customXml/itemProps24.xml><?xml version="1.0" encoding="utf-8"?>
<ds:datastoreItem xmlns:ds="http://schemas.openxmlformats.org/officeDocument/2006/customXml" ds:itemID="{49E96385-2C0F-4A4E-9699-4B9CA2AFECCA}">
  <ds:schemaRefs>
    <ds:schemaRef ds:uri="http://schemas.openxmlformats.org/officeDocument/2006/bibliography"/>
  </ds:schemaRefs>
</ds:datastoreItem>
</file>

<file path=customXml/itemProps25.xml><?xml version="1.0" encoding="utf-8"?>
<ds:datastoreItem xmlns:ds="http://schemas.openxmlformats.org/officeDocument/2006/customXml" ds:itemID="{3FBF33C2-9CA5-43EE-9508-3C063D4BCA3E}">
  <ds:schemaRefs>
    <ds:schemaRef ds:uri="http://schemas.openxmlformats.org/officeDocument/2006/bibliography"/>
  </ds:schemaRefs>
</ds:datastoreItem>
</file>

<file path=customXml/itemProps26.xml><?xml version="1.0" encoding="utf-8"?>
<ds:datastoreItem xmlns:ds="http://schemas.openxmlformats.org/officeDocument/2006/customXml" ds:itemID="{E17C8DA1-6AEB-43C2-A57B-84AF1DC213DD}">
  <ds:schemaRefs>
    <ds:schemaRef ds:uri="http://schemas.openxmlformats.org/officeDocument/2006/bibliography"/>
  </ds:schemaRefs>
</ds:datastoreItem>
</file>

<file path=customXml/itemProps27.xml><?xml version="1.0" encoding="utf-8"?>
<ds:datastoreItem xmlns:ds="http://schemas.openxmlformats.org/officeDocument/2006/customXml" ds:itemID="{390A20EE-58C9-4005-93FA-CAB99E8EACB3}">
  <ds:schemaRefs>
    <ds:schemaRef ds:uri="http://schemas.openxmlformats.org/officeDocument/2006/bibliography"/>
  </ds:schemaRefs>
</ds:datastoreItem>
</file>

<file path=customXml/itemProps28.xml><?xml version="1.0" encoding="utf-8"?>
<ds:datastoreItem xmlns:ds="http://schemas.openxmlformats.org/officeDocument/2006/customXml" ds:itemID="{8CAB4FFB-7060-4FFC-A22D-31C959F4A2E5}">
  <ds:schemaRefs>
    <ds:schemaRef ds:uri="http://schemas.openxmlformats.org/officeDocument/2006/bibliography"/>
  </ds:schemaRefs>
</ds:datastoreItem>
</file>

<file path=customXml/itemProps29.xml><?xml version="1.0" encoding="utf-8"?>
<ds:datastoreItem xmlns:ds="http://schemas.openxmlformats.org/officeDocument/2006/customXml" ds:itemID="{BE49085D-FBE3-4531-A12D-27F6CB87412A}">
  <ds:schemaRefs>
    <ds:schemaRef ds:uri="http://schemas.openxmlformats.org/officeDocument/2006/bibliography"/>
  </ds:schemaRefs>
</ds:datastoreItem>
</file>

<file path=customXml/itemProps3.xml><?xml version="1.0" encoding="utf-8"?>
<ds:datastoreItem xmlns:ds="http://schemas.openxmlformats.org/officeDocument/2006/customXml" ds:itemID="{82D1A0C9-FC9A-43DC-900B-013588D67D45}">
  <ds:schemaRefs>
    <ds:schemaRef ds:uri="http://schemas.openxmlformats.org/officeDocument/2006/bibliography"/>
  </ds:schemaRefs>
</ds:datastoreItem>
</file>

<file path=customXml/itemProps30.xml><?xml version="1.0" encoding="utf-8"?>
<ds:datastoreItem xmlns:ds="http://schemas.openxmlformats.org/officeDocument/2006/customXml" ds:itemID="{622717F0-8DD2-409F-9BB6-34A536BFFFCB}">
  <ds:schemaRefs>
    <ds:schemaRef ds:uri="http://schemas.openxmlformats.org/officeDocument/2006/bibliography"/>
  </ds:schemaRefs>
</ds:datastoreItem>
</file>

<file path=customXml/itemProps3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2.xml><?xml version="1.0" encoding="utf-8"?>
<ds:datastoreItem xmlns:ds="http://schemas.openxmlformats.org/officeDocument/2006/customXml" ds:itemID="{FF4687E1-9B4B-49EC-A4C0-AC57500EFBCE}">
  <ds:schemaRefs>
    <ds:schemaRef ds:uri="http://schemas.openxmlformats.org/officeDocument/2006/bibliography"/>
  </ds:schemaRefs>
</ds:datastoreItem>
</file>

<file path=customXml/itemProps33.xml><?xml version="1.0" encoding="utf-8"?>
<ds:datastoreItem xmlns:ds="http://schemas.openxmlformats.org/officeDocument/2006/customXml" ds:itemID="{7AE4D386-CE8D-4CDF-AEF4-6B433167C1A9}">
  <ds:schemaRefs>
    <ds:schemaRef ds:uri="http://schemas.openxmlformats.org/officeDocument/2006/bibliography"/>
  </ds:schemaRefs>
</ds:datastoreItem>
</file>

<file path=customXml/itemProps34.xml><?xml version="1.0" encoding="utf-8"?>
<ds:datastoreItem xmlns:ds="http://schemas.openxmlformats.org/officeDocument/2006/customXml" ds:itemID="{4AF83D82-6183-4B35-BB37-D946EAAAFCAE}">
  <ds:schemaRefs>
    <ds:schemaRef ds:uri="http://schemas.openxmlformats.org/officeDocument/2006/bibliography"/>
  </ds:schemaRefs>
</ds:datastoreItem>
</file>

<file path=customXml/itemProps35.xml><?xml version="1.0" encoding="utf-8"?>
<ds:datastoreItem xmlns:ds="http://schemas.openxmlformats.org/officeDocument/2006/customXml" ds:itemID="{E6DDFD6A-295D-4036-B7C7-1709004CB0EC}">
  <ds:schemaRefs>
    <ds:schemaRef ds:uri="http://schemas.openxmlformats.org/officeDocument/2006/bibliography"/>
  </ds:schemaRefs>
</ds:datastoreItem>
</file>

<file path=customXml/itemProps36.xml><?xml version="1.0" encoding="utf-8"?>
<ds:datastoreItem xmlns:ds="http://schemas.openxmlformats.org/officeDocument/2006/customXml" ds:itemID="{A2F169F7-EB49-4627-B8AF-E84881034B2F}">
  <ds:schemaRefs>
    <ds:schemaRef ds:uri="http://schemas.openxmlformats.org/officeDocument/2006/bibliography"/>
  </ds:schemaRefs>
</ds:datastoreItem>
</file>

<file path=customXml/itemProps37.xml><?xml version="1.0" encoding="utf-8"?>
<ds:datastoreItem xmlns:ds="http://schemas.openxmlformats.org/officeDocument/2006/customXml" ds:itemID="{EDA6A8AB-AF8F-4BA4-B925-E37D60F4E26A}">
  <ds:schemaRefs>
    <ds:schemaRef ds:uri="http://schemas.openxmlformats.org/officeDocument/2006/bibliography"/>
  </ds:schemaRefs>
</ds:datastoreItem>
</file>

<file path=customXml/itemProps4.xml><?xml version="1.0" encoding="utf-8"?>
<ds:datastoreItem xmlns:ds="http://schemas.openxmlformats.org/officeDocument/2006/customXml" ds:itemID="{BB737245-96ED-4448-8C86-7AF27ED84186}">
  <ds:schemaRefs>
    <ds:schemaRef ds:uri="http://schemas.openxmlformats.org/officeDocument/2006/bibliography"/>
  </ds:schemaRefs>
</ds:datastoreItem>
</file>

<file path=customXml/itemProps5.xml><?xml version="1.0" encoding="utf-8"?>
<ds:datastoreItem xmlns:ds="http://schemas.openxmlformats.org/officeDocument/2006/customXml" ds:itemID="{C366F4AD-DD32-4542-973F-C8C37F83EA90}">
  <ds:schemaRefs>
    <ds:schemaRef ds:uri="http://schemas.openxmlformats.org/officeDocument/2006/bibliography"/>
  </ds:schemaRefs>
</ds:datastoreItem>
</file>

<file path=customXml/itemProps6.xml><?xml version="1.0" encoding="utf-8"?>
<ds:datastoreItem xmlns:ds="http://schemas.openxmlformats.org/officeDocument/2006/customXml" ds:itemID="{73D8BC1D-B852-40E3-A707-05F818D3EAC1}">
  <ds:schemaRefs>
    <ds:schemaRef ds:uri="http://schemas.openxmlformats.org/officeDocument/2006/bibliography"/>
  </ds:schemaRefs>
</ds:datastoreItem>
</file>

<file path=customXml/itemProps7.xml><?xml version="1.0" encoding="utf-8"?>
<ds:datastoreItem xmlns:ds="http://schemas.openxmlformats.org/officeDocument/2006/customXml" ds:itemID="{67D25C6E-18F4-4420-9EA2-7C93A39EA217}">
  <ds:schemaRefs>
    <ds:schemaRef ds:uri="http://schemas.openxmlformats.org/officeDocument/2006/bibliography"/>
  </ds:schemaRefs>
</ds:datastoreItem>
</file>

<file path=customXml/itemProps8.xml><?xml version="1.0" encoding="utf-8"?>
<ds:datastoreItem xmlns:ds="http://schemas.openxmlformats.org/officeDocument/2006/customXml" ds:itemID="{92B5AB45-7566-423C-82E6-6653F02E68A3}">
  <ds:schemaRefs>
    <ds:schemaRef ds:uri="http://schemas.openxmlformats.org/officeDocument/2006/bibliography"/>
  </ds:schemaRefs>
</ds:datastoreItem>
</file>

<file path=customXml/itemProps9.xml><?xml version="1.0" encoding="utf-8"?>
<ds:datastoreItem xmlns:ds="http://schemas.openxmlformats.org/officeDocument/2006/customXml" ds:itemID="{CB7596AF-57A0-4738-9105-5322102F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4447</Words>
  <Characters>25348</Characters>
  <Application>Microsoft Office Word</Application>
  <DocSecurity>0</DocSecurity>
  <Lines>211</Lines>
  <Paragraphs>59</Paragraphs>
  <ScaleCrop>false</ScaleCrop>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刘晨晨</cp:lastModifiedBy>
  <cp:revision>12</cp:revision>
  <cp:lastPrinted>2023-06-27T07:08:00Z</cp:lastPrinted>
  <dcterms:created xsi:type="dcterms:W3CDTF">2024-12-12T09:32:00Z</dcterms:created>
  <dcterms:modified xsi:type="dcterms:W3CDTF">2025-03-05T01:06:00Z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89E225F198624148A6A3A04EB1673814</vt:lpwstr>
  </property>
</Properties>
</file>