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eastAsiaTheme="majorEastAsia"/>
          <w:b/>
          <w:sz w:val="30"/>
          <w:szCs w:val="30"/>
        </w:rPr>
      </w:pPr>
      <w:bookmarkStart w:id="0" w:name="_GoBack"/>
      <w:bookmarkEnd w:id="0"/>
      <w:r>
        <w:rPr>
          <w:rFonts w:ascii="Times New Roman" w:hAnsi="Times New Roman" w:cs="Times New Roman" w:eastAsiaTheme="majorEastAsia"/>
          <w:b/>
          <w:sz w:val="30"/>
          <w:szCs w:val="30"/>
        </w:rPr>
        <w:t>交银施罗德基金管理有限公司关于</w:t>
      </w:r>
      <w:r>
        <w:rPr>
          <w:rFonts w:hint="eastAsia" w:ascii="Times New Roman" w:hAnsi="Times New Roman" w:cs="Times New Roman" w:eastAsiaTheme="majorEastAsia"/>
          <w:b/>
          <w:sz w:val="30"/>
          <w:szCs w:val="30"/>
        </w:rPr>
        <w:t>调低旗下部分基金</w:t>
      </w:r>
    </w:p>
    <w:p>
      <w:pPr>
        <w:jc w:val="center"/>
        <w:rPr>
          <w:rFonts w:ascii="Times New Roman" w:hAnsi="Times New Roman" w:cs="Times New Roman" w:eastAsiaTheme="majorEastAsia"/>
          <w:sz w:val="30"/>
          <w:szCs w:val="30"/>
        </w:rPr>
      </w:pPr>
      <w:r>
        <w:rPr>
          <w:rFonts w:hint="eastAsia" w:ascii="Times New Roman" w:hAnsi="Times New Roman" w:cs="Times New Roman" w:eastAsiaTheme="majorEastAsia"/>
          <w:b/>
          <w:sz w:val="30"/>
          <w:szCs w:val="30"/>
        </w:rPr>
        <w:t>管理费率和/或</w:t>
      </w:r>
      <w:r>
        <w:rPr>
          <w:rFonts w:ascii="Times New Roman" w:hAnsi="Times New Roman" w:cs="Times New Roman" w:eastAsiaTheme="majorEastAsia"/>
          <w:b/>
          <w:sz w:val="30"/>
          <w:szCs w:val="30"/>
        </w:rPr>
        <w:t>托管费率并修改基金合同</w:t>
      </w:r>
      <w:r>
        <w:rPr>
          <w:rFonts w:hint="eastAsia" w:ascii="Times New Roman" w:hAnsi="Times New Roman" w:cs="Times New Roman" w:eastAsiaTheme="majorEastAsia"/>
          <w:b/>
          <w:sz w:val="30"/>
          <w:szCs w:val="30"/>
        </w:rPr>
        <w:t>等法律文件</w:t>
      </w:r>
      <w:r>
        <w:rPr>
          <w:rFonts w:ascii="Times New Roman" w:hAnsi="Times New Roman" w:cs="Times New Roman" w:eastAsiaTheme="majorEastAsia"/>
          <w:b/>
          <w:sz w:val="30"/>
          <w:szCs w:val="30"/>
        </w:rPr>
        <w:t>的公告</w:t>
      </w:r>
    </w:p>
    <w:p>
      <w:pPr>
        <w:jc w:val="center"/>
        <w:rPr>
          <w:rFonts w:ascii="Times New Roman" w:hAnsi="Times New Roman" w:cs="Times New Roman" w:eastAsiaTheme="majorEastAsia"/>
          <w:b/>
          <w:sz w:val="30"/>
          <w:szCs w:val="30"/>
        </w:rPr>
      </w:pPr>
    </w:p>
    <w:p>
      <w:pPr>
        <w:adjustRightInd w:val="0"/>
        <w:snapToGrid w:val="0"/>
        <w:spacing w:line="360" w:lineRule="auto"/>
        <w:ind w:firstLine="480" w:firstLineChars="200"/>
        <w:rPr>
          <w:rFonts w:ascii="Times New Roman" w:hAnsi="Times New Roman" w:cs="Times New Roman" w:eastAsiaTheme="majorEastAsia"/>
          <w:bCs/>
          <w:sz w:val="24"/>
          <w:szCs w:val="20"/>
        </w:rPr>
      </w:pPr>
      <w:r>
        <w:rPr>
          <w:rFonts w:ascii="Times New Roman" w:hAnsi="Times New Roman" w:cs="Times New Roman" w:eastAsiaTheme="majorEastAsia"/>
          <w:bCs/>
          <w:sz w:val="24"/>
          <w:szCs w:val="20"/>
        </w:rPr>
        <w:t>为更好地</w:t>
      </w:r>
      <w:r>
        <w:rPr>
          <w:rFonts w:hint="eastAsia" w:ascii="Times New Roman" w:hAnsi="Times New Roman" w:cs="Times New Roman" w:eastAsiaTheme="majorEastAsia"/>
          <w:bCs/>
          <w:sz w:val="24"/>
          <w:szCs w:val="20"/>
        </w:rPr>
        <w:t>满足广大投资者的投资需求，降低投资者的投资成本</w:t>
      </w:r>
      <w:r>
        <w:rPr>
          <w:rFonts w:ascii="Times New Roman" w:hAnsi="Times New Roman" w:cs="Times New Roman" w:eastAsiaTheme="majorEastAsia"/>
          <w:bCs/>
          <w:sz w:val="24"/>
          <w:szCs w:val="20"/>
        </w:rPr>
        <w:t>，交银施罗德基金管理有限公司（以下简称“本公司”）经与</w:t>
      </w:r>
      <w:r>
        <w:rPr>
          <w:rFonts w:hint="eastAsia" w:ascii="Times New Roman" w:hAnsi="Times New Roman" w:cs="Times New Roman" w:eastAsiaTheme="majorEastAsia"/>
          <w:bCs/>
          <w:sz w:val="24"/>
          <w:szCs w:val="20"/>
        </w:rPr>
        <w:t>旗下部分基金的各</w:t>
      </w:r>
      <w:r>
        <w:rPr>
          <w:rFonts w:ascii="Times New Roman" w:hAnsi="Times New Roman" w:cs="Times New Roman" w:eastAsiaTheme="majorEastAsia"/>
          <w:bCs/>
          <w:sz w:val="24"/>
          <w:szCs w:val="20"/>
        </w:rPr>
        <w:t>基金托管人协商一致</w:t>
      </w:r>
      <w:r>
        <w:rPr>
          <w:rFonts w:hint="eastAsia" w:ascii="Times New Roman" w:hAnsi="Times New Roman" w:cs="Times New Roman" w:eastAsiaTheme="majorEastAsia"/>
          <w:bCs/>
          <w:sz w:val="24"/>
          <w:szCs w:val="20"/>
        </w:rPr>
        <w:t>，决定</w:t>
      </w:r>
      <w:r>
        <w:rPr>
          <w:rFonts w:ascii="Times New Roman" w:hAnsi="Times New Roman" w:cs="Times New Roman" w:eastAsiaTheme="majorEastAsia"/>
          <w:bCs/>
          <w:sz w:val="24"/>
          <w:szCs w:val="20"/>
        </w:rPr>
        <w:t>自</w:t>
      </w:r>
      <w:r>
        <w:rPr>
          <w:rFonts w:hint="eastAsia" w:ascii="Times New Roman" w:hAnsi="Times New Roman" w:cs="Times New Roman" w:eastAsiaTheme="majorEastAsia"/>
          <w:bCs/>
          <w:sz w:val="24"/>
          <w:szCs w:val="20"/>
          <w:lang w:val="en-US" w:eastAsia="zh-CN"/>
        </w:rPr>
        <w:t>2025年2月11日</w:t>
      </w:r>
      <w:r>
        <w:rPr>
          <w:rFonts w:ascii="Times New Roman" w:hAnsi="Times New Roman" w:cs="Times New Roman" w:eastAsiaTheme="majorEastAsia"/>
          <w:bCs/>
          <w:sz w:val="24"/>
          <w:szCs w:val="20"/>
        </w:rPr>
        <w:t>起</w:t>
      </w:r>
      <w:r>
        <w:rPr>
          <w:rFonts w:hint="eastAsia" w:ascii="Times New Roman" w:hAnsi="Times New Roman" w:cs="Times New Roman" w:eastAsiaTheme="majorEastAsia"/>
          <w:bCs/>
          <w:sz w:val="24"/>
          <w:szCs w:val="20"/>
        </w:rPr>
        <w:t>调低旗下部分基金（具体基金清单请见附件）的管理费率和</w:t>
      </w:r>
      <w:r>
        <w:rPr>
          <w:rFonts w:ascii="Times New Roman" w:hAnsi="Times New Roman" w:cs="Times New Roman" w:eastAsiaTheme="majorEastAsia"/>
          <w:bCs/>
          <w:sz w:val="24"/>
          <w:szCs w:val="20"/>
        </w:rPr>
        <w:t>/</w:t>
      </w:r>
      <w:r>
        <w:rPr>
          <w:rFonts w:hint="eastAsia" w:ascii="Times New Roman" w:hAnsi="Times New Roman" w:cs="Times New Roman" w:eastAsiaTheme="majorEastAsia"/>
          <w:bCs/>
          <w:sz w:val="24"/>
          <w:szCs w:val="20"/>
        </w:rPr>
        <w:t>或</w:t>
      </w:r>
      <w:r>
        <w:rPr>
          <w:rFonts w:ascii="Times New Roman" w:hAnsi="Times New Roman" w:cs="Times New Roman" w:eastAsiaTheme="majorEastAsia"/>
          <w:bCs/>
          <w:sz w:val="24"/>
          <w:szCs w:val="20"/>
        </w:rPr>
        <w:t>托管费率，并对</w:t>
      </w:r>
      <w:r>
        <w:rPr>
          <w:rFonts w:hint="eastAsia" w:ascii="Times New Roman" w:hAnsi="Times New Roman" w:cs="Times New Roman" w:eastAsiaTheme="majorEastAsia"/>
          <w:bCs/>
          <w:sz w:val="24"/>
          <w:szCs w:val="20"/>
        </w:rPr>
        <w:t>涉及的各</w:t>
      </w:r>
      <w:r>
        <w:rPr>
          <w:rFonts w:ascii="Times New Roman" w:hAnsi="Times New Roman" w:cs="Times New Roman" w:eastAsiaTheme="majorEastAsia"/>
          <w:bCs/>
          <w:sz w:val="24"/>
          <w:szCs w:val="20"/>
        </w:rPr>
        <w:t>基金的基金合同</w:t>
      </w:r>
      <w:r>
        <w:rPr>
          <w:rFonts w:hint="eastAsia" w:ascii="Times New Roman" w:hAnsi="Times New Roman" w:cs="Times New Roman" w:eastAsiaTheme="majorEastAsia"/>
          <w:bCs/>
          <w:sz w:val="24"/>
          <w:szCs w:val="20"/>
        </w:rPr>
        <w:t>和其他法律文件</w:t>
      </w:r>
      <w:r>
        <w:rPr>
          <w:rFonts w:ascii="Times New Roman" w:hAnsi="Times New Roman" w:cs="Times New Roman" w:eastAsiaTheme="majorEastAsia"/>
          <w:bCs/>
          <w:sz w:val="24"/>
          <w:szCs w:val="20"/>
        </w:rPr>
        <w:t>作相应修改。</w:t>
      </w:r>
      <w:r>
        <w:rPr>
          <w:rFonts w:hint="eastAsia" w:ascii="Times New Roman" w:hAnsi="Times New Roman" w:cs="Times New Roman" w:eastAsiaTheme="majorEastAsia"/>
          <w:bCs/>
          <w:sz w:val="24"/>
          <w:szCs w:val="20"/>
        </w:rPr>
        <w:t>具体修改</w:t>
      </w:r>
      <w:r>
        <w:rPr>
          <w:rFonts w:ascii="Times New Roman" w:hAnsi="Times New Roman" w:cs="Times New Roman" w:eastAsiaTheme="majorEastAsia"/>
          <w:bCs/>
          <w:sz w:val="24"/>
          <w:szCs w:val="20"/>
        </w:rPr>
        <w:t>内容说明如下：</w:t>
      </w:r>
    </w:p>
    <w:p>
      <w:pPr>
        <w:pStyle w:val="9"/>
        <w:spacing w:line="360" w:lineRule="auto"/>
        <w:ind w:firstLine="480" w:firstLineChars="200"/>
        <w:rPr>
          <w:rFonts w:ascii="Times New Roman" w:hAnsi="Times New Roman" w:cs="Times New Roman" w:eastAsiaTheme="majorEastAsia"/>
          <w:bCs/>
          <w:szCs w:val="20"/>
        </w:rPr>
      </w:pPr>
      <w:r>
        <w:rPr>
          <w:rFonts w:hint="eastAsia" w:ascii="Times New Roman" w:hAnsi="Times New Roman" w:cs="Times New Roman" w:eastAsiaTheme="majorEastAsia"/>
          <w:bCs/>
          <w:szCs w:val="20"/>
        </w:rPr>
        <w:t>1、根据相关法律法规和基金合同的约定，本公司决定调低旗下部分基金的管理费率和/或托管费率，并对相关基金合同进行必要的修订。相关基金的名单及费率调整情况参见附件，相关基金的托管协议、更新的招募说明书、更新的基金产品资料概要据此相应进行必要修订。</w:t>
      </w:r>
    </w:p>
    <w:p>
      <w:pPr>
        <w:pStyle w:val="9"/>
        <w:spacing w:line="360" w:lineRule="auto"/>
        <w:ind w:firstLine="480" w:firstLineChars="200"/>
        <w:rPr>
          <w:rFonts w:ascii="Times New Roman" w:hAnsi="Times New Roman" w:cs="Times New Roman" w:eastAsiaTheme="majorEastAsia"/>
          <w:bCs/>
          <w:szCs w:val="20"/>
        </w:rPr>
      </w:pPr>
      <w:r>
        <w:rPr>
          <w:rFonts w:hint="eastAsia" w:ascii="Times New Roman" w:hAnsi="Times New Roman" w:cs="Times New Roman" w:eastAsiaTheme="majorEastAsia"/>
          <w:bCs/>
          <w:szCs w:val="20"/>
        </w:rPr>
        <w:t>2、本次相关基金的基金合同、托管协议、招募说明书和基金产品资料概要修订的内容和程序符合有关法律法规和基金合同的规定。修改后的相关基金的基金合同、托管协议全文将与本公告同日登载于基金管理人网站（www.fund001.com）。各基金招募说明书和基金产品资料概要将按照《基金信息披露管理办法》要求进行更新，供投资者查阅。</w:t>
      </w:r>
    </w:p>
    <w:p>
      <w:pPr>
        <w:pStyle w:val="9"/>
        <w:spacing w:line="360" w:lineRule="auto"/>
        <w:ind w:firstLine="480" w:firstLineChars="200"/>
        <w:rPr>
          <w:rFonts w:ascii="Times New Roman" w:hAnsi="Times New Roman" w:cs="Times New Roman" w:eastAsiaTheme="majorEastAsia"/>
          <w:color w:val="000000"/>
        </w:rPr>
      </w:pPr>
      <w:r>
        <w:rPr>
          <w:rFonts w:ascii="Times New Roman" w:hAnsi="Times New Roman" w:cs="Times New Roman" w:eastAsiaTheme="majorEastAsia"/>
          <w:color w:val="000000"/>
        </w:rPr>
        <w:t>3</w:t>
      </w:r>
      <w:r>
        <w:rPr>
          <w:rFonts w:hint="eastAsia" w:ascii="Times New Roman" w:hAnsi="Times New Roman" w:cs="Times New Roman" w:eastAsiaTheme="majorEastAsia"/>
          <w:color w:val="000000"/>
        </w:rPr>
        <w:t>、投资者可登录本基金管理人网站（www.fund001.com）或拨打本基金管理人的客户服务电话400-700-5000（免长途话费），（021）61055000进行咨询、查询</w:t>
      </w:r>
      <w:r>
        <w:rPr>
          <w:rFonts w:ascii="Times New Roman" w:hAnsi="Times New Roman" w:cs="Times New Roman" w:eastAsiaTheme="majorEastAsia"/>
          <w:color w:val="000000"/>
        </w:rPr>
        <w:t>。</w:t>
      </w:r>
    </w:p>
    <w:p>
      <w:pPr>
        <w:pStyle w:val="9"/>
        <w:spacing w:line="360" w:lineRule="auto"/>
        <w:ind w:firstLine="480" w:firstLineChars="200"/>
        <w:rPr>
          <w:rFonts w:ascii="Times New Roman" w:hAnsi="Times New Roman" w:cs="Times New Roman" w:eastAsiaTheme="majorEastAsia"/>
          <w:color w:val="000000"/>
        </w:rPr>
      </w:pPr>
      <w:r>
        <w:rPr>
          <w:rFonts w:ascii="Times New Roman" w:hAnsi="Times New Roman" w:cs="Times New Roman" w:eastAsiaTheme="major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pPr>
        <w:pStyle w:val="9"/>
        <w:spacing w:before="0" w:beforeAutospacing="0" w:after="0" w:afterAutospacing="0" w:line="360" w:lineRule="auto"/>
        <w:ind w:firstLine="480" w:firstLineChars="200"/>
        <w:rPr>
          <w:rFonts w:ascii="Times New Roman" w:hAnsi="Times New Roman" w:cs="Times New Roman" w:eastAsiaTheme="majorEastAsia"/>
          <w:color w:val="000000"/>
        </w:rPr>
      </w:pPr>
      <w:r>
        <w:rPr>
          <w:rFonts w:ascii="Times New Roman" w:hAnsi="Times New Roman" w:cs="Times New Roman" w:eastAsiaTheme="majorEastAsia"/>
          <w:color w:val="000000"/>
        </w:rPr>
        <w:t>特此公告。</w:t>
      </w:r>
    </w:p>
    <w:p>
      <w:pPr>
        <w:pStyle w:val="9"/>
        <w:spacing w:before="0" w:beforeAutospacing="0" w:after="0" w:afterAutospacing="0" w:line="360" w:lineRule="auto"/>
        <w:ind w:firstLine="480" w:firstLineChars="200"/>
        <w:rPr>
          <w:rFonts w:ascii="Times New Roman" w:hAnsi="Times New Roman" w:cs="Times New Roman" w:eastAsiaTheme="majorEastAsia"/>
          <w:color w:val="000000"/>
        </w:rPr>
      </w:pPr>
    </w:p>
    <w:p>
      <w:pPr>
        <w:pStyle w:val="9"/>
        <w:spacing w:before="0" w:beforeAutospacing="0" w:after="0" w:afterAutospacing="0" w:line="360" w:lineRule="auto"/>
        <w:jc w:val="right"/>
        <w:rPr>
          <w:rFonts w:ascii="Times New Roman" w:hAnsi="Times New Roman" w:cs="Times New Roman" w:eastAsiaTheme="majorEastAsia"/>
          <w:color w:val="000000"/>
        </w:rPr>
      </w:pPr>
      <w:r>
        <w:rPr>
          <w:rFonts w:ascii="Times New Roman" w:hAnsi="Times New Roman" w:cs="Times New Roman" w:eastAsiaTheme="majorEastAsia"/>
          <w:color w:val="000000"/>
        </w:rPr>
        <w:t>  交银施罗德基金管理有限公司</w:t>
      </w:r>
    </w:p>
    <w:p>
      <w:pPr>
        <w:pStyle w:val="9"/>
        <w:spacing w:before="0" w:beforeAutospacing="0" w:after="0" w:afterAutospacing="0" w:line="360" w:lineRule="auto"/>
        <w:jc w:val="right"/>
        <w:rPr>
          <w:rFonts w:hint="default" w:ascii="Times New Roman" w:hAnsi="Times New Roman" w:cs="Times New Roman" w:eastAsiaTheme="majorEastAsia"/>
          <w:color w:val="000000"/>
          <w:lang w:val="en-US" w:eastAsia="zh-CN"/>
        </w:rPr>
      </w:pPr>
      <w:r>
        <w:rPr>
          <w:rFonts w:ascii="Times New Roman" w:hAnsi="Times New Roman" w:cs="Times New Roman" w:eastAsiaTheme="majorEastAsia"/>
          <w:color w:val="000000"/>
        </w:rPr>
        <w:t>  二〇</w:t>
      </w:r>
      <w:r>
        <w:rPr>
          <w:rFonts w:hint="eastAsia" w:ascii="Times New Roman" w:hAnsi="Times New Roman" w:cs="Times New Roman" w:eastAsiaTheme="majorEastAsia"/>
          <w:color w:val="000000"/>
          <w:lang w:val="en-US" w:eastAsia="zh-CN"/>
        </w:rPr>
        <w:t>二五年二月十一日</w:t>
      </w:r>
    </w:p>
    <w:p>
      <w:pPr>
        <w:pStyle w:val="9"/>
        <w:spacing w:line="360" w:lineRule="auto"/>
        <w:jc w:val="right"/>
        <w:rPr>
          <w:rFonts w:ascii="Times New Roman" w:hAnsi="Times New Roman" w:cs="Times New Roman" w:eastAsiaTheme="majorEastAsia"/>
          <w:color w:val="000000"/>
        </w:rPr>
      </w:pPr>
    </w:p>
    <w:p>
      <w:pPr>
        <w:spacing w:line="360" w:lineRule="auto"/>
        <w:ind w:firstLine="480" w:firstLineChars="200"/>
        <w:rPr>
          <w:rFonts w:ascii="Times New Roman" w:hAnsi="Times New Roman" w:cs="Times New Roman" w:eastAsiaTheme="majorEastAsia"/>
          <w:color w:val="000000"/>
          <w:kern w:val="0"/>
          <w:sz w:val="24"/>
          <w:szCs w:val="24"/>
        </w:rPr>
      </w:pPr>
      <w:r>
        <w:rPr>
          <w:rFonts w:hint="eastAsia" w:ascii="Times New Roman" w:hAnsi="Times New Roman" w:cs="Times New Roman" w:eastAsiaTheme="majorEastAsia"/>
          <w:color w:val="000000"/>
          <w:kern w:val="0"/>
          <w:sz w:val="24"/>
          <w:szCs w:val="24"/>
        </w:rPr>
        <w:t>附件：相关基金名单（及费率调整安排）</w:t>
      </w:r>
    </w:p>
    <w:tbl>
      <w:tblPr>
        <w:tblStyle w:val="29"/>
        <w:tblW w:w="5000" w:type="pct"/>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528"/>
        <w:gridCol w:w="4076"/>
        <w:gridCol w:w="977"/>
        <w:gridCol w:w="981"/>
        <w:gridCol w:w="979"/>
        <w:gridCol w:w="981"/>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5" w:hRule="atLeast"/>
          <w:jc w:val="center"/>
        </w:trPr>
        <w:tc>
          <w:tcPr>
            <w:tcW w:w="310" w:type="pct"/>
            <w:vMerge w:val="restart"/>
            <w:noWrap/>
            <w:vAlign w:val="center"/>
          </w:tcPr>
          <w:p>
            <w:pPr>
              <w:rPr>
                <w:rFonts w:cs="宋体" w:asciiTheme="minorEastAsia" w:hAnsiTheme="minorEastAsia"/>
                <w:kern w:val="0"/>
                <w:sz w:val="15"/>
                <w:szCs w:val="15"/>
              </w:rPr>
            </w:pPr>
            <w:r>
              <w:rPr>
                <w:rFonts w:hint="eastAsia" w:cs="Arial" w:asciiTheme="minorEastAsia" w:hAnsiTheme="minorEastAsia"/>
                <w:color w:val="000000"/>
                <w:kern w:val="0"/>
                <w:sz w:val="15"/>
                <w:szCs w:val="15"/>
              </w:rPr>
              <w:t>序号</w:t>
            </w:r>
          </w:p>
        </w:tc>
        <w:tc>
          <w:tcPr>
            <w:tcW w:w="2390" w:type="pct"/>
            <w:vMerge w:val="restart"/>
            <w:noWrap/>
            <w:vAlign w:val="center"/>
          </w:tcPr>
          <w:p>
            <w:pPr>
              <w:jc w:val="center"/>
              <w:rPr>
                <w:rFonts w:cs="Times New Roman" w:asciiTheme="minorEastAsia" w:hAnsiTheme="minorEastAsia"/>
                <w:kern w:val="0"/>
                <w:sz w:val="15"/>
                <w:szCs w:val="15"/>
              </w:rPr>
            </w:pPr>
            <w:r>
              <w:rPr>
                <w:rFonts w:hint="eastAsia" w:cs="Arial" w:asciiTheme="minorEastAsia" w:hAnsiTheme="minorEastAsia"/>
                <w:color w:val="000000"/>
                <w:kern w:val="0"/>
                <w:sz w:val="15"/>
                <w:szCs w:val="15"/>
              </w:rPr>
              <w:t>基金名称</w:t>
            </w:r>
          </w:p>
        </w:tc>
        <w:tc>
          <w:tcPr>
            <w:tcW w:w="1148" w:type="pct"/>
            <w:gridSpan w:val="2"/>
            <w:noWrap/>
            <w:vAlign w:val="center"/>
          </w:tcPr>
          <w:p>
            <w:pPr>
              <w:widowControl/>
              <w:jc w:val="center"/>
              <w:rPr>
                <w:rFonts w:cs="Arial" w:asciiTheme="minorEastAsia" w:hAnsiTheme="minorEastAsia"/>
                <w:color w:val="000000"/>
                <w:kern w:val="0"/>
                <w:sz w:val="15"/>
                <w:szCs w:val="15"/>
              </w:rPr>
            </w:pPr>
            <w:r>
              <w:rPr>
                <w:rFonts w:cs="Arial" w:asciiTheme="minorEastAsia" w:hAnsiTheme="minorEastAsia"/>
                <w:color w:val="000000"/>
                <w:kern w:val="0"/>
                <w:sz w:val="15"/>
                <w:szCs w:val="15"/>
              </w:rPr>
              <w:t>调整前</w:t>
            </w:r>
          </w:p>
        </w:tc>
        <w:tc>
          <w:tcPr>
            <w:tcW w:w="1149" w:type="pct"/>
            <w:gridSpan w:val="2"/>
            <w:noWrap/>
            <w:vAlign w:val="center"/>
          </w:tcPr>
          <w:p>
            <w:pPr>
              <w:widowControl/>
              <w:jc w:val="center"/>
              <w:rPr>
                <w:rFonts w:cs="Arial" w:asciiTheme="minorEastAsia" w:hAnsiTheme="minorEastAsia"/>
                <w:color w:val="000000"/>
                <w:kern w:val="0"/>
                <w:sz w:val="15"/>
                <w:szCs w:val="15"/>
              </w:rPr>
            </w:pPr>
            <w:r>
              <w:rPr>
                <w:rFonts w:cs="Arial" w:asciiTheme="minorEastAsia" w:hAnsiTheme="minorEastAsia"/>
                <w:color w:val="000000"/>
                <w:kern w:val="0"/>
                <w:sz w:val="15"/>
                <w:szCs w:val="15"/>
              </w:rPr>
              <w:t>调整后</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5" w:hRule="atLeast"/>
          <w:jc w:val="center"/>
        </w:trPr>
        <w:tc>
          <w:tcPr>
            <w:tcW w:w="310" w:type="pct"/>
            <w:vMerge w:val="continue"/>
            <w:noWrap/>
            <w:vAlign w:val="center"/>
          </w:tcPr>
          <w:p>
            <w:pPr>
              <w:widowControl/>
              <w:rPr>
                <w:rFonts w:cs="Arial" w:asciiTheme="minorEastAsia" w:hAnsiTheme="minorEastAsia"/>
                <w:color w:val="000000"/>
                <w:kern w:val="0"/>
                <w:sz w:val="15"/>
                <w:szCs w:val="15"/>
              </w:rPr>
            </w:pPr>
          </w:p>
        </w:tc>
        <w:tc>
          <w:tcPr>
            <w:tcW w:w="2390" w:type="pct"/>
            <w:vMerge w:val="continue"/>
            <w:noWrap/>
            <w:vAlign w:val="center"/>
          </w:tcPr>
          <w:p>
            <w:pPr>
              <w:widowControl/>
              <w:rPr>
                <w:rFonts w:cs="Arial" w:asciiTheme="minorEastAsia" w:hAnsiTheme="minorEastAsia"/>
                <w:color w:val="000000"/>
                <w:kern w:val="0"/>
                <w:sz w:val="15"/>
                <w:szCs w:val="15"/>
              </w:rPr>
            </w:pPr>
          </w:p>
        </w:tc>
        <w:tc>
          <w:tcPr>
            <w:tcW w:w="573" w:type="pct"/>
            <w:noWrap/>
            <w:vAlign w:val="center"/>
          </w:tcPr>
          <w:p>
            <w:pPr>
              <w:widowControl/>
              <w:jc w:val="center"/>
              <w:rPr>
                <w:rFonts w:cs="Arial" w:asciiTheme="minorEastAsia" w:hAnsiTheme="minorEastAsia"/>
                <w:color w:val="000000"/>
                <w:kern w:val="0"/>
                <w:sz w:val="15"/>
                <w:szCs w:val="15"/>
              </w:rPr>
            </w:pPr>
            <w:r>
              <w:rPr>
                <w:rFonts w:hint="eastAsia" w:cs="Arial" w:asciiTheme="minorEastAsia" w:hAnsiTheme="minorEastAsia"/>
                <w:color w:val="000000"/>
                <w:kern w:val="0"/>
                <w:sz w:val="15"/>
                <w:szCs w:val="15"/>
              </w:rPr>
              <w:t>管理费率</w:t>
            </w:r>
          </w:p>
        </w:tc>
        <w:tc>
          <w:tcPr>
            <w:tcW w:w="574" w:type="pct"/>
            <w:noWrap/>
            <w:vAlign w:val="center"/>
          </w:tcPr>
          <w:p>
            <w:pPr>
              <w:widowControl/>
              <w:jc w:val="center"/>
              <w:rPr>
                <w:rFonts w:cs="Arial" w:asciiTheme="minorEastAsia" w:hAnsiTheme="minorEastAsia"/>
                <w:color w:val="000000"/>
                <w:kern w:val="0"/>
                <w:sz w:val="15"/>
                <w:szCs w:val="15"/>
              </w:rPr>
            </w:pPr>
            <w:r>
              <w:rPr>
                <w:rFonts w:hint="eastAsia" w:cs="Arial" w:asciiTheme="minorEastAsia" w:hAnsiTheme="minorEastAsia"/>
                <w:color w:val="000000"/>
                <w:kern w:val="0"/>
                <w:sz w:val="15"/>
                <w:szCs w:val="15"/>
              </w:rPr>
              <w:t>托管费率</w:t>
            </w:r>
          </w:p>
        </w:tc>
        <w:tc>
          <w:tcPr>
            <w:tcW w:w="574" w:type="pct"/>
            <w:noWrap/>
            <w:vAlign w:val="center"/>
          </w:tcPr>
          <w:p>
            <w:pPr>
              <w:widowControl/>
              <w:jc w:val="center"/>
              <w:rPr>
                <w:rFonts w:cs="Arial" w:asciiTheme="minorEastAsia" w:hAnsiTheme="minorEastAsia"/>
                <w:color w:val="000000"/>
                <w:kern w:val="0"/>
                <w:sz w:val="15"/>
                <w:szCs w:val="15"/>
              </w:rPr>
            </w:pPr>
            <w:r>
              <w:rPr>
                <w:rFonts w:hint="eastAsia" w:cs="Arial" w:asciiTheme="minorEastAsia" w:hAnsiTheme="minorEastAsia"/>
                <w:color w:val="000000"/>
                <w:kern w:val="0"/>
                <w:sz w:val="15"/>
                <w:szCs w:val="15"/>
              </w:rPr>
              <w:t>管理费率</w:t>
            </w:r>
          </w:p>
        </w:tc>
        <w:tc>
          <w:tcPr>
            <w:tcW w:w="574" w:type="pct"/>
            <w:noWrap/>
            <w:vAlign w:val="center"/>
          </w:tcPr>
          <w:p>
            <w:pPr>
              <w:widowControl/>
              <w:jc w:val="center"/>
              <w:rPr>
                <w:rFonts w:cs="Arial" w:asciiTheme="minorEastAsia" w:hAnsiTheme="minorEastAsia"/>
                <w:color w:val="000000"/>
                <w:kern w:val="0"/>
                <w:sz w:val="15"/>
                <w:szCs w:val="15"/>
              </w:rPr>
            </w:pPr>
            <w:r>
              <w:rPr>
                <w:rFonts w:hint="eastAsia" w:cs="Arial" w:asciiTheme="minorEastAsia" w:hAnsiTheme="minorEastAsia"/>
                <w:color w:val="000000"/>
                <w:kern w:val="0"/>
                <w:sz w:val="15"/>
                <w:szCs w:val="15"/>
              </w:rPr>
              <w:t>托管费率</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5" w:hRule="atLeast"/>
          <w:jc w:val="center"/>
        </w:trPr>
        <w:tc>
          <w:tcPr>
            <w:tcW w:w="310" w:type="pct"/>
            <w:noWrap/>
          </w:tcPr>
          <w:p>
            <w:pPr>
              <w:widowControl/>
              <w:jc w:val="center"/>
              <w:rPr>
                <w:rFonts w:cs="Arial" w:asciiTheme="minorEastAsia" w:hAnsiTheme="minorEastAsia"/>
                <w:color w:val="000000"/>
                <w:kern w:val="0"/>
                <w:sz w:val="15"/>
                <w:szCs w:val="15"/>
              </w:rPr>
            </w:pPr>
            <w:r>
              <w:rPr>
                <w:rFonts w:cs="Arial" w:asciiTheme="minorEastAsia" w:hAnsiTheme="minorEastAsia"/>
                <w:color w:val="000000"/>
                <w:kern w:val="0"/>
                <w:sz w:val="15"/>
                <w:szCs w:val="15"/>
              </w:rPr>
              <w:t>1</w:t>
            </w:r>
          </w:p>
        </w:tc>
        <w:tc>
          <w:tcPr>
            <w:tcW w:w="2390" w:type="pct"/>
            <w:noWrap/>
          </w:tcPr>
          <w:p>
            <w:pPr>
              <w:widowControl/>
              <w:jc w:val="left"/>
              <w:rPr>
                <w:rFonts w:cs="Arial" w:asciiTheme="minorEastAsia" w:hAnsiTheme="minorEastAsia"/>
                <w:color w:val="000000"/>
                <w:kern w:val="0"/>
                <w:sz w:val="15"/>
                <w:szCs w:val="15"/>
              </w:rPr>
            </w:pPr>
            <w:r>
              <w:rPr>
                <w:rFonts w:cs="Arial" w:asciiTheme="minorEastAsia" w:hAnsiTheme="minorEastAsia"/>
                <w:color w:val="000000"/>
                <w:kern w:val="0"/>
                <w:sz w:val="15"/>
                <w:szCs w:val="15"/>
              </w:rPr>
              <w:t>交银施罗德</w:t>
            </w:r>
            <w:r>
              <w:rPr>
                <w:rFonts w:hint="eastAsia" w:cs="Arial" w:asciiTheme="minorEastAsia" w:hAnsiTheme="minorEastAsia"/>
                <w:color w:val="000000"/>
                <w:kern w:val="0"/>
                <w:sz w:val="15"/>
                <w:szCs w:val="15"/>
                <w:lang w:val="en-US" w:eastAsia="zh-CN"/>
              </w:rPr>
              <w:t>环球精选价值</w:t>
            </w:r>
            <w:r>
              <w:rPr>
                <w:rFonts w:cs="Arial" w:asciiTheme="minorEastAsia" w:hAnsiTheme="minorEastAsia"/>
                <w:color w:val="000000"/>
                <w:kern w:val="0"/>
                <w:sz w:val="15"/>
                <w:szCs w:val="15"/>
              </w:rPr>
              <w:t>证券投资基金</w:t>
            </w:r>
          </w:p>
        </w:tc>
        <w:tc>
          <w:tcPr>
            <w:tcW w:w="573" w:type="pct"/>
            <w:noWrap/>
            <w:vAlign w:val="bottom"/>
          </w:tcPr>
          <w:p>
            <w:pPr>
              <w:widowControl/>
              <w:jc w:val="center"/>
              <w:rPr>
                <w:rFonts w:cs="Arial" w:asciiTheme="minorEastAsia" w:hAnsiTheme="minorEastAsia"/>
                <w:color w:val="000000"/>
                <w:kern w:val="0"/>
                <w:sz w:val="15"/>
                <w:szCs w:val="15"/>
              </w:rPr>
            </w:pPr>
            <w:r>
              <w:rPr>
                <w:rFonts w:hint="eastAsia" w:cs="Arial" w:asciiTheme="minorEastAsia" w:hAnsiTheme="minorEastAsia"/>
                <w:color w:val="000000"/>
                <w:sz w:val="15"/>
                <w:szCs w:val="15"/>
                <w:lang w:val="en-US" w:eastAsia="zh-CN"/>
              </w:rPr>
              <w:t>1.80</w:t>
            </w:r>
            <w:r>
              <w:rPr>
                <w:rFonts w:cs="Arial" w:asciiTheme="minorEastAsia" w:hAnsiTheme="minorEastAsia"/>
                <w:color w:val="000000"/>
                <w:sz w:val="15"/>
                <w:szCs w:val="15"/>
              </w:rPr>
              <w:t>%</w:t>
            </w:r>
          </w:p>
        </w:tc>
        <w:tc>
          <w:tcPr>
            <w:tcW w:w="574" w:type="pct"/>
            <w:noWrap/>
            <w:vAlign w:val="bottom"/>
          </w:tcPr>
          <w:p>
            <w:pPr>
              <w:widowControl/>
              <w:jc w:val="center"/>
              <w:rPr>
                <w:rFonts w:cs="Arial" w:asciiTheme="minorEastAsia" w:hAnsiTheme="minorEastAsia"/>
                <w:color w:val="000000"/>
                <w:kern w:val="0"/>
                <w:sz w:val="15"/>
                <w:szCs w:val="15"/>
              </w:rPr>
            </w:pPr>
            <w:r>
              <w:rPr>
                <w:rFonts w:hint="eastAsia" w:cs="Arial" w:asciiTheme="minorEastAsia" w:hAnsiTheme="minorEastAsia"/>
                <w:color w:val="000000"/>
                <w:sz w:val="15"/>
                <w:szCs w:val="15"/>
                <w:lang w:val="en-US" w:eastAsia="zh-CN"/>
              </w:rPr>
              <w:t>0.35</w:t>
            </w:r>
            <w:r>
              <w:rPr>
                <w:rFonts w:cs="Arial" w:asciiTheme="minorEastAsia" w:hAnsiTheme="minorEastAsia"/>
                <w:color w:val="000000"/>
                <w:sz w:val="15"/>
                <w:szCs w:val="15"/>
              </w:rPr>
              <w:t>%</w:t>
            </w:r>
          </w:p>
        </w:tc>
        <w:tc>
          <w:tcPr>
            <w:tcW w:w="574" w:type="pct"/>
            <w:noWrap/>
            <w:vAlign w:val="bottom"/>
          </w:tcPr>
          <w:p>
            <w:pPr>
              <w:widowControl/>
              <w:jc w:val="center"/>
              <w:rPr>
                <w:rFonts w:cs="Arial" w:asciiTheme="minorEastAsia" w:hAnsiTheme="minorEastAsia"/>
                <w:color w:val="000000"/>
                <w:kern w:val="0"/>
                <w:sz w:val="15"/>
                <w:szCs w:val="15"/>
              </w:rPr>
            </w:pPr>
            <w:r>
              <w:rPr>
                <w:rFonts w:cs="Arial" w:asciiTheme="minorEastAsia" w:hAnsiTheme="minorEastAsia"/>
                <w:color w:val="000000"/>
                <w:sz w:val="15"/>
                <w:szCs w:val="15"/>
              </w:rPr>
              <w:t>1.20%</w:t>
            </w:r>
          </w:p>
        </w:tc>
        <w:tc>
          <w:tcPr>
            <w:tcW w:w="574" w:type="pct"/>
            <w:noWrap/>
            <w:vAlign w:val="bottom"/>
          </w:tcPr>
          <w:p>
            <w:pPr>
              <w:widowControl/>
              <w:jc w:val="center"/>
              <w:rPr>
                <w:rFonts w:cs="Arial" w:asciiTheme="minorEastAsia" w:hAnsiTheme="minorEastAsia"/>
                <w:color w:val="000000"/>
                <w:kern w:val="0"/>
                <w:sz w:val="15"/>
                <w:szCs w:val="15"/>
              </w:rPr>
            </w:pPr>
            <w:r>
              <w:rPr>
                <w:rFonts w:cs="Arial" w:asciiTheme="minorEastAsia" w:hAnsiTheme="minorEastAsia"/>
                <w:color w:val="000000"/>
                <w:sz w:val="15"/>
                <w:szCs w:val="15"/>
              </w:rPr>
              <w:t>0.20%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5" w:hRule="atLeast"/>
          <w:jc w:val="center"/>
        </w:trPr>
        <w:tc>
          <w:tcPr>
            <w:tcW w:w="310" w:type="pct"/>
            <w:noWrap/>
          </w:tcPr>
          <w:p>
            <w:pPr>
              <w:widowControl/>
              <w:jc w:val="center"/>
              <w:rPr>
                <w:rFonts w:cs="Arial" w:asciiTheme="minorEastAsia" w:hAnsiTheme="minorEastAsia"/>
                <w:color w:val="000000"/>
                <w:kern w:val="0"/>
                <w:sz w:val="15"/>
                <w:szCs w:val="15"/>
              </w:rPr>
            </w:pPr>
            <w:r>
              <w:rPr>
                <w:rFonts w:cs="Arial" w:asciiTheme="minorEastAsia" w:hAnsiTheme="minorEastAsia"/>
                <w:color w:val="000000"/>
                <w:kern w:val="0"/>
                <w:sz w:val="15"/>
                <w:szCs w:val="15"/>
              </w:rPr>
              <w:t>2</w:t>
            </w:r>
          </w:p>
        </w:tc>
        <w:tc>
          <w:tcPr>
            <w:tcW w:w="2390" w:type="pct"/>
            <w:noWrap/>
          </w:tcPr>
          <w:p>
            <w:pPr>
              <w:widowControl/>
              <w:jc w:val="left"/>
              <w:rPr>
                <w:rFonts w:cs="Arial" w:asciiTheme="minorEastAsia" w:hAnsiTheme="minorEastAsia"/>
                <w:color w:val="000000"/>
                <w:kern w:val="0"/>
                <w:sz w:val="15"/>
                <w:szCs w:val="15"/>
              </w:rPr>
            </w:pPr>
            <w:r>
              <w:rPr>
                <w:rFonts w:cs="Arial" w:asciiTheme="minorEastAsia" w:hAnsiTheme="minorEastAsia"/>
                <w:color w:val="000000"/>
                <w:kern w:val="0"/>
                <w:sz w:val="15"/>
                <w:szCs w:val="15"/>
              </w:rPr>
              <w:t>交银施罗德</w:t>
            </w:r>
            <w:r>
              <w:rPr>
                <w:rFonts w:hint="eastAsia" w:cs="Arial" w:asciiTheme="minorEastAsia" w:hAnsiTheme="minorEastAsia"/>
                <w:color w:val="000000"/>
                <w:kern w:val="0"/>
                <w:sz w:val="15"/>
                <w:szCs w:val="15"/>
              </w:rPr>
              <w:t>中证海外中国互联网指数型证券投资基金(LOF)</w:t>
            </w:r>
          </w:p>
        </w:tc>
        <w:tc>
          <w:tcPr>
            <w:tcW w:w="573" w:type="pct"/>
            <w:noWrap/>
            <w:vAlign w:val="bottom"/>
          </w:tcPr>
          <w:p>
            <w:pPr>
              <w:widowControl/>
              <w:jc w:val="center"/>
              <w:rPr>
                <w:rFonts w:cs="Arial" w:asciiTheme="minorEastAsia" w:hAnsiTheme="minorEastAsia"/>
                <w:color w:val="000000"/>
                <w:kern w:val="0"/>
                <w:sz w:val="15"/>
                <w:szCs w:val="15"/>
              </w:rPr>
            </w:pPr>
            <w:r>
              <w:rPr>
                <w:rFonts w:hint="eastAsia" w:cs="Arial" w:asciiTheme="minorEastAsia" w:hAnsiTheme="minorEastAsia"/>
                <w:color w:val="000000"/>
                <w:sz w:val="15"/>
                <w:szCs w:val="15"/>
                <w:lang w:val="en-US" w:eastAsia="zh-CN"/>
              </w:rPr>
              <w:t>1.20</w:t>
            </w:r>
            <w:r>
              <w:rPr>
                <w:rFonts w:cs="Arial" w:asciiTheme="minorEastAsia" w:hAnsiTheme="minorEastAsia"/>
                <w:color w:val="000000"/>
                <w:sz w:val="15"/>
                <w:szCs w:val="15"/>
              </w:rPr>
              <w:t>%</w:t>
            </w:r>
          </w:p>
        </w:tc>
        <w:tc>
          <w:tcPr>
            <w:tcW w:w="574" w:type="pct"/>
            <w:noWrap/>
            <w:vAlign w:val="bottom"/>
          </w:tcPr>
          <w:p>
            <w:pPr>
              <w:widowControl/>
              <w:jc w:val="center"/>
              <w:rPr>
                <w:rFonts w:cs="Arial" w:asciiTheme="minorEastAsia" w:hAnsiTheme="minorEastAsia"/>
                <w:color w:val="000000"/>
                <w:kern w:val="0"/>
                <w:sz w:val="15"/>
                <w:szCs w:val="15"/>
              </w:rPr>
            </w:pPr>
            <w:r>
              <w:rPr>
                <w:rFonts w:cs="Arial" w:asciiTheme="minorEastAsia" w:hAnsiTheme="minorEastAsia"/>
                <w:color w:val="000000"/>
                <w:sz w:val="15"/>
                <w:szCs w:val="15"/>
              </w:rPr>
              <w:t>0.25%</w:t>
            </w:r>
          </w:p>
        </w:tc>
        <w:tc>
          <w:tcPr>
            <w:tcW w:w="574" w:type="pct"/>
            <w:noWrap/>
            <w:vAlign w:val="bottom"/>
          </w:tcPr>
          <w:p>
            <w:pPr>
              <w:widowControl/>
              <w:jc w:val="center"/>
              <w:rPr>
                <w:rFonts w:cs="Arial" w:asciiTheme="minorEastAsia" w:hAnsiTheme="minorEastAsia"/>
                <w:color w:val="000000"/>
                <w:kern w:val="0"/>
                <w:sz w:val="15"/>
                <w:szCs w:val="15"/>
              </w:rPr>
            </w:pPr>
            <w:r>
              <w:rPr>
                <w:rFonts w:cs="Arial" w:asciiTheme="minorEastAsia" w:hAnsiTheme="minorEastAsia"/>
                <w:color w:val="000000"/>
                <w:sz w:val="15"/>
                <w:szCs w:val="15"/>
              </w:rPr>
              <w:t>1.20%</w:t>
            </w:r>
          </w:p>
        </w:tc>
        <w:tc>
          <w:tcPr>
            <w:tcW w:w="574" w:type="pct"/>
            <w:noWrap/>
            <w:vAlign w:val="bottom"/>
          </w:tcPr>
          <w:p>
            <w:pPr>
              <w:widowControl/>
              <w:jc w:val="center"/>
              <w:rPr>
                <w:rFonts w:cs="Arial" w:asciiTheme="minorEastAsia" w:hAnsiTheme="minorEastAsia"/>
                <w:color w:val="000000"/>
                <w:kern w:val="0"/>
                <w:sz w:val="15"/>
                <w:szCs w:val="15"/>
              </w:rPr>
            </w:pPr>
            <w:r>
              <w:rPr>
                <w:rFonts w:cs="Arial" w:asciiTheme="minorEastAsia" w:hAnsiTheme="minorEastAsia"/>
                <w:color w:val="000000"/>
                <w:sz w:val="15"/>
                <w:szCs w:val="15"/>
              </w:rPr>
              <w:t>0.20%</w:t>
            </w:r>
          </w:p>
        </w:tc>
      </w:tr>
    </w:tbl>
    <w:p>
      <w:pPr>
        <w:spacing w:line="360" w:lineRule="auto"/>
        <w:rPr>
          <w:rFonts w:ascii="Times New Roman" w:hAnsi="Times New Roman" w:cs="Times New Roman" w:eastAsiaTheme="majorEastAsia"/>
          <w:color w:val="000000"/>
          <w:kern w:val="0"/>
          <w:sz w:val="24"/>
          <w:szCs w:val="24"/>
        </w:rPr>
      </w:pPr>
    </w:p>
    <w:p>
      <w:pPr>
        <w:pStyle w:val="9"/>
        <w:spacing w:line="360" w:lineRule="auto"/>
        <w:rPr>
          <w:rFonts w:ascii="Times New Roman" w:hAnsi="Times New Roman" w:cs="Times New Roman" w:eastAsiaTheme="major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0113"/>
    <w:rsid w:val="000036BE"/>
    <w:rsid w:val="000068D4"/>
    <w:rsid w:val="00012BFD"/>
    <w:rsid w:val="000202F1"/>
    <w:rsid w:val="000277DA"/>
    <w:rsid w:val="00030517"/>
    <w:rsid w:val="00031078"/>
    <w:rsid w:val="00034218"/>
    <w:rsid w:val="000458A4"/>
    <w:rsid w:val="000460DB"/>
    <w:rsid w:val="00055F04"/>
    <w:rsid w:val="0005794E"/>
    <w:rsid w:val="0006140E"/>
    <w:rsid w:val="00061F8F"/>
    <w:rsid w:val="0006337F"/>
    <w:rsid w:val="00063809"/>
    <w:rsid w:val="00064928"/>
    <w:rsid w:val="0006726F"/>
    <w:rsid w:val="000708CC"/>
    <w:rsid w:val="00072602"/>
    <w:rsid w:val="000748A9"/>
    <w:rsid w:val="000857B7"/>
    <w:rsid w:val="000873ED"/>
    <w:rsid w:val="000910C2"/>
    <w:rsid w:val="00092EB2"/>
    <w:rsid w:val="00094593"/>
    <w:rsid w:val="00097C70"/>
    <w:rsid w:val="000A3905"/>
    <w:rsid w:val="000A474B"/>
    <w:rsid w:val="000B30E8"/>
    <w:rsid w:val="000B3E6A"/>
    <w:rsid w:val="000B4BB5"/>
    <w:rsid w:val="000C3152"/>
    <w:rsid w:val="000C453D"/>
    <w:rsid w:val="000D00C7"/>
    <w:rsid w:val="000D0917"/>
    <w:rsid w:val="000D284F"/>
    <w:rsid w:val="000D3966"/>
    <w:rsid w:val="000D4906"/>
    <w:rsid w:val="000D77E7"/>
    <w:rsid w:val="000D7BDD"/>
    <w:rsid w:val="000E0655"/>
    <w:rsid w:val="000E7512"/>
    <w:rsid w:val="000E77C6"/>
    <w:rsid w:val="000F5D4F"/>
    <w:rsid w:val="000F7AFD"/>
    <w:rsid w:val="00105925"/>
    <w:rsid w:val="00105F43"/>
    <w:rsid w:val="00106181"/>
    <w:rsid w:val="001126EF"/>
    <w:rsid w:val="00116A95"/>
    <w:rsid w:val="00123111"/>
    <w:rsid w:val="00124702"/>
    <w:rsid w:val="00124E75"/>
    <w:rsid w:val="001278EA"/>
    <w:rsid w:val="0013040F"/>
    <w:rsid w:val="00134359"/>
    <w:rsid w:val="001346B4"/>
    <w:rsid w:val="00134CC8"/>
    <w:rsid w:val="00143041"/>
    <w:rsid w:val="001443D3"/>
    <w:rsid w:val="00154213"/>
    <w:rsid w:val="001618F5"/>
    <w:rsid w:val="00165A7B"/>
    <w:rsid w:val="00171CB5"/>
    <w:rsid w:val="00171CCD"/>
    <w:rsid w:val="00180E03"/>
    <w:rsid w:val="00183AA7"/>
    <w:rsid w:val="00184885"/>
    <w:rsid w:val="0018656D"/>
    <w:rsid w:val="00191075"/>
    <w:rsid w:val="00192CA8"/>
    <w:rsid w:val="00194AF7"/>
    <w:rsid w:val="0019642C"/>
    <w:rsid w:val="00196D78"/>
    <w:rsid w:val="001A017E"/>
    <w:rsid w:val="001A1AD5"/>
    <w:rsid w:val="001A465E"/>
    <w:rsid w:val="001A46D6"/>
    <w:rsid w:val="001A4E85"/>
    <w:rsid w:val="001B3BB5"/>
    <w:rsid w:val="001B40BA"/>
    <w:rsid w:val="001B52BD"/>
    <w:rsid w:val="001B54B6"/>
    <w:rsid w:val="001C2429"/>
    <w:rsid w:val="001C5444"/>
    <w:rsid w:val="001C5A86"/>
    <w:rsid w:val="001D5BEF"/>
    <w:rsid w:val="001D68B5"/>
    <w:rsid w:val="001D6BA1"/>
    <w:rsid w:val="001E0DBC"/>
    <w:rsid w:val="001E1FE3"/>
    <w:rsid w:val="001E30A8"/>
    <w:rsid w:val="001E3D23"/>
    <w:rsid w:val="001E735D"/>
    <w:rsid w:val="001F4987"/>
    <w:rsid w:val="001F78B4"/>
    <w:rsid w:val="00215388"/>
    <w:rsid w:val="00221728"/>
    <w:rsid w:val="002226B9"/>
    <w:rsid w:val="00227080"/>
    <w:rsid w:val="00230266"/>
    <w:rsid w:val="002308FC"/>
    <w:rsid w:val="00236CAB"/>
    <w:rsid w:val="002375A7"/>
    <w:rsid w:val="002405DC"/>
    <w:rsid w:val="00245008"/>
    <w:rsid w:val="00246885"/>
    <w:rsid w:val="00255441"/>
    <w:rsid w:val="0025749D"/>
    <w:rsid w:val="00261460"/>
    <w:rsid w:val="00267310"/>
    <w:rsid w:val="002708EF"/>
    <w:rsid w:val="00280ECD"/>
    <w:rsid w:val="00290567"/>
    <w:rsid w:val="00292E7A"/>
    <w:rsid w:val="002959CA"/>
    <w:rsid w:val="00297699"/>
    <w:rsid w:val="002A0074"/>
    <w:rsid w:val="002A1523"/>
    <w:rsid w:val="002A5FB0"/>
    <w:rsid w:val="002A6F38"/>
    <w:rsid w:val="002A7767"/>
    <w:rsid w:val="002B0FEC"/>
    <w:rsid w:val="002B49C7"/>
    <w:rsid w:val="002B7C2A"/>
    <w:rsid w:val="002C2715"/>
    <w:rsid w:val="002C29FF"/>
    <w:rsid w:val="002D289C"/>
    <w:rsid w:val="002D35CA"/>
    <w:rsid w:val="002D3A5C"/>
    <w:rsid w:val="002D65C7"/>
    <w:rsid w:val="002F09AC"/>
    <w:rsid w:val="002F1720"/>
    <w:rsid w:val="002F39F2"/>
    <w:rsid w:val="003068EE"/>
    <w:rsid w:val="00314070"/>
    <w:rsid w:val="003144E1"/>
    <w:rsid w:val="003179B9"/>
    <w:rsid w:val="00320090"/>
    <w:rsid w:val="0032403D"/>
    <w:rsid w:val="0032437C"/>
    <w:rsid w:val="0032585B"/>
    <w:rsid w:val="00326D55"/>
    <w:rsid w:val="00333C76"/>
    <w:rsid w:val="00335252"/>
    <w:rsid w:val="00335482"/>
    <w:rsid w:val="00335E45"/>
    <w:rsid w:val="003415CF"/>
    <w:rsid w:val="00341C48"/>
    <w:rsid w:val="0034401E"/>
    <w:rsid w:val="0035120B"/>
    <w:rsid w:val="00352F5F"/>
    <w:rsid w:val="0035725F"/>
    <w:rsid w:val="00357B02"/>
    <w:rsid w:val="00365213"/>
    <w:rsid w:val="00370D0A"/>
    <w:rsid w:val="00374829"/>
    <w:rsid w:val="00377E18"/>
    <w:rsid w:val="00380DDF"/>
    <w:rsid w:val="0038243B"/>
    <w:rsid w:val="00387972"/>
    <w:rsid w:val="0039059A"/>
    <w:rsid w:val="00390B99"/>
    <w:rsid w:val="003919E2"/>
    <w:rsid w:val="00393B3F"/>
    <w:rsid w:val="003A3CAD"/>
    <w:rsid w:val="003B19AF"/>
    <w:rsid w:val="003B4E5B"/>
    <w:rsid w:val="003D0ABE"/>
    <w:rsid w:val="003E08D2"/>
    <w:rsid w:val="003F2891"/>
    <w:rsid w:val="004000FD"/>
    <w:rsid w:val="00413954"/>
    <w:rsid w:val="00416BF0"/>
    <w:rsid w:val="00424B4B"/>
    <w:rsid w:val="00431A29"/>
    <w:rsid w:val="0043285A"/>
    <w:rsid w:val="0043744B"/>
    <w:rsid w:val="00441ADF"/>
    <w:rsid w:val="0044463C"/>
    <w:rsid w:val="00451B45"/>
    <w:rsid w:val="00457ADE"/>
    <w:rsid w:val="00460A71"/>
    <w:rsid w:val="0046104D"/>
    <w:rsid w:val="004621C1"/>
    <w:rsid w:val="0047240A"/>
    <w:rsid w:val="004727F4"/>
    <w:rsid w:val="0047420B"/>
    <w:rsid w:val="0047470B"/>
    <w:rsid w:val="00480A4D"/>
    <w:rsid w:val="00480D08"/>
    <w:rsid w:val="004920EA"/>
    <w:rsid w:val="00495473"/>
    <w:rsid w:val="00496C7D"/>
    <w:rsid w:val="00496E28"/>
    <w:rsid w:val="004A3EB7"/>
    <w:rsid w:val="004A4C49"/>
    <w:rsid w:val="004B134F"/>
    <w:rsid w:val="004B1FED"/>
    <w:rsid w:val="004B5BC6"/>
    <w:rsid w:val="004B69B2"/>
    <w:rsid w:val="004B6E26"/>
    <w:rsid w:val="004B7183"/>
    <w:rsid w:val="004C66DD"/>
    <w:rsid w:val="004C7E97"/>
    <w:rsid w:val="004D05DD"/>
    <w:rsid w:val="004D11AD"/>
    <w:rsid w:val="004D4E4E"/>
    <w:rsid w:val="004D756A"/>
    <w:rsid w:val="004E2AF7"/>
    <w:rsid w:val="004E6EC2"/>
    <w:rsid w:val="004F2B6D"/>
    <w:rsid w:val="004F4396"/>
    <w:rsid w:val="004F6469"/>
    <w:rsid w:val="00506E2C"/>
    <w:rsid w:val="0051068E"/>
    <w:rsid w:val="0051110A"/>
    <w:rsid w:val="00511B61"/>
    <w:rsid w:val="00512939"/>
    <w:rsid w:val="00512D08"/>
    <w:rsid w:val="005139AA"/>
    <w:rsid w:val="0051696F"/>
    <w:rsid w:val="00521D1E"/>
    <w:rsid w:val="005234EC"/>
    <w:rsid w:val="00523E72"/>
    <w:rsid w:val="00526BD0"/>
    <w:rsid w:val="00527244"/>
    <w:rsid w:val="00534D44"/>
    <w:rsid w:val="005402E4"/>
    <w:rsid w:val="00543C47"/>
    <w:rsid w:val="00545122"/>
    <w:rsid w:val="005505DF"/>
    <w:rsid w:val="00551CE4"/>
    <w:rsid w:val="00552487"/>
    <w:rsid w:val="00552620"/>
    <w:rsid w:val="00552F32"/>
    <w:rsid w:val="0055311F"/>
    <w:rsid w:val="00561449"/>
    <w:rsid w:val="0056521B"/>
    <w:rsid w:val="00565CEB"/>
    <w:rsid w:val="00566B1C"/>
    <w:rsid w:val="0057280D"/>
    <w:rsid w:val="00574297"/>
    <w:rsid w:val="0057774E"/>
    <w:rsid w:val="0057787E"/>
    <w:rsid w:val="005828E6"/>
    <w:rsid w:val="00583B5E"/>
    <w:rsid w:val="00587071"/>
    <w:rsid w:val="005876E1"/>
    <w:rsid w:val="00590980"/>
    <w:rsid w:val="005926A3"/>
    <w:rsid w:val="00592E50"/>
    <w:rsid w:val="00593181"/>
    <w:rsid w:val="005A1702"/>
    <w:rsid w:val="005A1D7A"/>
    <w:rsid w:val="005A4570"/>
    <w:rsid w:val="005A7965"/>
    <w:rsid w:val="005B0773"/>
    <w:rsid w:val="005B0E95"/>
    <w:rsid w:val="005B5654"/>
    <w:rsid w:val="005C2812"/>
    <w:rsid w:val="005C34D0"/>
    <w:rsid w:val="005C4CDB"/>
    <w:rsid w:val="005D1CBA"/>
    <w:rsid w:val="005D2042"/>
    <w:rsid w:val="005D2876"/>
    <w:rsid w:val="005D4C3B"/>
    <w:rsid w:val="005E0D07"/>
    <w:rsid w:val="005E4E12"/>
    <w:rsid w:val="005E6C59"/>
    <w:rsid w:val="005F13D6"/>
    <w:rsid w:val="005F2AF7"/>
    <w:rsid w:val="0060060C"/>
    <w:rsid w:val="0062023F"/>
    <w:rsid w:val="00622E1C"/>
    <w:rsid w:val="00630CF3"/>
    <w:rsid w:val="00631FC4"/>
    <w:rsid w:val="00635225"/>
    <w:rsid w:val="006413CB"/>
    <w:rsid w:val="006423EE"/>
    <w:rsid w:val="00643583"/>
    <w:rsid w:val="00643BE7"/>
    <w:rsid w:val="00646F97"/>
    <w:rsid w:val="00653BDA"/>
    <w:rsid w:val="006607B8"/>
    <w:rsid w:val="00660E52"/>
    <w:rsid w:val="006627D1"/>
    <w:rsid w:val="00662937"/>
    <w:rsid w:val="006674AE"/>
    <w:rsid w:val="00667F9F"/>
    <w:rsid w:val="0067022A"/>
    <w:rsid w:val="00671D42"/>
    <w:rsid w:val="0067458E"/>
    <w:rsid w:val="0068381E"/>
    <w:rsid w:val="006878E4"/>
    <w:rsid w:val="006905C5"/>
    <w:rsid w:val="00692C89"/>
    <w:rsid w:val="00696384"/>
    <w:rsid w:val="00696762"/>
    <w:rsid w:val="00696AC2"/>
    <w:rsid w:val="006A012B"/>
    <w:rsid w:val="006A1BCB"/>
    <w:rsid w:val="006A2614"/>
    <w:rsid w:val="006A3C1D"/>
    <w:rsid w:val="006A6198"/>
    <w:rsid w:val="006A7BC8"/>
    <w:rsid w:val="006B429D"/>
    <w:rsid w:val="006B62F0"/>
    <w:rsid w:val="006C2149"/>
    <w:rsid w:val="006C2819"/>
    <w:rsid w:val="006C64C9"/>
    <w:rsid w:val="006D5D9E"/>
    <w:rsid w:val="00701CBF"/>
    <w:rsid w:val="00703B67"/>
    <w:rsid w:val="0071144D"/>
    <w:rsid w:val="00712776"/>
    <w:rsid w:val="00712D98"/>
    <w:rsid w:val="00713CC8"/>
    <w:rsid w:val="00717189"/>
    <w:rsid w:val="00720BF6"/>
    <w:rsid w:val="00722154"/>
    <w:rsid w:val="00723FA5"/>
    <w:rsid w:val="007248C7"/>
    <w:rsid w:val="00724B97"/>
    <w:rsid w:val="007339C7"/>
    <w:rsid w:val="0073563B"/>
    <w:rsid w:val="00735789"/>
    <w:rsid w:val="00737256"/>
    <w:rsid w:val="00737CA6"/>
    <w:rsid w:val="007426CB"/>
    <w:rsid w:val="007519DB"/>
    <w:rsid w:val="00751E2D"/>
    <w:rsid w:val="00751F60"/>
    <w:rsid w:val="00753FDD"/>
    <w:rsid w:val="0076454E"/>
    <w:rsid w:val="00765E78"/>
    <w:rsid w:val="0076603A"/>
    <w:rsid w:val="00770880"/>
    <w:rsid w:val="00771C26"/>
    <w:rsid w:val="00772AEA"/>
    <w:rsid w:val="007767F0"/>
    <w:rsid w:val="007805D6"/>
    <w:rsid w:val="00783A06"/>
    <w:rsid w:val="00784907"/>
    <w:rsid w:val="007873D3"/>
    <w:rsid w:val="00793B59"/>
    <w:rsid w:val="00797C2E"/>
    <w:rsid w:val="007A340D"/>
    <w:rsid w:val="007A57D1"/>
    <w:rsid w:val="007B138F"/>
    <w:rsid w:val="007B385D"/>
    <w:rsid w:val="007C0CC2"/>
    <w:rsid w:val="007C234F"/>
    <w:rsid w:val="007D3D7D"/>
    <w:rsid w:val="007E0BE6"/>
    <w:rsid w:val="007E3956"/>
    <w:rsid w:val="007E5DAC"/>
    <w:rsid w:val="007F2052"/>
    <w:rsid w:val="007F32D7"/>
    <w:rsid w:val="007F4A23"/>
    <w:rsid w:val="008163E0"/>
    <w:rsid w:val="00825504"/>
    <w:rsid w:val="0083006A"/>
    <w:rsid w:val="0083208A"/>
    <w:rsid w:val="008345DC"/>
    <w:rsid w:val="008428B0"/>
    <w:rsid w:val="00843C9D"/>
    <w:rsid w:val="00853791"/>
    <w:rsid w:val="008539B9"/>
    <w:rsid w:val="00854726"/>
    <w:rsid w:val="00856C32"/>
    <w:rsid w:val="0086018E"/>
    <w:rsid w:val="0086045F"/>
    <w:rsid w:val="0087001C"/>
    <w:rsid w:val="008756B2"/>
    <w:rsid w:val="008777F8"/>
    <w:rsid w:val="0088314E"/>
    <w:rsid w:val="008867E3"/>
    <w:rsid w:val="00893F10"/>
    <w:rsid w:val="0089532B"/>
    <w:rsid w:val="00895D16"/>
    <w:rsid w:val="008A3596"/>
    <w:rsid w:val="008B09A3"/>
    <w:rsid w:val="008B12DA"/>
    <w:rsid w:val="008C1BA3"/>
    <w:rsid w:val="008C3678"/>
    <w:rsid w:val="008D08F5"/>
    <w:rsid w:val="008D3272"/>
    <w:rsid w:val="008D33B8"/>
    <w:rsid w:val="008E3B48"/>
    <w:rsid w:val="008E4757"/>
    <w:rsid w:val="008E510E"/>
    <w:rsid w:val="008E55B0"/>
    <w:rsid w:val="008E5B4F"/>
    <w:rsid w:val="008E798C"/>
    <w:rsid w:val="008F71CF"/>
    <w:rsid w:val="00902C56"/>
    <w:rsid w:val="00911785"/>
    <w:rsid w:val="0091518A"/>
    <w:rsid w:val="009153F6"/>
    <w:rsid w:val="00924724"/>
    <w:rsid w:val="009260BE"/>
    <w:rsid w:val="0092683D"/>
    <w:rsid w:val="009269AF"/>
    <w:rsid w:val="009270D9"/>
    <w:rsid w:val="00943D9D"/>
    <w:rsid w:val="009518D0"/>
    <w:rsid w:val="00952868"/>
    <w:rsid w:val="00970432"/>
    <w:rsid w:val="00970875"/>
    <w:rsid w:val="00970BC0"/>
    <w:rsid w:val="00971B7E"/>
    <w:rsid w:val="009762B9"/>
    <w:rsid w:val="00982A1B"/>
    <w:rsid w:val="00986C22"/>
    <w:rsid w:val="0098777C"/>
    <w:rsid w:val="00992E9A"/>
    <w:rsid w:val="009A32CD"/>
    <w:rsid w:val="009A7AEE"/>
    <w:rsid w:val="009B0DC3"/>
    <w:rsid w:val="009C18D0"/>
    <w:rsid w:val="009C4243"/>
    <w:rsid w:val="009C5C02"/>
    <w:rsid w:val="009D07E4"/>
    <w:rsid w:val="009E3192"/>
    <w:rsid w:val="009E6919"/>
    <w:rsid w:val="009E7DA1"/>
    <w:rsid w:val="009F17C6"/>
    <w:rsid w:val="00A03552"/>
    <w:rsid w:val="00A04E49"/>
    <w:rsid w:val="00A07DA5"/>
    <w:rsid w:val="00A127CC"/>
    <w:rsid w:val="00A207AF"/>
    <w:rsid w:val="00A21B18"/>
    <w:rsid w:val="00A222C4"/>
    <w:rsid w:val="00A247EA"/>
    <w:rsid w:val="00A24CEC"/>
    <w:rsid w:val="00A27A85"/>
    <w:rsid w:val="00A27BCC"/>
    <w:rsid w:val="00A338E7"/>
    <w:rsid w:val="00A36094"/>
    <w:rsid w:val="00A40AA4"/>
    <w:rsid w:val="00A40C80"/>
    <w:rsid w:val="00A4149A"/>
    <w:rsid w:val="00A42A8E"/>
    <w:rsid w:val="00A43C8D"/>
    <w:rsid w:val="00A477F0"/>
    <w:rsid w:val="00A50C6D"/>
    <w:rsid w:val="00A51600"/>
    <w:rsid w:val="00A548DA"/>
    <w:rsid w:val="00A55FAE"/>
    <w:rsid w:val="00A560F2"/>
    <w:rsid w:val="00A57543"/>
    <w:rsid w:val="00A61226"/>
    <w:rsid w:val="00A6550E"/>
    <w:rsid w:val="00A65DE7"/>
    <w:rsid w:val="00A743D8"/>
    <w:rsid w:val="00A76382"/>
    <w:rsid w:val="00A7643A"/>
    <w:rsid w:val="00A95A4B"/>
    <w:rsid w:val="00AA2AF8"/>
    <w:rsid w:val="00AA55D1"/>
    <w:rsid w:val="00AB2F05"/>
    <w:rsid w:val="00AB4703"/>
    <w:rsid w:val="00AB713A"/>
    <w:rsid w:val="00AC4346"/>
    <w:rsid w:val="00AD69AA"/>
    <w:rsid w:val="00B00B8E"/>
    <w:rsid w:val="00B04921"/>
    <w:rsid w:val="00B063E7"/>
    <w:rsid w:val="00B11669"/>
    <w:rsid w:val="00B128C1"/>
    <w:rsid w:val="00B221C5"/>
    <w:rsid w:val="00B2556D"/>
    <w:rsid w:val="00B27EE3"/>
    <w:rsid w:val="00B3747E"/>
    <w:rsid w:val="00B40DDD"/>
    <w:rsid w:val="00B41DA1"/>
    <w:rsid w:val="00B44167"/>
    <w:rsid w:val="00B46B26"/>
    <w:rsid w:val="00B54B6A"/>
    <w:rsid w:val="00B5546A"/>
    <w:rsid w:val="00B55A93"/>
    <w:rsid w:val="00B5637A"/>
    <w:rsid w:val="00B56CDE"/>
    <w:rsid w:val="00B574D0"/>
    <w:rsid w:val="00B657A4"/>
    <w:rsid w:val="00B7286B"/>
    <w:rsid w:val="00B73E48"/>
    <w:rsid w:val="00B8047E"/>
    <w:rsid w:val="00B84BC8"/>
    <w:rsid w:val="00B90092"/>
    <w:rsid w:val="00B97E46"/>
    <w:rsid w:val="00BB1BA5"/>
    <w:rsid w:val="00BB2067"/>
    <w:rsid w:val="00BB2694"/>
    <w:rsid w:val="00BB4E10"/>
    <w:rsid w:val="00BC535A"/>
    <w:rsid w:val="00BD208B"/>
    <w:rsid w:val="00BD63CF"/>
    <w:rsid w:val="00BE1BED"/>
    <w:rsid w:val="00BE67A5"/>
    <w:rsid w:val="00BE690E"/>
    <w:rsid w:val="00BF1D0F"/>
    <w:rsid w:val="00BF35FB"/>
    <w:rsid w:val="00BF3768"/>
    <w:rsid w:val="00BF7A0B"/>
    <w:rsid w:val="00C02027"/>
    <w:rsid w:val="00C021CA"/>
    <w:rsid w:val="00C03283"/>
    <w:rsid w:val="00C034CB"/>
    <w:rsid w:val="00C05537"/>
    <w:rsid w:val="00C101B0"/>
    <w:rsid w:val="00C12E52"/>
    <w:rsid w:val="00C1585B"/>
    <w:rsid w:val="00C23710"/>
    <w:rsid w:val="00C24746"/>
    <w:rsid w:val="00C25FE4"/>
    <w:rsid w:val="00C3640C"/>
    <w:rsid w:val="00C438FC"/>
    <w:rsid w:val="00C448F4"/>
    <w:rsid w:val="00C479F6"/>
    <w:rsid w:val="00C47CE1"/>
    <w:rsid w:val="00C52778"/>
    <w:rsid w:val="00C5299F"/>
    <w:rsid w:val="00C628D0"/>
    <w:rsid w:val="00C643C3"/>
    <w:rsid w:val="00C8308E"/>
    <w:rsid w:val="00C83D95"/>
    <w:rsid w:val="00C8693F"/>
    <w:rsid w:val="00C937B9"/>
    <w:rsid w:val="00C93C94"/>
    <w:rsid w:val="00CA01C6"/>
    <w:rsid w:val="00CA1758"/>
    <w:rsid w:val="00CA211E"/>
    <w:rsid w:val="00CA2797"/>
    <w:rsid w:val="00CA4087"/>
    <w:rsid w:val="00CA73B3"/>
    <w:rsid w:val="00CB0D8B"/>
    <w:rsid w:val="00CC0FF4"/>
    <w:rsid w:val="00CC103C"/>
    <w:rsid w:val="00CC77B2"/>
    <w:rsid w:val="00CD4503"/>
    <w:rsid w:val="00CD521B"/>
    <w:rsid w:val="00CD7D2A"/>
    <w:rsid w:val="00CE246E"/>
    <w:rsid w:val="00CE2C69"/>
    <w:rsid w:val="00CE3AB5"/>
    <w:rsid w:val="00CE3B06"/>
    <w:rsid w:val="00D0065F"/>
    <w:rsid w:val="00D017A6"/>
    <w:rsid w:val="00D05701"/>
    <w:rsid w:val="00D12A9B"/>
    <w:rsid w:val="00D17B52"/>
    <w:rsid w:val="00D264E6"/>
    <w:rsid w:val="00D32F58"/>
    <w:rsid w:val="00D333B3"/>
    <w:rsid w:val="00D33C0B"/>
    <w:rsid w:val="00D340B4"/>
    <w:rsid w:val="00D361CE"/>
    <w:rsid w:val="00D430C1"/>
    <w:rsid w:val="00D433F5"/>
    <w:rsid w:val="00D4370C"/>
    <w:rsid w:val="00D60C56"/>
    <w:rsid w:val="00D63AAE"/>
    <w:rsid w:val="00D651D5"/>
    <w:rsid w:val="00D6675A"/>
    <w:rsid w:val="00D66E36"/>
    <w:rsid w:val="00D7215C"/>
    <w:rsid w:val="00D73B93"/>
    <w:rsid w:val="00D75630"/>
    <w:rsid w:val="00D8101D"/>
    <w:rsid w:val="00D82225"/>
    <w:rsid w:val="00D859A0"/>
    <w:rsid w:val="00D85A41"/>
    <w:rsid w:val="00D85E06"/>
    <w:rsid w:val="00D90AED"/>
    <w:rsid w:val="00D90F47"/>
    <w:rsid w:val="00D93410"/>
    <w:rsid w:val="00DA1170"/>
    <w:rsid w:val="00DA163D"/>
    <w:rsid w:val="00DA3E68"/>
    <w:rsid w:val="00DB077C"/>
    <w:rsid w:val="00DB2E2E"/>
    <w:rsid w:val="00DB69C7"/>
    <w:rsid w:val="00DC058F"/>
    <w:rsid w:val="00DC314F"/>
    <w:rsid w:val="00DC6C35"/>
    <w:rsid w:val="00DD104D"/>
    <w:rsid w:val="00DD5A3F"/>
    <w:rsid w:val="00DE0625"/>
    <w:rsid w:val="00DE1FEE"/>
    <w:rsid w:val="00DE3CC6"/>
    <w:rsid w:val="00DF0AC7"/>
    <w:rsid w:val="00DF7E57"/>
    <w:rsid w:val="00E0547E"/>
    <w:rsid w:val="00E06E33"/>
    <w:rsid w:val="00E07E77"/>
    <w:rsid w:val="00E14AAF"/>
    <w:rsid w:val="00E16769"/>
    <w:rsid w:val="00E172ED"/>
    <w:rsid w:val="00E21C02"/>
    <w:rsid w:val="00E23BB7"/>
    <w:rsid w:val="00E24F81"/>
    <w:rsid w:val="00E26CCF"/>
    <w:rsid w:val="00E307C8"/>
    <w:rsid w:val="00E3135B"/>
    <w:rsid w:val="00E33314"/>
    <w:rsid w:val="00E34764"/>
    <w:rsid w:val="00E359EA"/>
    <w:rsid w:val="00E37A65"/>
    <w:rsid w:val="00E37B16"/>
    <w:rsid w:val="00E407E4"/>
    <w:rsid w:val="00E432C9"/>
    <w:rsid w:val="00E43B75"/>
    <w:rsid w:val="00E444C4"/>
    <w:rsid w:val="00E44E54"/>
    <w:rsid w:val="00E506A2"/>
    <w:rsid w:val="00E52F6E"/>
    <w:rsid w:val="00E5377B"/>
    <w:rsid w:val="00E6079F"/>
    <w:rsid w:val="00E620A7"/>
    <w:rsid w:val="00E7211D"/>
    <w:rsid w:val="00E73EE8"/>
    <w:rsid w:val="00E746EF"/>
    <w:rsid w:val="00E77765"/>
    <w:rsid w:val="00E802D0"/>
    <w:rsid w:val="00E81ADC"/>
    <w:rsid w:val="00E82D02"/>
    <w:rsid w:val="00E92A3C"/>
    <w:rsid w:val="00E97ADE"/>
    <w:rsid w:val="00EA5D98"/>
    <w:rsid w:val="00EB4847"/>
    <w:rsid w:val="00EB5DEA"/>
    <w:rsid w:val="00EB73DF"/>
    <w:rsid w:val="00EB7781"/>
    <w:rsid w:val="00EC159D"/>
    <w:rsid w:val="00EC294E"/>
    <w:rsid w:val="00EC2D7F"/>
    <w:rsid w:val="00ED1C9B"/>
    <w:rsid w:val="00ED2D75"/>
    <w:rsid w:val="00ED6703"/>
    <w:rsid w:val="00EE049E"/>
    <w:rsid w:val="00EE2DCD"/>
    <w:rsid w:val="00EE2F36"/>
    <w:rsid w:val="00EE6F50"/>
    <w:rsid w:val="00EF4017"/>
    <w:rsid w:val="00EF4BE4"/>
    <w:rsid w:val="00F02245"/>
    <w:rsid w:val="00F03DEE"/>
    <w:rsid w:val="00F07E60"/>
    <w:rsid w:val="00F10752"/>
    <w:rsid w:val="00F1135E"/>
    <w:rsid w:val="00F159FE"/>
    <w:rsid w:val="00F2465A"/>
    <w:rsid w:val="00F26475"/>
    <w:rsid w:val="00F2798C"/>
    <w:rsid w:val="00F332E6"/>
    <w:rsid w:val="00F4620B"/>
    <w:rsid w:val="00F46536"/>
    <w:rsid w:val="00F55003"/>
    <w:rsid w:val="00F57D67"/>
    <w:rsid w:val="00F60823"/>
    <w:rsid w:val="00F63321"/>
    <w:rsid w:val="00F65073"/>
    <w:rsid w:val="00F704BF"/>
    <w:rsid w:val="00F72B4C"/>
    <w:rsid w:val="00F74533"/>
    <w:rsid w:val="00F7540C"/>
    <w:rsid w:val="00F7740E"/>
    <w:rsid w:val="00F77714"/>
    <w:rsid w:val="00F81507"/>
    <w:rsid w:val="00F85C7B"/>
    <w:rsid w:val="00F97C27"/>
    <w:rsid w:val="00FA1839"/>
    <w:rsid w:val="00FA45F2"/>
    <w:rsid w:val="00FB280B"/>
    <w:rsid w:val="00FB3110"/>
    <w:rsid w:val="00FB4613"/>
    <w:rsid w:val="00FB74AF"/>
    <w:rsid w:val="00FC3A51"/>
    <w:rsid w:val="00FF21E0"/>
    <w:rsid w:val="00FF61DF"/>
    <w:rsid w:val="00FF701D"/>
    <w:rsid w:val="00FF7F32"/>
    <w:rsid w:val="352D50F4"/>
    <w:rsid w:val="43141874"/>
    <w:rsid w:val="63A5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Document Map"/>
    <w:basedOn w:val="1"/>
    <w:link w:val="21"/>
    <w:semiHidden/>
    <w:unhideWhenUsed/>
    <w:uiPriority w:val="99"/>
    <w:rPr>
      <w:rFonts w:ascii="宋体" w:eastAsia="宋体"/>
      <w:sz w:val="18"/>
      <w:szCs w:val="18"/>
    </w:rPr>
  </w:style>
  <w:style w:type="paragraph" w:styleId="4">
    <w:name w:val="annotation text"/>
    <w:basedOn w:val="1"/>
    <w:link w:val="18"/>
    <w:unhideWhenUsed/>
    <w:uiPriority w:val="0"/>
    <w:pPr>
      <w:jc w:val="left"/>
    </w:pPr>
  </w:style>
  <w:style w:type="paragraph" w:styleId="5">
    <w:name w:val="Date"/>
    <w:basedOn w:val="1"/>
    <w:next w:val="1"/>
    <w:link w:val="28"/>
    <w:semiHidden/>
    <w:unhideWhenUsed/>
    <w:qFormat/>
    <w:uiPriority w:val="99"/>
    <w:pPr>
      <w:ind w:left="100" w:leftChars="2500"/>
    </w:pPr>
  </w:style>
  <w:style w:type="paragraph" w:styleId="6">
    <w:name w:val="Balloon Text"/>
    <w:basedOn w:val="1"/>
    <w:link w:val="17"/>
    <w:semiHidden/>
    <w:unhideWhenUsed/>
    <w:uiPriority w:val="99"/>
    <w:rPr>
      <w:sz w:val="18"/>
      <w:szCs w:val="18"/>
    </w:rPr>
  </w:style>
  <w:style w:type="paragraph" w:styleId="7">
    <w:name w:val="footer"/>
    <w:basedOn w:val="1"/>
    <w:link w:val="16"/>
    <w:unhideWhenUsed/>
    <w:uiPriority w:val="99"/>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9"/>
    <w:semiHidden/>
    <w:unhideWhenUsed/>
    <w:qFormat/>
    <w:uiPriority w:val="99"/>
    <w:rPr>
      <w:b/>
      <w:bCs/>
    </w:rPr>
  </w:style>
  <w:style w:type="character" w:styleId="13">
    <w:name w:val="Hyperlink"/>
    <w:uiPriority w:val="99"/>
    <w:rPr>
      <w:color w:val="0000FF"/>
      <w:u w:val="single"/>
    </w:rPr>
  </w:style>
  <w:style w:type="character" w:styleId="14">
    <w:name w:val="annotation reference"/>
    <w:basedOn w:val="12"/>
    <w:unhideWhenUsed/>
    <w:uiPriority w:val="0"/>
    <w:rPr>
      <w:sz w:val="21"/>
      <w:szCs w:val="21"/>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uiPriority w:val="99"/>
    <w:rPr>
      <w:sz w:val="18"/>
      <w:szCs w:val="18"/>
    </w:rPr>
  </w:style>
  <w:style w:type="character" w:customStyle="1" w:styleId="17">
    <w:name w:val="批注框文本 字符"/>
    <w:basedOn w:val="12"/>
    <w:link w:val="6"/>
    <w:semiHidden/>
    <w:qFormat/>
    <w:uiPriority w:val="99"/>
    <w:rPr>
      <w:sz w:val="18"/>
      <w:szCs w:val="18"/>
    </w:rPr>
  </w:style>
  <w:style w:type="character" w:customStyle="1" w:styleId="18">
    <w:name w:val="批注文字 字符"/>
    <w:basedOn w:val="12"/>
    <w:link w:val="4"/>
    <w:semiHidden/>
    <w:qFormat/>
    <w:uiPriority w:val="99"/>
  </w:style>
  <w:style w:type="character" w:customStyle="1" w:styleId="19">
    <w:name w:val="批注主题 字符"/>
    <w:basedOn w:val="18"/>
    <w:link w:val="10"/>
    <w:semiHidden/>
    <w:uiPriority w:val="99"/>
    <w:rPr>
      <w:b/>
      <w:bCs/>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文档结构图 字符"/>
    <w:basedOn w:val="12"/>
    <w:link w:val="3"/>
    <w:semiHidden/>
    <w:qFormat/>
    <w:uiPriority w:val="99"/>
    <w:rPr>
      <w:rFonts w:ascii="宋体" w:eastAsia="宋体"/>
      <w:sz w:val="18"/>
      <w:szCs w:val="18"/>
    </w:rPr>
  </w:style>
  <w:style w:type="paragraph" w:customStyle="1" w:styleId="22">
    <w:name w:val="Char"/>
    <w:basedOn w:val="1"/>
    <w:qFormat/>
    <w:uiPriority w:val="0"/>
    <w:rPr>
      <w:rFonts w:ascii="Times New Roman" w:hAnsi="Times New Roman" w:eastAsia="宋体" w:cs="Times New Roman"/>
      <w:szCs w:val="24"/>
    </w:rPr>
  </w:style>
  <w:style w:type="paragraph" w:customStyle="1" w:styleId="23">
    <w:name w:val="项目"/>
    <w:basedOn w:val="2"/>
    <w:qFormat/>
    <w:uiPriority w:val="0"/>
    <w:pPr>
      <w:snapToGrid w:val="0"/>
      <w:spacing w:before="120" w:after="120" w:line="360" w:lineRule="auto"/>
    </w:pPr>
    <w:rPr>
      <w:rFonts w:ascii="Times New Roman" w:hAnsi="Times New Roman" w:eastAsia="楷体_GB2312" w:cs="Times New Roman"/>
      <w:b w:val="0"/>
      <w:sz w:val="24"/>
      <w:szCs w:val="20"/>
    </w:rPr>
  </w:style>
  <w:style w:type="character" w:customStyle="1" w:styleId="24">
    <w:name w:val="标题 4 字符"/>
    <w:basedOn w:val="12"/>
    <w:link w:val="2"/>
    <w:semiHidden/>
    <w:qFormat/>
    <w:uiPriority w:val="9"/>
    <w:rPr>
      <w:rFonts w:asciiTheme="majorHAnsi" w:hAnsiTheme="majorHAnsi" w:eastAsiaTheme="majorEastAsia" w:cstheme="majorBidi"/>
      <w:b/>
      <w:bCs/>
      <w:sz w:val="28"/>
      <w:szCs w:val="28"/>
    </w:rPr>
  </w:style>
  <w:style w:type="paragraph" w:styleId="25">
    <w:name w:val="List Paragraph"/>
    <w:basedOn w:val="1"/>
    <w:qFormat/>
    <w:uiPriority w:val="34"/>
    <w:pPr>
      <w:ind w:firstLine="420" w:firstLineChars="200"/>
    </w:pPr>
  </w:style>
  <w:style w:type="paragraph" w:customStyle="1" w:styleId="2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27">
    <w:name w:val="默认段落字体 Para Char Char Char Char Char Char"/>
    <w:basedOn w:val="1"/>
    <w:qFormat/>
    <w:uiPriority w:val="0"/>
    <w:pPr>
      <w:tabs>
        <w:tab w:val="left" w:pos="840"/>
      </w:tabs>
      <w:ind w:left="840" w:hanging="360"/>
    </w:pPr>
    <w:rPr>
      <w:rFonts w:ascii="Times New Roman" w:hAnsi="Times New Roman" w:eastAsia="宋体" w:cs="Times New Roman"/>
      <w:sz w:val="24"/>
      <w:szCs w:val="24"/>
    </w:rPr>
  </w:style>
  <w:style w:type="character" w:customStyle="1" w:styleId="28">
    <w:name w:val="日期 字符"/>
    <w:basedOn w:val="12"/>
    <w:link w:val="5"/>
    <w:semiHidden/>
    <w:qFormat/>
    <w:uiPriority w:val="99"/>
  </w:style>
  <w:style w:type="table" w:customStyle="1" w:styleId="29">
    <w:name w:val="Grid Table Light"/>
    <w:basedOn w:val="1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4424B-ED82-4D24-B2B8-7AEE9C561A08}">
  <ds:schemaRefs/>
</ds:datastoreItem>
</file>

<file path=docProps/app.xml><?xml version="1.0" encoding="utf-8"?>
<Properties xmlns="http://schemas.openxmlformats.org/officeDocument/2006/extended-properties" xmlns:vt="http://schemas.openxmlformats.org/officeDocument/2006/docPropsVTypes">
  <Template>Normal</Template>
  <Company>wind</Company>
  <Pages>3</Pages>
  <Words>494</Words>
  <Characters>2818</Characters>
  <Lines>23</Lines>
  <Paragraphs>6</Paragraphs>
  <TotalTime>13</TotalTime>
  <ScaleCrop>false</ScaleCrop>
  <LinksUpToDate>false</LinksUpToDate>
  <CharactersWithSpaces>3306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2023-07-07T10:28:00Z</dcterms:created>
  <dc:creator>yfjiang.may</dc:creator>
  <cp:lastModifiedBy>喻秋燕</cp:lastModifiedBy>
  <cp:lastPrinted>2023-07-07T10:27:00Z</cp:lastPrinted>
  <dcterms:modified xsi:type="dcterms:W3CDTF">2025-02-10T06:54:57Z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3FD92E5068BD485CA40F79A187F1CD3B</vt:lpwstr>
  </property>
</Properties>
</file>