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b/>
          <w:sz w:val="36"/>
        </w:rPr>
      </w:pPr>
      <w:bookmarkStart w:id="173" w:name="_GoBack"/>
      <w:bookmarkEnd w:id="173"/>
    </w:p>
    <w:p>
      <w:pPr>
        <w:jc w:val="center"/>
        <w:outlineLvl w:val="0"/>
        <w:rPr>
          <w:rFonts w:ascii="宋体" w:hAnsi="宋体"/>
          <w:b/>
          <w:sz w:val="36"/>
        </w:rPr>
      </w:pPr>
    </w:p>
    <w:p>
      <w:pPr>
        <w:jc w:val="center"/>
        <w:outlineLvl w:val="0"/>
        <w:rPr>
          <w:rFonts w:ascii="宋体" w:hAnsi="宋体"/>
          <w:b/>
          <w:sz w:val="36"/>
        </w:rPr>
      </w:pPr>
    </w:p>
    <w:p>
      <w:pPr>
        <w:jc w:val="center"/>
        <w:outlineLvl w:val="0"/>
        <w:rPr>
          <w:rFonts w:ascii="宋体" w:hAnsi="宋体"/>
          <w:b/>
          <w:sz w:val="36"/>
        </w:rPr>
      </w:pPr>
      <w:r>
        <w:rPr>
          <w:sz w:val="44"/>
        </w:rPr>
        <w:drawing>
          <wp:inline distT="0" distB="0" distL="0" distR="0">
            <wp:extent cx="4352925" cy="571500"/>
            <wp:effectExtent l="0" t="0" r="9525"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框 10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52925" cy="571500"/>
                    </a:xfrm>
                    <a:prstGeom prst="rect">
                      <a:avLst/>
                    </a:prstGeom>
                    <a:noFill/>
                    <a:ln>
                      <a:noFill/>
                    </a:ln>
                  </pic:spPr>
                </pic:pic>
              </a:graphicData>
            </a:graphic>
          </wp:inline>
        </w:drawing>
      </w:r>
    </w:p>
    <w:p>
      <w:pPr>
        <w:outlineLvl w:val="0"/>
        <w:rPr>
          <w:rFonts w:ascii="宋体" w:hAnsi="宋体"/>
          <w:b/>
          <w:sz w:val="36"/>
        </w:rPr>
      </w:pPr>
    </w:p>
    <w:p>
      <w:pPr>
        <w:jc w:val="center"/>
        <w:outlineLvl w:val="0"/>
        <w:rPr>
          <w:rFonts w:ascii="黑体" w:hAnsi="Batang" w:eastAsia="黑体"/>
          <w:b/>
          <w:sz w:val="36"/>
        </w:rPr>
      </w:pPr>
      <w:bookmarkStart w:id="0" w:name="_Toc123112261"/>
      <w:bookmarkStart w:id="1" w:name="_Toc123701381"/>
      <w:bookmarkStart w:id="2" w:name="_Toc139991724"/>
      <w:bookmarkStart w:id="3" w:name="_Toc123112222"/>
      <w:bookmarkStart w:id="4" w:name="_Toc139992299"/>
      <w:r>
        <w:rPr>
          <w:rFonts w:hint="eastAsia"/>
          <w:b/>
          <w:sz w:val="48"/>
        </w:rPr>
        <w:t>交银施罗德中证海外中国互联网指数型</w:t>
      </w:r>
      <w:r>
        <w:rPr>
          <w:b/>
          <w:sz w:val="48"/>
        </w:rPr>
        <w:t>证券投资基金</w:t>
      </w:r>
      <w:bookmarkEnd w:id="0"/>
      <w:bookmarkEnd w:id="1"/>
      <w:bookmarkEnd w:id="2"/>
      <w:bookmarkEnd w:id="3"/>
      <w:bookmarkEnd w:id="4"/>
      <w:r>
        <w:rPr>
          <w:rFonts w:hint="eastAsia"/>
          <w:b/>
          <w:sz w:val="48"/>
        </w:rPr>
        <w:t>（LOF）</w:t>
      </w:r>
      <w:bookmarkStart w:id="5" w:name="_Toc328568670"/>
      <w:r>
        <w:rPr>
          <w:rFonts w:hint="eastAsia" w:ascii="宋体" w:hAnsi="宋体"/>
          <w:b/>
          <w:sz w:val="48"/>
          <w:szCs w:val="48"/>
        </w:rPr>
        <w:t>托管协议</w:t>
      </w:r>
      <w:bookmarkEnd w:id="5"/>
    </w:p>
    <w:p>
      <w:pPr>
        <w:jc w:val="center"/>
        <w:outlineLvl w:val="0"/>
        <w:rPr>
          <w:rFonts w:ascii="宋体" w:hAnsi="宋体"/>
          <w:b/>
          <w:sz w:val="36"/>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b/>
          <w:sz w:val="36"/>
        </w:rPr>
      </w:pPr>
      <w:bookmarkStart w:id="6" w:name="_Toc139992301"/>
      <w:bookmarkStart w:id="7" w:name="_Toc123112224"/>
      <w:bookmarkStart w:id="8" w:name="_Toc123701383"/>
      <w:bookmarkStart w:id="9" w:name="_Toc123112263"/>
      <w:bookmarkStart w:id="10" w:name="_Toc139991726"/>
      <w:r>
        <w:rPr>
          <w:b/>
          <w:sz w:val="36"/>
        </w:rPr>
        <w:t>基金管理人：</w:t>
      </w:r>
      <w:bookmarkEnd w:id="6"/>
      <w:bookmarkEnd w:id="7"/>
      <w:bookmarkEnd w:id="8"/>
      <w:bookmarkEnd w:id="9"/>
      <w:bookmarkEnd w:id="10"/>
      <w:r>
        <w:rPr>
          <w:rFonts w:hint="eastAsia"/>
          <w:b/>
          <w:sz w:val="36"/>
        </w:rPr>
        <w:t>交银施罗德基金管理有限公司</w:t>
      </w:r>
      <w:r>
        <w:rPr>
          <w:b/>
          <w:sz w:val="36"/>
        </w:rPr>
        <w:t xml:space="preserve">   </w:t>
      </w:r>
    </w:p>
    <w:p>
      <w:pPr>
        <w:jc w:val="center"/>
        <w:rPr>
          <w:b/>
          <w:sz w:val="36"/>
        </w:rPr>
      </w:pPr>
      <w:bookmarkStart w:id="11" w:name="_Toc123701384"/>
      <w:bookmarkStart w:id="12" w:name="_Toc139992302"/>
      <w:bookmarkStart w:id="13" w:name="_Toc123112225"/>
      <w:bookmarkStart w:id="14" w:name="_Toc139991727"/>
      <w:bookmarkStart w:id="15" w:name="_Toc123112264"/>
      <w:r>
        <w:rPr>
          <w:b/>
          <w:sz w:val="36"/>
        </w:rPr>
        <w:t>基金托管人：</w:t>
      </w:r>
      <w:r>
        <w:rPr>
          <w:rFonts w:hint="eastAsia"/>
          <w:b/>
          <w:sz w:val="36"/>
        </w:rPr>
        <w:t>中国农业银行股份有限公司</w:t>
      </w:r>
      <w:r>
        <w:rPr>
          <w:b/>
          <w:sz w:val="36"/>
        </w:rPr>
        <w:t xml:space="preserve">         </w:t>
      </w:r>
      <w:bookmarkEnd w:id="11"/>
      <w:bookmarkEnd w:id="12"/>
      <w:bookmarkEnd w:id="13"/>
      <w:bookmarkEnd w:id="14"/>
      <w:bookmarkEnd w:id="15"/>
      <w:r>
        <w:rPr>
          <w:b/>
          <w:sz w:val="36"/>
        </w:rPr>
        <w:t xml:space="preserve"> </w:t>
      </w:r>
    </w:p>
    <w:p>
      <w:pPr>
        <w:rPr>
          <w:bCs/>
          <w:sz w:val="28"/>
        </w:rPr>
      </w:pPr>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b/>
          <w:bCs/>
          <w:sz w:val="30"/>
        </w:rPr>
        <w:t>二零二</w:t>
      </w:r>
      <w:r>
        <w:rPr>
          <w:rFonts w:hint="eastAsia" w:ascii="宋体"/>
          <w:b/>
          <w:bCs/>
          <w:sz w:val="30"/>
          <w:lang w:val="en-US" w:eastAsia="zh-CN"/>
        </w:rPr>
        <w:t>五</w:t>
      </w:r>
      <w:r>
        <w:rPr>
          <w:rFonts w:hint="eastAsia" w:ascii="宋体"/>
          <w:b/>
          <w:bCs/>
          <w:sz w:val="30"/>
        </w:rPr>
        <w:t>年</w:t>
      </w:r>
      <w:r>
        <w:rPr>
          <w:rFonts w:hint="eastAsia" w:ascii="宋体"/>
          <w:b/>
          <w:bCs/>
          <w:sz w:val="30"/>
          <w:lang w:val="en-US" w:eastAsia="zh-CN"/>
        </w:rPr>
        <w:t>二</w:t>
      </w:r>
      <w:r>
        <w:rPr>
          <w:rFonts w:hint="eastAsia" w:ascii="宋体"/>
          <w:b/>
          <w:bCs/>
          <w:sz w:val="30"/>
        </w:rPr>
        <w:t>月</w:t>
      </w:r>
    </w:p>
    <w:p>
      <w:pPr>
        <w:pStyle w:val="43"/>
        <w:jc w:val="center"/>
        <w:rPr>
          <w:color w:val="auto"/>
        </w:rPr>
      </w:pPr>
      <w:r>
        <w:rPr>
          <w:color w:val="auto"/>
          <w:lang w:val="zh-CN"/>
        </w:rPr>
        <w:t>目</w:t>
      </w:r>
      <w:r>
        <w:rPr>
          <w:rFonts w:hint="eastAsia"/>
          <w:color w:val="auto"/>
          <w:lang w:val="zh-CN"/>
        </w:rPr>
        <w:t xml:space="preserve">  </w:t>
      </w:r>
      <w:r>
        <w:rPr>
          <w:color w:val="auto"/>
          <w:lang w:val="zh-CN"/>
        </w:rPr>
        <w:t>录</w:t>
      </w:r>
    </w:p>
    <w:p>
      <w:pPr>
        <w:pStyle w:val="14"/>
        <w:tabs>
          <w:tab w:val="right" w:leader="dot" w:pos="8494"/>
        </w:tabs>
        <w:rPr>
          <w:rFonts w:ascii="Calibri" w:hAnsi="Calibri"/>
        </w:rPr>
      </w:pPr>
      <w:r>
        <w:fldChar w:fldCharType="begin"/>
      </w:r>
      <w:r>
        <w:instrText xml:space="preserve"> TOC \o "1-3" \h \z \u </w:instrText>
      </w:r>
      <w:r>
        <w:fldChar w:fldCharType="separate"/>
      </w:r>
    </w:p>
    <w:p>
      <w:pPr>
        <w:pStyle w:val="17"/>
        <w:tabs>
          <w:tab w:val="right" w:leader="dot" w:pos="8494"/>
        </w:tabs>
        <w:rPr>
          <w:rFonts w:ascii="Calibri" w:hAnsi="Calibri"/>
        </w:rPr>
      </w:pPr>
      <w:r>
        <w:fldChar w:fldCharType="begin"/>
      </w:r>
      <w:r>
        <w:instrText xml:space="preserve"> HYPERLINK \l "_Toc328568673" </w:instrText>
      </w:r>
      <w:r>
        <w:fldChar w:fldCharType="separate"/>
      </w:r>
      <w:r>
        <w:rPr>
          <w:rStyle w:val="24"/>
          <w:rFonts w:hint="eastAsia" w:ascii="宋体" w:hAnsi="宋体"/>
          <w:color w:val="auto"/>
        </w:rPr>
        <w:t>一、基金托管协议当事人</w:t>
      </w:r>
      <w:r>
        <w:tab/>
      </w:r>
      <w:r>
        <w:fldChar w:fldCharType="begin"/>
      </w:r>
      <w:r>
        <w:instrText xml:space="preserve"> PAGEREF _Toc328568673 \h </w:instrText>
      </w:r>
      <w:r>
        <w:fldChar w:fldCharType="separate"/>
      </w:r>
      <w:r>
        <w:t>2</w:t>
      </w:r>
      <w:r>
        <w:fldChar w:fldCharType="end"/>
      </w:r>
      <w:r>
        <w:fldChar w:fldCharType="end"/>
      </w:r>
    </w:p>
    <w:p>
      <w:pPr>
        <w:pStyle w:val="17"/>
        <w:tabs>
          <w:tab w:val="right" w:leader="dot" w:pos="8494"/>
        </w:tabs>
        <w:rPr>
          <w:rFonts w:ascii="Calibri" w:hAnsi="Calibri"/>
        </w:rPr>
      </w:pPr>
      <w:r>
        <w:fldChar w:fldCharType="begin"/>
      </w:r>
      <w:r>
        <w:instrText xml:space="preserve"> HYPERLINK \l "_Toc328568674" </w:instrText>
      </w:r>
      <w:r>
        <w:fldChar w:fldCharType="separate"/>
      </w:r>
      <w:r>
        <w:rPr>
          <w:rStyle w:val="24"/>
          <w:rFonts w:hint="eastAsia" w:ascii="宋体" w:hAnsi="宋体"/>
          <w:color w:val="auto"/>
        </w:rPr>
        <w:t>二、基金托管协议的依据、目的和原则</w:t>
      </w:r>
      <w:r>
        <w:tab/>
      </w:r>
      <w:r>
        <w:fldChar w:fldCharType="begin"/>
      </w:r>
      <w:r>
        <w:instrText xml:space="preserve"> PAGEREF _Toc328568674 \h </w:instrText>
      </w:r>
      <w:r>
        <w:fldChar w:fldCharType="separate"/>
      </w:r>
      <w:r>
        <w:t>4</w:t>
      </w:r>
      <w:r>
        <w:fldChar w:fldCharType="end"/>
      </w:r>
      <w:r>
        <w:fldChar w:fldCharType="end"/>
      </w:r>
    </w:p>
    <w:p>
      <w:pPr>
        <w:pStyle w:val="17"/>
        <w:tabs>
          <w:tab w:val="right" w:leader="dot" w:pos="8494"/>
        </w:tabs>
        <w:rPr>
          <w:rFonts w:ascii="Calibri" w:hAnsi="Calibri"/>
        </w:rPr>
      </w:pPr>
      <w:r>
        <w:fldChar w:fldCharType="begin"/>
      </w:r>
      <w:r>
        <w:instrText xml:space="preserve"> HYPERLINK \l "_Toc328568675" </w:instrText>
      </w:r>
      <w:r>
        <w:fldChar w:fldCharType="separate"/>
      </w:r>
      <w:r>
        <w:rPr>
          <w:rStyle w:val="24"/>
          <w:rFonts w:hint="eastAsia" w:ascii="宋体" w:hAnsi="宋体"/>
          <w:color w:val="auto"/>
        </w:rPr>
        <w:t>三、基金托管人对基金管理人的业务监督和核查</w:t>
      </w:r>
      <w:r>
        <w:tab/>
      </w:r>
      <w:r>
        <w:fldChar w:fldCharType="begin"/>
      </w:r>
      <w:r>
        <w:instrText xml:space="preserve"> PAGEREF _Toc328568675 \h </w:instrText>
      </w:r>
      <w:r>
        <w:fldChar w:fldCharType="separate"/>
      </w:r>
      <w:r>
        <w:t>5</w:t>
      </w:r>
      <w:r>
        <w:fldChar w:fldCharType="end"/>
      </w:r>
      <w:r>
        <w:fldChar w:fldCharType="end"/>
      </w:r>
    </w:p>
    <w:p>
      <w:pPr>
        <w:pStyle w:val="17"/>
        <w:tabs>
          <w:tab w:val="right" w:leader="dot" w:pos="8494"/>
        </w:tabs>
        <w:rPr>
          <w:rFonts w:ascii="Calibri" w:hAnsi="Calibri"/>
        </w:rPr>
      </w:pPr>
      <w:r>
        <w:fldChar w:fldCharType="begin"/>
      </w:r>
      <w:r>
        <w:instrText xml:space="preserve"> HYPERLINK \l "_Toc328568676" </w:instrText>
      </w:r>
      <w:r>
        <w:fldChar w:fldCharType="separate"/>
      </w:r>
      <w:r>
        <w:rPr>
          <w:rStyle w:val="24"/>
          <w:rFonts w:hint="eastAsia" w:ascii="宋体" w:hAnsi="宋体"/>
          <w:color w:val="auto"/>
        </w:rPr>
        <w:t>四、基金管理人对基金托管人的业务核查</w:t>
      </w:r>
      <w:r>
        <w:tab/>
      </w:r>
      <w:r>
        <w:fldChar w:fldCharType="begin"/>
      </w:r>
      <w:r>
        <w:instrText xml:space="preserve"> PAGEREF _Toc328568676 \h </w:instrText>
      </w:r>
      <w:r>
        <w:fldChar w:fldCharType="separate"/>
      </w:r>
      <w:r>
        <w:t>11</w:t>
      </w:r>
      <w:r>
        <w:fldChar w:fldCharType="end"/>
      </w:r>
      <w:r>
        <w:fldChar w:fldCharType="end"/>
      </w:r>
    </w:p>
    <w:p>
      <w:pPr>
        <w:pStyle w:val="17"/>
        <w:tabs>
          <w:tab w:val="right" w:leader="dot" w:pos="8494"/>
        </w:tabs>
        <w:rPr>
          <w:rFonts w:ascii="Calibri" w:hAnsi="Calibri"/>
        </w:rPr>
      </w:pPr>
      <w:r>
        <w:fldChar w:fldCharType="begin"/>
      </w:r>
      <w:r>
        <w:instrText xml:space="preserve"> HYPERLINK \l "_Toc328568677" </w:instrText>
      </w:r>
      <w:r>
        <w:fldChar w:fldCharType="separate"/>
      </w:r>
      <w:r>
        <w:rPr>
          <w:rStyle w:val="24"/>
          <w:rFonts w:hint="eastAsia" w:ascii="宋体" w:hAnsi="宋体"/>
          <w:color w:val="auto"/>
        </w:rPr>
        <w:t>五、基金托管人承担的受托人职责和托管职责</w:t>
      </w:r>
      <w:r>
        <w:tab/>
      </w:r>
      <w:r>
        <w:fldChar w:fldCharType="begin"/>
      </w:r>
      <w:r>
        <w:instrText xml:space="preserve"> PAGEREF _Toc328568677 \h </w:instrText>
      </w:r>
      <w:r>
        <w:fldChar w:fldCharType="separate"/>
      </w:r>
      <w:r>
        <w:t>12</w:t>
      </w:r>
      <w:r>
        <w:fldChar w:fldCharType="end"/>
      </w:r>
      <w:r>
        <w:fldChar w:fldCharType="end"/>
      </w:r>
    </w:p>
    <w:p>
      <w:pPr>
        <w:pStyle w:val="17"/>
        <w:tabs>
          <w:tab w:val="right" w:leader="dot" w:pos="8494"/>
        </w:tabs>
        <w:rPr>
          <w:rFonts w:ascii="Calibri" w:hAnsi="Calibri"/>
        </w:rPr>
      </w:pPr>
      <w:r>
        <w:fldChar w:fldCharType="begin"/>
      </w:r>
      <w:r>
        <w:instrText xml:space="preserve"> HYPERLINK \l "_Toc328568678" </w:instrText>
      </w:r>
      <w:r>
        <w:fldChar w:fldCharType="separate"/>
      </w:r>
      <w:r>
        <w:rPr>
          <w:rStyle w:val="24"/>
          <w:rFonts w:hint="eastAsia" w:ascii="宋体" w:hAnsi="宋体"/>
          <w:color w:val="auto"/>
        </w:rPr>
        <w:t>六、基金财产的保管</w:t>
      </w:r>
      <w:r>
        <w:tab/>
      </w:r>
      <w:r>
        <w:fldChar w:fldCharType="begin"/>
      </w:r>
      <w:r>
        <w:instrText xml:space="preserve"> PAGEREF _Toc328568678 \h </w:instrText>
      </w:r>
      <w:r>
        <w:fldChar w:fldCharType="separate"/>
      </w:r>
      <w:r>
        <w:t>14</w:t>
      </w:r>
      <w:r>
        <w:fldChar w:fldCharType="end"/>
      </w:r>
      <w:r>
        <w:fldChar w:fldCharType="end"/>
      </w:r>
    </w:p>
    <w:p>
      <w:pPr>
        <w:pStyle w:val="17"/>
        <w:tabs>
          <w:tab w:val="right" w:leader="dot" w:pos="8494"/>
        </w:tabs>
        <w:rPr>
          <w:rFonts w:ascii="Calibri" w:hAnsi="Calibri"/>
        </w:rPr>
      </w:pPr>
      <w:r>
        <w:fldChar w:fldCharType="begin"/>
      </w:r>
      <w:r>
        <w:instrText xml:space="preserve"> HYPERLINK \l "_Toc328568679" </w:instrText>
      </w:r>
      <w:r>
        <w:fldChar w:fldCharType="separate"/>
      </w:r>
      <w:r>
        <w:rPr>
          <w:rStyle w:val="24"/>
          <w:rFonts w:hint="eastAsia" w:ascii="宋体" w:hAnsi="宋体"/>
          <w:color w:val="auto"/>
        </w:rPr>
        <w:t>七、指令的发送、确认及执行</w:t>
      </w:r>
      <w:r>
        <w:tab/>
      </w:r>
      <w:r>
        <w:fldChar w:fldCharType="begin"/>
      </w:r>
      <w:r>
        <w:instrText xml:space="preserve"> PAGEREF _Toc328568679 \h </w:instrText>
      </w:r>
      <w:r>
        <w:fldChar w:fldCharType="separate"/>
      </w:r>
      <w:r>
        <w:t>17</w:t>
      </w:r>
      <w:r>
        <w:fldChar w:fldCharType="end"/>
      </w:r>
      <w:r>
        <w:fldChar w:fldCharType="end"/>
      </w:r>
    </w:p>
    <w:p>
      <w:pPr>
        <w:pStyle w:val="17"/>
        <w:tabs>
          <w:tab w:val="right" w:leader="dot" w:pos="8494"/>
        </w:tabs>
        <w:rPr>
          <w:rFonts w:ascii="Calibri" w:hAnsi="Calibri"/>
        </w:rPr>
      </w:pPr>
      <w:r>
        <w:fldChar w:fldCharType="begin"/>
      </w:r>
      <w:r>
        <w:instrText xml:space="preserve"> HYPERLINK \l "_Toc328568680" </w:instrText>
      </w:r>
      <w:r>
        <w:fldChar w:fldCharType="separate"/>
      </w:r>
      <w:r>
        <w:rPr>
          <w:rStyle w:val="24"/>
          <w:rFonts w:hint="eastAsia" w:ascii="宋体" w:hAnsi="宋体"/>
          <w:color w:val="auto"/>
        </w:rPr>
        <w:t>八、交易及清算交收安排</w:t>
      </w:r>
      <w:r>
        <w:tab/>
      </w:r>
      <w:r>
        <w:fldChar w:fldCharType="begin"/>
      </w:r>
      <w:r>
        <w:instrText xml:space="preserve"> PAGEREF _Toc328568680 \h </w:instrText>
      </w:r>
      <w:r>
        <w:fldChar w:fldCharType="separate"/>
      </w:r>
      <w:r>
        <w:t>19</w:t>
      </w:r>
      <w:r>
        <w:fldChar w:fldCharType="end"/>
      </w:r>
      <w:r>
        <w:fldChar w:fldCharType="end"/>
      </w:r>
    </w:p>
    <w:p>
      <w:pPr>
        <w:pStyle w:val="17"/>
        <w:tabs>
          <w:tab w:val="right" w:leader="dot" w:pos="8494"/>
        </w:tabs>
        <w:rPr>
          <w:rFonts w:ascii="Calibri" w:hAnsi="Calibri"/>
        </w:rPr>
      </w:pPr>
      <w:r>
        <w:fldChar w:fldCharType="begin"/>
      </w:r>
      <w:r>
        <w:instrText xml:space="preserve"> HYPERLINK \l "_Toc328568681" </w:instrText>
      </w:r>
      <w:r>
        <w:fldChar w:fldCharType="separate"/>
      </w:r>
      <w:r>
        <w:rPr>
          <w:rStyle w:val="24"/>
          <w:rFonts w:hint="eastAsia" w:ascii="宋体" w:hAnsi="宋体"/>
          <w:color w:val="auto"/>
        </w:rPr>
        <w:t>九、基金资产净值计算和会计核算</w:t>
      </w:r>
      <w:r>
        <w:tab/>
      </w:r>
      <w:r>
        <w:fldChar w:fldCharType="begin"/>
      </w:r>
      <w:r>
        <w:instrText xml:space="preserve"> PAGEREF _Toc328568681 \h </w:instrText>
      </w:r>
      <w:r>
        <w:fldChar w:fldCharType="separate"/>
      </w:r>
      <w:r>
        <w:t>24</w:t>
      </w:r>
      <w:r>
        <w:fldChar w:fldCharType="end"/>
      </w:r>
      <w:r>
        <w:fldChar w:fldCharType="end"/>
      </w:r>
    </w:p>
    <w:p>
      <w:pPr>
        <w:pStyle w:val="17"/>
        <w:tabs>
          <w:tab w:val="right" w:leader="dot" w:pos="8494"/>
        </w:tabs>
        <w:rPr>
          <w:rFonts w:ascii="Calibri" w:hAnsi="Calibri"/>
        </w:rPr>
      </w:pPr>
      <w:r>
        <w:fldChar w:fldCharType="begin"/>
      </w:r>
      <w:r>
        <w:instrText xml:space="preserve"> HYPERLINK \l "_Toc328568682" </w:instrText>
      </w:r>
      <w:r>
        <w:fldChar w:fldCharType="separate"/>
      </w:r>
      <w:r>
        <w:rPr>
          <w:rStyle w:val="24"/>
          <w:rFonts w:hint="eastAsia" w:ascii="宋体" w:hAnsi="宋体"/>
          <w:color w:val="auto"/>
        </w:rPr>
        <w:t>十、基金收益分配</w:t>
      </w:r>
      <w:r>
        <w:tab/>
      </w:r>
      <w:r>
        <w:fldChar w:fldCharType="begin"/>
      </w:r>
      <w:r>
        <w:instrText xml:space="preserve"> PAGEREF _Toc328568682 \h </w:instrText>
      </w:r>
      <w:r>
        <w:fldChar w:fldCharType="separate"/>
      </w:r>
      <w:r>
        <w:t>28</w:t>
      </w:r>
      <w:r>
        <w:fldChar w:fldCharType="end"/>
      </w:r>
      <w:r>
        <w:fldChar w:fldCharType="end"/>
      </w:r>
    </w:p>
    <w:p>
      <w:pPr>
        <w:pStyle w:val="17"/>
        <w:tabs>
          <w:tab w:val="right" w:leader="dot" w:pos="8494"/>
        </w:tabs>
        <w:rPr>
          <w:rFonts w:ascii="Calibri" w:hAnsi="Calibri"/>
        </w:rPr>
      </w:pPr>
      <w:r>
        <w:fldChar w:fldCharType="begin"/>
      </w:r>
      <w:r>
        <w:instrText xml:space="preserve"> HYPERLINK \l "_Toc328568683" </w:instrText>
      </w:r>
      <w:r>
        <w:fldChar w:fldCharType="separate"/>
      </w:r>
      <w:r>
        <w:rPr>
          <w:rStyle w:val="24"/>
          <w:rFonts w:hint="eastAsia" w:ascii="宋体" w:hAnsi="宋体"/>
          <w:color w:val="auto"/>
        </w:rPr>
        <w:t>十一、基金信息披露</w:t>
      </w:r>
      <w:r>
        <w:tab/>
      </w:r>
      <w:r>
        <w:fldChar w:fldCharType="begin"/>
      </w:r>
      <w:r>
        <w:instrText xml:space="preserve"> PAGEREF _Toc328568683 \h </w:instrText>
      </w:r>
      <w:r>
        <w:fldChar w:fldCharType="separate"/>
      </w:r>
      <w:r>
        <w:t>29</w:t>
      </w:r>
      <w:r>
        <w:fldChar w:fldCharType="end"/>
      </w:r>
      <w:r>
        <w:fldChar w:fldCharType="end"/>
      </w:r>
    </w:p>
    <w:p>
      <w:pPr>
        <w:pStyle w:val="17"/>
        <w:tabs>
          <w:tab w:val="right" w:leader="dot" w:pos="8494"/>
        </w:tabs>
        <w:rPr>
          <w:rFonts w:ascii="Calibri" w:hAnsi="Calibri"/>
        </w:rPr>
      </w:pPr>
      <w:r>
        <w:fldChar w:fldCharType="begin"/>
      </w:r>
      <w:r>
        <w:instrText xml:space="preserve"> HYPERLINK \l "_Toc328568684" </w:instrText>
      </w:r>
      <w:r>
        <w:fldChar w:fldCharType="separate"/>
      </w:r>
      <w:r>
        <w:rPr>
          <w:rStyle w:val="24"/>
          <w:rFonts w:hint="eastAsia" w:ascii="宋体" w:hAnsi="宋体"/>
          <w:color w:val="auto"/>
        </w:rPr>
        <w:t>十二、基金费用</w:t>
      </w:r>
      <w:r>
        <w:tab/>
      </w:r>
      <w:r>
        <w:fldChar w:fldCharType="begin"/>
      </w:r>
      <w:r>
        <w:instrText xml:space="preserve"> PAGEREF _Toc328568684 \h </w:instrText>
      </w:r>
      <w:r>
        <w:fldChar w:fldCharType="separate"/>
      </w:r>
      <w:r>
        <w:t>31</w:t>
      </w:r>
      <w:r>
        <w:fldChar w:fldCharType="end"/>
      </w:r>
      <w:r>
        <w:fldChar w:fldCharType="end"/>
      </w:r>
    </w:p>
    <w:p>
      <w:pPr>
        <w:pStyle w:val="17"/>
        <w:tabs>
          <w:tab w:val="right" w:leader="dot" w:pos="8494"/>
        </w:tabs>
        <w:rPr>
          <w:rFonts w:ascii="Calibri" w:hAnsi="Calibri"/>
        </w:rPr>
      </w:pPr>
      <w:r>
        <w:fldChar w:fldCharType="begin"/>
      </w:r>
      <w:r>
        <w:instrText xml:space="preserve"> HYPERLINK \l "_Toc328568685" </w:instrText>
      </w:r>
      <w:r>
        <w:fldChar w:fldCharType="separate"/>
      </w:r>
      <w:r>
        <w:rPr>
          <w:rStyle w:val="24"/>
          <w:rFonts w:hint="eastAsia" w:ascii="宋体" w:hAnsi="宋体"/>
          <w:color w:val="auto"/>
        </w:rPr>
        <w:t>十三、基金份额持有人名册的保管</w:t>
      </w:r>
      <w:r>
        <w:tab/>
      </w:r>
      <w:r>
        <w:fldChar w:fldCharType="begin"/>
      </w:r>
      <w:r>
        <w:instrText xml:space="preserve"> PAGEREF _Toc328568685 \h </w:instrText>
      </w:r>
      <w:r>
        <w:fldChar w:fldCharType="separate"/>
      </w:r>
      <w:r>
        <w:t>34</w:t>
      </w:r>
      <w:r>
        <w:fldChar w:fldCharType="end"/>
      </w:r>
      <w:r>
        <w:fldChar w:fldCharType="end"/>
      </w:r>
    </w:p>
    <w:p>
      <w:pPr>
        <w:pStyle w:val="17"/>
        <w:tabs>
          <w:tab w:val="right" w:leader="dot" w:pos="8494"/>
        </w:tabs>
        <w:rPr>
          <w:rFonts w:ascii="Calibri" w:hAnsi="Calibri"/>
        </w:rPr>
      </w:pPr>
      <w:r>
        <w:fldChar w:fldCharType="begin"/>
      </w:r>
      <w:r>
        <w:instrText xml:space="preserve"> HYPERLINK \l "_Toc328568686" </w:instrText>
      </w:r>
      <w:r>
        <w:fldChar w:fldCharType="separate"/>
      </w:r>
      <w:r>
        <w:rPr>
          <w:rStyle w:val="24"/>
          <w:rFonts w:hint="eastAsia" w:ascii="宋体" w:hAnsi="宋体"/>
          <w:color w:val="auto"/>
        </w:rPr>
        <w:t>十四、基金有关文件档案的保存</w:t>
      </w:r>
      <w:r>
        <w:tab/>
      </w:r>
      <w:r>
        <w:fldChar w:fldCharType="begin"/>
      </w:r>
      <w:r>
        <w:instrText xml:space="preserve"> PAGEREF _Toc328568686 \h </w:instrText>
      </w:r>
      <w:r>
        <w:fldChar w:fldCharType="separate"/>
      </w:r>
      <w:r>
        <w:t>35</w:t>
      </w:r>
      <w:r>
        <w:fldChar w:fldCharType="end"/>
      </w:r>
      <w:r>
        <w:fldChar w:fldCharType="end"/>
      </w:r>
    </w:p>
    <w:p>
      <w:pPr>
        <w:pStyle w:val="17"/>
        <w:tabs>
          <w:tab w:val="right" w:leader="dot" w:pos="8494"/>
        </w:tabs>
        <w:rPr>
          <w:rFonts w:ascii="Calibri" w:hAnsi="Calibri"/>
        </w:rPr>
      </w:pPr>
      <w:r>
        <w:fldChar w:fldCharType="begin"/>
      </w:r>
      <w:r>
        <w:instrText xml:space="preserve"> HYPERLINK \l "_Toc328568687" </w:instrText>
      </w:r>
      <w:r>
        <w:fldChar w:fldCharType="separate"/>
      </w:r>
      <w:r>
        <w:rPr>
          <w:rStyle w:val="24"/>
          <w:rFonts w:hint="eastAsia" w:ascii="宋体" w:hAnsi="宋体"/>
          <w:color w:val="auto"/>
        </w:rPr>
        <w:t>十五、基金管理人和基金托管人的更换、境外托管代理人的选任</w:t>
      </w:r>
      <w:r>
        <w:tab/>
      </w:r>
      <w:r>
        <w:fldChar w:fldCharType="begin"/>
      </w:r>
      <w:r>
        <w:instrText xml:space="preserve"> PAGEREF _Toc328568687 \h </w:instrText>
      </w:r>
      <w:r>
        <w:fldChar w:fldCharType="separate"/>
      </w:r>
      <w:r>
        <w:t>36</w:t>
      </w:r>
      <w:r>
        <w:fldChar w:fldCharType="end"/>
      </w:r>
      <w:r>
        <w:fldChar w:fldCharType="end"/>
      </w:r>
    </w:p>
    <w:p>
      <w:pPr>
        <w:pStyle w:val="17"/>
        <w:tabs>
          <w:tab w:val="right" w:leader="dot" w:pos="8494"/>
        </w:tabs>
        <w:rPr>
          <w:rFonts w:ascii="Calibri" w:hAnsi="Calibri"/>
        </w:rPr>
      </w:pPr>
      <w:r>
        <w:fldChar w:fldCharType="begin"/>
      </w:r>
      <w:r>
        <w:instrText xml:space="preserve"> HYPERLINK \l "_Toc328568688" </w:instrText>
      </w:r>
      <w:r>
        <w:fldChar w:fldCharType="separate"/>
      </w:r>
      <w:r>
        <w:rPr>
          <w:rStyle w:val="24"/>
          <w:rFonts w:hint="eastAsia" w:ascii="宋体" w:hAnsi="宋体"/>
          <w:color w:val="auto"/>
        </w:rPr>
        <w:t>十六、禁止行为</w:t>
      </w:r>
      <w:r>
        <w:tab/>
      </w:r>
      <w:r>
        <w:fldChar w:fldCharType="begin"/>
      </w:r>
      <w:r>
        <w:instrText xml:space="preserve"> PAGEREF _Toc328568688 \h </w:instrText>
      </w:r>
      <w:r>
        <w:fldChar w:fldCharType="separate"/>
      </w:r>
      <w:r>
        <w:t>37</w:t>
      </w:r>
      <w:r>
        <w:fldChar w:fldCharType="end"/>
      </w:r>
      <w:r>
        <w:fldChar w:fldCharType="end"/>
      </w:r>
    </w:p>
    <w:p>
      <w:pPr>
        <w:pStyle w:val="17"/>
        <w:tabs>
          <w:tab w:val="right" w:leader="dot" w:pos="8494"/>
        </w:tabs>
        <w:rPr>
          <w:rFonts w:ascii="Calibri" w:hAnsi="Calibri"/>
        </w:rPr>
      </w:pPr>
      <w:r>
        <w:fldChar w:fldCharType="begin"/>
      </w:r>
      <w:r>
        <w:instrText xml:space="preserve"> HYPERLINK \l "_Toc328568689" </w:instrText>
      </w:r>
      <w:r>
        <w:fldChar w:fldCharType="separate"/>
      </w:r>
      <w:r>
        <w:rPr>
          <w:rStyle w:val="24"/>
          <w:rFonts w:hint="eastAsia" w:ascii="宋体" w:hAnsi="宋体"/>
          <w:color w:val="auto"/>
        </w:rPr>
        <w:t>十七、托管协议的修改、终止与基金财产的清算</w:t>
      </w:r>
      <w:r>
        <w:tab/>
      </w:r>
      <w:r>
        <w:fldChar w:fldCharType="begin"/>
      </w:r>
      <w:r>
        <w:instrText xml:space="preserve"> PAGEREF _Toc328568689 \h </w:instrText>
      </w:r>
      <w:r>
        <w:fldChar w:fldCharType="separate"/>
      </w:r>
      <w:r>
        <w:t>38</w:t>
      </w:r>
      <w:r>
        <w:fldChar w:fldCharType="end"/>
      </w:r>
      <w:r>
        <w:fldChar w:fldCharType="end"/>
      </w:r>
    </w:p>
    <w:p>
      <w:pPr>
        <w:pStyle w:val="17"/>
        <w:tabs>
          <w:tab w:val="right" w:leader="dot" w:pos="8494"/>
        </w:tabs>
        <w:rPr>
          <w:rFonts w:ascii="Calibri" w:hAnsi="Calibri"/>
        </w:rPr>
      </w:pPr>
      <w:r>
        <w:fldChar w:fldCharType="begin"/>
      </w:r>
      <w:r>
        <w:instrText xml:space="preserve"> HYPERLINK \l "_Toc328568690" </w:instrText>
      </w:r>
      <w:r>
        <w:fldChar w:fldCharType="separate"/>
      </w:r>
      <w:r>
        <w:rPr>
          <w:rStyle w:val="24"/>
          <w:rFonts w:hint="eastAsia" w:ascii="宋体" w:hAnsi="宋体"/>
          <w:color w:val="auto"/>
        </w:rPr>
        <w:t>十八、违约责任</w:t>
      </w:r>
      <w:r>
        <w:tab/>
      </w:r>
      <w:r>
        <w:fldChar w:fldCharType="begin"/>
      </w:r>
      <w:r>
        <w:instrText xml:space="preserve"> PAGEREF _Toc328568690 \h </w:instrText>
      </w:r>
      <w:r>
        <w:fldChar w:fldCharType="separate"/>
      </w:r>
      <w:r>
        <w:t>39</w:t>
      </w:r>
      <w:r>
        <w:fldChar w:fldCharType="end"/>
      </w:r>
      <w:r>
        <w:fldChar w:fldCharType="end"/>
      </w:r>
    </w:p>
    <w:p>
      <w:pPr>
        <w:pStyle w:val="17"/>
        <w:tabs>
          <w:tab w:val="right" w:leader="dot" w:pos="8494"/>
        </w:tabs>
        <w:rPr>
          <w:rFonts w:ascii="Calibri" w:hAnsi="Calibri"/>
        </w:rPr>
      </w:pPr>
      <w:r>
        <w:fldChar w:fldCharType="begin"/>
      </w:r>
      <w:r>
        <w:instrText xml:space="preserve"> HYPERLINK \l "_Toc328568691" </w:instrText>
      </w:r>
      <w:r>
        <w:fldChar w:fldCharType="separate"/>
      </w:r>
      <w:r>
        <w:rPr>
          <w:rStyle w:val="24"/>
          <w:rFonts w:hint="eastAsia" w:ascii="宋体" w:hAnsi="宋体"/>
          <w:color w:val="auto"/>
        </w:rPr>
        <w:t>十九、争议解决方式</w:t>
      </w:r>
      <w:r>
        <w:tab/>
      </w:r>
      <w:r>
        <w:fldChar w:fldCharType="begin"/>
      </w:r>
      <w:r>
        <w:instrText xml:space="preserve"> PAGEREF _Toc328568691 \h </w:instrText>
      </w:r>
      <w:r>
        <w:fldChar w:fldCharType="separate"/>
      </w:r>
      <w:r>
        <w:t>41</w:t>
      </w:r>
      <w:r>
        <w:fldChar w:fldCharType="end"/>
      </w:r>
      <w:r>
        <w:fldChar w:fldCharType="end"/>
      </w:r>
    </w:p>
    <w:p>
      <w:pPr>
        <w:pStyle w:val="17"/>
        <w:tabs>
          <w:tab w:val="right" w:leader="dot" w:pos="8494"/>
        </w:tabs>
        <w:rPr>
          <w:rFonts w:ascii="Calibri" w:hAnsi="Calibri"/>
        </w:rPr>
      </w:pPr>
      <w:r>
        <w:fldChar w:fldCharType="begin"/>
      </w:r>
      <w:r>
        <w:instrText xml:space="preserve"> HYPERLINK \l "_Toc328568692" </w:instrText>
      </w:r>
      <w:r>
        <w:fldChar w:fldCharType="separate"/>
      </w:r>
      <w:r>
        <w:rPr>
          <w:rStyle w:val="24"/>
          <w:rFonts w:hint="eastAsia" w:ascii="宋体" w:hAnsi="宋体"/>
          <w:color w:val="auto"/>
        </w:rPr>
        <w:t>二十、托管协议的效力</w:t>
      </w:r>
      <w:r>
        <w:tab/>
      </w:r>
      <w:r>
        <w:fldChar w:fldCharType="begin"/>
      </w:r>
      <w:r>
        <w:instrText xml:space="preserve"> PAGEREF _Toc328568692 \h </w:instrText>
      </w:r>
      <w:r>
        <w:fldChar w:fldCharType="separate"/>
      </w:r>
      <w:r>
        <w:t>42</w:t>
      </w:r>
      <w:r>
        <w:fldChar w:fldCharType="end"/>
      </w:r>
      <w:r>
        <w:fldChar w:fldCharType="end"/>
      </w:r>
    </w:p>
    <w:p>
      <w:pPr>
        <w:pStyle w:val="17"/>
        <w:tabs>
          <w:tab w:val="right" w:leader="dot" w:pos="8494"/>
        </w:tabs>
        <w:rPr>
          <w:rFonts w:ascii="Calibri" w:hAnsi="Calibri"/>
        </w:rPr>
      </w:pPr>
      <w:r>
        <w:fldChar w:fldCharType="begin"/>
      </w:r>
      <w:r>
        <w:instrText xml:space="preserve"> HYPERLINK \l "_Toc328568693" </w:instrText>
      </w:r>
      <w:r>
        <w:fldChar w:fldCharType="separate"/>
      </w:r>
      <w:r>
        <w:rPr>
          <w:rStyle w:val="24"/>
          <w:rFonts w:hint="eastAsia" w:ascii="宋体" w:hAnsi="宋体"/>
          <w:color w:val="auto"/>
        </w:rPr>
        <w:t>二十一、其他事项</w:t>
      </w:r>
      <w:r>
        <w:tab/>
      </w:r>
      <w:r>
        <w:fldChar w:fldCharType="begin"/>
      </w:r>
      <w:r>
        <w:instrText xml:space="preserve"> PAGEREF _Toc328568693 \h </w:instrText>
      </w:r>
      <w:r>
        <w:fldChar w:fldCharType="separate"/>
      </w:r>
      <w:r>
        <w:t>43</w:t>
      </w:r>
      <w:r>
        <w:fldChar w:fldCharType="end"/>
      </w:r>
      <w:r>
        <w:fldChar w:fldCharType="end"/>
      </w:r>
    </w:p>
    <w:p>
      <w:pPr>
        <w:pStyle w:val="17"/>
        <w:tabs>
          <w:tab w:val="right" w:leader="dot" w:pos="8494"/>
        </w:tabs>
        <w:rPr>
          <w:rFonts w:ascii="Calibri" w:hAnsi="Calibri"/>
        </w:rPr>
      </w:pPr>
      <w:r>
        <w:fldChar w:fldCharType="begin"/>
      </w:r>
      <w:r>
        <w:instrText xml:space="preserve"> HYPERLINK \l "_Toc328568694" </w:instrText>
      </w:r>
      <w:r>
        <w:fldChar w:fldCharType="separate"/>
      </w:r>
      <w:r>
        <w:rPr>
          <w:rStyle w:val="24"/>
          <w:rFonts w:hint="eastAsia" w:ascii="宋体" w:hAnsi="宋体"/>
          <w:color w:val="auto"/>
        </w:rPr>
        <w:t>二十二、托管协议的签订</w:t>
      </w:r>
      <w:r>
        <w:tab/>
      </w:r>
      <w:r>
        <w:fldChar w:fldCharType="begin"/>
      </w:r>
      <w:r>
        <w:instrText xml:space="preserve"> PAGEREF _Toc328568694 \h </w:instrText>
      </w:r>
      <w:r>
        <w:fldChar w:fldCharType="separate"/>
      </w:r>
      <w:r>
        <w:t>44</w:t>
      </w:r>
      <w:r>
        <w:fldChar w:fldCharType="end"/>
      </w:r>
      <w:r>
        <w:fldChar w:fldCharType="end"/>
      </w:r>
    </w:p>
    <w:p>
      <w:r>
        <w:fldChar w:fldCharType="end"/>
      </w:r>
    </w:p>
    <w:p>
      <w:pPr>
        <w:jc w:val="left"/>
        <w:rPr>
          <w:rFonts w:ascii="宋体" w:hAnsi="宋体"/>
          <w:sz w:val="28"/>
        </w:rPr>
      </w:pPr>
    </w:p>
    <w:p>
      <w:pPr>
        <w:jc w:val="left"/>
        <w:rPr>
          <w:rFonts w:ascii="宋体" w:hAnsi="宋体"/>
          <w:sz w:val="28"/>
        </w:rPr>
      </w:pPr>
    </w:p>
    <w:p>
      <w:pPr>
        <w:jc w:val="left"/>
        <w:rPr>
          <w:rFonts w:ascii="宋体" w:hAnsi="宋体"/>
          <w:sz w:val="28"/>
        </w:rPr>
      </w:pPr>
    </w:p>
    <w:p>
      <w:pPr>
        <w:jc w:val="left"/>
        <w:rPr>
          <w:rFonts w:ascii="宋体" w:hAnsi="宋体"/>
          <w:sz w:val="28"/>
        </w:rPr>
      </w:pPr>
    </w:p>
    <w:p>
      <w:pPr>
        <w:jc w:val="left"/>
        <w:rPr>
          <w:rFonts w:ascii="宋体" w:hAnsi="宋体"/>
          <w:sz w:val="28"/>
        </w:rPr>
      </w:pPr>
    </w:p>
    <w:p>
      <w:pPr>
        <w:jc w:val="left"/>
        <w:rPr>
          <w:rFonts w:ascii="宋体" w:hAnsi="宋体"/>
          <w:sz w:val="28"/>
        </w:rPr>
      </w:pPr>
    </w:p>
    <w:p>
      <w:pPr>
        <w:jc w:val="left"/>
        <w:rPr>
          <w:rFonts w:ascii="宋体" w:hAnsi="宋体"/>
          <w:sz w:val="28"/>
        </w:rPr>
      </w:pPr>
    </w:p>
    <w:p>
      <w:pPr>
        <w:jc w:val="left"/>
        <w:rPr>
          <w:rFonts w:ascii="宋体" w:hAnsi="宋体"/>
          <w:sz w:val="28"/>
        </w:rPr>
      </w:pPr>
    </w:p>
    <w:p>
      <w:pPr>
        <w:pStyle w:val="3"/>
        <w:pageBreakBefore/>
        <w:spacing w:before="100" w:beforeAutospacing="1" w:after="100" w:afterAutospacing="1" w:line="400" w:lineRule="exact"/>
        <w:jc w:val="center"/>
        <w:rPr>
          <w:rFonts w:ascii="宋体" w:hAnsi="宋体" w:eastAsia="宋体"/>
          <w:sz w:val="24"/>
          <w:szCs w:val="24"/>
        </w:rPr>
      </w:pPr>
      <w:bookmarkStart w:id="16" w:name="_Toc179617755"/>
      <w:bookmarkStart w:id="17" w:name="_Toc328568673"/>
      <w:r>
        <w:rPr>
          <w:rFonts w:hint="eastAsia" w:ascii="宋体" w:hAnsi="宋体" w:eastAsia="宋体"/>
          <w:sz w:val="24"/>
          <w:szCs w:val="24"/>
        </w:rPr>
        <w:t>一、基金托管协议当事人</w:t>
      </w:r>
      <w:bookmarkEnd w:id="16"/>
      <w:bookmarkEnd w:id="17"/>
    </w:p>
    <w:p>
      <w:pPr>
        <w:adjustRightInd w:val="0"/>
        <w:snapToGrid w:val="0"/>
        <w:spacing w:line="360" w:lineRule="auto"/>
        <w:ind w:firstLine="480" w:firstLineChars="200"/>
        <w:rPr>
          <w:rFonts w:ascii="宋体" w:hAnsi="宋体"/>
          <w:sz w:val="24"/>
          <w:szCs w:val="24"/>
        </w:rPr>
      </w:pPr>
      <w:bookmarkStart w:id="18" w:name="_Toc179617756"/>
      <w:r>
        <w:rPr>
          <w:rFonts w:hint="eastAsia" w:ascii="宋体" w:hAnsi="宋体"/>
          <w:sz w:val="24"/>
          <w:szCs w:val="24"/>
        </w:rPr>
        <w:t>（一）基金管理人</w:t>
      </w:r>
      <w:bookmarkEnd w:id="18"/>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名称：交银施罗德基金管理有限公司</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住所：中国(上海)自由贸易试验区银城中路188号交通银行大楼二层（裙）</w:t>
      </w:r>
    </w:p>
    <w:p>
      <w:pPr>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法定代表人：</w:t>
      </w:r>
      <w:r>
        <w:rPr>
          <w:rFonts w:hint="eastAsia" w:ascii="宋体" w:hAnsi="宋体"/>
          <w:sz w:val="24"/>
          <w:szCs w:val="24"/>
          <w:lang w:val="en-US" w:eastAsia="zh-CN"/>
        </w:rPr>
        <w:t>张宏良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成立时间：2005年8月4日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批准设立机关：中国证券监督管理委员会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批准设立文号：中国证监会证监基金字</w:t>
      </w:r>
      <w:r>
        <w:rPr>
          <w:rFonts w:ascii="宋体" w:hAnsi="宋体"/>
          <w:sz w:val="24"/>
          <w:szCs w:val="24"/>
        </w:rPr>
        <w:t>[2005]128</w:t>
      </w:r>
      <w:r>
        <w:rPr>
          <w:rFonts w:hint="eastAsia" w:ascii="宋体" w:hAnsi="宋体"/>
          <w:sz w:val="24"/>
          <w:szCs w:val="24"/>
        </w:rPr>
        <w:t>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组织形式：有限责任公司</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注册资本：</w:t>
      </w:r>
      <w:r>
        <w:rPr>
          <w:rFonts w:ascii="宋体" w:hAnsi="宋体"/>
          <w:sz w:val="24"/>
          <w:szCs w:val="24"/>
        </w:rPr>
        <w:t>2</w:t>
      </w:r>
      <w:r>
        <w:rPr>
          <w:rFonts w:hint="eastAsia" w:ascii="宋体" w:hAnsi="宋体"/>
          <w:sz w:val="24"/>
          <w:szCs w:val="24"/>
        </w:rPr>
        <w:t>亿元人民币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存续期间：持续经营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经营范围：基金募集、基金销售、资产管理和中国证监会许可的其它业务。</w:t>
      </w:r>
    </w:p>
    <w:p>
      <w:pPr>
        <w:adjustRightInd w:val="0"/>
        <w:snapToGrid w:val="0"/>
        <w:spacing w:line="360" w:lineRule="auto"/>
        <w:ind w:firstLine="480" w:firstLineChars="200"/>
        <w:rPr>
          <w:rFonts w:ascii="宋体" w:hAnsi="宋体"/>
          <w:sz w:val="24"/>
          <w:szCs w:val="24"/>
        </w:rPr>
      </w:pPr>
      <w:bookmarkStart w:id="19" w:name="_Toc179617757"/>
      <w:r>
        <w:rPr>
          <w:rFonts w:hint="eastAsia" w:ascii="宋体" w:hAnsi="宋体"/>
          <w:sz w:val="24"/>
          <w:szCs w:val="24"/>
        </w:rPr>
        <w:t>（二）基金托管人</w:t>
      </w:r>
      <w:bookmarkEnd w:id="19"/>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名称：中国农业银行股份有限公司（简称“中国农业银行”）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住所：北京市东城区建国门内大街</w:t>
      </w:r>
      <w:r>
        <w:rPr>
          <w:rFonts w:ascii="宋体" w:hAnsi="宋体"/>
          <w:sz w:val="24"/>
          <w:szCs w:val="24"/>
        </w:rPr>
        <w:t>69号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办公地址：北京市西城区复兴门内大街</w:t>
      </w:r>
      <w:r>
        <w:rPr>
          <w:rFonts w:ascii="宋体" w:hAnsi="宋体"/>
          <w:sz w:val="24"/>
          <w:szCs w:val="24"/>
        </w:rPr>
        <w:t>28</w:t>
      </w:r>
      <w:r>
        <w:rPr>
          <w:rFonts w:hint="eastAsia" w:ascii="宋体" w:hAnsi="宋体"/>
          <w:sz w:val="24"/>
          <w:szCs w:val="24"/>
        </w:rPr>
        <w:t>号凯晨世贸中心东座</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法定代表人：谷澎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成立时间：</w:t>
      </w:r>
      <w:r>
        <w:rPr>
          <w:rFonts w:ascii="宋体" w:hAnsi="宋体"/>
          <w:sz w:val="24"/>
          <w:szCs w:val="24"/>
        </w:rPr>
        <w:t>2009年1月15日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组织形式：</w:t>
      </w:r>
      <w:r>
        <w:rPr>
          <w:rFonts w:ascii="宋体" w:hAnsi="宋体"/>
          <w:sz w:val="24"/>
          <w:szCs w:val="24"/>
        </w:rPr>
        <w:t>股份有限公司</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注册资本：</w:t>
      </w:r>
      <w:r>
        <w:rPr>
          <w:rFonts w:ascii="宋体" w:hAnsi="宋体"/>
          <w:sz w:val="24"/>
          <w:szCs w:val="24"/>
        </w:rPr>
        <w:t>34,998,303.4万元人民币</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存续期间：</w:t>
      </w:r>
      <w:r>
        <w:rPr>
          <w:rFonts w:ascii="宋体" w:hAnsi="宋体"/>
          <w:sz w:val="24"/>
          <w:szCs w:val="24"/>
        </w:rPr>
        <w:t>持续经营</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基金托管资格批文及文号：中国证监会证监基字</w:t>
      </w:r>
      <w:r>
        <w:rPr>
          <w:rFonts w:ascii="宋体" w:hAnsi="宋体"/>
          <w:sz w:val="24"/>
          <w:szCs w:val="24"/>
        </w:rPr>
        <w:t>[1998]23号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联系人：李芳菲</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联系电话：</w:t>
      </w:r>
      <w:r>
        <w:rPr>
          <w:rFonts w:hint="eastAsia" w:hAnsi="宋体"/>
          <w:kern w:val="0"/>
          <w:sz w:val="24"/>
          <w:szCs w:val="24"/>
        </w:rPr>
        <w:t>010-68121510</w:t>
      </w:r>
    </w:p>
    <w:p>
      <w:pPr>
        <w:adjustRightInd w:val="0"/>
        <w:snapToGrid w:val="0"/>
        <w:spacing w:line="360" w:lineRule="auto"/>
        <w:ind w:firstLine="480" w:firstLineChars="200"/>
        <w:rPr>
          <w:rFonts w:ascii="宋体" w:hAnsi="宋体"/>
        </w:rPr>
      </w:pPr>
      <w:r>
        <w:rPr>
          <w:rFonts w:hint="eastAsia" w:ascii="宋体" w:hAnsi="宋体"/>
          <w:sz w:val="24"/>
          <w:szCs w:val="24"/>
        </w:rPr>
        <w:t>经营范围：吸收公众存款；发放短期、中期、长期贷款；办理国内外结</w:t>
      </w:r>
      <w:r>
        <w:rPr>
          <w:rFonts w:ascii="宋体" w:hAnsi="宋体"/>
          <w:sz w:val="24"/>
          <w:szCs w:val="24"/>
        </w:rPr>
        <w:t xml:space="preserve"> </w:t>
      </w:r>
      <w:r>
        <w:rPr>
          <w:rFonts w:hint="eastAsia" w:ascii="宋体" w:hAnsi="宋体"/>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4"/>
        </w:rPr>
        <w:t xml:space="preserve"> </w:t>
      </w:r>
      <w:r>
        <w:rPr>
          <w:rFonts w:hint="eastAsia" w:ascii="宋体" w:hAnsi="宋体"/>
          <w:sz w:val="24"/>
          <w:szCs w:val="24"/>
        </w:rPr>
        <w:t>券投资托管业务；代理开放式基金业务；电话银行、手机银行、网上银行业务；金融衍生产品交易业务；经国务院银行业监督管理机构等监管部门批准的其他业务。</w:t>
      </w:r>
    </w:p>
    <w:p>
      <w:pPr>
        <w:pStyle w:val="3"/>
        <w:pageBreakBefore/>
        <w:spacing w:before="100" w:beforeAutospacing="1" w:after="100" w:afterAutospacing="1" w:line="400" w:lineRule="exact"/>
        <w:jc w:val="center"/>
        <w:rPr>
          <w:rFonts w:ascii="宋体" w:hAnsi="宋体" w:eastAsia="宋体"/>
          <w:sz w:val="24"/>
          <w:szCs w:val="24"/>
        </w:rPr>
      </w:pPr>
      <w:bookmarkStart w:id="20" w:name="_Toc328568674"/>
      <w:bookmarkStart w:id="21" w:name="_Toc179617758"/>
      <w:r>
        <w:rPr>
          <w:rFonts w:hint="eastAsia" w:ascii="宋体" w:hAnsi="宋体" w:eastAsia="宋体"/>
          <w:sz w:val="24"/>
          <w:szCs w:val="24"/>
        </w:rPr>
        <w:t>二、基金托管协议的依据、目的和原则</w:t>
      </w:r>
      <w:bookmarkEnd w:id="20"/>
      <w:bookmarkEnd w:id="21"/>
    </w:p>
    <w:p>
      <w:pPr>
        <w:spacing w:before="100" w:beforeAutospacing="1" w:after="100" w:afterAutospacing="1" w:line="400" w:lineRule="exact"/>
        <w:ind w:firstLine="420"/>
        <w:rPr>
          <w:rFonts w:ascii="宋体" w:hAnsi="宋体"/>
          <w:sz w:val="24"/>
          <w:szCs w:val="24"/>
        </w:rPr>
      </w:pPr>
      <w:bookmarkStart w:id="22" w:name="_Toc179617759"/>
      <w:r>
        <w:rPr>
          <w:rFonts w:hint="eastAsia" w:ascii="宋体" w:hAnsi="宋体"/>
          <w:sz w:val="24"/>
          <w:szCs w:val="24"/>
        </w:rPr>
        <w:t>（一）订立托管协议的依据</w:t>
      </w:r>
      <w:bookmarkEnd w:id="22"/>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本协议依据《中华人民共和国证券投资基金法》（以下简称“《基金法》”）、《公开募集证券投资基金运作管理办法》（以下简称“《运作办法》”）、《公开募集证券投资基金信息披露管理办法》（以下简称“《信息披露办法》”）、</w:t>
      </w:r>
      <w:r>
        <w:rPr>
          <w:rFonts w:ascii="宋体" w:hAnsi="宋体"/>
          <w:sz w:val="24"/>
          <w:szCs w:val="24"/>
        </w:rPr>
        <w:t>《合格境内机构投资者境外证券投资管理试行办法》</w:t>
      </w:r>
      <w:r>
        <w:rPr>
          <w:rFonts w:hint="eastAsia" w:ascii="宋体" w:hAnsi="宋体"/>
          <w:sz w:val="24"/>
          <w:szCs w:val="24"/>
        </w:rPr>
        <w:t>（以下简称“《试行办法》”）、《</w:t>
      </w:r>
      <w:r>
        <w:rPr>
          <w:rFonts w:ascii="宋体" w:hAnsi="宋体"/>
          <w:sz w:val="24"/>
          <w:szCs w:val="24"/>
        </w:rPr>
        <w:t>关于实施</w:t>
      </w:r>
      <w:r>
        <w:rPr>
          <w:rFonts w:hint="eastAsia" w:ascii="宋体" w:hAnsi="宋体"/>
          <w:sz w:val="24"/>
          <w:szCs w:val="24"/>
        </w:rPr>
        <w:t>〈</w:t>
      </w:r>
      <w:r>
        <w:rPr>
          <w:rFonts w:ascii="宋体" w:hAnsi="宋体"/>
          <w:sz w:val="24"/>
          <w:szCs w:val="24"/>
        </w:rPr>
        <w:t>合格境内机构投资者境外证券投资管理试行办法</w:t>
      </w:r>
      <w:r>
        <w:rPr>
          <w:rFonts w:hint="eastAsia" w:ascii="宋体" w:hAnsi="宋体"/>
          <w:sz w:val="24"/>
          <w:szCs w:val="24"/>
        </w:rPr>
        <w:t>〉</w:t>
      </w:r>
      <w:r>
        <w:rPr>
          <w:rFonts w:ascii="宋体" w:hAnsi="宋体"/>
          <w:sz w:val="24"/>
          <w:szCs w:val="24"/>
        </w:rPr>
        <w:t>有关问题的通知</w:t>
      </w:r>
      <w:r>
        <w:rPr>
          <w:rFonts w:hint="eastAsia" w:ascii="宋体" w:hAnsi="宋体"/>
          <w:sz w:val="24"/>
          <w:szCs w:val="24"/>
        </w:rPr>
        <w:t>》（以下简称“《通知》”）、</w:t>
      </w:r>
      <w:r>
        <w:rPr>
          <w:rFonts w:hint="eastAsia" w:ascii="宋体" w:hAnsi="宋体"/>
          <w:bCs/>
          <w:sz w:val="24"/>
          <w:szCs w:val="24"/>
        </w:rPr>
        <w:t>《公开募集开放式证券投资基金流动性风险管理规定》</w:t>
      </w:r>
      <w:r>
        <w:rPr>
          <w:rFonts w:hint="eastAsia" w:ascii="宋体" w:hAnsi="宋体"/>
          <w:sz w:val="24"/>
          <w:szCs w:val="24"/>
        </w:rPr>
        <w:t>及其他有关法律法规与《交银施罗德中证海外中国互联网指数型证券投资基金（LOF）基金合同》（以下简称“基金合同”）订立。</w:t>
      </w:r>
    </w:p>
    <w:p>
      <w:pPr>
        <w:spacing w:before="100" w:beforeAutospacing="1" w:after="100" w:afterAutospacing="1" w:line="400" w:lineRule="exact"/>
        <w:ind w:firstLine="420"/>
        <w:rPr>
          <w:rFonts w:ascii="宋体" w:hAnsi="宋体"/>
          <w:sz w:val="24"/>
          <w:szCs w:val="24"/>
        </w:rPr>
      </w:pPr>
      <w:bookmarkStart w:id="23" w:name="_Toc179617760"/>
      <w:r>
        <w:rPr>
          <w:rFonts w:hint="eastAsia" w:ascii="宋体" w:hAnsi="宋体"/>
          <w:sz w:val="24"/>
          <w:szCs w:val="24"/>
        </w:rPr>
        <w:t>（二）订立托管协议的目的</w:t>
      </w:r>
      <w:bookmarkEnd w:id="23"/>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本协议的目的是明确交银施罗德中证海外中国互联网指数型证券投资基金（LOF）的基金管理人与基金托管人之间在基金财产的保管、投资运作、净值计算、收益分配、信息披露及相互监督等相关事宜中的权利义务及职责，确保基金财产的安全，保护基金份额持有人的合法权益。</w:t>
      </w:r>
    </w:p>
    <w:p>
      <w:pPr>
        <w:spacing w:before="100" w:beforeAutospacing="1" w:after="100" w:afterAutospacing="1" w:line="400" w:lineRule="exact"/>
        <w:ind w:firstLine="420"/>
        <w:rPr>
          <w:rFonts w:ascii="宋体" w:hAnsi="宋体"/>
          <w:sz w:val="24"/>
          <w:szCs w:val="24"/>
        </w:rPr>
      </w:pPr>
      <w:bookmarkStart w:id="24" w:name="_Toc179617761"/>
      <w:r>
        <w:rPr>
          <w:rFonts w:hint="eastAsia" w:ascii="宋体" w:hAnsi="宋体"/>
          <w:sz w:val="24"/>
          <w:szCs w:val="24"/>
        </w:rPr>
        <w:t>（三）订立托管协议的原则</w:t>
      </w:r>
      <w:bookmarkEnd w:id="24"/>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基金管理人和基金托管人本着平等自愿、诚实信用、充分保护基金投资人合法权益的原则，经协商一致，签订本协议。</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（四）解释</w:t>
      </w:r>
    </w:p>
    <w:p>
      <w:pPr>
        <w:widowControl/>
        <w:adjustRightInd w:val="0"/>
        <w:snapToGrid w:val="0"/>
        <w:ind w:firstLine="480" w:firstLineChars="200"/>
        <w:rPr>
          <w:rFonts w:ascii="宋体" w:hAnsi="宋体"/>
          <w:sz w:val="24"/>
          <w:szCs w:val="24"/>
        </w:rPr>
      </w:pPr>
      <w:r>
        <w:rPr>
          <w:rFonts w:hint="eastAsia" w:ascii="宋体" w:hAnsi="宋体"/>
          <w:sz w:val="24"/>
          <w:szCs w:val="24"/>
        </w:rPr>
        <w:t>除非文义另有所指，本协议所使用的所有术语与基金合同的相应术语具有相同含义；若有抵触应以《基金合同》为准，并依其条款解释。</w:t>
      </w:r>
    </w:p>
    <w:p>
      <w:pPr>
        <w:spacing w:before="100" w:beforeAutospacing="1" w:after="100" w:afterAutospacing="1" w:line="400" w:lineRule="exact"/>
        <w:ind w:firstLine="420"/>
        <w:rPr>
          <w:rFonts w:ascii="宋体" w:hAnsi="宋体"/>
          <w:sz w:val="24"/>
          <w:szCs w:val="24"/>
        </w:rPr>
      </w:pPr>
    </w:p>
    <w:p>
      <w:pPr>
        <w:pStyle w:val="3"/>
        <w:pageBreakBefore/>
        <w:spacing w:before="100" w:beforeAutospacing="1" w:after="100" w:afterAutospacing="1" w:line="400" w:lineRule="exact"/>
        <w:jc w:val="center"/>
        <w:rPr>
          <w:rFonts w:ascii="宋体" w:hAnsi="宋体" w:eastAsia="宋体"/>
          <w:sz w:val="24"/>
          <w:szCs w:val="24"/>
        </w:rPr>
      </w:pPr>
      <w:bookmarkStart w:id="25" w:name="_Toc328568675"/>
      <w:bookmarkStart w:id="26" w:name="_Toc179617762"/>
      <w:r>
        <w:rPr>
          <w:rFonts w:hint="eastAsia" w:ascii="宋体" w:hAnsi="宋体" w:eastAsia="宋体"/>
          <w:sz w:val="24"/>
          <w:szCs w:val="24"/>
        </w:rPr>
        <w:t>三、基金托管人对基金管理人的业务监督和核查</w:t>
      </w:r>
      <w:bookmarkEnd w:id="25"/>
      <w:bookmarkEnd w:id="26"/>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（一）基金托管人根据有关法律法规的规定及基金合同中实际可以监控事项的约定，建立相关的技术系统，对基金管理人的投资运作进行监督。主要包括以下方面：</w:t>
      </w:r>
    </w:p>
    <w:p>
      <w:pPr>
        <w:spacing w:before="100" w:beforeAutospacing="1" w:after="100" w:afterAutospacing="1" w:line="400" w:lineRule="exact"/>
        <w:ind w:firstLine="420"/>
        <w:rPr>
          <w:rFonts w:ascii="宋体" w:hAnsi="宋体"/>
          <w:sz w:val="24"/>
          <w:szCs w:val="24"/>
        </w:rPr>
      </w:pPr>
      <w:bookmarkStart w:id="27" w:name="_Hlk501469608"/>
      <w:r>
        <w:rPr>
          <w:rFonts w:ascii="宋体" w:hAnsi="宋体"/>
          <w:sz w:val="24"/>
          <w:szCs w:val="24"/>
        </w:rPr>
        <w:t>1、对基金的投资范围、投资对象进行监督</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短期政府债券除外)、公司债券、可转换债券等固定收益类证券，银行存款、短期政府债券等货币市场工具以及法律法规或中国证监会允许基金投资的其他金融工具(但须符合中国证监会相关规定)。</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如法律法规或监管机构以后允许基金投资其他品种，基金管理人在履行适当程序后，可以将其纳入投资范围。</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的投资组合比例为：本基金对中证海外中国互联网指数成份股、备选成份股、与中证海外中国互联网指数相关的公募基金（包括上市交易型基金）的投资比例不低于基金资产的90%，基金保留的现金或投资于到期日在一年以内的政府债券的比例合计不低于基金资产净值的5%</w:t>
      </w:r>
      <w:r>
        <w:rPr>
          <w:rFonts w:hint="eastAsia" w:ascii="宋体" w:hAnsi="宋体"/>
          <w:bCs/>
          <w:sz w:val="24"/>
          <w:szCs w:val="24"/>
        </w:rPr>
        <w:t>，其中现金不包括结算备付金、存出保证金和应收申购款等</w:t>
      </w:r>
      <w:r>
        <w:rPr>
          <w:rFonts w:hint="eastAsia" w:ascii="宋体" w:hAnsi="宋体"/>
          <w:sz w:val="24"/>
          <w:szCs w:val="24"/>
        </w:rPr>
        <w:t>。</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如果法律法规或中国证监会变更投资品种的投资比例限制，基金管理人在履行适当程序后，可以调整上述投资品种的投资比例。</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应将拟投资的股票库等各投资品种的具体范围提供给基金托管人。基金管理人可以根据实际情况的变化，对各投资品种的具体范围予以更新和调整，并通知基金托管人。基金托管人根据上述投资范围对基金的投资进行监督。</w:t>
      </w:r>
    </w:p>
    <w:p>
      <w:pPr>
        <w:spacing w:before="100" w:beforeAutospacing="1" w:after="100" w:afterAutospacing="1" w:line="400" w:lineRule="exact"/>
        <w:ind w:firstLine="420"/>
        <w:rPr>
          <w:rFonts w:ascii="宋体" w:hAnsi="宋体"/>
          <w:sz w:val="24"/>
          <w:szCs w:val="24"/>
        </w:rPr>
      </w:pPr>
      <w:r>
        <w:rPr>
          <w:rFonts w:ascii="宋体" w:hAnsi="宋体"/>
          <w:sz w:val="24"/>
          <w:szCs w:val="24"/>
        </w:rPr>
        <w:t>2、对基金投融资比例进行监督</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（1）本基金投资于中证海外中国互联网指数成份股、备选成份股、与中证海外中国互联网指数相关的公募基金（包括上市交易型基金）的比例不低于基金资产的90%。</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（2）保持不低于基金资产净值5%的现金或者到期日在一年以内的政府债券</w:t>
      </w:r>
      <w:r>
        <w:rPr>
          <w:rFonts w:hint="eastAsia" w:ascii="宋体" w:hAnsi="宋体"/>
          <w:bCs/>
          <w:sz w:val="24"/>
          <w:szCs w:val="24"/>
        </w:rPr>
        <w:t>，其中现金不包括结算备付金、存出保证金和应收申购款等</w:t>
      </w:r>
      <w:r>
        <w:rPr>
          <w:rFonts w:hint="eastAsia" w:ascii="宋体" w:hAnsi="宋体"/>
          <w:sz w:val="24"/>
          <w:szCs w:val="24"/>
        </w:rPr>
        <w:t>。</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3）本基金持有同一家银行的存款不得超过基金资产净值的20%，其中银行应当是中资商业银行在境外设立的分行或在最近一个会计年度达到中国证监会认可的信用评级机构评级的境外银行。在基金托管账户的存款可以不受上述限制。</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（5）本基金持有非流动性资产市值不得超过基金资产净值的10%。</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前述非流动性资产是指法律或基金合同规定的流通受限证券以及中国证监会认定的其他资产。</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（6）本基金持有境外基金的市值合计不得超过基金资产净值的10%，但持有货币市场基金不受此限制。</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（7）本基金管理人管理的全部基金持有任何一只境外基金，不得超过该境外基金总份额的20%。</w:t>
      </w:r>
    </w:p>
    <w:p>
      <w:pPr>
        <w:spacing w:line="360" w:lineRule="auto"/>
        <w:ind w:firstLine="480" w:firstLineChars="200"/>
        <w:rPr>
          <w:bCs/>
          <w:sz w:val="24"/>
        </w:rPr>
      </w:pPr>
      <w:r>
        <w:rPr>
          <w:rFonts w:hint="eastAsia" w:ascii="宋体" w:hAnsi="宋体"/>
          <w:sz w:val="24"/>
          <w:szCs w:val="24"/>
        </w:rPr>
        <w:t>（8）本基金的金融衍生品全部敞口不得高于基金资产净值的100%。</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（9）本基金投资期货支付的初始保证金、投资期权支付或收取的期权费、投资柜台交易衍生品支付的初始费用的总额不得高于基金资产净值的10%。</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（10）本基金投资于远期合约、互换等柜台交易金融衍生品，应当符合以下要求：</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①所有参与交易的对手方（中资商业银行除外）应当具有不低于中国证监会认可的信用评级机构评级。</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②交易对手方应当至少每个工作日对交易进行估值，并且本基金可在任何时候以公允价值终止交易。</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③任一交易对手方的市值计价敞口不得超过基金资产净值的20%。</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（11）本基金可以参与证券借贷交易，并且应当遵守下列规定：</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①所有参与交易的对手方（中资商业银行除外）应当具有中国证监会认可的信用评级机构评级。</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②应当采取市值计价制度进行调整以确保担保物市值不低于已借出证券市值的102%。</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③借方应当在交易期内及时向本基金支付已借出证券产生的所有股息、利息和分红。一旦借方违约，本基金根据协议和有关法律有权保留和处置担保物以满足索赔需要。</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④除中国证监会另有规定外，担保物可以是以下金融工具或品种：</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a现金；</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b存款证明；</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c商业票据；</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d 政府债券；</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e 中资商业银行或由不低于中国证监会认可的信用评级机构评级的境外金融机构（作为交易对手方或其关联方的除外）出具的不可撤销信用证。</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⑤ 本基金有权在任何时候终止证券借贷交易并在正常市场惯例的合理期限内要求归还任一或所有已借出的证券。</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⑥本基金管理人对本基金参与证券借贷交易中发生的损失，按照法律法规的规定承担相应责任。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（12） 本基金可以根据正常市场惯例参与正回购交易、逆回购交易，并且应当遵守下列规定：</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①所有参与正回购交易的对手方（中资商业银行除外）应当具有中国证监会认可的信用评级机构信用评级。</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②参与正回购交易，应当采取市值计价制度对卖出收益进行调整以确保现金不低于已售出证券市值的102%。一旦买方违约，本基金根据协议和有关法律有权保留或处置卖出收益以满足索赔需要。</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③买方应当在正回购交易期内及时向本基金支付售出证券产生的所有股息、利息和分红。</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④参与逆回购交易，应当对购入证券采取市值计价制度进行调整以确保已购入证券市值不低于支付现金的102%。一旦卖方违约，本基金根据协议和有关法律有权保留或处置已购入证券以满足索赔需要。</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⑤本基金管理人对本基金参与证券正回购交易、逆回购交易中发生的损失，按照法律法规的规定承担相应责任。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（13）本基金参与证券借贷交易、正回购交易，所有已借出而未归还证券总市值或所有已售出而未回购证券总市值均不得超过本基金总资产的50%。</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前述比例限制计算，本基金因参与证券借贷交易、正回购交易而持有的担保物、现金不得计入本基金总资产。</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w:t>
      </w:r>
      <w:r>
        <w:rPr>
          <w:rFonts w:ascii="宋体" w:hAnsi="宋体"/>
          <w:sz w:val="24"/>
          <w:szCs w:val="24"/>
        </w:rPr>
        <w:t>4</w:t>
      </w:r>
      <w:r>
        <w:rPr>
          <w:rFonts w:hint="eastAsia" w:ascii="宋体" w:hAnsi="宋体"/>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）本基金与私募类证券资管产品及中国证监会认定的其他主体为交易对手开展逆回购交易的，可接受质押品的资质要求应当与基金合同约定的投资范围保持一致。</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w:t>
      </w:r>
      <w:r>
        <w:rPr>
          <w:rFonts w:ascii="宋体" w:hAnsi="宋体"/>
          <w:sz w:val="24"/>
          <w:szCs w:val="24"/>
        </w:rPr>
        <w:t>16</w:t>
      </w:r>
      <w:r>
        <w:rPr>
          <w:rFonts w:hint="eastAsia" w:ascii="宋体" w:hAnsi="宋体"/>
          <w:sz w:val="24"/>
          <w:szCs w:val="24"/>
        </w:rPr>
        <w:t>）法律法规及中国证监会规定的和《基金合同》约定的其他投资限制。</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基金管理人应当自基金合同生效之日起6个月内使基金的投资组合比例符合基金合同的有关约定。</w:t>
      </w:r>
      <w:r>
        <w:rPr>
          <w:rFonts w:hint="eastAsia" w:ascii="宋体" w:hAnsi="宋体"/>
          <w:bCs/>
          <w:sz w:val="24"/>
          <w:szCs w:val="24"/>
        </w:rPr>
        <w:t>在上述期间内，本基金的投资范围、投资策略应当符合基金合同的约定。</w:t>
      </w:r>
      <w:r>
        <w:rPr>
          <w:rFonts w:hint="eastAsia" w:ascii="宋体" w:hAnsi="宋体"/>
          <w:sz w:val="24"/>
          <w:szCs w:val="24"/>
        </w:rPr>
        <w:t>基金托管人对基金的投资的监督与检查自基金合同生效之日起开始。</w:t>
      </w:r>
      <w:r>
        <w:rPr>
          <w:bCs/>
          <w:sz w:val="24"/>
        </w:rPr>
        <w:t>若基金超过上述</w:t>
      </w:r>
      <w:r>
        <w:rPr>
          <w:rFonts w:hint="eastAsia"/>
          <w:bCs/>
          <w:sz w:val="24"/>
        </w:rPr>
        <w:t>（1）、（3）-（7）项</w:t>
      </w:r>
      <w:r>
        <w:rPr>
          <w:bCs/>
          <w:sz w:val="24"/>
        </w:rPr>
        <w:t>投资比例限制，应当在超过比例后30个工作日内采用合理的商业措施减仓以符合投资比例限制要求。</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法律法规对上述投资组合比例限制进行变更的，以变更后的规定为准。法律法规或监管部门取消上述限制，如适用于本基金，基金管理人在履行适当程序后，则本基金投资不再受相关限制。</w:t>
      </w:r>
    </w:p>
    <w:bookmarkEnd w:id="27"/>
    <w:p>
      <w:pPr>
        <w:spacing w:before="100" w:beforeAutospacing="1" w:after="100" w:afterAutospacing="1" w:line="400" w:lineRule="exact"/>
        <w:ind w:firstLine="420"/>
        <w:rPr>
          <w:rFonts w:ascii="宋体" w:hAnsi="宋体"/>
          <w:sz w:val="24"/>
          <w:szCs w:val="24"/>
        </w:rPr>
      </w:pPr>
      <w:r>
        <w:rPr>
          <w:rFonts w:ascii="宋体" w:hAnsi="宋体"/>
          <w:sz w:val="24"/>
          <w:szCs w:val="24"/>
        </w:rPr>
        <w:t>3、根据基金合同及本协议对投资禁止行为的约定对基金投资禁止行为进行监督；</w:t>
      </w:r>
    </w:p>
    <w:p>
      <w:pPr>
        <w:spacing w:before="100" w:beforeAutospacing="1" w:after="100" w:afterAutospacing="1" w:line="400" w:lineRule="exact"/>
        <w:ind w:firstLine="420"/>
        <w:rPr>
          <w:rFonts w:ascii="宋体" w:hAnsi="宋体"/>
          <w:sz w:val="24"/>
          <w:szCs w:val="24"/>
        </w:rPr>
      </w:pPr>
      <w:r>
        <w:rPr>
          <w:rFonts w:ascii="宋体" w:hAnsi="宋体"/>
          <w:sz w:val="24"/>
          <w:szCs w:val="24"/>
        </w:rPr>
        <w:t>4、基金管理人向基金托管人提供其回购交易及监督所需的其他投资品种的交易对手库，交易对手库由信用等级符合《通知》要求的交易对手组成。基金托管人只对进行金融衍生品、证券借贷、回购交易之交易对手</w:t>
      </w:r>
      <w:r>
        <w:rPr>
          <w:rFonts w:hint="eastAsia" w:ascii="宋体" w:hAnsi="宋体"/>
          <w:sz w:val="24"/>
          <w:szCs w:val="24"/>
        </w:rPr>
        <w:t>作出监督。监督范围并不包括一般证券买卖之券商。基金管理人可以根据实际情况的变化，及时对交易对手库予以更新和调整，并通知基金托管人。基金管理人进行金融衍生品、证券借贷、回购交易时，交易对手应符合交易对手库的范围。基金托管人对交易对手是否符合交易对手库进行监督；</w:t>
      </w:r>
      <w:r>
        <w:rPr>
          <w:rFonts w:ascii="宋体" w:hAnsi="宋体"/>
          <w:sz w:val="24"/>
          <w:szCs w:val="24"/>
        </w:rPr>
        <w:t xml:space="preserve"> </w:t>
      </w:r>
    </w:p>
    <w:p>
      <w:pPr>
        <w:spacing w:before="100" w:beforeAutospacing="1" w:after="100" w:afterAutospacing="1" w:line="400" w:lineRule="exact"/>
        <w:ind w:firstLine="420"/>
        <w:rPr>
          <w:rFonts w:ascii="宋体" w:hAnsi="宋体"/>
          <w:sz w:val="24"/>
          <w:szCs w:val="24"/>
        </w:rPr>
      </w:pPr>
      <w:r>
        <w:rPr>
          <w:rFonts w:ascii="宋体" w:hAnsi="宋体"/>
          <w:sz w:val="24"/>
          <w:szCs w:val="24"/>
        </w:rPr>
        <w:t>5、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pPr>
        <w:spacing w:before="100" w:beforeAutospacing="1" w:after="100" w:afterAutospacing="1" w:line="400" w:lineRule="exact"/>
        <w:ind w:firstLine="420"/>
        <w:rPr>
          <w:rFonts w:ascii="宋体" w:hAnsi="宋体"/>
          <w:sz w:val="24"/>
          <w:szCs w:val="24"/>
        </w:rPr>
      </w:pPr>
      <w:r>
        <w:rPr>
          <w:rFonts w:ascii="宋体" w:hAnsi="宋体"/>
          <w:sz w:val="24"/>
          <w:szCs w:val="24"/>
        </w:rPr>
        <w:t>6、对法律法规规定及基金合同中实际可以监控事项约定的基金投资的其他方面进行监督。</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（二）基金托管人应根据有关法律法规的规定及基金合同的约定，对基金资产净值计算、</w:t>
      </w:r>
      <w:r>
        <w:rPr>
          <w:rFonts w:hint="eastAsia" w:ascii="宋体" w:hAnsi="宋体" w:cs="Arial"/>
          <w:sz w:val="24"/>
        </w:rPr>
        <w:t>各类</w:t>
      </w:r>
      <w:r>
        <w:rPr>
          <w:rFonts w:hint="eastAsia" w:ascii="宋体" w:hAnsi="宋体"/>
          <w:sz w:val="24"/>
          <w:szCs w:val="24"/>
        </w:rPr>
        <w:t>基金份额净值计算、应收资金到账、基金费用开支及收入确定、基金收益分配、相关信息披露、基金宣传推介材料中登载基金业绩表现数据等进行业务复核。</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（三）基金托管人发现基金管理人的违规行为，应及时通知基金管理人，</w:t>
      </w:r>
      <w:r>
        <w:rPr>
          <w:rFonts w:ascii="宋体" w:hAnsi="宋体"/>
          <w:sz w:val="24"/>
          <w:szCs w:val="24"/>
        </w:rPr>
        <w:t>由基金管理人</w:t>
      </w:r>
      <w:r>
        <w:rPr>
          <w:rFonts w:hint="eastAsia" w:ascii="宋体" w:hAnsi="宋体"/>
          <w:sz w:val="24"/>
          <w:szCs w:val="24"/>
        </w:rPr>
        <w:t>限期纠正；基金管理人收到通知后应及时进行核对确认并回函；在限期内，基金托管人有权对通知事项进行复查，如基金管理人未予纠正，基金托管人应报告中国证监会。</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四）基金管理人应积极配合和协助基金托管人的监督和核查，包括但不限于：在规定时间内答复基金托管人并改正违规或违约行为，就基金托管人的疑义进行解释或举证，对基金托管人按照法规要求需向中国证监会报送基金监督报告的，基金管理人应积极配合提供相关数据资料和制度等。</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（五）基金托管人对投资管理人对基金财产的投资运作于估值日结束且相关数据齐备后，进行交易后的投资监控和报告。</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六）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（七）基金托管人对基金管理人的投资行为</w:t>
      </w:r>
      <w:r>
        <w:rPr>
          <w:rFonts w:ascii="宋体" w:hAnsi="宋体"/>
          <w:sz w:val="24"/>
          <w:szCs w:val="24"/>
        </w:rPr>
        <w:t>(包括但不限于其投资策略及决定)及其投资回报不承担任何责任。</w:t>
      </w:r>
    </w:p>
    <w:p>
      <w:pPr>
        <w:pStyle w:val="3"/>
        <w:pageBreakBefore/>
        <w:spacing w:before="100" w:beforeAutospacing="1" w:after="100" w:afterAutospacing="1" w:line="400" w:lineRule="exact"/>
        <w:jc w:val="center"/>
        <w:rPr>
          <w:rFonts w:ascii="宋体" w:hAnsi="宋体" w:eastAsia="宋体"/>
          <w:sz w:val="24"/>
          <w:szCs w:val="24"/>
        </w:rPr>
      </w:pPr>
      <w:bookmarkStart w:id="28" w:name="_Toc86726439"/>
      <w:bookmarkStart w:id="29" w:name="_Toc86727355"/>
      <w:bookmarkStart w:id="30" w:name="_Toc86225291"/>
      <w:bookmarkStart w:id="31" w:name="_Toc110761796"/>
      <w:bookmarkStart w:id="32" w:name="_Toc86737929"/>
      <w:bookmarkStart w:id="33" w:name="_Toc108512358"/>
      <w:bookmarkStart w:id="34" w:name="_Toc89163368"/>
      <w:bookmarkStart w:id="35" w:name="_Toc119402710"/>
      <w:bookmarkStart w:id="36" w:name="_Toc118212950"/>
      <w:bookmarkStart w:id="37" w:name="_Toc110830492"/>
      <w:bookmarkStart w:id="38" w:name="_Toc328568676"/>
      <w:bookmarkStart w:id="39" w:name="_Toc86223242"/>
      <w:bookmarkStart w:id="40" w:name="_Toc86649722"/>
      <w:bookmarkStart w:id="41" w:name="_Toc110765660"/>
      <w:bookmarkStart w:id="42" w:name="_Toc118972648"/>
      <w:bookmarkStart w:id="43" w:name="_Toc118774803"/>
      <w:bookmarkStart w:id="44" w:name="_Toc179617763"/>
      <w:bookmarkStart w:id="45" w:name="_Toc120435783"/>
      <w:r>
        <w:rPr>
          <w:rFonts w:hint="eastAsia" w:ascii="宋体" w:hAnsi="宋体" w:eastAsia="宋体"/>
          <w:sz w:val="24"/>
          <w:szCs w:val="24"/>
        </w:rPr>
        <w:t>四、基金管理人对基金托管人的业务核查</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各类基金份额净值、根据基金管理人指令办理清算交收、相关信息披露和监督基金投资运作等行为。</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（三）基金托管人应积极配合基金管理人的核查行为，包括但不限于：提交相关资料以供基金管理人核查托管财产的完整性和真实性，在规定时间内答复基金管理人并改正。</w:t>
      </w:r>
    </w:p>
    <w:p>
      <w:pPr>
        <w:pStyle w:val="3"/>
        <w:pageBreakBefore/>
        <w:spacing w:before="100" w:beforeAutospacing="1" w:after="100" w:afterAutospacing="1" w:line="400" w:lineRule="exact"/>
        <w:jc w:val="center"/>
        <w:rPr>
          <w:rFonts w:ascii="宋体" w:hAnsi="宋体" w:eastAsia="宋体"/>
          <w:sz w:val="24"/>
          <w:szCs w:val="24"/>
        </w:rPr>
      </w:pPr>
      <w:bookmarkStart w:id="46" w:name="_Toc328568677"/>
      <w:bookmarkStart w:id="47" w:name="_Toc179617765"/>
      <w:bookmarkStart w:id="48" w:name="_Toc120435784"/>
      <w:bookmarkStart w:id="49" w:name="_Toc89163369"/>
      <w:bookmarkStart w:id="50" w:name="_Toc84133786"/>
      <w:bookmarkStart w:id="51" w:name="_Toc110761797"/>
      <w:bookmarkStart w:id="52" w:name="_Toc84234388"/>
      <w:bookmarkStart w:id="53" w:name="_Toc86204789"/>
      <w:bookmarkStart w:id="54" w:name="_Toc84234435"/>
      <w:bookmarkStart w:id="55" w:name="_Toc86223243"/>
      <w:bookmarkStart w:id="56" w:name="_Toc86225292"/>
      <w:bookmarkStart w:id="57" w:name="_Toc108512359"/>
      <w:bookmarkStart w:id="58" w:name="_Toc86737930"/>
      <w:bookmarkStart w:id="59" w:name="_Toc86727356"/>
      <w:bookmarkStart w:id="60" w:name="_Toc86649723"/>
      <w:bookmarkStart w:id="61" w:name="_Toc110830493"/>
      <w:bookmarkStart w:id="62" w:name="_Toc118972649"/>
      <w:bookmarkStart w:id="63" w:name="_Toc119402711"/>
      <w:bookmarkStart w:id="64" w:name="_Toc118774804"/>
      <w:bookmarkStart w:id="65" w:name="_Toc86726440"/>
      <w:bookmarkStart w:id="66" w:name="_Toc110765661"/>
      <w:bookmarkStart w:id="67" w:name="_Toc118212951"/>
      <w:r>
        <w:rPr>
          <w:rFonts w:hint="eastAsia" w:ascii="宋体" w:hAnsi="宋体" w:eastAsia="宋体"/>
          <w:sz w:val="24"/>
          <w:szCs w:val="24"/>
        </w:rPr>
        <w:t>五、</w:t>
      </w:r>
      <w:bookmarkStart w:id="68" w:name="_Toc177976521"/>
      <w:r>
        <w:rPr>
          <w:rFonts w:hint="eastAsia" w:ascii="宋体" w:hAnsi="宋体" w:eastAsia="宋体"/>
          <w:sz w:val="24"/>
          <w:szCs w:val="24"/>
        </w:rPr>
        <w:t>基金托管人承担的受托人职责和托管职责</w:t>
      </w:r>
      <w:bookmarkEnd w:id="46"/>
      <w:bookmarkEnd w:id="68"/>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（一）基金</w:t>
      </w:r>
      <w:r>
        <w:rPr>
          <w:rFonts w:ascii="宋体" w:hAnsi="宋体"/>
          <w:sz w:val="24"/>
          <w:szCs w:val="24"/>
        </w:rPr>
        <w:t>托管人应当按照有关法律法规履行下列受托人职责：</w:t>
      </w:r>
    </w:p>
    <w:p>
      <w:pPr>
        <w:spacing w:before="100" w:beforeAutospacing="1" w:after="100" w:afterAutospacing="1" w:line="400" w:lineRule="exact"/>
        <w:ind w:firstLine="420"/>
        <w:rPr>
          <w:rFonts w:ascii="宋体" w:hAnsi="宋体"/>
          <w:sz w:val="24"/>
          <w:szCs w:val="24"/>
        </w:rPr>
      </w:pPr>
      <w:r>
        <w:rPr>
          <w:rFonts w:ascii="宋体" w:hAnsi="宋体"/>
          <w:sz w:val="24"/>
          <w:szCs w:val="24"/>
        </w:rPr>
        <w:t>1、保护</w:t>
      </w:r>
      <w:r>
        <w:rPr>
          <w:rFonts w:hint="eastAsia" w:ascii="宋体" w:hAnsi="宋体"/>
          <w:sz w:val="24"/>
          <w:szCs w:val="24"/>
        </w:rPr>
        <w:t>基金份额</w:t>
      </w:r>
      <w:r>
        <w:rPr>
          <w:rFonts w:ascii="宋体" w:hAnsi="宋体"/>
          <w:sz w:val="24"/>
          <w:szCs w:val="24"/>
        </w:rPr>
        <w:t>持有人利益，按照规定对基金日常投资行为和资金汇出入情况实施监督，如发现投资指令或资金汇出入违法、违规，应当及时向中国证监会、外管局报告；</w:t>
      </w:r>
    </w:p>
    <w:p>
      <w:pPr>
        <w:spacing w:before="100" w:beforeAutospacing="1" w:after="100" w:afterAutospacing="1" w:line="400" w:lineRule="exact"/>
        <w:ind w:firstLine="420"/>
        <w:rPr>
          <w:rFonts w:ascii="宋体" w:hAnsi="宋体"/>
          <w:sz w:val="24"/>
          <w:szCs w:val="24"/>
        </w:rPr>
      </w:pPr>
      <w:r>
        <w:rPr>
          <w:rFonts w:ascii="宋体" w:hAnsi="宋体"/>
          <w:sz w:val="24"/>
          <w:szCs w:val="24"/>
        </w:rPr>
        <w:t>2、安全保护基金财产，准时将公司行为信息通知</w:t>
      </w:r>
      <w:r>
        <w:rPr>
          <w:rFonts w:hint="eastAsia" w:ascii="宋体" w:hAnsi="宋体"/>
          <w:sz w:val="24"/>
          <w:szCs w:val="24"/>
        </w:rPr>
        <w:t>基金管理人</w:t>
      </w:r>
      <w:r>
        <w:rPr>
          <w:rFonts w:ascii="宋体" w:hAnsi="宋体"/>
          <w:sz w:val="24"/>
          <w:szCs w:val="24"/>
        </w:rPr>
        <w:t>，确保基金及时收取所有应得收入；</w:t>
      </w:r>
    </w:p>
    <w:p>
      <w:pPr>
        <w:spacing w:before="100" w:beforeAutospacing="1" w:after="100" w:afterAutospacing="1" w:line="400" w:lineRule="exact"/>
        <w:ind w:firstLine="420"/>
        <w:rPr>
          <w:rFonts w:ascii="宋体" w:hAnsi="宋体"/>
          <w:sz w:val="24"/>
          <w:szCs w:val="24"/>
        </w:rPr>
      </w:pPr>
      <w:r>
        <w:rPr>
          <w:rFonts w:ascii="宋体" w:hAnsi="宋体"/>
          <w:sz w:val="24"/>
          <w:szCs w:val="24"/>
        </w:rPr>
        <w:t>3、确保基金按照有关法律法规、基金合同约定的投资目标和限制进行管理；</w:t>
      </w:r>
    </w:p>
    <w:p>
      <w:pPr>
        <w:spacing w:before="100" w:beforeAutospacing="1" w:after="100" w:afterAutospacing="1" w:line="400" w:lineRule="exact"/>
        <w:ind w:firstLine="420"/>
        <w:rPr>
          <w:rFonts w:ascii="宋体" w:hAnsi="宋体"/>
          <w:sz w:val="24"/>
          <w:szCs w:val="24"/>
        </w:rPr>
      </w:pPr>
      <w:r>
        <w:rPr>
          <w:rFonts w:ascii="宋体" w:hAnsi="宋体"/>
          <w:sz w:val="24"/>
          <w:szCs w:val="24"/>
        </w:rPr>
        <w:t>4、按照有关法律法规、基金合同的约定执行</w:t>
      </w:r>
      <w:r>
        <w:rPr>
          <w:rFonts w:hint="eastAsia" w:ascii="宋体" w:hAnsi="宋体"/>
          <w:sz w:val="24"/>
          <w:szCs w:val="24"/>
        </w:rPr>
        <w:t>基金管理人</w:t>
      </w:r>
      <w:r>
        <w:rPr>
          <w:rFonts w:ascii="宋体" w:hAnsi="宋体"/>
          <w:sz w:val="24"/>
          <w:szCs w:val="24"/>
        </w:rPr>
        <w:t>的指令，及时办理清算、交割事宜；</w:t>
      </w:r>
    </w:p>
    <w:p>
      <w:pPr>
        <w:spacing w:before="100" w:beforeAutospacing="1" w:after="100" w:afterAutospacing="1" w:line="400" w:lineRule="exact"/>
        <w:ind w:firstLine="420"/>
        <w:rPr>
          <w:rFonts w:ascii="宋体" w:hAnsi="宋体"/>
          <w:sz w:val="24"/>
          <w:szCs w:val="24"/>
        </w:rPr>
      </w:pPr>
      <w:r>
        <w:rPr>
          <w:rFonts w:ascii="宋体" w:hAnsi="宋体"/>
          <w:sz w:val="24"/>
          <w:szCs w:val="24"/>
        </w:rPr>
        <w:t>5、确保基金</w:t>
      </w:r>
      <w:r>
        <w:rPr>
          <w:rFonts w:hint="eastAsia" w:ascii="宋体" w:hAnsi="宋体"/>
          <w:sz w:val="24"/>
          <w:szCs w:val="24"/>
        </w:rPr>
        <w:t>份</w:t>
      </w:r>
      <w:r>
        <w:rPr>
          <w:rFonts w:ascii="宋体" w:hAnsi="宋体"/>
          <w:sz w:val="24"/>
          <w:szCs w:val="24"/>
        </w:rPr>
        <w:t>额净值按照有关法律法规、基金合同规定的方法进行计算；</w:t>
      </w:r>
    </w:p>
    <w:p>
      <w:pPr>
        <w:spacing w:before="100" w:beforeAutospacing="1" w:after="100" w:afterAutospacing="1" w:line="400" w:lineRule="exact"/>
        <w:ind w:firstLine="420"/>
        <w:rPr>
          <w:rFonts w:ascii="宋体" w:hAnsi="宋体"/>
          <w:sz w:val="24"/>
          <w:szCs w:val="24"/>
        </w:rPr>
      </w:pPr>
      <w:r>
        <w:rPr>
          <w:rFonts w:ascii="宋体" w:hAnsi="宋体"/>
          <w:sz w:val="24"/>
          <w:szCs w:val="24"/>
        </w:rPr>
        <w:t>6、确保基金按照有关法律法规、基金合同的规定进行认购、申购、赎回等日常交易；</w:t>
      </w:r>
    </w:p>
    <w:p>
      <w:pPr>
        <w:spacing w:before="100" w:beforeAutospacing="1" w:after="100" w:afterAutospacing="1" w:line="400" w:lineRule="exact"/>
        <w:ind w:firstLine="420"/>
        <w:rPr>
          <w:rFonts w:ascii="宋体" w:hAnsi="宋体"/>
          <w:sz w:val="24"/>
          <w:szCs w:val="24"/>
        </w:rPr>
      </w:pPr>
      <w:r>
        <w:rPr>
          <w:rFonts w:ascii="宋体" w:hAnsi="宋体"/>
          <w:sz w:val="24"/>
          <w:szCs w:val="24"/>
        </w:rPr>
        <w:t>7、确保基金根据有关法律法规、基金合同确定并实施收益分配方案；</w:t>
      </w:r>
    </w:p>
    <w:p>
      <w:pPr>
        <w:spacing w:before="100" w:beforeAutospacing="1" w:after="100" w:afterAutospacing="1" w:line="400" w:lineRule="exact"/>
        <w:ind w:firstLine="420"/>
        <w:rPr>
          <w:rFonts w:ascii="宋体" w:hAnsi="宋体"/>
          <w:sz w:val="24"/>
          <w:szCs w:val="24"/>
        </w:rPr>
      </w:pPr>
      <w:r>
        <w:rPr>
          <w:rFonts w:ascii="宋体" w:hAnsi="宋体"/>
          <w:sz w:val="24"/>
          <w:szCs w:val="24"/>
        </w:rPr>
        <w:t>8、按照有关法律法规、基金合同的规定以受托人名义或其指定的代理人名义</w:t>
      </w:r>
      <w:r>
        <w:rPr>
          <w:rFonts w:hint="eastAsia" w:ascii="宋体" w:hAnsi="宋体"/>
          <w:sz w:val="24"/>
          <w:szCs w:val="24"/>
        </w:rPr>
        <w:t>或所投资市场的法规和市场惯例所规定的方法</w:t>
      </w:r>
      <w:r>
        <w:rPr>
          <w:rFonts w:ascii="宋体" w:hAnsi="宋体"/>
          <w:sz w:val="24"/>
          <w:szCs w:val="24"/>
        </w:rPr>
        <w:t>登记资产；</w:t>
      </w:r>
    </w:p>
    <w:p>
      <w:pPr>
        <w:spacing w:before="100" w:beforeAutospacing="1" w:after="100" w:afterAutospacing="1" w:line="400" w:lineRule="exact"/>
        <w:ind w:firstLine="420"/>
        <w:rPr>
          <w:rFonts w:ascii="宋体" w:hAnsi="宋体"/>
          <w:sz w:val="24"/>
          <w:szCs w:val="24"/>
        </w:rPr>
      </w:pPr>
      <w:r>
        <w:rPr>
          <w:rFonts w:ascii="宋体" w:hAnsi="宋体"/>
          <w:sz w:val="24"/>
          <w:szCs w:val="24"/>
        </w:rPr>
        <w:t>9、按照法律法规规定向中国证监会和外管局报告</w:t>
      </w:r>
      <w:r>
        <w:rPr>
          <w:rFonts w:hint="eastAsia" w:ascii="宋体" w:hAnsi="宋体"/>
          <w:sz w:val="24"/>
          <w:szCs w:val="24"/>
        </w:rPr>
        <w:t>基金管理人</w:t>
      </w:r>
      <w:r>
        <w:rPr>
          <w:rFonts w:ascii="宋体" w:hAnsi="宋体"/>
          <w:sz w:val="24"/>
          <w:szCs w:val="24"/>
        </w:rPr>
        <w:t>境外投资情况，并按相关规定进行国际收支申报；</w:t>
      </w:r>
    </w:p>
    <w:p>
      <w:pPr>
        <w:spacing w:before="100" w:beforeAutospacing="1" w:after="100" w:afterAutospacing="1" w:line="400" w:lineRule="exact"/>
        <w:ind w:firstLine="420"/>
        <w:rPr>
          <w:rFonts w:ascii="宋体" w:hAnsi="宋体"/>
          <w:sz w:val="24"/>
          <w:szCs w:val="24"/>
        </w:rPr>
      </w:pPr>
      <w:r>
        <w:rPr>
          <w:rFonts w:ascii="宋体" w:hAnsi="宋体"/>
          <w:sz w:val="24"/>
          <w:szCs w:val="24"/>
        </w:rPr>
        <w:t>10、中国证监会和外管局根据审慎监管原则规定的其他职责。</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w:t>
      </w:r>
      <w:r>
        <w:rPr>
          <w:rFonts w:ascii="宋体" w:hAnsi="宋体"/>
          <w:sz w:val="24"/>
          <w:szCs w:val="24"/>
        </w:rPr>
        <w:t>对基金的境外财产，</w:t>
      </w:r>
      <w:r>
        <w:rPr>
          <w:rFonts w:hint="eastAsia" w:ascii="宋体" w:hAnsi="宋体"/>
          <w:sz w:val="24"/>
          <w:szCs w:val="24"/>
        </w:rPr>
        <w:t>基金</w:t>
      </w:r>
      <w:r>
        <w:rPr>
          <w:rFonts w:ascii="宋体" w:hAnsi="宋体"/>
          <w:sz w:val="24"/>
          <w:szCs w:val="24"/>
        </w:rPr>
        <w:t>托管人可授权境外</w:t>
      </w:r>
      <w:r>
        <w:rPr>
          <w:rFonts w:hint="eastAsia" w:ascii="宋体" w:hAnsi="宋体"/>
          <w:sz w:val="24"/>
          <w:szCs w:val="24"/>
        </w:rPr>
        <w:t>基金托管人</w:t>
      </w:r>
      <w:r>
        <w:rPr>
          <w:rFonts w:ascii="宋体" w:hAnsi="宋体"/>
          <w:sz w:val="24"/>
          <w:szCs w:val="24"/>
        </w:rPr>
        <w:t>代为履行其承担的受托人职责。境外托管人在履行职责过程中，因本身过错、疏忽等原因而导致基金财产受损的，</w:t>
      </w:r>
      <w:r>
        <w:rPr>
          <w:rFonts w:hint="eastAsia" w:ascii="宋体" w:hAnsi="宋体"/>
          <w:sz w:val="24"/>
          <w:szCs w:val="24"/>
        </w:rPr>
        <w:t>基金</w:t>
      </w:r>
      <w:r>
        <w:rPr>
          <w:rFonts w:ascii="宋体" w:hAnsi="宋体"/>
          <w:sz w:val="24"/>
          <w:szCs w:val="24"/>
        </w:rPr>
        <w:t>托管人应当承担相应责任。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（三）基金</w:t>
      </w:r>
      <w:r>
        <w:rPr>
          <w:rFonts w:ascii="宋体" w:hAnsi="宋体"/>
          <w:sz w:val="24"/>
          <w:szCs w:val="24"/>
        </w:rPr>
        <w:t>托管人应当按照有关法律法规履行下列托管职责：1、安全保管基金财产，开设资金账户和证券账户；2、办理</w:t>
      </w:r>
      <w:r>
        <w:rPr>
          <w:rFonts w:hint="eastAsia" w:ascii="宋体" w:hAnsi="宋体"/>
          <w:sz w:val="24"/>
          <w:szCs w:val="24"/>
        </w:rPr>
        <w:t>基金</w:t>
      </w:r>
      <w:r>
        <w:rPr>
          <w:rFonts w:ascii="宋体" w:hAnsi="宋体"/>
          <w:sz w:val="24"/>
          <w:szCs w:val="24"/>
        </w:rPr>
        <w:t>的有关结汇、售汇、收汇、付汇和人民币资金结算业务；3、保存</w:t>
      </w:r>
      <w:r>
        <w:rPr>
          <w:rFonts w:hint="eastAsia" w:ascii="宋体" w:hAnsi="宋体"/>
          <w:sz w:val="24"/>
          <w:szCs w:val="24"/>
        </w:rPr>
        <w:t>基金</w:t>
      </w:r>
      <w:r>
        <w:rPr>
          <w:rFonts w:ascii="宋体" w:hAnsi="宋体"/>
          <w:sz w:val="24"/>
          <w:szCs w:val="24"/>
        </w:rPr>
        <w:t>的资金汇出、汇入、兑换、收汇、付汇、资金往来、委托及成交记录等相关资料，其保存的时间应当不少于</w:t>
      </w:r>
      <w:r>
        <w:rPr>
          <w:rFonts w:hint="eastAsia" w:ascii="宋体" w:hAnsi="宋体"/>
          <w:sz w:val="24"/>
          <w:szCs w:val="24"/>
        </w:rPr>
        <w:t>20</w:t>
      </w:r>
      <w:r>
        <w:rPr>
          <w:rFonts w:ascii="宋体" w:hAnsi="宋体"/>
          <w:sz w:val="24"/>
          <w:szCs w:val="24"/>
        </w:rPr>
        <w:t>年；4、中国证监会和外管局根据审慎监管原则规定的其他职责。</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（四）基金</w:t>
      </w:r>
      <w:r>
        <w:rPr>
          <w:rFonts w:ascii="宋体" w:hAnsi="宋体"/>
          <w:sz w:val="24"/>
          <w:szCs w:val="24"/>
        </w:rPr>
        <w:t>托管人、境外</w:t>
      </w:r>
      <w:r>
        <w:rPr>
          <w:rFonts w:hint="eastAsia" w:ascii="宋体" w:hAnsi="宋体"/>
          <w:sz w:val="24"/>
          <w:szCs w:val="24"/>
        </w:rPr>
        <w:t>基金托管人</w:t>
      </w:r>
      <w:r>
        <w:rPr>
          <w:rFonts w:ascii="宋体" w:hAnsi="宋体"/>
          <w:sz w:val="24"/>
          <w:szCs w:val="24"/>
        </w:rPr>
        <w:t>应当将其自有资产和</w:t>
      </w:r>
      <w:r>
        <w:rPr>
          <w:rFonts w:hint="eastAsia" w:ascii="宋体" w:hAnsi="宋体"/>
          <w:sz w:val="24"/>
          <w:szCs w:val="24"/>
        </w:rPr>
        <w:t>基金</w:t>
      </w:r>
      <w:r>
        <w:rPr>
          <w:rFonts w:ascii="宋体" w:hAnsi="宋体"/>
          <w:sz w:val="24"/>
          <w:szCs w:val="24"/>
        </w:rPr>
        <w:t>的财产严格分开。</w:t>
      </w:r>
    </w:p>
    <w:p>
      <w:pPr>
        <w:pStyle w:val="3"/>
        <w:pageBreakBefore/>
        <w:spacing w:before="100" w:beforeAutospacing="1" w:after="100" w:afterAutospacing="1" w:line="400" w:lineRule="exact"/>
        <w:jc w:val="center"/>
        <w:rPr>
          <w:rFonts w:ascii="宋体" w:hAnsi="宋体" w:eastAsia="宋体"/>
          <w:sz w:val="24"/>
          <w:szCs w:val="24"/>
        </w:rPr>
      </w:pPr>
      <w:bookmarkStart w:id="69" w:name="_Toc328568678"/>
      <w:r>
        <w:rPr>
          <w:rFonts w:hint="eastAsia" w:ascii="宋体" w:hAnsi="宋体" w:eastAsia="宋体"/>
          <w:sz w:val="24"/>
          <w:szCs w:val="24"/>
        </w:rPr>
        <w:t>六、基金财产的保管</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9"/>
    </w:p>
    <w:p>
      <w:pPr>
        <w:spacing w:before="100" w:beforeAutospacing="1" w:after="100" w:afterAutospacing="1" w:line="400" w:lineRule="exact"/>
        <w:ind w:firstLine="420"/>
        <w:rPr>
          <w:rFonts w:ascii="宋体" w:hAnsi="宋体"/>
          <w:sz w:val="24"/>
          <w:szCs w:val="24"/>
        </w:rPr>
      </w:pPr>
      <w:bookmarkStart w:id="70" w:name="_Toc179617766"/>
      <w:r>
        <w:rPr>
          <w:rFonts w:hint="eastAsia" w:ascii="宋体" w:hAnsi="宋体"/>
          <w:sz w:val="24"/>
          <w:szCs w:val="24"/>
        </w:rPr>
        <w:t>（一）基金财产保管的原则</w:t>
      </w:r>
      <w:bookmarkEnd w:id="70"/>
    </w:p>
    <w:p>
      <w:pPr>
        <w:spacing w:before="100" w:beforeAutospacing="1" w:after="100" w:afterAutospacing="1" w:line="400" w:lineRule="exact"/>
        <w:ind w:firstLine="420"/>
        <w:rPr>
          <w:rFonts w:ascii="宋体" w:hAnsi="宋体"/>
          <w:sz w:val="24"/>
          <w:szCs w:val="24"/>
        </w:rPr>
      </w:pPr>
      <w:r>
        <w:rPr>
          <w:rFonts w:ascii="宋体" w:hAnsi="宋体"/>
          <w:sz w:val="24"/>
          <w:szCs w:val="24"/>
        </w:rPr>
        <w:t>1、基金财产应独立于基金管理人、基金托管人和境外托管人的固有财产。</w:t>
      </w:r>
    </w:p>
    <w:p>
      <w:pPr>
        <w:spacing w:before="100" w:beforeAutospacing="1" w:after="100" w:afterAutospacing="1" w:line="400" w:lineRule="exact"/>
        <w:ind w:firstLine="420"/>
        <w:rPr>
          <w:rFonts w:ascii="宋体" w:hAnsi="宋体"/>
          <w:sz w:val="24"/>
          <w:szCs w:val="24"/>
        </w:rPr>
      </w:pPr>
      <w:r>
        <w:rPr>
          <w:rFonts w:ascii="宋体" w:hAnsi="宋体"/>
          <w:sz w:val="24"/>
          <w:szCs w:val="24"/>
        </w:rPr>
        <w:t>2、基金托管人应安全保管基金财产，未经基金管理人的合法合</w:t>
      </w:r>
      <w:r>
        <w:rPr>
          <w:rFonts w:hint="eastAsia" w:ascii="宋体" w:hAnsi="宋体"/>
          <w:sz w:val="24"/>
          <w:szCs w:val="24"/>
        </w:rPr>
        <w:t>规指令或法律法规、基金合同及本协议另有规定，不得自行运用、处分、分配基金的任何财产。</w:t>
      </w:r>
    </w:p>
    <w:p>
      <w:pPr>
        <w:spacing w:before="100" w:beforeAutospacing="1" w:after="100" w:afterAutospacing="1" w:line="400" w:lineRule="exact"/>
        <w:ind w:firstLine="420"/>
        <w:rPr>
          <w:rFonts w:ascii="宋体" w:hAnsi="宋体"/>
          <w:sz w:val="24"/>
          <w:szCs w:val="24"/>
        </w:rPr>
      </w:pPr>
      <w:r>
        <w:rPr>
          <w:rFonts w:ascii="宋体" w:hAnsi="宋体"/>
          <w:sz w:val="24"/>
          <w:szCs w:val="24"/>
        </w:rPr>
        <w:t>3、基金托管人按照规定开设基金财产的所有资金账户和证券账户。</w:t>
      </w:r>
    </w:p>
    <w:p>
      <w:pPr>
        <w:spacing w:before="100" w:beforeAutospacing="1" w:after="100" w:afterAutospacing="1" w:line="400" w:lineRule="exact"/>
        <w:ind w:firstLine="420"/>
        <w:rPr>
          <w:rFonts w:ascii="宋体" w:hAnsi="宋体"/>
          <w:sz w:val="24"/>
          <w:szCs w:val="24"/>
        </w:rPr>
      </w:pPr>
      <w:r>
        <w:rPr>
          <w:rFonts w:ascii="宋体" w:hAnsi="宋体"/>
          <w:sz w:val="24"/>
          <w:szCs w:val="24"/>
        </w:rPr>
        <w:t>4、基金托管人对所托管的不同基金财产分别设置账户，确保基金财产的完整与独立。</w:t>
      </w:r>
    </w:p>
    <w:p>
      <w:pPr>
        <w:spacing w:before="100" w:beforeAutospacing="1" w:after="100" w:afterAutospacing="1" w:line="400" w:lineRule="exact"/>
        <w:ind w:firstLine="420"/>
        <w:rPr>
          <w:rFonts w:ascii="宋体" w:hAnsi="宋体"/>
          <w:sz w:val="24"/>
          <w:szCs w:val="24"/>
        </w:rPr>
      </w:pPr>
      <w:r>
        <w:rPr>
          <w:rFonts w:ascii="宋体" w:hAnsi="宋体"/>
          <w:sz w:val="24"/>
          <w:szCs w:val="24"/>
        </w:rPr>
        <w:t>5、基金托管人可将基金财产安全保管和办理与基金财产过户有关的手续等职责委托给</w:t>
      </w:r>
      <w:r>
        <w:rPr>
          <w:rFonts w:hint="eastAsia" w:ascii="宋体" w:hAnsi="宋体"/>
          <w:sz w:val="24"/>
          <w:szCs w:val="24"/>
        </w:rPr>
        <w:t>第三方机构履行</w:t>
      </w:r>
      <w:r>
        <w:rPr>
          <w:rFonts w:ascii="宋体" w:hAnsi="宋体"/>
          <w:sz w:val="24"/>
          <w:szCs w:val="24"/>
        </w:rPr>
        <w:t>。</w:t>
      </w:r>
    </w:p>
    <w:p>
      <w:pPr>
        <w:spacing w:before="100" w:beforeAutospacing="1" w:after="100" w:afterAutospacing="1" w:line="400" w:lineRule="exact"/>
        <w:ind w:firstLine="420"/>
        <w:rPr>
          <w:rFonts w:ascii="宋体" w:hAnsi="宋体"/>
          <w:sz w:val="24"/>
          <w:szCs w:val="24"/>
        </w:rPr>
      </w:pPr>
      <w:r>
        <w:rPr>
          <w:rFonts w:ascii="宋体" w:hAnsi="宋体"/>
          <w:sz w:val="24"/>
          <w:szCs w:val="24"/>
        </w:rPr>
        <w:t>6、现金账户中的现金由基金托管人或其境外托管人以银行身份持有。</w:t>
      </w:r>
    </w:p>
    <w:p>
      <w:pPr>
        <w:spacing w:before="100" w:beforeAutospacing="1" w:after="100" w:afterAutospacing="1" w:line="400" w:lineRule="exact"/>
        <w:ind w:firstLine="420"/>
        <w:rPr>
          <w:rFonts w:ascii="宋体" w:hAnsi="宋体"/>
          <w:sz w:val="24"/>
          <w:szCs w:val="24"/>
        </w:rPr>
      </w:pPr>
      <w:r>
        <w:rPr>
          <w:rFonts w:ascii="宋体" w:hAnsi="宋体"/>
          <w:sz w:val="24"/>
          <w:szCs w:val="24"/>
        </w:rPr>
        <w:t>7、托管人或其境外托管人按照有关市场的适用法律、法规和市场惯例，支付现金、办理证券登记等托管业务。</w:t>
      </w:r>
    </w:p>
    <w:p>
      <w:pPr>
        <w:spacing w:before="100" w:beforeAutospacing="1" w:after="100" w:afterAutospacing="1" w:line="400" w:lineRule="exact"/>
        <w:ind w:firstLine="420"/>
        <w:rPr>
          <w:rFonts w:ascii="宋体" w:hAnsi="宋体"/>
          <w:sz w:val="24"/>
          <w:szCs w:val="24"/>
        </w:rPr>
      </w:pPr>
      <w:r>
        <w:rPr>
          <w:rFonts w:ascii="宋体" w:hAnsi="宋体"/>
          <w:sz w:val="24"/>
          <w:szCs w:val="24"/>
        </w:rPr>
        <w:t>8</w:t>
      </w:r>
      <w:r>
        <w:rPr>
          <w:rFonts w:hint="eastAsia" w:ascii="宋体" w:hAnsi="宋体"/>
          <w:sz w:val="24"/>
          <w:szCs w:val="24"/>
        </w:rPr>
        <w:t>、除非根据基金管理人书面同意，基金托管人自身，并应确保境外托管人不得在任何基金财产上设立任何担保权利，包括但不限于抵押、质押等，但根据有关适用法律的规定因基金投资而产生的担保权利除外。</w:t>
      </w:r>
    </w:p>
    <w:p>
      <w:pPr>
        <w:spacing w:before="100" w:beforeAutospacing="1" w:after="100" w:afterAutospacing="1" w:line="400" w:lineRule="exact"/>
        <w:ind w:firstLine="420"/>
        <w:rPr>
          <w:rFonts w:ascii="宋体" w:hAnsi="宋体"/>
          <w:sz w:val="24"/>
          <w:szCs w:val="24"/>
        </w:rPr>
      </w:pPr>
      <w:bookmarkStart w:id="71" w:name="_Toc179617767"/>
      <w:r>
        <w:rPr>
          <w:rFonts w:hint="eastAsia" w:ascii="宋体" w:hAnsi="宋体"/>
          <w:sz w:val="24"/>
          <w:szCs w:val="24"/>
        </w:rPr>
        <w:t>（二）基金募集期间及募集资金的验资</w:t>
      </w:r>
      <w:bookmarkEnd w:id="71"/>
    </w:p>
    <w:p>
      <w:pPr>
        <w:spacing w:before="100" w:beforeAutospacing="1" w:after="100" w:afterAutospacing="1" w:line="400" w:lineRule="exact"/>
        <w:ind w:firstLine="420"/>
        <w:rPr>
          <w:rFonts w:ascii="宋体" w:hAnsi="宋体"/>
          <w:sz w:val="24"/>
          <w:szCs w:val="24"/>
        </w:rPr>
      </w:pPr>
      <w:r>
        <w:rPr>
          <w:rFonts w:ascii="宋体" w:hAnsi="宋体"/>
          <w:sz w:val="24"/>
          <w:szCs w:val="24"/>
        </w:rPr>
        <w:t>1、基金募集期间的资金应存于基金管理人开立的“基金募集专户”。该账户由基金管理人</w:t>
      </w:r>
      <w:r>
        <w:rPr>
          <w:rFonts w:hint="eastAsia" w:ascii="宋体" w:hAnsi="宋体"/>
          <w:sz w:val="24"/>
          <w:szCs w:val="24"/>
        </w:rPr>
        <w:t>或基金管理人委托的登记机构开立并管理。</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2名或2名以上中国注册会计师签字方为有效。验资完成后，基金管理人应将属于基金财产的全部资金划入基金托管人开立并指定的基金托管银行账户中，并确保划入的资金与验资确认金额相一致。</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3、若基金募集期限届满，未能达到基金合同及其他有关规定的生效条件，由基金管理人按规定办理退款等事宜。</w:t>
      </w:r>
    </w:p>
    <w:p>
      <w:pPr>
        <w:spacing w:before="100" w:beforeAutospacing="1" w:after="100" w:afterAutospacing="1" w:line="400" w:lineRule="exact"/>
        <w:ind w:firstLine="420"/>
        <w:rPr>
          <w:rFonts w:ascii="宋体" w:hAnsi="宋体"/>
          <w:sz w:val="24"/>
          <w:szCs w:val="24"/>
        </w:rPr>
      </w:pPr>
      <w:bookmarkStart w:id="72" w:name="_Toc179617768"/>
      <w:r>
        <w:rPr>
          <w:rFonts w:hint="eastAsia" w:ascii="宋体" w:hAnsi="宋体"/>
          <w:sz w:val="24"/>
          <w:szCs w:val="24"/>
        </w:rPr>
        <w:t>（三）基金银行账户的开立和管理</w:t>
      </w:r>
      <w:bookmarkEnd w:id="72"/>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1、基金托管人应负责本基金的银行账户的开设和管理。</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3、本基金托管账户的开立和使用，限于满足开展本基金业务的需要。基金托管人、</w:t>
      </w:r>
      <w:r>
        <w:rPr>
          <w:rFonts w:hint="eastAsia" w:ascii="宋体" w:hAnsi="宋体"/>
          <w:kern w:val="0"/>
          <w:sz w:val="24"/>
          <w:szCs w:val="24"/>
        </w:rPr>
        <w:t>境外托管人和</w:t>
      </w:r>
      <w:r>
        <w:rPr>
          <w:rFonts w:hint="eastAsia" w:ascii="宋体" w:hAnsi="宋体"/>
          <w:sz w:val="24"/>
          <w:szCs w:val="24"/>
        </w:rPr>
        <w:t>基金管理人</w:t>
      </w:r>
      <w:r>
        <w:rPr>
          <w:rFonts w:hint="eastAsia" w:ascii="宋体" w:hAnsi="宋体"/>
          <w:kern w:val="0"/>
          <w:sz w:val="24"/>
          <w:szCs w:val="24"/>
        </w:rPr>
        <w:t>、境外投资顾问</w:t>
      </w:r>
      <w:r>
        <w:rPr>
          <w:rFonts w:hint="eastAsia" w:ascii="宋体" w:hAnsi="宋体"/>
          <w:sz w:val="24"/>
          <w:szCs w:val="24"/>
        </w:rPr>
        <w:t>均不得假借本基金的名义开立其他任何银行账户；亦不得使用本基金的银行账户进行本基金业务以外的活动。</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4、基金资金结算账户的开立和管理应符合账户所在国或地区监管理机构的有关规定。</w:t>
      </w:r>
    </w:p>
    <w:p>
      <w:pPr>
        <w:spacing w:before="100" w:beforeAutospacing="1" w:after="100" w:afterAutospacing="1" w:line="400" w:lineRule="exact"/>
        <w:ind w:firstLine="420"/>
        <w:rPr>
          <w:rFonts w:ascii="宋体" w:hAnsi="宋体"/>
          <w:sz w:val="24"/>
          <w:szCs w:val="24"/>
        </w:rPr>
      </w:pPr>
      <w:bookmarkStart w:id="73" w:name="_Toc179617769"/>
      <w:r>
        <w:rPr>
          <w:rFonts w:hint="eastAsia" w:ascii="宋体" w:hAnsi="宋体"/>
          <w:sz w:val="24"/>
          <w:szCs w:val="24"/>
        </w:rPr>
        <w:t>（四）基金证券账户的开立和管理</w:t>
      </w:r>
      <w:bookmarkEnd w:id="73"/>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1、基金托管人在基金所投资市场的交易所或登记结算机构或境外基金托管人处，按照该交易所或登记结算机构的业务规则开立证券账户。</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证券账户的开立和使用，仅限于满足开展本基金业务的需要。基金托管人和基金管理人以及各自委托代理人均不得出借擅自转让基金的任何证券账户，亦不得使用基金的任何账户进行本基金业务以外的活动。</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3、基金证券账户的开立和证</w:t>
      </w:r>
      <w:r>
        <w:rPr>
          <w:rFonts w:ascii="宋体" w:hAnsi="宋体"/>
          <w:sz w:val="24"/>
          <w:szCs w:val="24"/>
        </w:rPr>
        <w:t>券账户相关证明文件</w:t>
      </w:r>
      <w:r>
        <w:rPr>
          <w:rFonts w:hint="eastAsia" w:ascii="宋体" w:hAnsi="宋体"/>
          <w:sz w:val="24"/>
          <w:szCs w:val="24"/>
        </w:rPr>
        <w:t>的保管由基金托管人负责，账户资产的管理和运用由基金管理人负责。</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4、基金证券账户的开立和管理应符合账户所在国或地区有关法律的规定。</w:t>
      </w:r>
    </w:p>
    <w:p>
      <w:pPr>
        <w:spacing w:before="100" w:beforeAutospacing="1" w:after="100" w:afterAutospacing="1" w:line="400" w:lineRule="exact"/>
        <w:ind w:firstLine="420"/>
        <w:rPr>
          <w:rFonts w:ascii="宋体" w:hAnsi="宋体"/>
          <w:sz w:val="24"/>
          <w:szCs w:val="24"/>
        </w:rPr>
      </w:pPr>
      <w:bookmarkStart w:id="74" w:name="_Toc179617770"/>
      <w:r>
        <w:rPr>
          <w:rFonts w:hint="eastAsia" w:ascii="宋体" w:hAnsi="宋体"/>
          <w:sz w:val="24"/>
          <w:szCs w:val="24"/>
        </w:rPr>
        <w:t>（五）其他账户的开立和管理</w:t>
      </w:r>
      <w:bookmarkEnd w:id="74"/>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1、因业务发展需要而开立的其他账户，可以根据投资市场所在国家或地区法律法规和基金合同的规定由基金托管人负责进行开立。新账户按有关规则使用并管理。</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2、投资市场所在国家或地区法律法规等有关规定对相关账户的开立和管理另有规定的，从其规定办理。</w:t>
      </w:r>
    </w:p>
    <w:p>
      <w:pPr>
        <w:spacing w:before="100" w:beforeAutospacing="1" w:after="100" w:afterAutospacing="1" w:line="400" w:lineRule="exact"/>
        <w:ind w:firstLine="420"/>
        <w:rPr>
          <w:rFonts w:ascii="宋体" w:hAnsi="宋体"/>
          <w:sz w:val="24"/>
          <w:szCs w:val="24"/>
        </w:rPr>
      </w:pPr>
      <w:bookmarkStart w:id="75" w:name="_Toc179617771"/>
      <w:r>
        <w:rPr>
          <w:rFonts w:hint="eastAsia" w:ascii="宋体" w:hAnsi="宋体"/>
          <w:sz w:val="24"/>
          <w:szCs w:val="24"/>
        </w:rPr>
        <w:t>（六）基金财产投资的有关有价凭证等的保管</w:t>
      </w:r>
      <w:bookmarkEnd w:id="75"/>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财产投资的有价凭证等的保管按照实物证券相关规定办理。属于基金托管人及其境外托管人实际有效控制下的实物证券在基金托管人保管期间的损坏、灭失，由此产生的责任应由基金托管人承担，但基金托管人对其及境外托管人以外机构实际有效控制的有价凭证不承担保管责任。</w:t>
      </w:r>
    </w:p>
    <w:p>
      <w:pPr>
        <w:spacing w:before="100" w:beforeAutospacing="1" w:after="100" w:afterAutospacing="1" w:line="400" w:lineRule="exact"/>
        <w:ind w:firstLine="420"/>
        <w:rPr>
          <w:rFonts w:ascii="宋体" w:hAnsi="宋体"/>
          <w:sz w:val="24"/>
          <w:szCs w:val="24"/>
        </w:rPr>
      </w:pPr>
      <w:bookmarkStart w:id="76" w:name="_Toc179617772"/>
      <w:r>
        <w:rPr>
          <w:rFonts w:hint="eastAsia" w:ascii="宋体" w:hAnsi="宋体"/>
          <w:sz w:val="24"/>
          <w:szCs w:val="24"/>
        </w:rPr>
        <w:t>（七）与基金财产有关的重大合同的保管</w:t>
      </w:r>
      <w:bookmarkEnd w:id="76"/>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托管人按照法律法规保管由基金管理人代表基金签署的与基金有关的重大合同及有关凭证。基金管理人代表基金签署有关重大合同后应在收到合同正本后30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15年。</w:t>
      </w:r>
    </w:p>
    <w:p>
      <w:pPr>
        <w:pStyle w:val="3"/>
        <w:pageBreakBefore/>
        <w:spacing w:before="100" w:beforeAutospacing="1" w:after="100" w:afterAutospacing="1" w:line="400" w:lineRule="exact"/>
        <w:jc w:val="center"/>
        <w:rPr>
          <w:rFonts w:ascii="宋体" w:hAnsi="宋体" w:eastAsia="宋体"/>
          <w:sz w:val="24"/>
          <w:szCs w:val="24"/>
        </w:rPr>
      </w:pPr>
      <w:bookmarkStart w:id="77" w:name="_Toc84133787"/>
      <w:bookmarkStart w:id="78" w:name="_Toc86204790"/>
      <w:bookmarkStart w:id="79" w:name="_Toc110765662"/>
      <w:bookmarkStart w:id="80" w:name="_Toc118212952"/>
      <w:bookmarkStart w:id="81" w:name="_Toc118774805"/>
      <w:bookmarkStart w:id="82" w:name="_Toc119402712"/>
      <w:bookmarkStart w:id="83" w:name="_Toc120435785"/>
      <w:bookmarkStart w:id="84" w:name="_Toc179617773"/>
      <w:bookmarkStart w:id="85" w:name="_Toc328568679"/>
      <w:bookmarkStart w:id="86" w:name="_Toc86727357"/>
      <w:bookmarkStart w:id="87" w:name="_Toc86649724"/>
      <w:bookmarkStart w:id="88" w:name="_Toc86726441"/>
      <w:bookmarkStart w:id="89" w:name="_Toc86223244"/>
      <w:bookmarkStart w:id="90" w:name="_Toc110761798"/>
      <w:bookmarkStart w:id="91" w:name="_Toc86225293"/>
      <w:bookmarkStart w:id="92" w:name="_Toc108512360"/>
      <w:bookmarkStart w:id="93" w:name="_Toc110830494"/>
      <w:bookmarkStart w:id="94" w:name="_Toc84234389"/>
      <w:bookmarkStart w:id="95" w:name="_Toc118972650"/>
      <w:bookmarkStart w:id="96" w:name="_Toc84234436"/>
      <w:bookmarkStart w:id="97" w:name="_Toc86737931"/>
      <w:bookmarkStart w:id="98" w:name="_Toc89163370"/>
      <w:r>
        <w:rPr>
          <w:rFonts w:hint="eastAsia" w:ascii="宋体" w:hAnsi="宋体" w:eastAsia="宋体"/>
          <w:sz w:val="24"/>
          <w:szCs w:val="24"/>
        </w:rPr>
        <w:t>七、指令的发送、确认及执行</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（一）基金管理人的授权通知</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基金管理人应当于基金运作后第一次发送指令之前，向基金托管人以传真方式发出书面通知（以下称“授权通知”），告知托管人用以确认指令形式真实性的依据。该书面通知中应含有管理人预留印鉴样本，并明示该预留印鉴为托管人确定管理人所发送指令形式真实性的唯一依据。</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管理人向基金托管人发出的授权通知应加盖公章。基金管理人以传真方式发送授权通知后要及时向基金托管人电话确认，以保证基金托管人及时查收。授权通知在基金托管人收到文件传真件及基金管理人电话确认时生效。基金管理人在此后三个工作日内将授权通知的文件原件送交基金托管人。</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3、基金管理人和基金托管人对授权通知及其更改负有保密义务，其内容不得向指令发送人员及相关操作人员以外的任何人披露、泄露。</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（二）指令的内容</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管理人发给托管人的指令应写明款项事由、支付时间、收款人开户银行、金额、收款人账户名称、账号等要素信息，加盖预留印鉴。</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（三）指令的发送、确认和执行</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1、指令的发送</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（1）指令需有授权通知确定的预留印鉴，由基金管理人指定专人用加密传真或事先约定的方式向基金托管人发送。</w:t>
      </w:r>
      <w:r>
        <w:rPr>
          <w:rFonts w:ascii="宋体" w:hAnsi="宋体"/>
          <w:sz w:val="24"/>
          <w:szCs w:val="24"/>
        </w:rPr>
        <w:t>指令发出后，</w:t>
      </w:r>
      <w:r>
        <w:rPr>
          <w:rFonts w:hint="eastAsia" w:ascii="宋体" w:hAnsi="宋体"/>
          <w:sz w:val="24"/>
          <w:szCs w:val="24"/>
        </w:rPr>
        <w:t>基金</w:t>
      </w:r>
      <w:r>
        <w:rPr>
          <w:rFonts w:ascii="宋体" w:hAnsi="宋体"/>
          <w:sz w:val="24"/>
          <w:szCs w:val="24"/>
        </w:rPr>
        <w:t>管理人应及时以电话方式向</w:t>
      </w:r>
      <w:r>
        <w:rPr>
          <w:rFonts w:hint="eastAsia" w:ascii="宋体" w:hAnsi="宋体"/>
          <w:sz w:val="24"/>
          <w:szCs w:val="24"/>
        </w:rPr>
        <w:t>基金</w:t>
      </w:r>
      <w:r>
        <w:rPr>
          <w:rFonts w:ascii="宋体" w:hAnsi="宋体"/>
          <w:sz w:val="24"/>
          <w:szCs w:val="24"/>
        </w:rPr>
        <w:t>托管人确认。</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（2）基金管理人</w:t>
      </w:r>
      <w:r>
        <w:rPr>
          <w:rFonts w:ascii="宋体" w:hAnsi="宋体"/>
          <w:sz w:val="24"/>
          <w:szCs w:val="24"/>
        </w:rPr>
        <w:t>应指定专人发送指令</w:t>
      </w:r>
      <w:r>
        <w:rPr>
          <w:rFonts w:hint="eastAsia" w:ascii="宋体" w:hAnsi="宋体"/>
          <w:sz w:val="24"/>
          <w:szCs w:val="24"/>
        </w:rPr>
        <w:t>，并预先通知基金托管人发送人名单和联系方式。基金托管人应指定专人接收基金管理人的指令，并预先通知基金管理人接收人名单和联系方式。</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2、指令的确认</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基金托管人在接收指令时，应对指令的要素是否齐全、指令上的印鉴是否与授权文件上的预留印鉴一致进行审慎的形式审查，基金托管人对指令的真实性不承担责任。如发现问题，应及时以电话形式联系基金管理人要求其修改指令或采取进一步措施。经基金管理人和基金托管人最终电话确认的指令，基金管理人不得否认其效力，但如果基金管理人已经更改授权文件上的预留印鉴，并且按本协议的相关条款通知基金托管人，则对于此后使用原预留印鉴的指令，基金管理人不承担责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（2）基金管理人应当向基金托管人传真提供相关交易凭证或单据、合同或其他有效会计资料，以确保基金托管人有足够的资料来判断指令的有效性,如果未提供前述相关资料,导致指令未能及时执行,</w:t>
      </w:r>
      <w:r>
        <w:rPr>
          <w:rFonts w:hint="eastAsia"/>
        </w:rPr>
        <w:t xml:space="preserve"> </w:t>
      </w:r>
      <w:r>
        <w:rPr>
          <w:rFonts w:hint="eastAsia" w:ascii="宋体" w:hAnsi="宋体"/>
          <w:sz w:val="24"/>
          <w:szCs w:val="24"/>
        </w:rPr>
        <w:t>基金托管人不承担由此造成的损失。</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3、指令的执行</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（1）基金托管人确认指令有效后，方可执行指令。</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（2）基金托管人在复核后应在规定期限内执行适当的指令，不得延误。</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4、执行中相关问题的处理方法</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（1）基金管理人下达的指令必须要素齐全，词语准确，基金管理人下达的指令要素不全或语意模糊的，基金托管人有权立即电话联系并将指令退还给基金管理人，要求其重新下达有效的指令。</w:t>
      </w:r>
      <w:r>
        <w:rPr>
          <w:rFonts w:hint="eastAsia" w:ascii="宋体" w:hAnsi="宋体"/>
          <w:kern w:val="0"/>
          <w:sz w:val="24"/>
          <w:szCs w:val="24"/>
        </w:rPr>
        <w:t>在未收到基金管理人澄清或确认的情况下，基金托管人可以本着诚信原则延迟执行有关指令，基金托管人不对在寻求澄清或确认期间造成的延误所导致的损失负责，但由于基金托管人的不当行为、欺诈、疏忽或者违约造成的除外。</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托管人因故意或过失错误执行指令或未及时执行指令，致使本基金资产、基金管理人的利益受到损害，应负赔偿责任。除此之外，基金托管人对执行基金管理人的合法指令对基金、基金管理人造成的损失不承担赔偿责任。</w:t>
      </w:r>
    </w:p>
    <w:p>
      <w:pPr>
        <w:spacing w:before="100" w:beforeAutospacing="1" w:after="100" w:afterAutospacing="1" w:line="400" w:lineRule="exact"/>
        <w:ind w:firstLine="420"/>
        <w:rPr>
          <w:rFonts w:ascii="宋体" w:hAnsi="宋体"/>
          <w:sz w:val="24"/>
          <w:szCs w:val="24"/>
        </w:rPr>
      </w:pPr>
      <w:r>
        <w:rPr>
          <w:rFonts w:ascii="宋体" w:hAnsi="宋体"/>
          <w:sz w:val="24"/>
          <w:szCs w:val="24"/>
        </w:rPr>
        <w:t>（3）基金管理人在发送指令时，应为基金托管人执行指令留出执行指令时所必需的时间。</w:t>
      </w:r>
      <w:r>
        <w:rPr>
          <w:rFonts w:hint="eastAsia" w:ascii="宋体" w:hAnsi="宋体"/>
          <w:sz w:val="24"/>
          <w:szCs w:val="24"/>
        </w:rPr>
        <w:t>境内人民币资金划拨指令，需至少在所要求的到账时间前两个工作小时，由基金管理人向基金托管人以约定的方式进行发送并电话确认；境内外之间的资金划拨指令，即涉及到境内的托管账户与境外的托管账户之间的资金划拨及结售汇指令，需要于</w:t>
      </w:r>
      <w:r>
        <w:rPr>
          <w:rFonts w:ascii="宋体" w:hAnsi="宋体"/>
          <w:sz w:val="24"/>
          <w:szCs w:val="24"/>
        </w:rPr>
        <w:t>T日上午10:30之前，由</w:t>
      </w:r>
      <w:r>
        <w:rPr>
          <w:rFonts w:hint="eastAsia" w:ascii="宋体" w:hAnsi="宋体"/>
          <w:sz w:val="24"/>
          <w:szCs w:val="24"/>
        </w:rPr>
        <w:t>基金管理人向基金托管人以约定的方式进行发送。基金管理人在发送指令以后应及时向基金托管人进行电话确认。</w:t>
      </w:r>
      <w:r>
        <w:rPr>
          <w:rFonts w:ascii="宋体" w:hAnsi="宋体"/>
          <w:sz w:val="24"/>
          <w:szCs w:val="24"/>
        </w:rPr>
        <w:t>指令传输不及时，未能留出足够的执行时间，</w:t>
      </w:r>
      <w:r>
        <w:rPr>
          <w:rFonts w:hint="eastAsia" w:ascii="宋体" w:hAnsi="宋体"/>
          <w:sz w:val="24"/>
          <w:szCs w:val="24"/>
        </w:rPr>
        <w:t>或基金管理人传真指令后未及时向基金托管人电话确认的，</w:t>
      </w:r>
      <w:r>
        <w:rPr>
          <w:rFonts w:ascii="宋体" w:hAnsi="宋体"/>
          <w:sz w:val="24"/>
          <w:szCs w:val="24"/>
        </w:rPr>
        <w:t>致使指令未能及时执行，所造成的损失由基金管理人承担。</w:t>
      </w:r>
    </w:p>
    <w:p>
      <w:pPr>
        <w:spacing w:before="100" w:beforeAutospacing="1" w:after="100" w:afterAutospacing="1" w:line="400" w:lineRule="exact"/>
        <w:ind w:firstLine="420"/>
        <w:rPr>
          <w:rFonts w:ascii="宋体" w:hAnsi="宋体"/>
          <w:sz w:val="24"/>
          <w:szCs w:val="24"/>
        </w:rPr>
      </w:pPr>
      <w:r>
        <w:rPr>
          <w:rFonts w:ascii="宋体" w:hAnsi="宋体"/>
          <w:sz w:val="24"/>
          <w:szCs w:val="24"/>
        </w:rPr>
        <w:t>（4）</w:t>
      </w:r>
      <w:r>
        <w:rPr>
          <w:rFonts w:hint="eastAsia" w:ascii="宋体" w:hAnsi="宋体"/>
          <w:sz w:val="24"/>
          <w:szCs w:val="24"/>
        </w:rPr>
        <w:t>基金管理人向基金托管人下达指令时，应确保资产银行账户有足够的资金余额。对超头寸的交易指令，基金托管人可不予执行，但应立即通知基金管理人，由基金管理人审核、查明原因。如基金管理人确认此交易指令无效，需以书面形式出具撤销指令的说明，同时加盖基金管理人业务印章，基金托管人不承担因未执行该指令造成损失的责任；如基金管理人确认该指令不予取消的，以资金备足并通知基金托管人的时间视为指令收到时间。基金托管人不承担因账户余额不足对托管资产造成损失的责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（四）授权通知的变更</w:t>
      </w:r>
    </w:p>
    <w:p>
      <w:pPr>
        <w:spacing w:before="100" w:beforeAutospacing="1" w:after="100" w:afterAutospacing="1" w:line="400" w:lineRule="exact"/>
        <w:ind w:firstLine="420"/>
        <w:rPr>
          <w:rFonts w:ascii="宋体" w:hAnsi="宋体"/>
          <w:sz w:val="24"/>
          <w:szCs w:val="24"/>
        </w:rPr>
      </w:pPr>
      <w:r>
        <w:rPr>
          <w:rFonts w:ascii="宋体" w:hAnsi="宋体"/>
          <w:sz w:val="24"/>
          <w:szCs w:val="24"/>
        </w:rPr>
        <w:t>1.</w:t>
      </w:r>
      <w:r>
        <w:rPr>
          <w:rFonts w:hint="eastAsia" w:ascii="宋体" w:hAnsi="宋体"/>
          <w:sz w:val="24"/>
          <w:szCs w:val="24"/>
        </w:rPr>
        <w:t>基金管理人若对授权通知的内容进行修改，应当提前至少三个工作日电话通知基金托管人。</w:t>
      </w:r>
      <w:r>
        <w:rPr>
          <w:rFonts w:ascii="宋体" w:hAnsi="宋体"/>
          <w:sz w:val="24"/>
          <w:szCs w:val="24"/>
        </w:rPr>
        <w:t>基金管理人</w:t>
      </w:r>
      <w:r>
        <w:rPr>
          <w:rFonts w:hint="eastAsia" w:ascii="宋体" w:hAnsi="宋体"/>
          <w:sz w:val="24"/>
          <w:szCs w:val="24"/>
        </w:rPr>
        <w:t>需提供书面的</w:t>
      </w:r>
      <w:r>
        <w:rPr>
          <w:rFonts w:ascii="宋体" w:hAnsi="宋体"/>
          <w:sz w:val="24"/>
          <w:szCs w:val="24"/>
        </w:rPr>
        <w:t>变更授权</w:t>
      </w:r>
      <w:r>
        <w:rPr>
          <w:rFonts w:hint="eastAsia" w:ascii="宋体" w:hAnsi="宋体"/>
          <w:sz w:val="24"/>
          <w:szCs w:val="24"/>
        </w:rPr>
        <w:t>通知文件，在加盖公章后</w:t>
      </w:r>
      <w:r>
        <w:rPr>
          <w:rFonts w:ascii="宋体" w:hAnsi="宋体"/>
          <w:sz w:val="24"/>
          <w:szCs w:val="24"/>
        </w:rPr>
        <w:t>以</w:t>
      </w:r>
      <w:r>
        <w:rPr>
          <w:rFonts w:hint="eastAsia" w:ascii="宋体" w:hAnsi="宋体"/>
          <w:sz w:val="24"/>
          <w:szCs w:val="24"/>
        </w:rPr>
        <w:t>传真或其他双方约定的方式</w:t>
      </w:r>
      <w:r>
        <w:rPr>
          <w:rFonts w:ascii="宋体" w:hAnsi="宋体"/>
          <w:sz w:val="24"/>
          <w:szCs w:val="24"/>
        </w:rPr>
        <w:t>发送给基金托管人，同时</w:t>
      </w:r>
      <w:r>
        <w:rPr>
          <w:rFonts w:hint="eastAsia" w:ascii="宋体" w:hAnsi="宋体"/>
          <w:sz w:val="24"/>
          <w:szCs w:val="24"/>
        </w:rPr>
        <w:t>以电话形式向基金托管人确认。变更授权通知文件在基金托管人收到相关文件传真件和管理人的电话确认时生效。基金管理人在此后三个工作日内将</w:t>
      </w:r>
      <w:r>
        <w:rPr>
          <w:rFonts w:ascii="宋体" w:hAnsi="宋体"/>
          <w:sz w:val="24"/>
          <w:szCs w:val="24"/>
        </w:rPr>
        <w:t>变更授权</w:t>
      </w:r>
      <w:r>
        <w:rPr>
          <w:rFonts w:hint="eastAsia" w:ascii="宋体" w:hAnsi="宋体"/>
          <w:sz w:val="24"/>
          <w:szCs w:val="24"/>
        </w:rPr>
        <w:t>通知文件原件送交基金托管人。</w:t>
      </w:r>
    </w:p>
    <w:p>
      <w:pPr>
        <w:spacing w:before="100" w:beforeAutospacing="1" w:after="100" w:afterAutospacing="1" w:line="400" w:lineRule="exact"/>
        <w:ind w:firstLine="420"/>
        <w:rPr>
          <w:rFonts w:ascii="宋体" w:hAnsi="宋体"/>
          <w:sz w:val="24"/>
          <w:szCs w:val="24"/>
        </w:rPr>
      </w:pPr>
      <w:r>
        <w:rPr>
          <w:rFonts w:ascii="宋体" w:hAnsi="宋体"/>
          <w:sz w:val="24"/>
          <w:szCs w:val="24"/>
        </w:rPr>
        <w:t>2.基金托管人更改接受管理人指令的人员及联系方式，应至少提前1个工作日以传真方式发送基金管理人。基金托管人更改接受</w:t>
      </w:r>
      <w:r>
        <w:rPr>
          <w:rFonts w:hint="eastAsia" w:ascii="宋体" w:hAnsi="宋体"/>
          <w:sz w:val="24"/>
          <w:szCs w:val="24"/>
        </w:rPr>
        <w:t>基金</w:t>
      </w:r>
      <w:r>
        <w:rPr>
          <w:rFonts w:ascii="宋体" w:hAnsi="宋体"/>
          <w:sz w:val="24"/>
          <w:szCs w:val="24"/>
        </w:rPr>
        <w:t>管理人指令的人员及联系方式自基金管理人电话确认后生效</w:t>
      </w:r>
      <w:r>
        <w:rPr>
          <w:rFonts w:hint="eastAsia" w:ascii="宋体" w:hAnsi="宋体"/>
          <w:sz w:val="24"/>
          <w:szCs w:val="24"/>
        </w:rPr>
        <w:t>。</w:t>
      </w:r>
    </w:p>
    <w:p>
      <w:pPr>
        <w:adjustRightInd w:val="0"/>
        <w:snapToGrid w:val="0"/>
        <w:spacing w:line="360" w:lineRule="auto"/>
        <w:ind w:firstLine="480" w:firstLineChars="200"/>
        <w:rPr>
          <w:rFonts w:ascii="宋体" w:hAnsi="宋体"/>
          <w:kern w:val="0"/>
          <w:sz w:val="24"/>
          <w:szCs w:val="24"/>
        </w:rPr>
      </w:pPr>
      <w:bookmarkStart w:id="99" w:name="_Toc84234437"/>
      <w:bookmarkStart w:id="100" w:name="_Toc110761799"/>
      <w:bookmarkStart w:id="101" w:name="_Toc108512361"/>
      <w:bookmarkStart w:id="102" w:name="_Toc110765663"/>
      <w:bookmarkStart w:id="103" w:name="_Toc86225294"/>
      <w:bookmarkStart w:id="104" w:name="_Toc86727358"/>
      <w:bookmarkStart w:id="105" w:name="_Toc84133788"/>
      <w:bookmarkStart w:id="106" w:name="_Toc86726442"/>
      <w:bookmarkStart w:id="107" w:name="_Toc86223245"/>
      <w:bookmarkStart w:id="108" w:name="_Toc86737932"/>
      <w:bookmarkStart w:id="109" w:name="_Toc179617779"/>
      <w:bookmarkStart w:id="110" w:name="_Toc110830495"/>
      <w:bookmarkStart w:id="111" w:name="_Toc89163371"/>
      <w:bookmarkStart w:id="112" w:name="_Toc118774806"/>
      <w:bookmarkStart w:id="113" w:name="_Toc328568680"/>
      <w:bookmarkStart w:id="114" w:name="_Toc120435786"/>
      <w:bookmarkStart w:id="115" w:name="_Toc118972651"/>
      <w:bookmarkStart w:id="116" w:name="_Toc84234390"/>
      <w:bookmarkStart w:id="117" w:name="_Toc118212953"/>
      <w:bookmarkStart w:id="118" w:name="_Toc86204791"/>
      <w:bookmarkStart w:id="119" w:name="_Toc86649725"/>
      <w:bookmarkStart w:id="120" w:name="_Toc119402713"/>
      <w:r>
        <w:rPr>
          <w:rFonts w:hint="eastAsia" w:ascii="宋体" w:hAnsi="宋体"/>
          <w:sz w:val="24"/>
          <w:szCs w:val="24"/>
        </w:rPr>
        <w:t>3.</w:t>
      </w:r>
      <w:r>
        <w:rPr>
          <w:rFonts w:hint="eastAsia" w:ascii="宋体" w:hAnsi="宋体"/>
          <w:kern w:val="0"/>
          <w:sz w:val="24"/>
          <w:szCs w:val="24"/>
        </w:rPr>
        <w:t>基金管理人更换被授权人通知生效后，对于已被撤换的人员无权发送的指令，或被改变授权人员超权限发送的指令，基金托管人应当予以拒绝。</w:t>
      </w:r>
    </w:p>
    <w:p>
      <w:pPr>
        <w:spacing w:before="100" w:beforeAutospacing="1" w:after="100" w:afterAutospacing="1" w:line="400" w:lineRule="exact"/>
        <w:ind w:firstLine="420"/>
        <w:rPr>
          <w:rFonts w:ascii="宋体" w:hAnsi="宋体"/>
          <w:sz w:val="24"/>
          <w:szCs w:val="24"/>
        </w:rPr>
      </w:pPr>
    </w:p>
    <w:p>
      <w:pPr>
        <w:pStyle w:val="3"/>
        <w:pageBreakBefore/>
        <w:spacing w:before="100" w:beforeAutospacing="1" w:after="100" w:afterAutospacing="1" w:line="400" w:lineRule="exact"/>
        <w:jc w:val="center"/>
        <w:rPr>
          <w:rFonts w:ascii="宋体" w:hAnsi="宋体" w:eastAsia="宋体"/>
          <w:sz w:val="24"/>
          <w:szCs w:val="24"/>
        </w:rPr>
      </w:pPr>
      <w:r>
        <w:rPr>
          <w:rFonts w:hint="eastAsia" w:ascii="宋体" w:hAnsi="宋体" w:eastAsia="宋体"/>
          <w:sz w:val="24"/>
          <w:szCs w:val="24"/>
        </w:rPr>
        <w:t>八、交易及清算交收安排</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基金的交易及清算交收指基金在交易过程、申购赎回过程和基金现金分红过程中的结算交收。</w:t>
      </w:r>
    </w:p>
    <w:p>
      <w:pPr>
        <w:spacing w:before="100" w:beforeAutospacing="1" w:after="100" w:afterAutospacing="1" w:line="400" w:lineRule="exact"/>
        <w:ind w:firstLine="420"/>
        <w:rPr>
          <w:rFonts w:ascii="宋体" w:hAnsi="宋体"/>
          <w:sz w:val="24"/>
          <w:szCs w:val="24"/>
        </w:rPr>
      </w:pPr>
      <w:bookmarkStart w:id="121" w:name="_Toc179617780"/>
      <w:r>
        <w:rPr>
          <w:rFonts w:hint="eastAsia" w:ascii="宋体" w:hAnsi="宋体"/>
          <w:sz w:val="24"/>
          <w:szCs w:val="24"/>
        </w:rPr>
        <w:t>（一）基金投资证券后的清算交收安排</w:t>
      </w:r>
      <w:bookmarkEnd w:id="121"/>
    </w:p>
    <w:p>
      <w:pPr>
        <w:spacing w:before="100" w:beforeAutospacing="1" w:after="100" w:afterAutospacing="1" w:line="400" w:lineRule="exact"/>
        <w:ind w:firstLine="420"/>
        <w:rPr>
          <w:rFonts w:ascii="宋体" w:hAnsi="宋体"/>
          <w:sz w:val="24"/>
          <w:szCs w:val="24"/>
        </w:rPr>
      </w:pPr>
      <w:r>
        <w:rPr>
          <w:rFonts w:ascii="宋体" w:hAnsi="宋体"/>
          <w:sz w:val="24"/>
          <w:szCs w:val="24"/>
        </w:rPr>
        <w:t>1、清算与交割</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基金托管人负责基金买卖证券的清算交收。资金汇划由基金托管人根据基金管理人的交易成交结果</w:t>
      </w:r>
      <w:r>
        <w:rPr>
          <w:rFonts w:ascii="宋体" w:hAnsi="宋体"/>
          <w:sz w:val="24"/>
          <w:szCs w:val="24"/>
        </w:rPr>
        <w:t>和交易成交形式</w:t>
      </w:r>
      <w:r>
        <w:rPr>
          <w:rFonts w:hint="eastAsia" w:ascii="宋体" w:hAnsi="宋体"/>
          <w:sz w:val="24"/>
          <w:szCs w:val="24"/>
        </w:rPr>
        <w:t>具体办理。</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如果因为基金托管人自身过错在清算上造成基金财产的损失，应由基金托管人负责赔偿基金所遭受的直接损失；如果由于基金管理人违反市场操作规则的规定进行超买、超卖等原因造成基金投资清算困难和风险的，基金托管人发现后应立即通知基金管理人，由基金管理人负责解决，由此给基金造成的损失由基金管理人承担。</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基金管理人应采取合理措施，确保在资金结算前有足够的资金头寸用于交易资金结算。</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在与基金托管人及其境外托管人另行签署书面协议约定业务流程后，可以授权基金托管人及其境外托管人，但基金托管人及其境外托管人没有义务，在账户现金不足的情况下垫付完成交易所需现金。基金</w:t>
      </w:r>
      <w:r>
        <w:rPr>
          <w:rFonts w:hint="eastAsia" w:ascii="宋体"/>
          <w:sz w:val="24"/>
        </w:rPr>
        <w:t>管理人认可，基金托管人及其境外托管人有权向本基金收回所垫付的现金，并收取与所垫付现金有关的合理费用。基金管理人应认可，基金托管人及其境外托管人根据不同国家、市场以及投资品种，做出相应决定，在账户现金不足的情况下垫付交易所需现金。基金托管人及其境外托管人所垫付的现金及相关的合理费用应从基金财产中支付。基金管理人认可，基金托管人及其境外托管人有权从贷记或应付基金财产的款项中扣除其所垫付的现金及相关的合理费用。若相应账户中的金额不足，基金管理人应当按照基金托管人及其境外托管人的书面通知，在收到书面通知的</w:t>
      </w:r>
      <w:r>
        <w:rPr>
          <w:rFonts w:ascii="宋体"/>
          <w:sz w:val="24"/>
        </w:rPr>
        <w:t xml:space="preserve">10 </w:t>
      </w:r>
      <w:r>
        <w:rPr>
          <w:rFonts w:hint="eastAsia" w:ascii="宋体"/>
          <w:sz w:val="24"/>
        </w:rPr>
        <w:t>个工作日内向基金托管人及其境外托管人补足所需现金缺额，否则基金托管人及其境外托管人对本基金有关账户中与已垫付现金和相关合理费用金额相当的财产拥有（并有权行使）留置权或相关使用法律规定的其他权利，并有权处置相应证券。当基金托管人及其境外托管人从本基金收回所垫付现金和相关合理费用时，应当相应地解除设置于基金财产上的、与收回金额相当的留置权或其他权利。</w:t>
      </w:r>
    </w:p>
    <w:p>
      <w:pPr>
        <w:spacing w:before="100" w:beforeAutospacing="1" w:after="100" w:afterAutospacing="1" w:line="400" w:lineRule="exact"/>
        <w:ind w:firstLine="420"/>
        <w:rPr>
          <w:rFonts w:ascii="宋体" w:hAnsi="宋体"/>
          <w:sz w:val="24"/>
          <w:szCs w:val="24"/>
        </w:rPr>
      </w:pPr>
      <w:r>
        <w:rPr>
          <w:rFonts w:ascii="宋体" w:hAnsi="宋体"/>
          <w:sz w:val="24"/>
          <w:szCs w:val="24"/>
        </w:rPr>
        <w:t>3、留置</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基金托管人对</w:t>
      </w:r>
      <w:r>
        <w:rPr>
          <w:rFonts w:ascii="宋体" w:hAnsi="宋体"/>
          <w:sz w:val="24"/>
          <w:szCs w:val="24"/>
        </w:rPr>
        <w:t>因本协议</w:t>
      </w:r>
      <w:r>
        <w:rPr>
          <w:rFonts w:hint="eastAsia" w:ascii="宋体" w:hAnsi="宋体"/>
          <w:sz w:val="24"/>
          <w:szCs w:val="24"/>
        </w:rPr>
        <w:t>而导致</w:t>
      </w:r>
      <w:r>
        <w:rPr>
          <w:rFonts w:ascii="宋体" w:hAnsi="宋体"/>
          <w:sz w:val="24"/>
          <w:szCs w:val="24"/>
        </w:rPr>
        <w:t>的</w:t>
      </w:r>
      <w:r>
        <w:rPr>
          <w:rFonts w:hint="eastAsia" w:ascii="宋体" w:hAnsi="宋体"/>
          <w:sz w:val="24"/>
          <w:szCs w:val="24"/>
        </w:rPr>
        <w:t>基金财产</w:t>
      </w:r>
      <w:r>
        <w:rPr>
          <w:rFonts w:ascii="宋体" w:hAnsi="宋体"/>
          <w:sz w:val="24"/>
          <w:szCs w:val="24"/>
        </w:rPr>
        <w:t>对</w:t>
      </w:r>
      <w:r>
        <w:rPr>
          <w:rFonts w:hint="eastAsia" w:ascii="宋体" w:hAnsi="宋体"/>
          <w:sz w:val="24"/>
          <w:szCs w:val="24"/>
        </w:rPr>
        <w:t>基金托管人或境外托管人的所有</w:t>
      </w:r>
      <w:r>
        <w:rPr>
          <w:rFonts w:ascii="宋体" w:hAnsi="宋体"/>
          <w:sz w:val="24"/>
          <w:szCs w:val="24"/>
        </w:rPr>
        <w:t>债务</w:t>
      </w:r>
      <w:r>
        <w:rPr>
          <w:rFonts w:hint="eastAsia" w:ascii="宋体" w:hAnsi="宋体"/>
          <w:sz w:val="24"/>
          <w:szCs w:val="24"/>
        </w:rPr>
        <w:t>在未得到按时清偿的情况下，拥有留置权。留置权的效力应持续至在本协议项下基金财产对基金托管人的债务得以清偿为止。</w:t>
      </w:r>
    </w:p>
    <w:p>
      <w:pPr>
        <w:spacing w:before="100" w:beforeAutospacing="1" w:after="100" w:afterAutospacing="1" w:line="400" w:lineRule="exact"/>
        <w:ind w:firstLine="420"/>
        <w:rPr>
          <w:rFonts w:ascii="宋体" w:hAnsi="宋体"/>
          <w:sz w:val="24"/>
          <w:szCs w:val="24"/>
        </w:rPr>
      </w:pPr>
      <w:r>
        <w:rPr>
          <w:rFonts w:ascii="宋体" w:hAnsi="宋体"/>
          <w:sz w:val="24"/>
          <w:szCs w:val="24"/>
        </w:rPr>
        <w:t>4、资金和证券账目核对的时间和方式</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w:t>
      </w:r>
      <w:r>
        <w:rPr>
          <w:rFonts w:ascii="宋体" w:hAnsi="宋体"/>
          <w:sz w:val="24"/>
          <w:szCs w:val="24"/>
        </w:rPr>
        <w:t>1）资金账目的核对</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基金管理人和基金托管人对资金账目按日核实，保证账实相符。</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w:t>
      </w:r>
      <w:r>
        <w:rPr>
          <w:rFonts w:ascii="宋体" w:hAnsi="宋体"/>
          <w:sz w:val="24"/>
          <w:szCs w:val="24"/>
        </w:rPr>
        <w:t>2）证券账目的核对</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基金管理人和基金托管人应按时核对证券账户中的种类和数量，保证账实相符。</w:t>
      </w:r>
    </w:p>
    <w:p>
      <w:pPr>
        <w:spacing w:before="100" w:beforeAutospacing="1" w:after="100" w:afterAutospacing="1" w:line="400" w:lineRule="exact"/>
        <w:ind w:firstLine="420"/>
        <w:rPr>
          <w:rFonts w:ascii="宋体" w:hAnsi="宋体"/>
          <w:sz w:val="24"/>
          <w:szCs w:val="24"/>
        </w:rPr>
      </w:pPr>
      <w:bookmarkStart w:id="122" w:name="_Toc179617781"/>
      <w:r>
        <w:rPr>
          <w:rFonts w:hint="eastAsia" w:ascii="宋体" w:hAnsi="宋体"/>
          <w:sz w:val="24"/>
          <w:szCs w:val="24"/>
        </w:rPr>
        <w:t>（二）基金申购和赎回业务处理的基本规定</w:t>
      </w:r>
      <w:bookmarkEnd w:id="122"/>
    </w:p>
    <w:p>
      <w:pPr>
        <w:spacing w:before="100" w:beforeAutospacing="1" w:after="100" w:afterAutospacing="1" w:line="400" w:lineRule="exact"/>
        <w:ind w:firstLine="420"/>
        <w:rPr>
          <w:rFonts w:ascii="宋体" w:hAnsi="宋体"/>
          <w:sz w:val="24"/>
          <w:szCs w:val="24"/>
        </w:rPr>
      </w:pPr>
      <w:r>
        <w:rPr>
          <w:rFonts w:ascii="宋体" w:hAnsi="宋体"/>
          <w:sz w:val="24"/>
          <w:szCs w:val="24"/>
        </w:rPr>
        <w:t>1、基金份额申购、赎回的确认、清算由基金管理人指定的登记机构负责。</w:t>
      </w:r>
    </w:p>
    <w:p>
      <w:pPr>
        <w:spacing w:before="100" w:beforeAutospacing="1" w:after="100" w:afterAutospacing="1" w:line="400" w:lineRule="exact"/>
        <w:ind w:firstLine="420"/>
        <w:rPr>
          <w:rFonts w:ascii="宋体" w:hAnsi="宋体"/>
          <w:sz w:val="24"/>
          <w:szCs w:val="24"/>
        </w:rPr>
      </w:pPr>
      <w:r>
        <w:rPr>
          <w:rFonts w:ascii="宋体" w:hAnsi="宋体"/>
          <w:sz w:val="24"/>
          <w:szCs w:val="24"/>
        </w:rPr>
        <w:t>2、基金管理人应保证其自身或其委托的</w:t>
      </w:r>
      <w:r>
        <w:rPr>
          <w:rFonts w:hint="eastAsia" w:ascii="宋体" w:hAnsi="宋体"/>
          <w:sz w:val="24"/>
          <w:szCs w:val="24"/>
        </w:rPr>
        <w:t>登记机构于T+2日（每个开放日的后两个工作日）</w:t>
      </w:r>
      <w:r>
        <w:rPr>
          <w:rFonts w:ascii="宋体" w:hAnsi="宋体"/>
          <w:sz w:val="24"/>
          <w:szCs w:val="24"/>
        </w:rPr>
        <w:t>15：00前将申购、赎回开放式基金的数据传送给基金托管人。基金管理人应对传递的申购、赎回开放式基金的数据准确、完整性负责。基金托管人应及时查收申购资金的到账情况并根据基金管理人指令及时划付赎回款项。</w:t>
      </w:r>
    </w:p>
    <w:p>
      <w:pPr>
        <w:spacing w:before="100" w:beforeAutospacing="1" w:after="100" w:afterAutospacing="1" w:line="400" w:lineRule="exact"/>
        <w:ind w:firstLine="420"/>
        <w:rPr>
          <w:rFonts w:ascii="宋体" w:hAnsi="宋体"/>
          <w:sz w:val="24"/>
          <w:szCs w:val="24"/>
        </w:rPr>
      </w:pPr>
      <w:r>
        <w:rPr>
          <w:rFonts w:ascii="宋体" w:hAnsi="宋体"/>
          <w:sz w:val="24"/>
          <w:szCs w:val="24"/>
        </w:rPr>
        <w:t>3、</w:t>
      </w:r>
      <w:r>
        <w:rPr>
          <w:rFonts w:hint="eastAsia" w:ascii="宋体" w:hAnsi="宋体"/>
          <w:sz w:val="24"/>
          <w:szCs w:val="24"/>
        </w:rPr>
        <w:t>登记机构应通过与基金托管人建立的系统发送有关数据</w:t>
      </w:r>
      <w:r>
        <w:rPr>
          <w:rFonts w:ascii="宋体" w:hAnsi="宋体"/>
          <w:sz w:val="24"/>
          <w:szCs w:val="24"/>
        </w:rPr>
        <w:t>(包括电子数据和盖章生效的纸制清算汇总表)，如因各种原因，该系统无法正常发送，双方可协商解决处理方式。基金管理人向基金托管人发送的数据，双方各自按有关规定保存。</w:t>
      </w:r>
    </w:p>
    <w:p>
      <w:pPr>
        <w:spacing w:before="100" w:beforeAutospacing="1" w:after="100" w:afterAutospacing="1" w:line="400" w:lineRule="exact"/>
        <w:ind w:firstLine="420"/>
        <w:rPr>
          <w:rFonts w:ascii="宋体" w:hAnsi="宋体"/>
          <w:sz w:val="24"/>
          <w:szCs w:val="24"/>
        </w:rPr>
      </w:pPr>
      <w:r>
        <w:rPr>
          <w:rFonts w:ascii="宋体" w:hAnsi="宋体"/>
          <w:sz w:val="24"/>
          <w:szCs w:val="24"/>
        </w:rPr>
        <w:t>4、如基金管理人委托其他机构办理本基金的登记业务，应保证上述相关事宜按时进行。</w:t>
      </w:r>
    </w:p>
    <w:p>
      <w:pPr>
        <w:spacing w:before="100" w:beforeAutospacing="1" w:after="100" w:afterAutospacing="1" w:line="400" w:lineRule="exact"/>
        <w:ind w:firstLine="420"/>
        <w:rPr>
          <w:rFonts w:ascii="宋体" w:hAnsi="宋体"/>
          <w:sz w:val="24"/>
          <w:szCs w:val="24"/>
        </w:rPr>
      </w:pPr>
      <w:r>
        <w:rPr>
          <w:rFonts w:ascii="宋体" w:hAnsi="宋体"/>
          <w:sz w:val="24"/>
          <w:szCs w:val="24"/>
        </w:rPr>
        <w:t>5、关于清算专用账户的设立和管理</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为满足申购、赎回及分红资金汇划的需要，由基金管理人开立资金清算的专用账户，该账户由登记机构管理。</w:t>
      </w:r>
    </w:p>
    <w:p>
      <w:pPr>
        <w:spacing w:before="100" w:beforeAutospacing="1" w:after="100" w:afterAutospacing="1" w:line="400" w:lineRule="exact"/>
        <w:ind w:firstLine="420"/>
        <w:rPr>
          <w:rFonts w:ascii="宋体" w:hAnsi="宋体"/>
          <w:sz w:val="24"/>
          <w:szCs w:val="24"/>
        </w:rPr>
      </w:pPr>
      <w:r>
        <w:rPr>
          <w:rFonts w:ascii="宋体" w:hAnsi="宋体"/>
          <w:sz w:val="24"/>
          <w:szCs w:val="24"/>
        </w:rPr>
        <w:t>6、对于基金申购过程中产生的应收资产，应由基金管理人负责与有关当事人确定到账日期并通知基金托管人，到账日基金财产没有到达基金托管账户的，基</w:t>
      </w:r>
      <w:r>
        <w:rPr>
          <w:rFonts w:hint="eastAsia" w:ascii="宋体" w:hAnsi="宋体"/>
          <w:sz w:val="24"/>
          <w:szCs w:val="24"/>
        </w:rPr>
        <w:t>金托管人应及时通知基金管理人采取措施进行催收，由此给基金造成损失的，基金管理人应负责向有关当事人追偿基金的损失。</w:t>
      </w:r>
    </w:p>
    <w:p>
      <w:pPr>
        <w:spacing w:before="100" w:beforeAutospacing="1" w:after="100" w:afterAutospacing="1" w:line="400" w:lineRule="exact"/>
        <w:ind w:firstLine="420"/>
        <w:rPr>
          <w:rFonts w:ascii="宋体" w:hAnsi="宋体"/>
          <w:sz w:val="24"/>
          <w:szCs w:val="24"/>
        </w:rPr>
      </w:pPr>
      <w:r>
        <w:rPr>
          <w:rFonts w:ascii="宋体" w:hAnsi="宋体"/>
          <w:sz w:val="24"/>
          <w:szCs w:val="24"/>
        </w:rPr>
        <w:t>7、赎回和分红资金划拨规定</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拨付赎回款或进行基金分红时，如基金托管账户有足够的资金，基金托管人应按时拨付；因基金托管账户没有足够的资金，导致基金托管人不能按时拨付，如系基金管理人的原因造成，责任由基金管理人承担，基金托管人不承担垫款义务。</w:t>
      </w:r>
    </w:p>
    <w:p>
      <w:pPr>
        <w:spacing w:before="100" w:beforeAutospacing="1" w:after="100" w:afterAutospacing="1" w:line="400" w:lineRule="exact"/>
        <w:ind w:firstLine="420"/>
        <w:rPr>
          <w:rFonts w:ascii="宋体" w:hAnsi="宋体"/>
          <w:sz w:val="24"/>
          <w:szCs w:val="24"/>
        </w:rPr>
      </w:pPr>
      <w:r>
        <w:rPr>
          <w:rFonts w:ascii="宋体" w:hAnsi="宋体"/>
          <w:sz w:val="24"/>
          <w:szCs w:val="24"/>
        </w:rPr>
        <w:t>8、资金指令</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除申购款项到达基金银行账户需双方按约定方式对账外，全额划出、赎回和分红资金划拨时，基金管理人需向基金托管人下达指令。</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资金指令的格式、内容、发送、接收和确认方式等除与投资指令相同外，其他部分另行规定。</w:t>
      </w:r>
    </w:p>
    <w:p>
      <w:pPr>
        <w:spacing w:before="100" w:beforeAutospacing="1" w:after="100" w:afterAutospacing="1" w:line="400" w:lineRule="exact"/>
        <w:ind w:firstLine="420"/>
        <w:rPr>
          <w:rFonts w:ascii="宋体" w:hAnsi="宋体"/>
          <w:sz w:val="24"/>
          <w:szCs w:val="24"/>
        </w:rPr>
      </w:pPr>
      <w:bookmarkStart w:id="123" w:name="_Toc179617782"/>
      <w:r>
        <w:rPr>
          <w:rFonts w:hint="eastAsia" w:ascii="宋体" w:hAnsi="宋体"/>
          <w:sz w:val="24"/>
          <w:szCs w:val="24"/>
        </w:rPr>
        <w:t>（三）申购、赎回和基金转换的资金清算</w:t>
      </w:r>
      <w:bookmarkEnd w:id="123"/>
    </w:p>
    <w:p>
      <w:pPr>
        <w:spacing w:before="100" w:beforeAutospacing="1" w:after="100" w:afterAutospacing="1" w:line="400" w:lineRule="exact"/>
        <w:ind w:firstLine="420"/>
        <w:rPr>
          <w:rFonts w:ascii="宋体" w:hAnsi="宋体"/>
          <w:sz w:val="24"/>
          <w:szCs w:val="24"/>
        </w:rPr>
      </w:pPr>
      <w:r>
        <w:rPr>
          <w:rFonts w:ascii="宋体" w:hAnsi="宋体"/>
          <w:sz w:val="24"/>
          <w:szCs w:val="24"/>
        </w:rPr>
        <w:t>1、T+2日15:00前，基金管理人或其委托的登记机构根据T日</w:t>
      </w:r>
      <w:r>
        <w:rPr>
          <w:rFonts w:hint="eastAsia" w:ascii="宋体" w:hAnsi="宋体"/>
          <w:sz w:val="24"/>
          <w:szCs w:val="24"/>
        </w:rPr>
        <w:t>的基金份额净值计算基金投资者申购、赎回和转换基金的份额，并将清算确认的有效数据和资金数据汇总传输给基金托管人。基金管理人和基金托管人据此进行申购、赎回和转换的基金会计处理。</w:t>
      </w:r>
    </w:p>
    <w:p>
      <w:pPr>
        <w:spacing w:before="100" w:beforeAutospacing="1" w:after="100" w:afterAutospacing="1" w:line="400" w:lineRule="exact"/>
        <w:ind w:firstLine="420"/>
        <w:rPr>
          <w:rFonts w:ascii="宋体" w:hAnsi="宋体"/>
          <w:sz w:val="24"/>
          <w:szCs w:val="24"/>
        </w:rPr>
      </w:pPr>
      <w:r>
        <w:rPr>
          <w:rFonts w:ascii="宋体" w:hAnsi="宋体"/>
          <w:sz w:val="24"/>
          <w:szCs w:val="24"/>
        </w:rPr>
        <w:t>2、基金管理人应要求登记机构开立并管理专门用于办理基金申购赎回等款项清算的“基金清算账户”。基金托管账户与“基金清算账户”间的资金清算遵循“</w:t>
      </w:r>
      <w:r>
        <w:rPr>
          <w:rFonts w:hint="eastAsia" w:ascii="宋体" w:hAnsi="宋体"/>
          <w:sz w:val="24"/>
          <w:szCs w:val="24"/>
        </w:rPr>
        <w:t>全</w:t>
      </w:r>
      <w:r>
        <w:rPr>
          <w:rFonts w:ascii="宋体" w:hAnsi="宋体"/>
          <w:sz w:val="24"/>
          <w:szCs w:val="24"/>
        </w:rPr>
        <w:t>额清算、净额交收”的原则，即按照托管账户应收资金与托管账户应付额的差额来确定托管账户净应收额或净应付额，以此确定资金交收额。</w:t>
      </w:r>
    </w:p>
    <w:p>
      <w:pPr>
        <w:spacing w:before="100" w:beforeAutospacing="1" w:after="100" w:afterAutospacing="1" w:line="400" w:lineRule="exact"/>
        <w:ind w:firstLine="420"/>
        <w:rPr>
          <w:rFonts w:ascii="宋体" w:hAnsi="宋体"/>
          <w:sz w:val="24"/>
          <w:szCs w:val="24"/>
        </w:rPr>
      </w:pPr>
      <w:r>
        <w:rPr>
          <w:rFonts w:ascii="宋体" w:hAnsi="宋体"/>
          <w:sz w:val="24"/>
          <w:szCs w:val="24"/>
        </w:rPr>
        <w:t xml:space="preserve">3、当存在托管账户净应收额时，基金管理人负责将托管账户净应收额在当日15:00 </w:t>
      </w:r>
      <w:r>
        <w:rPr>
          <w:rFonts w:hint="eastAsia" w:ascii="宋体" w:hAnsi="宋体"/>
          <w:sz w:val="24"/>
          <w:szCs w:val="24"/>
        </w:rPr>
        <w:t>前从“基金清算账户”划到基金的托管账户，</w:t>
      </w:r>
      <w:r>
        <w:rPr>
          <w:rFonts w:hint="eastAsia" w:ascii="宋体" w:hAnsi="宋体"/>
          <w:kern w:val="0"/>
          <w:sz w:val="24"/>
          <w:szCs w:val="24"/>
        </w:rPr>
        <w:t>基金托管人应及时查收资金是否到账，对于未准时到账的资金，应及时通知基金管理人划付，基金托管人不承担由此产生的责任</w:t>
      </w:r>
      <w:r>
        <w:rPr>
          <w:rFonts w:hint="eastAsia" w:ascii="宋体" w:hAnsi="宋体"/>
          <w:sz w:val="24"/>
          <w:szCs w:val="24"/>
        </w:rPr>
        <w:t>；当存在托管账户净应付额时，托管行按管理人的划款指令将托管账户净应付额在当日</w:t>
      </w:r>
      <w:r>
        <w:rPr>
          <w:rFonts w:ascii="宋体" w:hAnsi="宋体"/>
          <w:sz w:val="24"/>
          <w:szCs w:val="24"/>
        </w:rPr>
        <w:t xml:space="preserve">15:00 </w:t>
      </w:r>
      <w:r>
        <w:rPr>
          <w:rFonts w:hint="eastAsia" w:ascii="宋体" w:hAnsi="宋体"/>
          <w:sz w:val="24"/>
          <w:szCs w:val="24"/>
        </w:rPr>
        <w:t>前划到“基金清算账户”。</w:t>
      </w:r>
      <w:r>
        <w:rPr>
          <w:rFonts w:hint="eastAsia" w:ascii="宋体" w:hAnsi="宋体"/>
          <w:kern w:val="0"/>
          <w:sz w:val="24"/>
          <w:szCs w:val="24"/>
        </w:rPr>
        <w:t>因基金资金账户没有足够的资金，导致基金托管人不能按时拨付，基金托管人不承担由此产生的责任。</w:t>
      </w:r>
      <w:r>
        <w:rPr>
          <w:rFonts w:hint="eastAsia" w:ascii="宋体" w:hAnsi="宋体"/>
          <w:sz w:val="24"/>
          <w:szCs w:val="24"/>
        </w:rPr>
        <w:t>基金托管人每工作日向基金管理人提供当日基金境内托管账户资金变动表。</w:t>
      </w:r>
    </w:p>
    <w:p>
      <w:pPr>
        <w:spacing w:before="100" w:beforeAutospacing="1" w:after="100" w:afterAutospacing="1" w:line="400" w:lineRule="exact"/>
        <w:ind w:firstLine="420"/>
        <w:rPr>
          <w:rFonts w:ascii="宋体" w:hAnsi="宋体"/>
          <w:sz w:val="24"/>
          <w:szCs w:val="24"/>
        </w:rPr>
      </w:pPr>
      <w:bookmarkStart w:id="124" w:name="_Toc179617783"/>
      <w:r>
        <w:rPr>
          <w:rFonts w:hint="eastAsia" w:ascii="宋体" w:hAnsi="宋体"/>
          <w:sz w:val="24"/>
          <w:szCs w:val="24"/>
        </w:rPr>
        <w:t>（四）基金现金分红的资金清算</w:t>
      </w:r>
      <w:bookmarkEnd w:id="124"/>
    </w:p>
    <w:p>
      <w:pPr>
        <w:spacing w:before="100" w:beforeAutospacing="1" w:after="100" w:afterAutospacing="1" w:line="400" w:lineRule="exact"/>
        <w:ind w:firstLine="420"/>
        <w:rPr>
          <w:rFonts w:ascii="宋体" w:hAnsi="宋体"/>
          <w:sz w:val="24"/>
          <w:szCs w:val="24"/>
        </w:rPr>
      </w:pPr>
      <w:r>
        <w:rPr>
          <w:rFonts w:ascii="宋体" w:hAnsi="宋体"/>
          <w:sz w:val="24"/>
          <w:szCs w:val="24"/>
        </w:rPr>
        <w:t>1、基金管理人决定分红方案通知基金托管人，双方核定后报中国证监会备案并披露。</w:t>
      </w:r>
    </w:p>
    <w:p>
      <w:pPr>
        <w:spacing w:before="100" w:beforeAutospacing="1" w:after="100" w:afterAutospacing="1" w:line="400" w:lineRule="exact"/>
        <w:ind w:firstLine="420"/>
        <w:rPr>
          <w:rFonts w:ascii="宋体" w:hAnsi="宋体"/>
          <w:sz w:val="24"/>
          <w:szCs w:val="24"/>
        </w:rPr>
      </w:pPr>
      <w:r>
        <w:rPr>
          <w:rFonts w:ascii="宋体" w:hAnsi="宋体"/>
          <w:sz w:val="24"/>
          <w:szCs w:val="24"/>
        </w:rPr>
        <w:t>2、基金托管人和基金管理人对基金分红进行账务处理并核对后，基金管理人向基金托管人</w:t>
      </w:r>
      <w:r>
        <w:rPr>
          <w:rFonts w:hint="eastAsia" w:ascii="宋体" w:hAnsi="宋体"/>
          <w:sz w:val="24"/>
          <w:szCs w:val="24"/>
        </w:rPr>
        <w:t>及时</w:t>
      </w:r>
      <w:r>
        <w:rPr>
          <w:rFonts w:ascii="宋体" w:hAnsi="宋体"/>
          <w:sz w:val="24"/>
          <w:szCs w:val="24"/>
        </w:rPr>
        <w:t>发送现金红利的划款指令，基金托管人应</w:t>
      </w:r>
      <w:r>
        <w:rPr>
          <w:rFonts w:hint="eastAsia" w:ascii="宋体" w:hAnsi="宋体"/>
          <w:sz w:val="24"/>
          <w:szCs w:val="24"/>
        </w:rPr>
        <w:t>在交收日12:00前将基金分红款划入相关登记机构账户，若该分红基金当日交收资金为净赎回时，基金托管人应同时划出净赎回款，基金管理人方可对登记机构账户做业务处理。</w:t>
      </w:r>
    </w:p>
    <w:p>
      <w:pPr>
        <w:spacing w:before="100" w:beforeAutospacing="1" w:after="100" w:afterAutospacing="1" w:line="400" w:lineRule="exact"/>
        <w:ind w:firstLine="420"/>
        <w:rPr>
          <w:rFonts w:ascii="宋体" w:hAnsi="宋体"/>
          <w:sz w:val="24"/>
          <w:szCs w:val="24"/>
        </w:rPr>
      </w:pPr>
      <w:r>
        <w:rPr>
          <w:rFonts w:ascii="宋体" w:hAnsi="宋体"/>
          <w:sz w:val="24"/>
          <w:szCs w:val="24"/>
        </w:rPr>
        <w:t>3、基金管理人在下达指令时，应给基金托管人留出必需的划款时间。</w:t>
      </w:r>
      <w:bookmarkStart w:id="125" w:name="_Toc179617784"/>
      <w:r>
        <w:rPr>
          <w:rFonts w:hint="eastAsia" w:ascii="宋体" w:hAnsi="宋体"/>
          <w:kern w:val="0"/>
          <w:sz w:val="24"/>
          <w:szCs w:val="24"/>
        </w:rPr>
        <w:t>因基金资金账户没有足够的资金或指令下达时间仓促，导致基金托管人不能按时拨付，基金托管人不承担由此产生的责任。</w:t>
      </w:r>
    </w:p>
    <w:p>
      <w:pPr>
        <w:pStyle w:val="3"/>
        <w:pageBreakBefore/>
        <w:spacing w:before="100" w:beforeAutospacing="1" w:after="100" w:afterAutospacing="1" w:line="400" w:lineRule="exact"/>
        <w:jc w:val="center"/>
        <w:rPr>
          <w:rFonts w:ascii="宋体" w:hAnsi="宋体" w:eastAsia="宋体"/>
          <w:sz w:val="24"/>
          <w:szCs w:val="24"/>
        </w:rPr>
      </w:pPr>
      <w:bookmarkStart w:id="126" w:name="_Toc328568681"/>
      <w:r>
        <w:rPr>
          <w:rFonts w:hint="eastAsia" w:ascii="宋体" w:hAnsi="宋体" w:eastAsia="宋体"/>
          <w:sz w:val="24"/>
          <w:szCs w:val="24"/>
        </w:rPr>
        <w:t>九、基金资产净值计算和会计核算</w:t>
      </w:r>
      <w:bookmarkEnd w:id="125"/>
      <w:bookmarkEnd w:id="126"/>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基金财产的净值计算和会计核算按照相关的法律法规进行。</w:t>
      </w:r>
    </w:p>
    <w:p>
      <w:pPr>
        <w:spacing w:before="100" w:beforeAutospacing="1" w:after="100" w:afterAutospacing="1" w:line="400" w:lineRule="exact"/>
        <w:ind w:firstLine="420"/>
        <w:rPr>
          <w:rFonts w:ascii="宋体" w:hAnsi="宋体"/>
          <w:sz w:val="24"/>
          <w:szCs w:val="24"/>
        </w:rPr>
      </w:pPr>
      <w:bookmarkStart w:id="127" w:name="_Toc174616309"/>
      <w:bookmarkStart w:id="128" w:name="_Toc179617785"/>
      <w:r>
        <w:rPr>
          <w:rFonts w:hint="eastAsia" w:ascii="宋体" w:hAnsi="宋体"/>
          <w:sz w:val="24"/>
          <w:szCs w:val="24"/>
        </w:rPr>
        <w:t>（一）基金财产定价</w:t>
      </w:r>
      <w:bookmarkEnd w:id="127"/>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托管人、境外托管人负责按基金管理人和基金托管人约定的定价原则对基金财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（二）基金资产净值的计算和复核</w:t>
      </w:r>
      <w:bookmarkEnd w:id="128"/>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基金资产净值是指基金资产总值减去基金负债后的价值。</w:t>
      </w:r>
      <w:r>
        <w:rPr>
          <w:rFonts w:ascii="宋体" w:hAnsi="宋体"/>
          <w:sz w:val="24"/>
          <w:szCs w:val="24"/>
        </w:rPr>
        <w:t xml:space="preserve"> </w:t>
      </w:r>
    </w:p>
    <w:p>
      <w:pPr>
        <w:spacing w:before="100" w:beforeAutospacing="1" w:after="100" w:afterAutospacing="1" w:line="400" w:lineRule="exact"/>
        <w:ind w:firstLine="420"/>
        <w:rPr>
          <w:rFonts w:ascii="宋体" w:hAnsi="宋体"/>
          <w:sz w:val="24"/>
          <w:szCs w:val="24"/>
        </w:rPr>
      </w:pPr>
      <w:r>
        <w:rPr>
          <w:rFonts w:hint="eastAsia" w:ascii="宋体" w:hAnsi="宋体" w:cs="Arial"/>
          <w:sz w:val="24"/>
        </w:rPr>
        <w:t>各类基金份额的</w:t>
      </w:r>
      <w:r>
        <w:rPr>
          <w:rFonts w:hint="eastAsia" w:ascii="宋体" w:hAnsi="宋体"/>
          <w:sz w:val="24"/>
          <w:szCs w:val="24"/>
        </w:rPr>
        <w:t>基金份额净值是指计算日</w:t>
      </w:r>
      <w:r>
        <w:rPr>
          <w:rFonts w:hint="eastAsia" w:ascii="宋体" w:hAnsi="宋体" w:cs="Arial"/>
          <w:sz w:val="24"/>
        </w:rPr>
        <w:t>该类基金份额的</w:t>
      </w:r>
      <w:r>
        <w:rPr>
          <w:rFonts w:hint="eastAsia" w:ascii="宋体" w:hAnsi="宋体"/>
          <w:sz w:val="24"/>
          <w:szCs w:val="24"/>
        </w:rPr>
        <w:t>基金资产净值除以计算日</w:t>
      </w:r>
      <w:r>
        <w:rPr>
          <w:rFonts w:hint="eastAsia" w:ascii="宋体" w:hAnsi="宋体" w:cs="Arial"/>
          <w:sz w:val="24"/>
        </w:rPr>
        <w:t>该类</w:t>
      </w:r>
      <w:r>
        <w:rPr>
          <w:rFonts w:hint="eastAsia" w:ascii="宋体" w:hAnsi="宋体"/>
          <w:sz w:val="24"/>
          <w:szCs w:val="24"/>
        </w:rPr>
        <w:t>基金份额的余额数量后得到的数值。基金份额净值的计算，精确到0.00</w:t>
      </w:r>
      <w:r>
        <w:rPr>
          <w:rFonts w:ascii="宋体" w:hAnsi="宋体"/>
          <w:sz w:val="24"/>
          <w:szCs w:val="24"/>
        </w:rPr>
        <w:t>0</w:t>
      </w:r>
      <w:r>
        <w:rPr>
          <w:rFonts w:hint="eastAsia" w:ascii="宋体" w:hAnsi="宋体"/>
          <w:sz w:val="24"/>
          <w:szCs w:val="24"/>
        </w:rPr>
        <w:t>1元，小数点后第五位四舍五入，由此产生的误差计入基金财产。国家另有规定的，从其规定。</w:t>
      </w:r>
    </w:p>
    <w:p>
      <w:pPr>
        <w:spacing w:before="100" w:beforeAutospacing="1" w:after="100" w:afterAutospacing="1" w:line="400" w:lineRule="exact"/>
        <w:ind w:firstLine="420"/>
        <w:rPr>
          <w:rFonts w:ascii="宋体" w:hAnsi="宋体"/>
          <w:sz w:val="24"/>
          <w:szCs w:val="24"/>
        </w:rPr>
      </w:pPr>
      <w:r>
        <w:rPr>
          <w:rFonts w:hint="eastAsia" w:ascii="宋体" w:hAnsi="宋体"/>
          <w:bCs/>
          <w:sz w:val="24"/>
          <w:szCs w:val="24"/>
        </w:rPr>
        <w:t>基金管理人于</w:t>
      </w:r>
      <w:r>
        <w:rPr>
          <w:rFonts w:hint="eastAsia" w:ascii="宋体" w:hAnsi="宋体"/>
          <w:sz w:val="24"/>
          <w:szCs w:val="24"/>
        </w:rPr>
        <w:t>每工作日计算前一工作日</w:t>
      </w:r>
      <w:r>
        <w:rPr>
          <w:rFonts w:hint="eastAsia" w:ascii="宋体" w:hAnsi="宋体" w:cs="Arial"/>
          <w:sz w:val="24"/>
        </w:rPr>
        <w:t>各类基金份额的</w:t>
      </w:r>
      <w:r>
        <w:rPr>
          <w:rFonts w:hint="eastAsia" w:ascii="宋体" w:hAnsi="宋体"/>
          <w:sz w:val="24"/>
          <w:szCs w:val="24"/>
        </w:rPr>
        <w:t>基金资产净值及基金份额净值，并按规定公告。</w:t>
      </w:r>
      <w:r>
        <w:rPr>
          <w:rFonts w:hint="eastAsia" w:ascii="宋体" w:hAnsi="宋体"/>
          <w:bCs/>
          <w:sz w:val="24"/>
          <w:szCs w:val="24"/>
        </w:rPr>
        <w:t>如遇特殊情况，经中国证监会同意，可以适当延迟计算或公告。</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1、复核程序</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每个工作日对基金进行估值，估值原则应符合基金合同、《证券投资基金会计核算业务指引》及其他法律法规的规定。每个工作日在约定时间之前，基金管理人将前一日的基金估值结果以双方确认的形式报送基金托管人。基金托管人应在收到上述估值结果后进行复核，并在当日约定时间之前以双方确认的方式将复核结果传送给基金管理人，由基金管理人定期对外公布。基金月末、年中和年末估值复核与基金会计账目的核对同时进行。</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2、当相关法律法规或基金合同规定的估值方法不能客观反映基金财产公允价值时，基金管理人可根据具体情况</w:t>
      </w:r>
      <w:r>
        <w:rPr>
          <w:rFonts w:ascii="宋体" w:hAnsi="宋体"/>
          <w:sz w:val="24"/>
          <w:szCs w:val="24"/>
        </w:rPr>
        <w:t>，</w:t>
      </w:r>
      <w:r>
        <w:rPr>
          <w:rFonts w:hint="eastAsia" w:ascii="宋体" w:hAnsi="宋体"/>
          <w:sz w:val="24"/>
          <w:szCs w:val="24"/>
        </w:rPr>
        <w:t>并与基金托管人商定后</w:t>
      </w:r>
      <w:r>
        <w:rPr>
          <w:rFonts w:ascii="宋体" w:hAnsi="宋体"/>
          <w:sz w:val="24"/>
          <w:szCs w:val="24"/>
        </w:rPr>
        <w:t>，</w:t>
      </w:r>
      <w:r>
        <w:rPr>
          <w:rFonts w:hint="eastAsia" w:ascii="宋体" w:hAnsi="宋体"/>
          <w:sz w:val="24"/>
          <w:szCs w:val="24"/>
        </w:rPr>
        <w:t>按最能反映公允价值的价格估值</w:t>
      </w:r>
      <w:r>
        <w:rPr>
          <w:rFonts w:hAnsi="宋体"/>
          <w:sz w:val="24"/>
        </w:rPr>
        <w:t>，</w:t>
      </w:r>
      <w:r>
        <w:rPr>
          <w:rFonts w:hint="eastAsia" w:hAnsi="宋体"/>
          <w:sz w:val="24"/>
        </w:rPr>
        <w:t>由此</w:t>
      </w:r>
      <w:r>
        <w:rPr>
          <w:rFonts w:hAnsi="宋体"/>
          <w:sz w:val="24"/>
        </w:rPr>
        <w:t>造成的误差不作为基金资产估值错误处理</w:t>
      </w:r>
      <w:r>
        <w:rPr>
          <w:rFonts w:hint="eastAsia" w:ascii="宋体" w:hAnsi="宋体"/>
          <w:sz w:val="24"/>
          <w:szCs w:val="24"/>
        </w:rPr>
        <w:t>。</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3、基金管理人、基金托管人发现基金估值违反基金合同订明的估值方法、程序以及相关法律法规的规定或者未能充分维护基金份额持有人利益时，双方应及时进行协商和纠正。</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4、当基金财产的估值导致基金份额净值小数点后四位内</w:t>
      </w:r>
      <w:r>
        <w:rPr>
          <w:rFonts w:hint="eastAsia" w:ascii="宋体" w:hAnsi="宋体"/>
          <w:bCs/>
          <w:sz w:val="24"/>
          <w:szCs w:val="24"/>
        </w:rPr>
        <w:t>（</w:t>
      </w:r>
      <w:r>
        <w:rPr>
          <w:rFonts w:ascii="宋体" w:hAnsi="宋体"/>
          <w:bCs/>
          <w:sz w:val="24"/>
          <w:szCs w:val="24"/>
        </w:rPr>
        <w:t>含第</w:t>
      </w:r>
      <w:r>
        <w:rPr>
          <w:rFonts w:hint="eastAsia" w:ascii="宋体" w:hAnsi="宋体"/>
          <w:bCs/>
          <w:sz w:val="24"/>
          <w:szCs w:val="24"/>
        </w:rPr>
        <w:t>四</w:t>
      </w:r>
      <w:r>
        <w:rPr>
          <w:rFonts w:ascii="宋体" w:hAnsi="宋体"/>
          <w:bCs/>
          <w:sz w:val="24"/>
          <w:szCs w:val="24"/>
        </w:rPr>
        <w:t>位</w:t>
      </w:r>
      <w:r>
        <w:rPr>
          <w:rFonts w:hint="eastAsia" w:ascii="宋体" w:hAnsi="宋体"/>
          <w:bCs/>
          <w:sz w:val="24"/>
          <w:szCs w:val="24"/>
        </w:rPr>
        <w:t>)</w:t>
      </w:r>
      <w:r>
        <w:rPr>
          <w:rFonts w:hint="eastAsia" w:ascii="宋体" w:hAnsi="宋体"/>
          <w:sz w:val="24"/>
          <w:szCs w:val="24"/>
        </w:rPr>
        <w:t>发生差错时，视为基金份额净值估值错误。当基金份额净值出现错误时，基金管理人应当立即予以纠正，并采取合理的措施防止损失进一步扩大；</w:t>
      </w:r>
      <w:r>
        <w:rPr>
          <w:rFonts w:ascii="宋体" w:hAnsi="宋体"/>
          <w:bCs/>
          <w:sz w:val="24"/>
          <w:szCs w:val="24"/>
        </w:rPr>
        <w:t>错误偏差</w:t>
      </w:r>
      <w:r>
        <w:rPr>
          <w:rFonts w:hint="eastAsia" w:ascii="宋体" w:hAnsi="宋体"/>
          <w:sz w:val="24"/>
          <w:szCs w:val="24"/>
        </w:rPr>
        <w:t>达到基金份额净值的</w:t>
      </w:r>
      <w:r>
        <w:rPr>
          <w:rFonts w:ascii="宋体" w:hAnsi="宋体"/>
          <w:sz w:val="24"/>
          <w:szCs w:val="24"/>
        </w:rPr>
        <w:t>0.25%</w:t>
      </w:r>
      <w:r>
        <w:rPr>
          <w:rFonts w:hint="eastAsia" w:ascii="宋体" w:hAnsi="宋体"/>
          <w:sz w:val="24"/>
          <w:szCs w:val="24"/>
        </w:rPr>
        <w:t>时，基金管理人应通报基金托管人并向中国证监会备案；当</w:t>
      </w:r>
      <w:r>
        <w:rPr>
          <w:rFonts w:ascii="宋体" w:hAnsi="宋体"/>
          <w:bCs/>
          <w:sz w:val="24"/>
          <w:szCs w:val="24"/>
        </w:rPr>
        <w:t>错误偏差</w:t>
      </w:r>
      <w:r>
        <w:rPr>
          <w:rFonts w:hint="eastAsia" w:ascii="宋体" w:hAnsi="宋体"/>
          <w:sz w:val="24"/>
          <w:szCs w:val="24"/>
        </w:rPr>
        <w:t>达到基金份额净值的</w:t>
      </w:r>
      <w:r>
        <w:rPr>
          <w:rFonts w:ascii="宋体" w:hAnsi="宋体"/>
          <w:sz w:val="24"/>
          <w:szCs w:val="24"/>
        </w:rPr>
        <w:t>0.5%</w:t>
      </w:r>
      <w:r>
        <w:rPr>
          <w:rFonts w:hint="eastAsia" w:ascii="宋体" w:hAnsi="宋体"/>
          <w:sz w:val="24"/>
          <w:szCs w:val="24"/>
        </w:rPr>
        <w:t>时，基金管理人应当公告，并报中国证监会备案。</w:t>
      </w:r>
      <w:r>
        <w:rPr>
          <w:rFonts w:ascii="宋体" w:hAnsi="宋体"/>
          <w:sz w:val="24"/>
          <w:szCs w:val="24"/>
        </w:rPr>
        <w:t>如法律法规或监管机关</w:t>
      </w:r>
      <w:r>
        <w:rPr>
          <w:rFonts w:hint="eastAsia" w:ascii="宋体" w:hAnsi="宋体"/>
          <w:sz w:val="24"/>
          <w:szCs w:val="24"/>
        </w:rPr>
        <w:t>对</w:t>
      </w:r>
      <w:r>
        <w:rPr>
          <w:rFonts w:ascii="宋体" w:hAnsi="宋体"/>
          <w:sz w:val="24"/>
          <w:szCs w:val="24"/>
        </w:rPr>
        <w:t>前述内容另有规定的，按其规定处理。</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5、</w:t>
      </w:r>
      <w:r>
        <w:rPr>
          <w:rFonts w:ascii="宋体" w:hAnsi="宋体"/>
          <w:sz w:val="24"/>
          <w:szCs w:val="24"/>
        </w:rPr>
        <w:t>如果</w:t>
      </w:r>
      <w:r>
        <w:rPr>
          <w:rFonts w:hint="eastAsia" w:ascii="宋体" w:hAnsi="宋体"/>
          <w:sz w:val="24"/>
          <w:szCs w:val="24"/>
        </w:rPr>
        <w:t>基金</w:t>
      </w:r>
      <w:r>
        <w:rPr>
          <w:rFonts w:ascii="宋体" w:hAnsi="宋体"/>
          <w:sz w:val="24"/>
          <w:szCs w:val="24"/>
        </w:rPr>
        <w:t>托管人的复核结果与</w:t>
      </w:r>
      <w:r>
        <w:rPr>
          <w:rFonts w:hint="eastAsia" w:ascii="宋体" w:hAnsi="宋体"/>
          <w:sz w:val="24"/>
          <w:szCs w:val="24"/>
        </w:rPr>
        <w:t>基金</w:t>
      </w:r>
      <w:r>
        <w:rPr>
          <w:rFonts w:ascii="宋体" w:hAnsi="宋体"/>
          <w:sz w:val="24"/>
          <w:szCs w:val="24"/>
        </w:rPr>
        <w:t>管理人的计算结果存在</w:t>
      </w:r>
      <w:r>
        <w:rPr>
          <w:rFonts w:hint="eastAsia" w:ascii="宋体" w:hAnsi="宋体"/>
          <w:sz w:val="24"/>
          <w:szCs w:val="24"/>
        </w:rPr>
        <w:t>偏差并且偏差在合理的范围内，基金份额净值以基金管理人的计算结果为准，</w:t>
      </w:r>
      <w:r>
        <w:rPr>
          <w:rFonts w:ascii="宋体" w:hAnsi="宋体"/>
          <w:sz w:val="24"/>
          <w:szCs w:val="24"/>
        </w:rPr>
        <w:t>基金管理费</w:t>
      </w:r>
      <w:r>
        <w:rPr>
          <w:rFonts w:hint="eastAsia" w:ascii="宋体" w:hAnsi="宋体"/>
          <w:sz w:val="24"/>
          <w:szCs w:val="24"/>
        </w:rPr>
        <w:t>、</w:t>
      </w:r>
      <w:r>
        <w:rPr>
          <w:rFonts w:ascii="宋体" w:hAnsi="宋体"/>
          <w:sz w:val="24"/>
          <w:szCs w:val="24"/>
        </w:rPr>
        <w:t>基金托管费</w:t>
      </w:r>
      <w:r>
        <w:rPr>
          <w:rFonts w:hint="eastAsia"/>
          <w:sz w:val="24"/>
        </w:rPr>
        <w:t>和销售服务费</w:t>
      </w:r>
      <w:r>
        <w:rPr>
          <w:rFonts w:ascii="宋体" w:hAnsi="宋体"/>
          <w:sz w:val="24"/>
          <w:szCs w:val="24"/>
        </w:rPr>
        <w:t>也应以基金管理人的净值计算结果计提。若由此造成的基金财产或者投资者损失，由管理人承担责任。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7、</w:t>
      </w:r>
      <w:r>
        <w:rPr>
          <w:rFonts w:ascii="宋体" w:hAnsi="宋体"/>
          <w:sz w:val="24"/>
          <w:szCs w:val="24"/>
        </w:rPr>
        <w:t>由于</w:t>
      </w:r>
      <w:r>
        <w:rPr>
          <w:rFonts w:hint="eastAsia" w:ascii="宋体" w:hAnsi="宋体"/>
          <w:sz w:val="24"/>
          <w:szCs w:val="24"/>
        </w:rPr>
        <w:t>不可抗力原因，或由于</w:t>
      </w:r>
      <w:r>
        <w:rPr>
          <w:rFonts w:ascii="宋体" w:hAnsi="宋体"/>
          <w:sz w:val="24"/>
          <w:szCs w:val="24"/>
        </w:rPr>
        <w:t>证券交易所</w:t>
      </w:r>
      <w:r>
        <w:rPr>
          <w:rFonts w:hint="eastAsia" w:ascii="宋体" w:hAnsi="宋体"/>
          <w:sz w:val="24"/>
          <w:szCs w:val="24"/>
        </w:rPr>
        <w:t>、指数编制机构、</w:t>
      </w:r>
      <w:r>
        <w:rPr>
          <w:rFonts w:hint="eastAsia" w:hAnsi="宋体"/>
          <w:sz w:val="24"/>
        </w:rPr>
        <w:t>证券经纪机构</w:t>
      </w:r>
      <w:r>
        <w:rPr>
          <w:rFonts w:hint="eastAsia" w:ascii="宋体" w:hAnsi="宋体"/>
          <w:sz w:val="24"/>
          <w:szCs w:val="24"/>
        </w:rPr>
        <w:t>、</w:t>
      </w:r>
      <w:r>
        <w:rPr>
          <w:rFonts w:ascii="宋体" w:hAnsi="宋体"/>
          <w:sz w:val="24"/>
          <w:szCs w:val="24"/>
        </w:rPr>
        <w:t>登记结算公司</w:t>
      </w:r>
      <w:r>
        <w:rPr>
          <w:rFonts w:hint="eastAsia" w:ascii="宋体" w:hAnsi="宋体"/>
          <w:sz w:val="24"/>
          <w:szCs w:val="24"/>
        </w:rPr>
        <w:t>及其他数据服务机构</w:t>
      </w:r>
      <w:r>
        <w:rPr>
          <w:rFonts w:ascii="宋体" w:hAnsi="宋体"/>
          <w:sz w:val="24"/>
          <w:szCs w:val="24"/>
        </w:rPr>
        <w:t>发送的数据错误</w:t>
      </w:r>
      <w:r>
        <w:rPr>
          <w:rFonts w:hint="eastAsia" w:ascii="宋体" w:hAnsi="宋体"/>
          <w:sz w:val="24"/>
          <w:szCs w:val="24"/>
        </w:rPr>
        <w:t>等原因，</w:t>
      </w:r>
      <w:r>
        <w:rPr>
          <w:rFonts w:ascii="宋体" w:hAnsi="宋体"/>
          <w:sz w:val="24"/>
          <w:szCs w:val="24"/>
        </w:rPr>
        <w:t>基金管理人和基金托管人虽然已经采取必要、适当、合理的措施进行检查，但是未能发现该错误</w:t>
      </w:r>
      <w:r>
        <w:rPr>
          <w:rFonts w:hint="eastAsia" w:ascii="宋体" w:hAnsi="宋体"/>
          <w:sz w:val="24"/>
          <w:szCs w:val="24"/>
        </w:rPr>
        <w:t>而</w:t>
      </w:r>
      <w:r>
        <w:rPr>
          <w:rFonts w:ascii="宋体" w:hAnsi="宋体"/>
          <w:sz w:val="24"/>
          <w:szCs w:val="24"/>
        </w:rPr>
        <w:t>造成的基金财产估值错误，基金管理人</w:t>
      </w:r>
      <w:r>
        <w:rPr>
          <w:rFonts w:hint="eastAsia" w:ascii="宋体" w:hAnsi="宋体"/>
          <w:sz w:val="24"/>
          <w:szCs w:val="24"/>
        </w:rPr>
        <w:t>、</w:t>
      </w:r>
      <w:r>
        <w:rPr>
          <w:rFonts w:ascii="宋体" w:hAnsi="宋体"/>
          <w:sz w:val="24"/>
          <w:szCs w:val="24"/>
        </w:rPr>
        <w:t>基金托管人免除赔偿责任。但基金管理人</w:t>
      </w:r>
      <w:r>
        <w:rPr>
          <w:rFonts w:hint="eastAsia" w:ascii="宋体" w:hAnsi="宋体"/>
          <w:sz w:val="24"/>
          <w:szCs w:val="24"/>
        </w:rPr>
        <w:t>、</w:t>
      </w:r>
      <w:r>
        <w:rPr>
          <w:rFonts w:ascii="宋体" w:hAnsi="宋体"/>
          <w:sz w:val="24"/>
          <w:szCs w:val="24"/>
        </w:rPr>
        <w:t>基金托管人应积极采取必要的措施</w:t>
      </w:r>
      <w:r>
        <w:rPr>
          <w:rFonts w:hint="eastAsia" w:ascii="宋体" w:hAnsi="宋体"/>
          <w:sz w:val="24"/>
          <w:szCs w:val="24"/>
        </w:rPr>
        <w:t>减轻或消除</w:t>
      </w:r>
      <w:r>
        <w:rPr>
          <w:rFonts w:ascii="宋体" w:hAnsi="宋体"/>
          <w:sz w:val="24"/>
          <w:szCs w:val="24"/>
        </w:rPr>
        <w:t>由此造成的影响。</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9、对于因税收规定调整或其他原因导致基金实际交纳税金与基金按照权责发生制进行估值的应交税金有差异的，相关估值调整不作为基金资产估值错误处理。但是，对于其中因基金管理人、基金托管人、境外托管人或基金管理人委托的税务顾问（称为</w:t>
      </w:r>
      <w:r>
        <w:rPr>
          <w:rFonts w:ascii="宋体" w:hAnsi="宋体"/>
          <w:sz w:val="24"/>
          <w:szCs w:val="24"/>
        </w:rPr>
        <w:t>“</w:t>
      </w:r>
      <w:r>
        <w:rPr>
          <w:rFonts w:hint="eastAsia" w:ascii="宋体" w:hAnsi="宋体"/>
          <w:sz w:val="24"/>
          <w:szCs w:val="24"/>
        </w:rPr>
        <w:t>责任人</w:t>
      </w:r>
      <w:r>
        <w:rPr>
          <w:rFonts w:ascii="宋体" w:hAnsi="宋体"/>
          <w:sz w:val="24"/>
          <w:szCs w:val="24"/>
        </w:rPr>
        <w:t>”</w:t>
      </w:r>
      <w:r>
        <w:rPr>
          <w:rFonts w:hint="eastAsia" w:ascii="宋体" w:hAnsi="宋体"/>
          <w:sz w:val="24"/>
          <w:szCs w:val="24"/>
        </w:rPr>
        <w:t>）业务操作不当、疏忽或者故意违约等行为导致基金实际税收负担（含罚金等）与估值有所差异的，该等差异应由责任人负责赔偿，基金管理人和基金托管人应代表基金利益进行追偿。</w:t>
      </w:r>
    </w:p>
    <w:p>
      <w:pPr>
        <w:spacing w:before="100" w:beforeAutospacing="1" w:after="100" w:afterAutospacing="1" w:line="400" w:lineRule="exact"/>
        <w:ind w:firstLine="420"/>
        <w:rPr>
          <w:rFonts w:ascii="宋体" w:hAnsi="宋体"/>
          <w:sz w:val="24"/>
          <w:szCs w:val="24"/>
        </w:rPr>
      </w:pPr>
      <w:r>
        <w:rPr>
          <w:rFonts w:hint="eastAsia" w:hAnsi="宋体"/>
          <w:sz w:val="24"/>
        </w:rPr>
        <w:t>10、由于投资涉及不同市场及时区，因时差、通讯或其他非可控的客观原因，在本基金管理人和本基金托管人协商一致的时间点前无法确认的交易，导致的对基金资产净值的影响，不作为基金资产估值错误处理。</w:t>
      </w:r>
    </w:p>
    <w:p>
      <w:pPr>
        <w:spacing w:before="100" w:beforeAutospacing="1" w:after="100" w:afterAutospacing="1" w:line="400" w:lineRule="exact"/>
        <w:ind w:firstLine="420"/>
        <w:rPr>
          <w:rFonts w:ascii="宋体" w:hAnsi="宋体"/>
          <w:sz w:val="24"/>
          <w:szCs w:val="24"/>
        </w:rPr>
      </w:pPr>
      <w:bookmarkStart w:id="129" w:name="_Toc179617786"/>
      <w:r>
        <w:rPr>
          <w:rFonts w:hint="eastAsia" w:ascii="宋体" w:hAnsi="宋体"/>
          <w:sz w:val="24"/>
          <w:szCs w:val="24"/>
        </w:rPr>
        <w:t>（三）基金会计核算</w:t>
      </w:r>
      <w:bookmarkEnd w:id="129"/>
    </w:p>
    <w:p>
      <w:pPr>
        <w:spacing w:before="100" w:beforeAutospacing="1" w:after="100" w:afterAutospacing="1" w:line="400" w:lineRule="exact"/>
        <w:ind w:firstLine="420"/>
        <w:rPr>
          <w:rFonts w:ascii="宋体" w:hAnsi="宋体"/>
          <w:sz w:val="24"/>
          <w:szCs w:val="24"/>
        </w:rPr>
      </w:pPr>
      <w:r>
        <w:rPr>
          <w:rFonts w:ascii="宋体" w:hAnsi="宋体"/>
          <w:sz w:val="24"/>
          <w:szCs w:val="24"/>
        </w:rPr>
        <w:t>1、基金账册的建立</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基金管理人和基金托管人在基金合同生效后，应按照双方约定的同一记账方法和会计处理原则，</w:t>
      </w:r>
      <w:r>
        <w:rPr>
          <w:rFonts w:hint="eastAsia" w:ascii="宋体" w:hAnsi="宋体"/>
          <w:kern w:val="0"/>
          <w:sz w:val="24"/>
          <w:szCs w:val="24"/>
        </w:rPr>
        <w:t>按国家规定的有关会计核算制度，并可在法律法规允许的范围内参考国际会计准则，确认</w:t>
      </w:r>
      <w:r>
        <w:rPr>
          <w:rFonts w:hint="eastAsia" w:ascii="宋体" w:hAnsi="宋体"/>
          <w:sz w:val="24"/>
          <w:szCs w:val="24"/>
        </w:rPr>
        <w:t>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pPr>
        <w:spacing w:before="100" w:beforeAutospacing="1" w:after="100" w:afterAutospacing="1" w:line="400" w:lineRule="exact"/>
        <w:ind w:firstLine="420"/>
        <w:rPr>
          <w:rFonts w:ascii="宋体" w:hAnsi="宋体"/>
          <w:sz w:val="24"/>
          <w:szCs w:val="24"/>
        </w:rPr>
      </w:pPr>
      <w:r>
        <w:rPr>
          <w:rFonts w:ascii="宋体" w:hAnsi="宋体"/>
          <w:sz w:val="24"/>
          <w:szCs w:val="24"/>
        </w:rPr>
        <w:t>2、会计数据和财务指标的核对</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基金管理人和基金托管人应定期就会计数据和财务指标进行核对。如发现存在不符，双方应及时查明原因并纠正。</w:t>
      </w:r>
    </w:p>
    <w:p>
      <w:pPr>
        <w:spacing w:before="100" w:beforeAutospacing="1" w:after="100" w:afterAutospacing="1" w:line="400" w:lineRule="exact"/>
        <w:ind w:firstLine="420"/>
        <w:rPr>
          <w:rFonts w:ascii="宋体" w:hAnsi="宋体"/>
          <w:sz w:val="24"/>
          <w:szCs w:val="24"/>
        </w:rPr>
      </w:pPr>
      <w:r>
        <w:rPr>
          <w:rFonts w:ascii="宋体" w:hAnsi="宋体"/>
          <w:sz w:val="24"/>
          <w:szCs w:val="24"/>
        </w:rPr>
        <w:t>3、基金财务报表和定期报告的编制和复核</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基金财务报表由基金管理人编制，基金托管人复核。月度报表的编制，应于每月终了后</w:t>
      </w:r>
      <w:r>
        <w:rPr>
          <w:rFonts w:ascii="宋体" w:hAnsi="宋体"/>
          <w:sz w:val="24"/>
          <w:szCs w:val="24"/>
        </w:rPr>
        <w:t>5</w:t>
      </w:r>
      <w:r>
        <w:rPr>
          <w:rFonts w:hint="eastAsia" w:ascii="宋体" w:hAnsi="宋体"/>
          <w:sz w:val="24"/>
          <w:szCs w:val="24"/>
        </w:rPr>
        <w:t>个工作日内完成；招募说明书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rFonts w:ascii="宋体" w:hAnsi="宋体"/>
          <w:sz w:val="24"/>
          <w:szCs w:val="24"/>
        </w:rPr>
        <w:t>。季度报告应在每个季度结束之日起10个工作日内，由基金管理人将编制完毕的报告送交基金托管人复核，并于季度结束之日起15个工作日内予以公告；</w:t>
      </w:r>
      <w:r>
        <w:rPr>
          <w:rFonts w:hint="eastAsia" w:ascii="宋体" w:hAnsi="宋体"/>
          <w:sz w:val="24"/>
          <w:szCs w:val="24"/>
        </w:rPr>
        <w:t>中期</w:t>
      </w:r>
      <w:r>
        <w:rPr>
          <w:rFonts w:ascii="宋体" w:hAnsi="宋体"/>
          <w:sz w:val="24"/>
          <w:szCs w:val="24"/>
        </w:rPr>
        <w:t>报告在会计年度半年终了后40日内，由基金管理人将编制完毕的报告送交基金托管人复核，并于会计年度半年终了后</w:t>
      </w:r>
      <w:r>
        <w:rPr>
          <w:rFonts w:hint="eastAsia" w:ascii="宋体" w:hAnsi="宋体"/>
          <w:sz w:val="24"/>
          <w:szCs w:val="24"/>
        </w:rPr>
        <w:t>两个月</w:t>
      </w:r>
      <w:r>
        <w:rPr>
          <w:rFonts w:ascii="宋体" w:hAnsi="宋体"/>
          <w:sz w:val="24"/>
          <w:szCs w:val="24"/>
        </w:rPr>
        <w:t>内予以公告；年度报告在会计年度结束后60日内，基金管理人将编制完毕的报告送交基金托管人复核，并于会计年度终了后</w:t>
      </w:r>
      <w:r>
        <w:rPr>
          <w:rFonts w:hint="eastAsia" w:ascii="宋体" w:hAnsi="宋体"/>
          <w:sz w:val="24"/>
          <w:szCs w:val="24"/>
        </w:rPr>
        <w:t>三个月</w:t>
      </w:r>
      <w:r>
        <w:rPr>
          <w:rFonts w:ascii="宋体" w:hAnsi="宋体"/>
          <w:sz w:val="24"/>
          <w:szCs w:val="24"/>
        </w:rPr>
        <w:t>内予以公告。基金合同生效不足两个月的，基金管理人可以不编制当期季度报告，</w:t>
      </w:r>
      <w:r>
        <w:rPr>
          <w:rFonts w:hint="eastAsia" w:ascii="宋体" w:hAnsi="宋体"/>
          <w:sz w:val="24"/>
          <w:szCs w:val="24"/>
        </w:rPr>
        <w:t>中期</w:t>
      </w:r>
      <w:r>
        <w:rPr>
          <w:rFonts w:ascii="宋体" w:hAnsi="宋体"/>
          <w:sz w:val="24"/>
          <w:szCs w:val="24"/>
        </w:rPr>
        <w:t>报告或者年度报告。</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在月度报表完成当日，将报表盖章后提供给基金托管人复核；基金托管人在收到后应立即进行复核，并将复核结果书面通知基金管理人。基金管理人在季度报告完成当日，将有关报告提供给基金托管人复核，基金托管人应在收到后</w:t>
      </w:r>
      <w:r>
        <w:rPr>
          <w:rFonts w:ascii="宋体" w:hAnsi="宋体"/>
          <w:sz w:val="24"/>
          <w:szCs w:val="24"/>
        </w:rPr>
        <w:t>5个工作日内完成复核，并将复核结果书面通知基金管理人。基金管理人在</w:t>
      </w:r>
      <w:r>
        <w:rPr>
          <w:rFonts w:hint="eastAsia" w:ascii="宋体" w:hAnsi="宋体"/>
          <w:sz w:val="24"/>
          <w:szCs w:val="24"/>
        </w:rPr>
        <w:t>中期</w:t>
      </w:r>
      <w:r>
        <w:rPr>
          <w:rFonts w:ascii="宋体" w:hAnsi="宋体"/>
          <w:sz w:val="24"/>
          <w:szCs w:val="24"/>
        </w:rPr>
        <w:t>报告完成当日，将有关报告提供给基金托管人复核，基金托管人应在收到后15日内完成复核，并将复核结果书面通知基金管理人。基金管理人在年度</w:t>
      </w:r>
      <w:r>
        <w:rPr>
          <w:rFonts w:hint="eastAsia" w:ascii="宋体" w:hAnsi="宋体"/>
          <w:sz w:val="24"/>
          <w:szCs w:val="24"/>
        </w:rPr>
        <w:t>报告完成当日，将有关报告提供基金托管人复核，基金托管人应在收到后</w:t>
      </w:r>
      <w:r>
        <w:rPr>
          <w:rFonts w:ascii="宋体" w:hAnsi="宋体"/>
          <w:sz w:val="24"/>
          <w:szCs w:val="24"/>
        </w:rPr>
        <w:t>25日内完成复核，并将复核结果书面通知基金管理人。基金管理人和基金托管人之间的上述文件往来均以传真的方式或双方商定的其他方式进行。</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月度报告上加盖业务章，在季报、中期报告和年度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pPr>
        <w:pStyle w:val="3"/>
        <w:pageBreakBefore/>
        <w:spacing w:before="100" w:beforeAutospacing="1" w:after="100" w:afterAutospacing="1" w:line="400" w:lineRule="exact"/>
        <w:jc w:val="center"/>
        <w:rPr>
          <w:rFonts w:ascii="宋体" w:hAnsi="宋体" w:eastAsia="宋体"/>
          <w:sz w:val="24"/>
          <w:szCs w:val="24"/>
        </w:rPr>
      </w:pPr>
      <w:bookmarkStart w:id="130" w:name="_Toc328568682"/>
      <w:bookmarkStart w:id="131" w:name="_Toc179617787"/>
      <w:r>
        <w:rPr>
          <w:rFonts w:hint="eastAsia" w:ascii="宋体" w:hAnsi="宋体" w:eastAsia="宋体"/>
          <w:sz w:val="24"/>
          <w:szCs w:val="24"/>
        </w:rPr>
        <w:t>十、基金收益分配</w:t>
      </w:r>
      <w:bookmarkEnd w:id="130"/>
      <w:bookmarkEnd w:id="131"/>
    </w:p>
    <w:p>
      <w:pPr>
        <w:spacing w:before="100" w:beforeAutospacing="1" w:after="100" w:afterAutospacing="1" w:line="400" w:lineRule="exact"/>
        <w:ind w:firstLine="420"/>
        <w:rPr>
          <w:rFonts w:ascii="宋体" w:hAnsi="宋体"/>
          <w:sz w:val="24"/>
          <w:szCs w:val="24"/>
        </w:rPr>
      </w:pPr>
      <w:bookmarkStart w:id="132" w:name="_Toc179617788"/>
      <w:r>
        <w:rPr>
          <w:rFonts w:hint="eastAsia" w:ascii="宋体" w:hAnsi="宋体"/>
          <w:sz w:val="24"/>
          <w:szCs w:val="24"/>
        </w:rPr>
        <w:t>（一）基金收益分配的依据</w:t>
      </w:r>
      <w:bookmarkEnd w:id="132"/>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收益分配应该符合基金合同关于收益分配原则的规定。</w:t>
      </w:r>
    </w:p>
    <w:p>
      <w:pPr>
        <w:spacing w:before="100" w:beforeAutospacing="1" w:after="100" w:afterAutospacing="1" w:line="400" w:lineRule="exact"/>
        <w:ind w:firstLine="420"/>
        <w:rPr>
          <w:rFonts w:ascii="宋体" w:hAnsi="宋体"/>
          <w:sz w:val="24"/>
          <w:szCs w:val="24"/>
        </w:rPr>
      </w:pPr>
      <w:bookmarkStart w:id="133" w:name="_Toc179617789"/>
      <w:r>
        <w:rPr>
          <w:rFonts w:hint="eastAsia" w:ascii="宋体" w:hAnsi="宋体"/>
          <w:sz w:val="24"/>
          <w:szCs w:val="24"/>
        </w:rPr>
        <w:t>（二）基金收益分配的</w:t>
      </w:r>
      <w:r>
        <w:rPr>
          <w:bCs/>
          <w:sz w:val="24"/>
        </w:rPr>
        <w:t>确定、公告与实施</w:t>
      </w:r>
      <w:bookmarkEnd w:id="133"/>
    </w:p>
    <w:p>
      <w:pPr>
        <w:spacing w:line="360" w:lineRule="auto"/>
        <w:ind w:firstLine="540" w:firstLineChars="225"/>
        <w:rPr>
          <w:bCs/>
          <w:sz w:val="24"/>
        </w:rPr>
      </w:pPr>
      <w:bookmarkStart w:id="134" w:name="OLE_LINK74"/>
      <w:bookmarkStart w:id="135" w:name="OLE_LINK75"/>
      <w:r>
        <w:rPr>
          <w:bCs/>
          <w:sz w:val="24"/>
        </w:rPr>
        <w:t>本基金收益分配方案由基金管理人拟定，并由基金托管人复核，在2日内在指定媒介公告并报中国证监会备案。</w:t>
      </w:r>
    </w:p>
    <w:bookmarkEnd w:id="134"/>
    <w:bookmarkEnd w:id="135"/>
    <w:p>
      <w:pPr>
        <w:spacing w:before="100" w:beforeAutospacing="1" w:after="100" w:afterAutospacing="1" w:line="400" w:lineRule="exact"/>
        <w:ind w:firstLine="420"/>
        <w:rPr>
          <w:bCs/>
          <w:sz w:val="24"/>
        </w:rPr>
      </w:pPr>
      <w:r>
        <w:rPr>
          <w:bCs/>
          <w:sz w:val="24"/>
        </w:rPr>
        <w:t>基金红利发放日距离收益分配基准日（即可供分配利润计算截止日）的时间不得超过15个工作日。</w:t>
      </w:r>
    </w:p>
    <w:p>
      <w:pPr>
        <w:spacing w:line="360" w:lineRule="auto"/>
        <w:ind w:firstLine="540" w:firstLineChars="225"/>
        <w:rPr>
          <w:bCs/>
          <w:sz w:val="24"/>
        </w:rPr>
      </w:pPr>
      <w:r>
        <w:rPr>
          <w:rFonts w:hint="eastAsia" w:ascii="宋体" w:hAnsi="宋体"/>
          <w:sz w:val="24"/>
        </w:rPr>
        <w:t>法律法规或监管机关另有规定的，从其规定。</w:t>
      </w:r>
    </w:p>
    <w:p>
      <w:pPr>
        <w:spacing w:before="100" w:beforeAutospacing="1" w:after="100" w:afterAutospacing="1" w:line="400" w:lineRule="exact"/>
        <w:ind w:firstLine="420"/>
        <w:rPr>
          <w:rFonts w:ascii="宋体" w:hAnsi="宋体"/>
          <w:sz w:val="24"/>
          <w:szCs w:val="24"/>
        </w:rPr>
      </w:pPr>
    </w:p>
    <w:p>
      <w:pPr>
        <w:pStyle w:val="3"/>
        <w:pageBreakBefore/>
        <w:spacing w:before="100" w:beforeAutospacing="1" w:after="100" w:afterAutospacing="1" w:line="400" w:lineRule="exact"/>
        <w:jc w:val="center"/>
        <w:rPr>
          <w:rFonts w:ascii="宋体" w:hAnsi="宋体" w:eastAsia="宋体"/>
          <w:sz w:val="24"/>
          <w:szCs w:val="24"/>
        </w:rPr>
      </w:pPr>
      <w:bookmarkStart w:id="136" w:name="_Toc328568683"/>
      <w:bookmarkStart w:id="137" w:name="_Toc179617790"/>
      <w:r>
        <w:rPr>
          <w:rFonts w:hint="eastAsia" w:ascii="宋体" w:hAnsi="宋体" w:eastAsia="宋体"/>
          <w:sz w:val="24"/>
          <w:szCs w:val="24"/>
        </w:rPr>
        <w:t>十一、基金信息披露</w:t>
      </w:r>
      <w:bookmarkEnd w:id="136"/>
      <w:bookmarkEnd w:id="137"/>
    </w:p>
    <w:p>
      <w:pPr>
        <w:spacing w:before="100" w:beforeAutospacing="1" w:after="100" w:afterAutospacing="1" w:line="400" w:lineRule="exact"/>
        <w:ind w:firstLine="420"/>
        <w:rPr>
          <w:rFonts w:ascii="宋体" w:hAnsi="宋体"/>
          <w:sz w:val="24"/>
          <w:szCs w:val="24"/>
        </w:rPr>
      </w:pPr>
      <w:bookmarkStart w:id="138" w:name="_Toc179617791"/>
      <w:r>
        <w:rPr>
          <w:rFonts w:hint="eastAsia" w:ascii="宋体" w:hAnsi="宋体"/>
          <w:sz w:val="24"/>
          <w:szCs w:val="24"/>
        </w:rPr>
        <w:t>（一）保密义务</w:t>
      </w:r>
      <w:bookmarkEnd w:id="138"/>
    </w:p>
    <w:p>
      <w:pPr>
        <w:spacing w:before="100" w:beforeAutospacing="1" w:after="100" w:afterAutospacing="1" w:line="400" w:lineRule="exact"/>
        <w:ind w:firstLine="420"/>
        <w:rPr>
          <w:rFonts w:ascii="宋体" w:hAnsi="宋体"/>
          <w:sz w:val="24"/>
          <w:szCs w:val="24"/>
        </w:rPr>
      </w:pPr>
      <w:r>
        <w:rPr>
          <w:rFonts w:ascii="宋体" w:hAnsi="宋体"/>
          <w:sz w:val="24"/>
          <w:szCs w:val="24"/>
        </w:rPr>
        <w:t>1、除按照《基金法》、《运作办法》、《试行办法》、基金合同、《信息披露办法》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pPr>
        <w:spacing w:before="100" w:beforeAutospacing="1" w:after="100" w:afterAutospacing="1" w:line="400" w:lineRule="exact"/>
        <w:ind w:firstLine="420"/>
        <w:rPr>
          <w:rFonts w:ascii="宋体" w:hAnsi="宋体"/>
          <w:sz w:val="24"/>
          <w:szCs w:val="24"/>
        </w:rPr>
      </w:pPr>
      <w:r>
        <w:rPr>
          <w:rFonts w:ascii="宋体" w:hAnsi="宋体"/>
          <w:sz w:val="24"/>
          <w:szCs w:val="24"/>
        </w:rPr>
        <w:t>2、基金管理人和基金托管人除为</w:t>
      </w:r>
      <w:r>
        <w:rPr>
          <w:rFonts w:hint="eastAsia" w:ascii="宋体" w:hAnsi="宋体"/>
          <w:sz w:val="24"/>
          <w:szCs w:val="24"/>
        </w:rPr>
        <w:t>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w:t>
      </w:r>
      <w:r>
        <w:rPr>
          <w:rFonts w:ascii="宋体" w:hAnsi="宋体"/>
          <w:sz w:val="24"/>
          <w:szCs w:val="24"/>
        </w:rPr>
        <w:t>1）非因基金管理人和基金托管人的原因导致保密信息被披露、泄露或公开；</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w:t>
      </w:r>
      <w:r>
        <w:rPr>
          <w:rFonts w:ascii="宋体" w:hAnsi="宋体"/>
          <w:sz w:val="24"/>
          <w:szCs w:val="24"/>
        </w:rPr>
        <w:t>2）基金管理人和基金托管人为遵守和服从法院判决、仲裁裁决或中国证监会等监管机构的命令、决定所做出的信息披露或公开。</w:t>
      </w:r>
    </w:p>
    <w:p>
      <w:pPr>
        <w:spacing w:before="100" w:beforeAutospacing="1" w:after="100" w:afterAutospacing="1" w:line="400" w:lineRule="exact"/>
        <w:ind w:firstLine="420"/>
        <w:rPr>
          <w:rFonts w:ascii="宋体" w:hAnsi="宋体"/>
          <w:sz w:val="24"/>
          <w:szCs w:val="24"/>
        </w:rPr>
      </w:pPr>
      <w:bookmarkStart w:id="139" w:name="_Toc179617792"/>
      <w:r>
        <w:rPr>
          <w:rFonts w:hint="eastAsia" w:ascii="宋体" w:hAnsi="宋体"/>
          <w:sz w:val="24"/>
          <w:szCs w:val="24"/>
        </w:rPr>
        <w:t>（二）基金管理人和基金托管人在信息披露中的职责和信息披露程序</w:t>
      </w:r>
      <w:bookmarkEnd w:id="139"/>
    </w:p>
    <w:p>
      <w:pPr>
        <w:spacing w:before="100" w:beforeAutospacing="1" w:after="100" w:afterAutospacing="1" w:line="400" w:lineRule="exact"/>
        <w:ind w:firstLine="420"/>
        <w:rPr>
          <w:rFonts w:ascii="宋体" w:hAnsi="宋体"/>
          <w:sz w:val="24"/>
          <w:szCs w:val="24"/>
        </w:rPr>
      </w:pPr>
      <w:r>
        <w:rPr>
          <w:rFonts w:ascii="宋体" w:hAnsi="宋体"/>
          <w:sz w:val="24"/>
          <w:szCs w:val="24"/>
        </w:rPr>
        <w:t>1、基金管理人和基金托管人应根据相关法律法规、基金合同的规定各自承担相应的信息披露职责。基金管理人和基金托管人负有积极配合、互相督促、彼此监督，保证其履行按照法定方式和时限披露的义务。</w:t>
      </w:r>
    </w:p>
    <w:p>
      <w:pPr>
        <w:spacing w:before="100" w:beforeAutospacing="1" w:after="100" w:afterAutospacing="1" w:line="400" w:lineRule="exact"/>
        <w:ind w:firstLine="420"/>
        <w:rPr>
          <w:rFonts w:ascii="宋体" w:hAnsi="宋体"/>
          <w:sz w:val="24"/>
          <w:szCs w:val="24"/>
        </w:rPr>
      </w:pPr>
      <w:r>
        <w:rPr>
          <w:rFonts w:ascii="宋体" w:hAnsi="宋体"/>
          <w:sz w:val="24"/>
          <w:szCs w:val="24"/>
        </w:rPr>
        <w:t>2、本基金信息披露的所有文件，包括基金合同和本协议规定的定期报告、临时报告、基金</w:t>
      </w:r>
      <w:r>
        <w:rPr>
          <w:rFonts w:hint="eastAsia" w:ascii="宋体" w:hAnsi="宋体"/>
          <w:sz w:val="24"/>
          <w:szCs w:val="24"/>
        </w:rPr>
        <w:t>净值信息</w:t>
      </w:r>
      <w:r>
        <w:rPr>
          <w:rFonts w:ascii="宋体" w:hAnsi="宋体"/>
          <w:sz w:val="24"/>
          <w:szCs w:val="24"/>
        </w:rPr>
        <w:t>公告及其他必要的公告文件，由基金管理人和基金托管人按照有关法律法规的规定予以公布。</w:t>
      </w:r>
    </w:p>
    <w:p>
      <w:pPr>
        <w:spacing w:before="100" w:beforeAutospacing="1" w:after="100" w:afterAutospacing="1" w:line="400" w:lineRule="exact"/>
        <w:ind w:firstLine="420"/>
        <w:rPr>
          <w:rFonts w:ascii="宋体" w:hAnsi="宋体"/>
          <w:sz w:val="24"/>
          <w:szCs w:val="24"/>
        </w:rPr>
      </w:pPr>
      <w:r>
        <w:rPr>
          <w:rFonts w:ascii="宋体" w:hAnsi="宋体"/>
          <w:sz w:val="24"/>
          <w:szCs w:val="24"/>
        </w:rPr>
        <w:t>3、基金年度报告中的财务会计报告必须经具有从事证券相关业务资格的会计师事务所审计。</w:t>
      </w:r>
    </w:p>
    <w:p>
      <w:pPr>
        <w:spacing w:before="100" w:beforeAutospacing="1" w:after="100" w:afterAutospacing="1" w:line="400" w:lineRule="exact"/>
        <w:ind w:firstLine="420"/>
        <w:rPr>
          <w:rFonts w:ascii="宋体" w:hAnsi="宋体"/>
          <w:sz w:val="24"/>
          <w:szCs w:val="24"/>
        </w:rPr>
      </w:pPr>
      <w:r>
        <w:rPr>
          <w:rFonts w:ascii="宋体" w:hAnsi="宋体"/>
          <w:sz w:val="24"/>
          <w:szCs w:val="24"/>
        </w:rPr>
        <w:t>4、本基金的信息披露的公告，必须在指定</w:t>
      </w:r>
      <w:r>
        <w:rPr>
          <w:rFonts w:hint="eastAsia" w:ascii="宋体" w:hAnsi="宋体"/>
          <w:sz w:val="24"/>
          <w:szCs w:val="24"/>
        </w:rPr>
        <w:t>媒介</w:t>
      </w:r>
      <w:r>
        <w:rPr>
          <w:rFonts w:ascii="宋体" w:hAnsi="宋体"/>
          <w:sz w:val="24"/>
          <w:szCs w:val="24"/>
        </w:rPr>
        <w:t>发布；基金管理人认为必要，还可以同时通过其他</w:t>
      </w:r>
      <w:r>
        <w:rPr>
          <w:rFonts w:hint="eastAsia" w:ascii="宋体" w:hAnsi="宋体"/>
          <w:sz w:val="24"/>
          <w:szCs w:val="24"/>
        </w:rPr>
        <w:t>媒介</w:t>
      </w:r>
      <w:r>
        <w:rPr>
          <w:rFonts w:ascii="宋体" w:hAnsi="宋体"/>
          <w:sz w:val="24"/>
          <w:szCs w:val="24"/>
        </w:rPr>
        <w:t>发布。</w:t>
      </w:r>
    </w:p>
    <w:p>
      <w:pPr>
        <w:spacing w:before="100" w:beforeAutospacing="1" w:after="100" w:afterAutospacing="1" w:line="400" w:lineRule="exact"/>
        <w:ind w:firstLine="420"/>
        <w:rPr>
          <w:rFonts w:ascii="宋体" w:hAnsi="宋体"/>
          <w:sz w:val="24"/>
          <w:szCs w:val="24"/>
        </w:rPr>
      </w:pPr>
      <w:r>
        <w:rPr>
          <w:rFonts w:ascii="宋体" w:hAnsi="宋体"/>
          <w:sz w:val="24"/>
          <w:szCs w:val="24"/>
        </w:rPr>
        <w:t>5、信息文本的存放与备查</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基金托管人应根据相关法律法规、基金合同的规定将基金合同、首次募集的招募说明书、中期报告、年度报告、季度报告、更新的招募说明书、临时公告等文本存放在基金管理人、基金托管人的住所，并接受基金份额持有人的查询和复制要求。基金管理人、基金托管人应为文本存放、基金份额持有人查询有关文件提供必要的场所和其他便利。</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基金管理人和基金托管人应保证文本的内容与所公告的内容完全一致。</w:t>
      </w:r>
    </w:p>
    <w:p>
      <w:pPr>
        <w:spacing w:before="100" w:beforeAutospacing="1" w:after="100" w:afterAutospacing="1" w:line="400" w:lineRule="exact"/>
        <w:ind w:firstLine="420"/>
        <w:rPr>
          <w:rFonts w:ascii="宋体" w:hAnsi="宋体"/>
          <w:sz w:val="24"/>
          <w:szCs w:val="24"/>
        </w:rPr>
      </w:pPr>
      <w:r>
        <w:rPr>
          <w:rFonts w:ascii="宋体" w:hAnsi="宋体"/>
          <w:sz w:val="24"/>
          <w:szCs w:val="24"/>
        </w:rPr>
        <w:t>6、对于因不可抗力等原因导致基金信息的暂停或延迟披露的（如暂停披露基金净值信息），基金管理人应及时向中国证监会报告，并与基金托管人协商采取补救措施。不可抗力情形消失后，基金管理人和基金托管人应及时恢复办理信息披露。</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（三）基金托管人报告</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基金托管人应按《基金法》、《运作办法》、《信息披露办法》和其他有关法律法规的规定于每个上半年度结束后两个月</w:t>
      </w:r>
      <w:r>
        <w:rPr>
          <w:rFonts w:ascii="宋体" w:hAnsi="宋体"/>
          <w:sz w:val="24"/>
          <w:szCs w:val="24"/>
        </w:rPr>
        <w:t>内、每个会计年度结束后</w:t>
      </w:r>
      <w:r>
        <w:rPr>
          <w:rFonts w:hint="eastAsia" w:ascii="宋体" w:hAnsi="宋体"/>
          <w:sz w:val="24"/>
          <w:szCs w:val="24"/>
        </w:rPr>
        <w:t>三个月</w:t>
      </w:r>
      <w:r>
        <w:rPr>
          <w:rFonts w:ascii="宋体" w:hAnsi="宋体"/>
          <w:sz w:val="24"/>
          <w:szCs w:val="24"/>
        </w:rPr>
        <w:t>内在基金</w:t>
      </w:r>
      <w:r>
        <w:rPr>
          <w:rFonts w:hint="eastAsia" w:ascii="宋体" w:hAnsi="宋体"/>
          <w:sz w:val="24"/>
          <w:szCs w:val="24"/>
        </w:rPr>
        <w:t>中期</w:t>
      </w:r>
      <w:r>
        <w:rPr>
          <w:rFonts w:ascii="宋体" w:hAnsi="宋体"/>
          <w:sz w:val="24"/>
          <w:szCs w:val="24"/>
        </w:rPr>
        <w:t>报告及年度报告中分别出具</w:t>
      </w:r>
      <w:r>
        <w:rPr>
          <w:rFonts w:hint="eastAsia" w:ascii="宋体" w:hAnsi="宋体"/>
          <w:sz w:val="24"/>
          <w:szCs w:val="24"/>
        </w:rPr>
        <w:t>基金</w:t>
      </w:r>
      <w:r>
        <w:rPr>
          <w:rFonts w:ascii="宋体" w:hAnsi="宋体"/>
          <w:sz w:val="24"/>
          <w:szCs w:val="24"/>
        </w:rPr>
        <w:t>托管人报告。</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（四）本基金信息披露事项以法律法规及基金合同“第十九部分 基金的信息披露”约定的内容为准。</w:t>
      </w:r>
    </w:p>
    <w:p>
      <w:pPr>
        <w:pStyle w:val="3"/>
        <w:pageBreakBefore/>
        <w:spacing w:before="100" w:beforeAutospacing="1" w:after="100" w:afterAutospacing="1" w:line="400" w:lineRule="exact"/>
        <w:jc w:val="center"/>
        <w:rPr>
          <w:rFonts w:ascii="宋体" w:hAnsi="宋体" w:eastAsia="宋体"/>
          <w:sz w:val="24"/>
          <w:szCs w:val="24"/>
        </w:rPr>
      </w:pPr>
      <w:bookmarkStart w:id="140" w:name="_Toc328568684"/>
      <w:bookmarkStart w:id="141" w:name="_Toc179617793"/>
      <w:r>
        <w:rPr>
          <w:rFonts w:hint="eastAsia" w:ascii="宋体" w:hAnsi="宋体" w:eastAsia="宋体"/>
          <w:sz w:val="24"/>
          <w:szCs w:val="24"/>
        </w:rPr>
        <w:t>十二、基金费用</w:t>
      </w:r>
      <w:bookmarkEnd w:id="140"/>
      <w:bookmarkEnd w:id="141"/>
    </w:p>
    <w:p>
      <w:pPr>
        <w:spacing w:before="100" w:beforeAutospacing="1" w:after="100" w:afterAutospacing="1" w:line="400" w:lineRule="exact"/>
        <w:ind w:firstLine="420"/>
        <w:rPr>
          <w:rFonts w:ascii="宋体" w:hAnsi="宋体"/>
          <w:sz w:val="24"/>
          <w:szCs w:val="24"/>
        </w:rPr>
      </w:pPr>
      <w:bookmarkStart w:id="142" w:name="_Toc179617794"/>
      <w:r>
        <w:rPr>
          <w:rFonts w:hint="eastAsia" w:ascii="宋体" w:hAnsi="宋体"/>
          <w:sz w:val="24"/>
          <w:szCs w:val="24"/>
        </w:rPr>
        <w:t>（一）基金管理费的计提比例和计提方法</w:t>
      </w:r>
      <w:bookmarkEnd w:id="142"/>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基金管理人的基金管理费按基金资产净值的</w:t>
      </w:r>
      <w:r>
        <w:rPr>
          <w:rFonts w:ascii="宋体" w:hAnsi="宋体"/>
          <w:sz w:val="24"/>
          <w:szCs w:val="24"/>
        </w:rPr>
        <w:t>1.20%年费率计提。</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基金管理费按前一日基金资产净值的</w:t>
      </w:r>
      <w:r>
        <w:rPr>
          <w:rFonts w:ascii="宋体" w:hAnsi="宋体"/>
          <w:sz w:val="24"/>
          <w:szCs w:val="24"/>
        </w:rPr>
        <w:t>1.20%</w:t>
      </w:r>
      <w:r>
        <w:rPr>
          <w:rFonts w:hint="eastAsia" w:ascii="宋体" w:hAnsi="宋体"/>
          <w:sz w:val="24"/>
          <w:szCs w:val="24"/>
        </w:rPr>
        <w:t>年费率计提。计算方法如下：</w:t>
      </w:r>
    </w:p>
    <w:p>
      <w:pPr>
        <w:spacing w:before="100" w:beforeAutospacing="1" w:after="100" w:afterAutospacing="1" w:line="400" w:lineRule="exact"/>
        <w:ind w:firstLine="420"/>
        <w:rPr>
          <w:rFonts w:ascii="宋体" w:hAnsi="宋体"/>
          <w:sz w:val="24"/>
          <w:szCs w:val="24"/>
        </w:rPr>
      </w:pPr>
      <w:r>
        <w:rPr>
          <w:rFonts w:ascii="宋体" w:hAnsi="宋体"/>
          <w:sz w:val="24"/>
          <w:szCs w:val="24"/>
        </w:rPr>
        <w:t>H</w:t>
      </w:r>
      <w:r>
        <w:rPr>
          <w:rFonts w:hint="eastAsia" w:ascii="宋体" w:hAnsi="宋体"/>
          <w:sz w:val="24"/>
          <w:szCs w:val="24"/>
        </w:rPr>
        <w:t>＝</w:t>
      </w:r>
      <w:r>
        <w:rPr>
          <w:rFonts w:ascii="宋体" w:hAnsi="宋体"/>
          <w:sz w:val="24"/>
          <w:szCs w:val="24"/>
        </w:rPr>
        <w:t>E</w:t>
      </w:r>
      <w:r>
        <w:rPr>
          <w:rFonts w:hint="eastAsia" w:ascii="宋体" w:hAnsi="宋体"/>
          <w:sz w:val="24"/>
          <w:szCs w:val="24"/>
        </w:rPr>
        <w:t>×</w:t>
      </w:r>
      <w:r>
        <w:rPr>
          <w:rFonts w:ascii="宋体" w:hAnsi="宋体"/>
          <w:sz w:val="24"/>
          <w:szCs w:val="24"/>
        </w:rPr>
        <w:t>1.20%÷当年天数</w:t>
      </w:r>
    </w:p>
    <w:p>
      <w:pPr>
        <w:spacing w:before="100" w:beforeAutospacing="1" w:after="100" w:afterAutospacing="1" w:line="400" w:lineRule="exact"/>
        <w:ind w:firstLine="420"/>
        <w:rPr>
          <w:rFonts w:ascii="宋体" w:hAnsi="宋体"/>
          <w:sz w:val="24"/>
          <w:szCs w:val="24"/>
        </w:rPr>
      </w:pPr>
      <w:r>
        <w:rPr>
          <w:rFonts w:ascii="宋体" w:hAnsi="宋体"/>
          <w:sz w:val="24"/>
          <w:szCs w:val="24"/>
        </w:rPr>
        <w:t>H</w:t>
      </w:r>
      <w:r>
        <w:rPr>
          <w:rFonts w:hint="eastAsia" w:ascii="宋体" w:hAnsi="宋体"/>
          <w:sz w:val="24"/>
          <w:szCs w:val="24"/>
        </w:rPr>
        <w:t>为每日应计提的基金管理费</w:t>
      </w:r>
    </w:p>
    <w:p>
      <w:pPr>
        <w:spacing w:before="100" w:beforeAutospacing="1" w:after="100" w:afterAutospacing="1" w:line="400" w:lineRule="exact"/>
        <w:ind w:firstLine="420"/>
        <w:rPr>
          <w:rFonts w:ascii="宋体" w:hAnsi="宋体"/>
          <w:sz w:val="24"/>
          <w:szCs w:val="24"/>
        </w:rPr>
      </w:pPr>
      <w:r>
        <w:rPr>
          <w:rFonts w:ascii="宋体" w:hAnsi="宋体"/>
          <w:sz w:val="24"/>
          <w:szCs w:val="24"/>
        </w:rPr>
        <w:t>E</w:t>
      </w:r>
      <w:r>
        <w:rPr>
          <w:rFonts w:hint="eastAsia" w:ascii="宋体" w:hAnsi="宋体"/>
          <w:sz w:val="24"/>
          <w:szCs w:val="24"/>
        </w:rPr>
        <w:t>为前一日基金资产净值</w:t>
      </w:r>
    </w:p>
    <w:p>
      <w:pPr>
        <w:spacing w:before="100" w:beforeAutospacing="1" w:after="100" w:afterAutospacing="1" w:line="400" w:lineRule="exact"/>
        <w:ind w:firstLine="480"/>
        <w:rPr>
          <w:rFonts w:ascii="宋体" w:hAnsi="宋体"/>
          <w:sz w:val="24"/>
          <w:szCs w:val="24"/>
        </w:rPr>
      </w:pPr>
      <w:r>
        <w:rPr>
          <w:rFonts w:ascii="宋体" w:hAnsi="宋体"/>
          <w:sz w:val="24"/>
          <w:szCs w:val="24"/>
        </w:rPr>
        <w:t>基金管理费每日计算，逐日累计至每月月末，按月支付，由基金管理人向基金托管人发送基金管理费划款指令，基金托管人复核后于次月前3个工作日内从基金财产中一次性支付给基金管理人。若遇法定节假日、公休假</w:t>
      </w:r>
      <w:r>
        <w:rPr>
          <w:rFonts w:hint="eastAsia" w:ascii="宋体" w:hAnsi="宋体"/>
          <w:bCs/>
          <w:sz w:val="24"/>
          <w:szCs w:val="24"/>
        </w:rPr>
        <w:t>或不可抗力致使无法按时支付的</w:t>
      </w:r>
      <w:r>
        <w:rPr>
          <w:rFonts w:hint="eastAsia" w:ascii="宋体" w:hAnsi="宋体"/>
          <w:sz w:val="24"/>
          <w:szCs w:val="24"/>
        </w:rPr>
        <w:t>，</w:t>
      </w:r>
      <w:r>
        <w:rPr>
          <w:rFonts w:ascii="宋体" w:hAnsi="宋体"/>
          <w:sz w:val="24"/>
          <w:szCs w:val="24"/>
        </w:rPr>
        <w:t>支付日期顺延。</w:t>
      </w:r>
    </w:p>
    <w:p>
      <w:pPr>
        <w:spacing w:before="100" w:beforeAutospacing="1" w:after="100" w:afterAutospacing="1" w:line="400" w:lineRule="exact"/>
        <w:ind w:firstLine="420"/>
        <w:rPr>
          <w:rFonts w:ascii="宋体" w:hAnsi="宋体"/>
          <w:sz w:val="24"/>
          <w:szCs w:val="24"/>
        </w:rPr>
      </w:pPr>
      <w:bookmarkStart w:id="143" w:name="_Toc179617795"/>
      <w:r>
        <w:rPr>
          <w:rFonts w:hint="eastAsia" w:ascii="宋体" w:hAnsi="宋体"/>
          <w:sz w:val="24"/>
          <w:szCs w:val="24"/>
        </w:rPr>
        <w:t>（二）基金托管费的计提比例和计提方法</w:t>
      </w:r>
      <w:bookmarkEnd w:id="143"/>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基金托管人的基金托管费（如基金托管人委托境外托管人，包括向其支付的相应服务费）按基金资产净值的</w:t>
      </w:r>
      <w:r>
        <w:rPr>
          <w:rFonts w:ascii="宋体" w:hAnsi="宋体"/>
          <w:sz w:val="24"/>
          <w:szCs w:val="24"/>
        </w:rPr>
        <w:t>0.2</w:t>
      </w:r>
      <w:r>
        <w:rPr>
          <w:rFonts w:hint="eastAsia" w:ascii="宋体" w:hAnsi="宋体"/>
          <w:sz w:val="24"/>
          <w:szCs w:val="24"/>
          <w:lang w:val="en-US" w:eastAsia="zh-CN"/>
        </w:rPr>
        <w:t>0</w:t>
      </w:r>
      <w:r>
        <w:rPr>
          <w:rFonts w:ascii="宋体" w:hAnsi="宋体"/>
          <w:sz w:val="24"/>
          <w:szCs w:val="24"/>
        </w:rPr>
        <w:t>%年费率计提。</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基金托管费按前一日基金资产净值的</w:t>
      </w:r>
      <w:r>
        <w:rPr>
          <w:rFonts w:ascii="宋体" w:hAnsi="宋体"/>
          <w:sz w:val="24"/>
          <w:szCs w:val="24"/>
        </w:rPr>
        <w:t>0.2</w:t>
      </w:r>
      <w:r>
        <w:rPr>
          <w:rFonts w:hint="eastAsia" w:ascii="宋体" w:hAnsi="宋体"/>
          <w:sz w:val="24"/>
          <w:szCs w:val="24"/>
          <w:lang w:val="en-US" w:eastAsia="zh-CN"/>
        </w:rPr>
        <w:t>0</w:t>
      </w:r>
      <w:r>
        <w:rPr>
          <w:rFonts w:ascii="宋体" w:hAnsi="宋体"/>
          <w:sz w:val="24"/>
          <w:szCs w:val="24"/>
        </w:rPr>
        <w:t>%年费率计提。计算方法如下：</w:t>
      </w:r>
    </w:p>
    <w:p>
      <w:pPr>
        <w:spacing w:before="100" w:beforeAutospacing="1" w:after="100" w:afterAutospacing="1" w:line="400" w:lineRule="exact"/>
        <w:ind w:firstLine="420"/>
        <w:rPr>
          <w:rFonts w:ascii="宋体" w:hAnsi="宋体"/>
          <w:sz w:val="24"/>
          <w:szCs w:val="24"/>
        </w:rPr>
      </w:pPr>
      <w:r>
        <w:rPr>
          <w:rFonts w:ascii="宋体" w:hAnsi="宋体"/>
          <w:sz w:val="24"/>
          <w:szCs w:val="24"/>
        </w:rPr>
        <w:t>H=E</w:t>
      </w:r>
      <w:r>
        <w:rPr>
          <w:rFonts w:hint="eastAsia" w:ascii="宋体" w:hAnsi="宋体"/>
          <w:sz w:val="24"/>
          <w:szCs w:val="24"/>
        </w:rPr>
        <w:t>×</w:t>
      </w:r>
      <w:r>
        <w:rPr>
          <w:rFonts w:ascii="宋体" w:hAnsi="宋体"/>
          <w:sz w:val="24"/>
          <w:szCs w:val="24"/>
        </w:rPr>
        <w:t>0.2</w:t>
      </w:r>
      <w:r>
        <w:rPr>
          <w:rFonts w:hint="eastAsia" w:ascii="宋体" w:hAnsi="宋体"/>
          <w:sz w:val="24"/>
          <w:szCs w:val="24"/>
          <w:lang w:val="en-US" w:eastAsia="zh-CN"/>
        </w:rPr>
        <w:t>0</w:t>
      </w:r>
      <w:r>
        <w:rPr>
          <w:rFonts w:ascii="宋体" w:hAnsi="宋体"/>
          <w:sz w:val="24"/>
          <w:szCs w:val="24"/>
        </w:rPr>
        <w:t>%÷当年天数</w:t>
      </w:r>
    </w:p>
    <w:p>
      <w:pPr>
        <w:spacing w:before="100" w:beforeAutospacing="1" w:after="100" w:afterAutospacing="1" w:line="400" w:lineRule="exact"/>
        <w:ind w:firstLine="420"/>
        <w:rPr>
          <w:rFonts w:ascii="宋体" w:hAnsi="宋体"/>
          <w:sz w:val="24"/>
          <w:szCs w:val="24"/>
        </w:rPr>
      </w:pPr>
      <w:r>
        <w:rPr>
          <w:rFonts w:ascii="宋体" w:hAnsi="宋体"/>
          <w:sz w:val="24"/>
          <w:szCs w:val="24"/>
        </w:rPr>
        <w:t>H</w:t>
      </w:r>
      <w:r>
        <w:rPr>
          <w:rFonts w:hint="eastAsia" w:ascii="宋体" w:hAnsi="宋体"/>
          <w:sz w:val="24"/>
          <w:szCs w:val="24"/>
        </w:rPr>
        <w:t>为每日应计提的基金托管费</w:t>
      </w:r>
    </w:p>
    <w:p>
      <w:pPr>
        <w:spacing w:before="100" w:beforeAutospacing="1" w:after="100" w:afterAutospacing="1" w:line="400" w:lineRule="exact"/>
        <w:ind w:firstLine="420"/>
        <w:rPr>
          <w:rFonts w:ascii="宋体" w:hAnsi="宋体"/>
          <w:sz w:val="24"/>
          <w:szCs w:val="24"/>
        </w:rPr>
      </w:pPr>
      <w:r>
        <w:rPr>
          <w:rFonts w:ascii="宋体" w:hAnsi="宋体"/>
          <w:sz w:val="24"/>
          <w:szCs w:val="24"/>
        </w:rPr>
        <w:t>E</w:t>
      </w:r>
      <w:r>
        <w:rPr>
          <w:rFonts w:hint="eastAsia" w:ascii="宋体" w:hAnsi="宋体"/>
          <w:sz w:val="24"/>
          <w:szCs w:val="24"/>
        </w:rPr>
        <w:t>为前一日的基金资产净值</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基金托管费每日计算，逐日累计至每月月末，按月支付，由基金管理人向基金托管人发送基金托管费划款指令，基金托管人复核后于次月前</w:t>
      </w:r>
      <w:r>
        <w:rPr>
          <w:rFonts w:ascii="宋体" w:hAnsi="宋体"/>
          <w:sz w:val="24"/>
          <w:szCs w:val="24"/>
        </w:rPr>
        <w:t>3个工作日内从基金财产中一次性支取。若遇法定节假日、公休日</w:t>
      </w:r>
      <w:r>
        <w:rPr>
          <w:rFonts w:hint="eastAsia" w:ascii="宋体" w:hAnsi="宋体"/>
          <w:bCs/>
          <w:sz w:val="24"/>
          <w:szCs w:val="24"/>
        </w:rPr>
        <w:t>或不可抗力致使无法按时支付的</w:t>
      </w:r>
      <w:r>
        <w:rPr>
          <w:rFonts w:ascii="宋体" w:hAnsi="宋体"/>
          <w:sz w:val="24"/>
          <w:szCs w:val="24"/>
        </w:rPr>
        <w:t>,支付日期顺延。</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（三）C类基金份额的销售服务费的计提比例和计提方法</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本基金A类基金份额不收取销售服务费，C类基金份额的销售服务费按前一日C类基金资产净值的0.</w:t>
      </w:r>
      <w:r>
        <w:rPr>
          <w:rFonts w:ascii="宋体" w:hAnsi="宋体"/>
          <w:sz w:val="24"/>
          <w:szCs w:val="24"/>
        </w:rPr>
        <w:t>1</w:t>
      </w:r>
      <w:r>
        <w:rPr>
          <w:rFonts w:hint="eastAsia" w:ascii="宋体" w:hAnsi="宋体"/>
          <w:sz w:val="24"/>
          <w:szCs w:val="24"/>
        </w:rPr>
        <w:t>%年费率计提。计算方法如下：</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H＝E×0</w:t>
      </w:r>
      <w:r>
        <w:rPr>
          <w:rFonts w:ascii="宋体" w:hAnsi="宋体"/>
          <w:sz w:val="24"/>
          <w:szCs w:val="24"/>
        </w:rPr>
        <w:t>.</w:t>
      </w:r>
      <w:r>
        <w:rPr>
          <w:rFonts w:hint="eastAsia" w:ascii="宋体" w:hAnsi="宋体"/>
          <w:sz w:val="24"/>
          <w:szCs w:val="24"/>
        </w:rPr>
        <w:t>1%÷当年天数</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H为C类基金份额每日应计提的销售服务费</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E为C类基金份额前一日基金资产净值</w:t>
      </w:r>
    </w:p>
    <w:p>
      <w:pPr>
        <w:spacing w:line="360" w:lineRule="auto"/>
        <w:ind w:firstLine="480" w:firstLineChars="200"/>
        <w:rPr>
          <w:sz w:val="24"/>
        </w:rPr>
      </w:pPr>
      <w:r>
        <w:rPr>
          <w:rFonts w:hint="eastAsia"/>
          <w:sz w:val="24"/>
        </w:rPr>
        <w:t>C类基金份额销售服务费每日计提，按月支付。由基金管理人向基金托管人发送销售服务费划付指令，经基金托管人复核后于次月首日起</w:t>
      </w:r>
      <w:r>
        <w:rPr>
          <w:sz w:val="24"/>
        </w:rPr>
        <w:t>5</w:t>
      </w:r>
      <w:r>
        <w:rPr>
          <w:rFonts w:hint="eastAsia"/>
          <w:sz w:val="24"/>
        </w:rPr>
        <w:t>个工作日内从基金资产中一次性支付给基金管理人，由基金管理人代付给销售机构。若遇法定节假日、休息日或不可抗力致使无法按时支付的，顺延至最近可支付日支付。</w:t>
      </w:r>
    </w:p>
    <w:p>
      <w:pPr>
        <w:pStyle w:val="53"/>
        <w:spacing w:after="78"/>
        <w:ind w:firstLine="480"/>
        <w:rPr>
          <w:rFonts w:hAnsi="宋体"/>
          <w:bCs/>
        </w:rPr>
      </w:pPr>
      <w:r>
        <w:rPr>
          <w:rFonts w:hint="eastAsia"/>
          <w:bCs/>
        </w:rPr>
        <w:t>C类基金份额的销售服务费将专门用于本基金的推广、销售与基金份额持有人服务。</w:t>
      </w:r>
    </w:p>
    <w:p>
      <w:pPr>
        <w:spacing w:before="100" w:beforeAutospacing="1" w:after="100" w:afterAutospacing="1" w:line="400" w:lineRule="exact"/>
        <w:ind w:firstLine="420"/>
        <w:rPr>
          <w:rFonts w:ascii="宋体" w:hAnsi="宋体"/>
          <w:sz w:val="24"/>
          <w:szCs w:val="24"/>
        </w:rPr>
      </w:pPr>
      <w:bookmarkStart w:id="144" w:name="_Toc179617796"/>
      <w:r>
        <w:rPr>
          <w:rFonts w:hint="eastAsia" w:ascii="宋体" w:hAnsi="宋体"/>
          <w:sz w:val="24"/>
          <w:szCs w:val="24"/>
        </w:rPr>
        <w:t>（四）基金合同生效后的标的指数许可使用费</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H＝E×0.02%÷当年天数</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H为每日应计提的指数许可使用费</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E为前一日基金资产净值</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自基金合同生效日起，基金标的指数许可使用费每日计提，按季支付，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（五）其他费用</w:t>
      </w:r>
      <w:bookmarkEnd w:id="144"/>
    </w:p>
    <w:p>
      <w:pPr>
        <w:spacing w:line="360" w:lineRule="auto"/>
        <w:ind w:firstLine="480" w:firstLineChars="200"/>
        <w:rPr>
          <w:bCs/>
          <w:sz w:val="24"/>
        </w:rPr>
      </w:pPr>
      <w:r>
        <w:rPr>
          <w:rFonts w:hint="eastAsia"/>
          <w:bCs/>
          <w:sz w:val="24"/>
        </w:rPr>
        <w:t>基金上市初费及上市年费、</w:t>
      </w:r>
      <w:r>
        <w:rPr>
          <w:bCs/>
          <w:sz w:val="24"/>
        </w:rPr>
        <w:t>《基金合同》生效后与基金相关的信息披露费用</w:t>
      </w:r>
      <w:r>
        <w:rPr>
          <w:rFonts w:hint="eastAsia"/>
          <w:bCs/>
          <w:sz w:val="24"/>
        </w:rPr>
        <w:t>、</w:t>
      </w:r>
    </w:p>
    <w:p>
      <w:pPr>
        <w:spacing w:line="360" w:lineRule="auto"/>
        <w:rPr>
          <w:bCs/>
          <w:sz w:val="24"/>
        </w:rPr>
      </w:pPr>
      <w:r>
        <w:rPr>
          <w:bCs/>
          <w:sz w:val="24"/>
        </w:rPr>
        <w:t>《基金合同》生效后与基金相关的会计师费</w:t>
      </w:r>
      <w:r>
        <w:rPr>
          <w:rFonts w:hint="eastAsia"/>
          <w:bCs/>
          <w:sz w:val="24"/>
        </w:rPr>
        <w:t>和</w:t>
      </w:r>
      <w:r>
        <w:rPr>
          <w:bCs/>
          <w:sz w:val="24"/>
        </w:rPr>
        <w:t>律师费</w:t>
      </w:r>
      <w:r>
        <w:rPr>
          <w:rFonts w:hint="eastAsia"/>
          <w:bCs/>
          <w:sz w:val="24"/>
        </w:rPr>
        <w:t>以及</w:t>
      </w:r>
      <w:r>
        <w:rPr>
          <w:bCs/>
          <w:sz w:val="24"/>
        </w:rPr>
        <w:t>诉讼费</w:t>
      </w:r>
      <w:r>
        <w:rPr>
          <w:rFonts w:hint="eastAsia"/>
          <w:bCs/>
          <w:sz w:val="24"/>
        </w:rPr>
        <w:t>、</w:t>
      </w:r>
      <w:r>
        <w:rPr>
          <w:bCs/>
          <w:sz w:val="24"/>
        </w:rPr>
        <w:t>基金份额持有人大会费用</w:t>
      </w:r>
      <w:r>
        <w:rPr>
          <w:rFonts w:hint="eastAsia"/>
          <w:bCs/>
          <w:sz w:val="24"/>
        </w:rPr>
        <w:t>、</w:t>
      </w:r>
      <w:r>
        <w:rPr>
          <w:bCs/>
          <w:sz w:val="24"/>
        </w:rPr>
        <w:t>基金的证券交易费用</w:t>
      </w:r>
      <w:r>
        <w:rPr>
          <w:rFonts w:hint="eastAsia"/>
          <w:bCs/>
          <w:sz w:val="24"/>
        </w:rPr>
        <w:t>及在境外市场的交易、清算、登记等实际发生的费用（</w:t>
      </w:r>
      <w:r>
        <w:rPr>
          <w:bCs/>
          <w:sz w:val="24"/>
        </w:rPr>
        <w:t>out-of-pocket fees</w:t>
      </w:r>
      <w:r>
        <w:rPr>
          <w:rFonts w:hint="eastAsia"/>
          <w:bCs/>
          <w:sz w:val="24"/>
        </w:rPr>
        <w:t>）、</w:t>
      </w:r>
      <w:r>
        <w:rPr>
          <w:bCs/>
          <w:sz w:val="24"/>
        </w:rPr>
        <w:t>基金的银行汇划费用</w:t>
      </w:r>
      <w:r>
        <w:rPr>
          <w:rFonts w:hint="eastAsia"/>
          <w:bCs/>
          <w:sz w:val="24"/>
        </w:rPr>
        <w:t>和外汇兑换交易相关费用、</w:t>
      </w:r>
      <w:r>
        <w:rPr>
          <w:rFonts w:hint="eastAsia" w:ascii="宋体" w:hAnsi="宋体"/>
          <w:sz w:val="24"/>
        </w:rPr>
        <w:t>基金的开户费用、账户维护费用、</w:t>
      </w:r>
      <w:r>
        <w:rPr>
          <w:rFonts w:hint="eastAsia"/>
          <w:bCs/>
          <w:sz w:val="24"/>
        </w:rPr>
        <w:t>与基金缴纳税款有关的手续费、汇款费及代理费、</w:t>
      </w:r>
      <w:r>
        <w:rPr>
          <w:rFonts w:hint="eastAsia" w:ascii="宋体" w:hAnsi="宋体"/>
          <w:sz w:val="24"/>
        </w:rPr>
        <w:t>因基金利益更换境外托管人而进行的资产转移所产生的费用、</w:t>
      </w:r>
      <w:r>
        <w:rPr>
          <w:rFonts w:hint="eastAsia" w:ascii="宋体" w:hAnsi="宋体"/>
          <w:bCs/>
          <w:sz w:val="24"/>
        </w:rPr>
        <w:t>为应付赎回和交易清算而进行临时借款所发生的费用、代表基金投票或其他与基金投资活动有关的费用</w:t>
      </w:r>
      <w:r>
        <w:rPr>
          <w:rFonts w:hint="eastAsia" w:ascii="宋体" w:hAnsi="宋体"/>
          <w:sz w:val="24"/>
          <w:szCs w:val="24"/>
        </w:rPr>
        <w:t>以及按照国家有关规定可以列入的其他费用等根据有关法规及相关合同的规定，按费用实际支出金额支付，列入当期基金费用。</w:t>
      </w:r>
    </w:p>
    <w:p>
      <w:pPr>
        <w:spacing w:before="100" w:beforeAutospacing="1" w:after="100" w:afterAutospacing="1" w:line="400" w:lineRule="exact"/>
        <w:ind w:firstLine="420"/>
        <w:rPr>
          <w:rFonts w:ascii="宋体" w:hAnsi="宋体"/>
          <w:sz w:val="24"/>
          <w:szCs w:val="24"/>
        </w:rPr>
      </w:pPr>
      <w:bookmarkStart w:id="145" w:name="_Toc179617797"/>
      <w:r>
        <w:rPr>
          <w:rFonts w:hint="eastAsia" w:ascii="宋体" w:hAnsi="宋体"/>
          <w:sz w:val="24"/>
          <w:szCs w:val="24"/>
        </w:rPr>
        <w:t>（六）不列入基金费用的项目</w:t>
      </w:r>
      <w:bookmarkEnd w:id="145"/>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与基金托管人因未履行或未完全履行义务导致的费用支出或基金财产的损失，以及处理与基金运作无关的事项发生的费用等不列入基金费用。对于违反法律法规、基金合同、本协议及其他有关规定的基金费用（包括基金费用的计提方法、计提标准、支付方式等），不得从任何基金财产中列支。</w:t>
      </w:r>
    </w:p>
    <w:p>
      <w:pPr>
        <w:spacing w:before="100" w:beforeAutospacing="1" w:after="100" w:afterAutospacing="1" w:line="400" w:lineRule="exact"/>
        <w:ind w:firstLine="420"/>
        <w:rPr>
          <w:rFonts w:ascii="宋体" w:hAnsi="宋体"/>
          <w:sz w:val="24"/>
          <w:szCs w:val="24"/>
        </w:rPr>
      </w:pPr>
      <w:bookmarkStart w:id="146" w:name="_Toc179617798"/>
      <w:r>
        <w:rPr>
          <w:rFonts w:hint="eastAsia" w:ascii="宋体" w:hAnsi="宋体"/>
          <w:sz w:val="24"/>
          <w:szCs w:val="24"/>
        </w:rPr>
        <w:t>（七）基金管理费、基金托管费和销售服务费的调整</w:t>
      </w:r>
      <w:bookmarkEnd w:id="146"/>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基金管理人和基金托管人可协商酌情降低基金管理费、基金托管费</w:t>
      </w:r>
      <w:r>
        <w:rPr>
          <w:rFonts w:hint="eastAsia" w:ascii="宋体" w:hAnsi="宋体" w:cs="Arial"/>
          <w:sz w:val="24"/>
        </w:rPr>
        <w:t>和销售服务费</w:t>
      </w:r>
      <w:r>
        <w:rPr>
          <w:rFonts w:hint="eastAsia" w:ascii="宋体" w:hAnsi="宋体"/>
          <w:sz w:val="24"/>
          <w:szCs w:val="24"/>
        </w:rPr>
        <w:t>，此项调整不需要基金份额持有人大会决议通过。基金管理人必须最迟于新的费率实施日前依照《信息披露办法》的有关规定予以披露。</w:t>
      </w:r>
    </w:p>
    <w:p>
      <w:pPr>
        <w:pStyle w:val="3"/>
        <w:pageBreakBefore/>
        <w:spacing w:before="100" w:beforeAutospacing="1" w:after="100" w:afterAutospacing="1" w:line="400" w:lineRule="exact"/>
        <w:jc w:val="center"/>
        <w:rPr>
          <w:rFonts w:ascii="宋体" w:hAnsi="宋体" w:eastAsia="宋体"/>
          <w:sz w:val="24"/>
          <w:szCs w:val="24"/>
        </w:rPr>
      </w:pPr>
      <w:bookmarkStart w:id="147" w:name="_Toc179617799"/>
      <w:bookmarkStart w:id="148" w:name="_Toc328568685"/>
      <w:r>
        <w:rPr>
          <w:rFonts w:hint="eastAsia" w:ascii="宋体" w:hAnsi="宋体" w:eastAsia="宋体"/>
          <w:sz w:val="24"/>
          <w:szCs w:val="24"/>
        </w:rPr>
        <w:t>十三、基金份额持有人名册的保管</w:t>
      </w:r>
      <w:bookmarkEnd w:id="147"/>
      <w:bookmarkEnd w:id="148"/>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（一）基金份额持有人名册的内容</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基金份额持有人名册的内容包括但不限于基金份额持有人的名称和持有的基金份额。</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基金份额持有人名册包括但不限于以下几类：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1、基金募集期结束时的基金份额持有人名册；</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2、基金权益登记日的基金份额持有人名册；</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3、基金份额持有人大会权益登记日的基金份额持有人名册；</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4、每半年度最后一个交易日的基金份额持有人名册。</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（二）基金份额持有人名册的提供与保管</w:t>
      </w:r>
    </w:p>
    <w:p>
      <w:pPr>
        <w:spacing w:before="100" w:beforeAutospacing="1" w:after="100" w:afterAutospacing="1" w:line="400" w:lineRule="exact"/>
        <w:ind w:firstLine="420"/>
        <w:rPr>
          <w:rFonts w:ascii="宋体" w:hAnsi="宋体"/>
          <w:sz w:val="24"/>
          <w:szCs w:val="24"/>
        </w:rPr>
      </w:pPr>
      <w:r>
        <w:rPr>
          <w:rFonts w:ascii="宋体" w:hAnsi="宋体"/>
          <w:sz w:val="24"/>
          <w:szCs w:val="24"/>
        </w:rPr>
        <w:t>基金份额持有人名册由基金登记机构根据基金管理人的指令编制和保管，基金管理人和基金托管人应分别保管与各自职责相关的基金份额持有人名册，保存期不少于15年。如不能妥善保管，则按相关法规承担责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在基金托管人要求或编制中期报告和年度报告前，基金管理人应将基金份额持有人名册等有关资料送交基金托管人，不得无故拒绝或延误提供，并保证其的真实性、准确性和完整性。基金托管人对基金份额持有人名册负有保密义务。</w:t>
      </w:r>
      <w:bookmarkStart w:id="149" w:name="_Toc179617800"/>
    </w:p>
    <w:p>
      <w:pPr>
        <w:pStyle w:val="3"/>
        <w:pageBreakBefore/>
        <w:spacing w:before="100" w:beforeAutospacing="1" w:after="100" w:afterAutospacing="1" w:line="400" w:lineRule="exact"/>
        <w:jc w:val="center"/>
        <w:rPr>
          <w:rFonts w:ascii="宋体" w:hAnsi="宋体" w:eastAsia="宋体"/>
          <w:sz w:val="24"/>
          <w:szCs w:val="24"/>
        </w:rPr>
      </w:pPr>
      <w:bookmarkStart w:id="150" w:name="_Toc328568686"/>
      <w:r>
        <w:rPr>
          <w:rFonts w:hint="eastAsia" w:ascii="宋体" w:hAnsi="宋体" w:eastAsia="宋体"/>
          <w:sz w:val="24"/>
          <w:szCs w:val="24"/>
        </w:rPr>
        <w:t>十四、基金有关文件档案的保存</w:t>
      </w:r>
      <w:bookmarkEnd w:id="149"/>
      <w:bookmarkEnd w:id="150"/>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（一）档案保存</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（二）合同档案的建立</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与基金财产有关的重大合同的正本分别由基金管理人和基金托管人保管，除另有规定外，基金管理人在代表基金签署与基金财产有关的重大合同时一般应保证有两份以上的正本，以便基金管理人和基金托管人至少各持有一份正本原件。基金管理人在签署该等重大合同文本后，应及时将合同文本正本送达基金托管人处。</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（三）变更与协助</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若基金管理人/基金托管人发生变更，未变更的一方有义务协助变更后的接任人接收相应文件。</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（四）基金管理人和基金托管人应按各自职责完整保存原始凭证、记账凭证、基金账册、交易记录和重要合同等，并保存至少15年以上。</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五）基金管理人和基金托管人对基金有关文件档案均负有保密义务，任何一方不得在基金有关文件档案公开披露前，先行向双方和基金份额持有人大会之外的任何机构或个人披露，法律法规和基金合同另有规定的除外。</w:t>
      </w:r>
    </w:p>
    <w:p>
      <w:pPr>
        <w:pStyle w:val="3"/>
        <w:pageBreakBefore/>
        <w:spacing w:before="100" w:beforeAutospacing="1" w:after="100" w:afterAutospacing="1" w:line="400" w:lineRule="exact"/>
        <w:jc w:val="center"/>
        <w:rPr>
          <w:rFonts w:ascii="宋体" w:hAnsi="宋体" w:eastAsia="宋体"/>
          <w:sz w:val="24"/>
          <w:szCs w:val="24"/>
        </w:rPr>
      </w:pPr>
      <w:bookmarkStart w:id="151" w:name="_Toc179617801"/>
      <w:bookmarkStart w:id="152" w:name="_Toc328568687"/>
      <w:r>
        <w:rPr>
          <w:rFonts w:hint="eastAsia" w:ascii="宋体" w:hAnsi="宋体" w:eastAsia="宋体"/>
          <w:sz w:val="24"/>
          <w:szCs w:val="24"/>
        </w:rPr>
        <w:t>十五、基金管理人和基金托管人的更换</w:t>
      </w:r>
      <w:bookmarkEnd w:id="151"/>
      <w:r>
        <w:rPr>
          <w:rFonts w:hint="eastAsia" w:ascii="宋体" w:hAnsi="宋体" w:eastAsia="宋体"/>
          <w:sz w:val="24"/>
          <w:szCs w:val="24"/>
        </w:rPr>
        <w:t>、境外托管代理人的选任</w:t>
      </w:r>
      <w:bookmarkEnd w:id="152"/>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（一）</w:t>
      </w:r>
      <w:r>
        <w:rPr>
          <w:rFonts w:ascii="宋体" w:hAnsi="宋体"/>
          <w:sz w:val="24"/>
          <w:szCs w:val="24"/>
        </w:rPr>
        <w:t>基金管理人职责终止</w:t>
      </w:r>
      <w:r>
        <w:rPr>
          <w:rFonts w:hint="eastAsia" w:ascii="宋体" w:hAnsi="宋体"/>
          <w:sz w:val="24"/>
          <w:szCs w:val="24"/>
        </w:rPr>
        <w:t>后</w:t>
      </w:r>
      <w:r>
        <w:rPr>
          <w:rFonts w:ascii="宋体" w:hAnsi="宋体"/>
          <w:sz w:val="24"/>
          <w:szCs w:val="24"/>
        </w:rPr>
        <w:t>，</w:t>
      </w:r>
      <w:r>
        <w:rPr>
          <w:rFonts w:hint="eastAsia" w:ascii="宋体" w:hAnsi="宋体"/>
          <w:sz w:val="24"/>
          <w:szCs w:val="24"/>
        </w:rPr>
        <w:t>仍</w:t>
      </w:r>
      <w:r>
        <w:rPr>
          <w:rFonts w:ascii="宋体" w:hAnsi="宋体"/>
          <w:sz w:val="24"/>
          <w:szCs w:val="24"/>
        </w:rPr>
        <w:t>应妥善保管基金管理业务资料，</w:t>
      </w:r>
      <w:r>
        <w:rPr>
          <w:rFonts w:hint="eastAsia" w:ascii="宋体" w:hAnsi="宋体"/>
          <w:sz w:val="24"/>
          <w:szCs w:val="24"/>
        </w:rPr>
        <w:t>并与新任基金管理人或临时基金管理人</w:t>
      </w:r>
      <w:r>
        <w:rPr>
          <w:rFonts w:ascii="宋体" w:hAnsi="宋体"/>
          <w:sz w:val="24"/>
          <w:szCs w:val="24"/>
        </w:rPr>
        <w:t>及时办理基金管理业务的移交手续。</w:t>
      </w:r>
      <w:r>
        <w:rPr>
          <w:rFonts w:hint="eastAsia" w:ascii="宋体" w:hAnsi="宋体"/>
          <w:sz w:val="24"/>
          <w:szCs w:val="24"/>
        </w:rPr>
        <w:t>基金托管人应给予积极配合，并与新任基金管理人或临时基金管理人核对基金资产总值和净值。</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w:t>
      </w:r>
      <w:r>
        <w:rPr>
          <w:rFonts w:ascii="宋体" w:hAnsi="宋体"/>
          <w:sz w:val="24"/>
          <w:szCs w:val="24"/>
        </w:rPr>
        <w:t>基金托管人职责终止</w:t>
      </w:r>
      <w:r>
        <w:rPr>
          <w:rFonts w:hint="eastAsia" w:ascii="宋体" w:hAnsi="宋体"/>
          <w:sz w:val="24"/>
          <w:szCs w:val="24"/>
        </w:rPr>
        <w:t>后</w:t>
      </w:r>
      <w:r>
        <w:rPr>
          <w:rFonts w:ascii="宋体" w:hAnsi="宋体"/>
          <w:sz w:val="24"/>
          <w:szCs w:val="24"/>
        </w:rPr>
        <w:t>，</w:t>
      </w:r>
      <w:r>
        <w:rPr>
          <w:rFonts w:hint="eastAsia" w:ascii="宋体" w:hAnsi="宋体"/>
          <w:sz w:val="24"/>
          <w:szCs w:val="24"/>
        </w:rPr>
        <w:t>仍</w:t>
      </w:r>
      <w:r>
        <w:rPr>
          <w:rFonts w:ascii="宋体" w:hAnsi="宋体"/>
          <w:sz w:val="24"/>
          <w:szCs w:val="24"/>
        </w:rPr>
        <w:t>应妥善保管基金财产和基金托管业务资料，</w:t>
      </w:r>
      <w:r>
        <w:rPr>
          <w:rFonts w:hint="eastAsia" w:ascii="宋体" w:hAnsi="宋体"/>
          <w:sz w:val="24"/>
          <w:szCs w:val="24"/>
        </w:rPr>
        <w:t>并与新任基金托管人或临时基金托管人</w:t>
      </w:r>
      <w:r>
        <w:rPr>
          <w:rFonts w:ascii="宋体" w:hAnsi="宋体"/>
          <w:sz w:val="24"/>
          <w:szCs w:val="24"/>
        </w:rPr>
        <w:t>及时办理基金财产和基金托管业务的移交手续。</w:t>
      </w:r>
      <w:r>
        <w:rPr>
          <w:rFonts w:hint="eastAsia" w:ascii="宋体" w:hAnsi="宋体"/>
          <w:sz w:val="24"/>
          <w:szCs w:val="24"/>
        </w:rPr>
        <w:t>基金管理人应给予积极配合，并与新任基金托管人或临时基金托管人核对基金资产总值和净值。</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（三）境外托管人的选任：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1、基金托管人应以谨慎、尽责的原则根据《试行办法》第十九条的规定选择境外托管机构担任境外托管人。</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2、基金托管人应监督境外托管人，要求其按照本协议的约定处理托管事宜。</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 xml:space="preserve">3、基金托管人按照本款第1项选择了境外托管人，即可被确认为充分履行了选择境外托管人的义务， </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（四）境外托管人的更换：</w:t>
      </w:r>
      <w:r>
        <w:rPr>
          <w:rFonts w:ascii="宋体" w:hAnsi="宋体"/>
          <w:sz w:val="24"/>
          <w:szCs w:val="24"/>
        </w:rPr>
        <w:t xml:space="preserve"> </w:t>
      </w:r>
    </w:p>
    <w:p>
      <w:pPr>
        <w:spacing w:before="100" w:beforeAutospacing="1" w:after="100" w:afterAutospacing="1" w:line="400" w:lineRule="exact"/>
        <w:ind w:firstLine="420"/>
        <w:rPr>
          <w:rFonts w:ascii="宋体" w:hAnsi="宋体"/>
          <w:sz w:val="24"/>
          <w:szCs w:val="24"/>
        </w:rPr>
      </w:pPr>
      <w:r>
        <w:rPr>
          <w:rFonts w:ascii="宋体" w:hAnsi="宋体"/>
          <w:sz w:val="24"/>
          <w:szCs w:val="24"/>
        </w:rPr>
        <w:t>1</w:t>
      </w:r>
      <w:r>
        <w:rPr>
          <w:rFonts w:hint="eastAsia" w:ascii="宋体" w:hAnsi="宋体"/>
          <w:sz w:val="24"/>
          <w:szCs w:val="24"/>
        </w:rPr>
        <w:t>、如果基金托管人更换境外托管人，应在合理的期限内及时书面通知基金管理人。</w:t>
      </w:r>
      <w:r>
        <w:rPr>
          <w:rFonts w:ascii="宋体" w:hAnsi="宋体"/>
          <w:sz w:val="24"/>
          <w:szCs w:val="24"/>
        </w:rPr>
        <w:t xml:space="preserve"> </w:t>
      </w:r>
    </w:p>
    <w:p>
      <w:pPr>
        <w:spacing w:before="100" w:beforeAutospacing="1" w:after="100" w:afterAutospacing="1" w:line="400" w:lineRule="exact"/>
        <w:ind w:firstLine="420"/>
        <w:rPr>
          <w:rFonts w:ascii="宋体" w:hAnsi="宋体"/>
          <w:sz w:val="24"/>
          <w:szCs w:val="24"/>
        </w:rPr>
      </w:pPr>
      <w:r>
        <w:rPr>
          <w:rFonts w:ascii="宋体" w:hAnsi="宋体"/>
          <w:sz w:val="24"/>
          <w:szCs w:val="24"/>
        </w:rPr>
        <w:t>2</w:t>
      </w:r>
      <w:r>
        <w:rPr>
          <w:rFonts w:hint="eastAsia" w:ascii="宋体" w:hAnsi="宋体"/>
          <w:sz w:val="24"/>
          <w:szCs w:val="24"/>
        </w:rPr>
        <w:t>、基金托管人和境外托管人根据更换境外托管人通知办理相应的业务交接手续，在办理相应的业务交接手续时，基金托管人和境外托管人应继续遵循诚实信用、勤勉尽责的原则，妥善保管基金财产。</w:t>
      </w:r>
      <w:r>
        <w:rPr>
          <w:rFonts w:ascii="宋体" w:hAnsi="宋体"/>
          <w:sz w:val="24"/>
          <w:szCs w:val="24"/>
        </w:rPr>
        <w:t xml:space="preserve"> </w:t>
      </w:r>
    </w:p>
    <w:p>
      <w:pPr>
        <w:spacing w:before="100" w:beforeAutospacing="1" w:after="100" w:afterAutospacing="1" w:line="400" w:lineRule="exact"/>
        <w:ind w:firstLine="420"/>
        <w:rPr>
          <w:rFonts w:ascii="宋体" w:hAnsi="宋体"/>
          <w:sz w:val="24"/>
          <w:szCs w:val="24"/>
        </w:rPr>
      </w:pPr>
      <w:r>
        <w:rPr>
          <w:rFonts w:ascii="宋体" w:hAnsi="宋体"/>
          <w:sz w:val="24"/>
          <w:szCs w:val="24"/>
        </w:rPr>
        <w:t>3</w:t>
      </w:r>
      <w:r>
        <w:rPr>
          <w:rFonts w:hint="eastAsia" w:ascii="宋体" w:hAnsi="宋体"/>
          <w:sz w:val="24"/>
          <w:szCs w:val="24"/>
        </w:rPr>
        <w:t>、基金托管人应要求接任的境外托管人配合和原境外托管人办理业务交接手续。</w:t>
      </w:r>
      <w:r>
        <w:rPr>
          <w:rFonts w:ascii="宋体" w:hAnsi="宋体"/>
          <w:sz w:val="24"/>
          <w:szCs w:val="24"/>
        </w:rPr>
        <w:t xml:space="preserve"> </w:t>
      </w:r>
    </w:p>
    <w:p>
      <w:pPr>
        <w:spacing w:before="100" w:beforeAutospacing="1" w:after="100" w:afterAutospacing="1" w:line="400" w:lineRule="exact"/>
        <w:ind w:firstLine="420"/>
        <w:rPr>
          <w:rFonts w:ascii="宋体" w:hAnsi="宋体"/>
          <w:sz w:val="24"/>
          <w:szCs w:val="24"/>
        </w:rPr>
      </w:pPr>
      <w:r>
        <w:rPr>
          <w:rFonts w:ascii="宋体" w:hAnsi="宋体"/>
          <w:sz w:val="24"/>
          <w:szCs w:val="24"/>
        </w:rPr>
        <w:t>4</w:t>
      </w:r>
      <w:r>
        <w:rPr>
          <w:rFonts w:hint="eastAsia" w:ascii="宋体" w:hAnsi="宋体"/>
          <w:sz w:val="24"/>
          <w:szCs w:val="24"/>
        </w:rPr>
        <w:t>、变更境外托管人后</w:t>
      </w:r>
      <w:r>
        <w:rPr>
          <w:rFonts w:ascii="宋体" w:hAnsi="宋体"/>
          <w:sz w:val="24"/>
          <w:szCs w:val="24"/>
        </w:rPr>
        <w:t>5</w:t>
      </w:r>
      <w:r>
        <w:rPr>
          <w:rFonts w:hint="eastAsia" w:ascii="宋体" w:hAnsi="宋体"/>
          <w:sz w:val="24"/>
          <w:szCs w:val="24"/>
        </w:rPr>
        <w:t>个工作日内应向中国证监会备案并公告。</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（五）其他事宜见基金合同的相关约定。</w:t>
      </w:r>
      <w:bookmarkStart w:id="153" w:name="_Toc179617802"/>
    </w:p>
    <w:p>
      <w:pPr>
        <w:pStyle w:val="3"/>
        <w:pageBreakBefore/>
        <w:spacing w:before="100" w:beforeAutospacing="1" w:after="100" w:afterAutospacing="1" w:line="400" w:lineRule="exact"/>
        <w:jc w:val="center"/>
        <w:rPr>
          <w:rFonts w:ascii="宋体" w:hAnsi="宋体" w:eastAsia="宋体"/>
          <w:sz w:val="24"/>
          <w:szCs w:val="24"/>
        </w:rPr>
      </w:pPr>
      <w:bookmarkStart w:id="154" w:name="_Toc328568688"/>
      <w:r>
        <w:rPr>
          <w:rFonts w:hint="eastAsia" w:ascii="宋体" w:hAnsi="宋体" w:eastAsia="宋体"/>
          <w:sz w:val="24"/>
          <w:szCs w:val="24"/>
        </w:rPr>
        <w:t>十六、禁止行为</w:t>
      </w:r>
      <w:bookmarkEnd w:id="153"/>
      <w:bookmarkEnd w:id="154"/>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（一）《基金法》第二十一条、第三十九条禁止的行为。</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（二）《基金法》第七十四条禁止的投资或活动。</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（三）《试行办法》、《通知》及其他法律法规禁止的投资或活动。</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（四）除根据基金管理人的指令或基金合同、本协议另有规定外，基金托管人不得动用或处分基金财产。</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（五）基金管理人、基金托管人的高级管理人员和其他从业人员不得相互兼职。</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（六）法律法规、基金合同和本协议禁止的其他行为。</w:t>
      </w:r>
      <w:bookmarkStart w:id="155" w:name="_Toc179617803"/>
    </w:p>
    <w:p>
      <w:pPr>
        <w:pStyle w:val="3"/>
        <w:pageBreakBefore/>
        <w:spacing w:before="100" w:beforeAutospacing="1" w:after="100" w:afterAutospacing="1" w:line="400" w:lineRule="exact"/>
        <w:jc w:val="center"/>
        <w:rPr>
          <w:rFonts w:ascii="宋体" w:hAnsi="宋体" w:eastAsia="宋体"/>
          <w:sz w:val="24"/>
          <w:szCs w:val="24"/>
        </w:rPr>
      </w:pPr>
      <w:bookmarkStart w:id="156" w:name="_Toc328568689"/>
      <w:r>
        <w:rPr>
          <w:rFonts w:hint="eastAsia" w:ascii="宋体" w:hAnsi="宋体" w:eastAsia="宋体"/>
          <w:sz w:val="24"/>
          <w:szCs w:val="24"/>
        </w:rPr>
        <w:t>十七、托管协议的修改、终止与基金财产的清算</w:t>
      </w:r>
      <w:bookmarkEnd w:id="155"/>
      <w:bookmarkEnd w:id="156"/>
    </w:p>
    <w:p>
      <w:pPr>
        <w:spacing w:before="100" w:beforeAutospacing="1" w:after="100" w:afterAutospacing="1" w:line="400" w:lineRule="exact"/>
        <w:ind w:firstLine="420"/>
        <w:rPr>
          <w:rFonts w:ascii="宋体" w:hAnsi="宋体"/>
          <w:sz w:val="24"/>
          <w:szCs w:val="24"/>
        </w:rPr>
      </w:pPr>
      <w:bookmarkStart w:id="157" w:name="_Toc179617804"/>
      <w:r>
        <w:rPr>
          <w:rFonts w:hint="eastAsia" w:ascii="宋体" w:hAnsi="宋体"/>
          <w:sz w:val="24"/>
          <w:szCs w:val="24"/>
        </w:rPr>
        <w:t>（一）托管协议的修改程序</w:t>
      </w:r>
      <w:bookmarkEnd w:id="157"/>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本协议经双方当事人协商一致，可以书面形式对协议进行修改。修改后的新协议，其内容不得与基金合同的规定有任何冲突。基金托管协议的变更报中国证监会备案。</w:t>
      </w:r>
    </w:p>
    <w:p>
      <w:pPr>
        <w:spacing w:before="100" w:beforeAutospacing="1" w:after="100" w:afterAutospacing="1" w:line="400" w:lineRule="exact"/>
        <w:ind w:firstLine="420"/>
        <w:rPr>
          <w:rFonts w:ascii="宋体" w:hAnsi="宋体"/>
          <w:sz w:val="24"/>
          <w:szCs w:val="24"/>
        </w:rPr>
      </w:pPr>
      <w:bookmarkStart w:id="158" w:name="_Toc179617805"/>
      <w:r>
        <w:rPr>
          <w:rFonts w:hint="eastAsia" w:ascii="宋体" w:hAnsi="宋体"/>
          <w:sz w:val="24"/>
          <w:szCs w:val="24"/>
        </w:rPr>
        <w:t>（二）基金托管协议终止出现的情形</w:t>
      </w:r>
      <w:bookmarkEnd w:id="158"/>
    </w:p>
    <w:p>
      <w:pPr>
        <w:spacing w:before="100" w:beforeAutospacing="1" w:after="100" w:afterAutospacing="1" w:line="400" w:lineRule="exact"/>
        <w:ind w:firstLine="420"/>
        <w:rPr>
          <w:rFonts w:ascii="宋体" w:hAnsi="宋体"/>
          <w:sz w:val="24"/>
          <w:szCs w:val="24"/>
        </w:rPr>
      </w:pPr>
      <w:bookmarkStart w:id="159" w:name="_Hlt133151691"/>
      <w:bookmarkEnd w:id="159"/>
      <w:bookmarkStart w:id="160" w:name="_Hlt133147570"/>
      <w:bookmarkEnd w:id="160"/>
      <w:r>
        <w:rPr>
          <w:rFonts w:hint="eastAsia" w:ascii="宋体" w:hAnsi="宋体"/>
          <w:sz w:val="24"/>
          <w:szCs w:val="24"/>
        </w:rPr>
        <w:t>发生以下情况，本托管协议终止：</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1、基金合同终止；</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2、本基金更换基金托管人；</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3、本基金更换基金管理人；</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4、基金托管人解散、依法被撤销、破产或由其他基金托管人接管基金资产；</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5、基金管理人解散、依法被撤销、破产或由其他基金管理人接管基金管理权；</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6、发生《基金法》、《运作办法》、《试行办法》或其他法律法规规定的终止事项。</w:t>
      </w:r>
    </w:p>
    <w:p>
      <w:pPr>
        <w:spacing w:before="100" w:beforeAutospacing="1" w:after="100" w:afterAutospacing="1" w:line="400" w:lineRule="exact"/>
        <w:ind w:firstLine="420"/>
        <w:rPr>
          <w:rFonts w:ascii="宋体" w:hAnsi="宋体"/>
          <w:sz w:val="24"/>
          <w:szCs w:val="24"/>
        </w:rPr>
      </w:pPr>
      <w:bookmarkStart w:id="161" w:name="_Toc179617806"/>
      <w:r>
        <w:rPr>
          <w:rFonts w:hint="eastAsia" w:ascii="宋体" w:hAnsi="宋体"/>
          <w:sz w:val="24"/>
          <w:szCs w:val="24"/>
        </w:rPr>
        <w:t>（三）基金财产的清算</w:t>
      </w:r>
      <w:bookmarkEnd w:id="161"/>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基金管理人和基金托管人应按照基金合同及有关法律法规的规定对本基金的财产进行清算。</w:t>
      </w:r>
      <w:bookmarkStart w:id="162" w:name="_Toc179617807"/>
    </w:p>
    <w:p>
      <w:pPr>
        <w:pStyle w:val="3"/>
        <w:pageBreakBefore/>
        <w:spacing w:before="100" w:beforeAutospacing="1" w:after="100" w:afterAutospacing="1" w:line="400" w:lineRule="exact"/>
        <w:jc w:val="center"/>
        <w:rPr>
          <w:rFonts w:ascii="宋体" w:hAnsi="宋体" w:eastAsia="宋体"/>
          <w:sz w:val="24"/>
          <w:szCs w:val="24"/>
        </w:rPr>
      </w:pPr>
      <w:bookmarkStart w:id="163" w:name="_Toc328568690"/>
      <w:r>
        <w:rPr>
          <w:rFonts w:hint="eastAsia" w:ascii="宋体" w:hAnsi="宋体" w:eastAsia="宋体"/>
          <w:sz w:val="24"/>
          <w:szCs w:val="24"/>
        </w:rPr>
        <w:t>十八、违约责任</w:t>
      </w:r>
      <w:bookmarkEnd w:id="162"/>
      <w:bookmarkEnd w:id="163"/>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（一）</w:t>
      </w:r>
      <w:r>
        <w:rPr>
          <w:rFonts w:ascii="宋体" w:hAnsi="宋体"/>
          <w:sz w:val="24"/>
          <w:szCs w:val="24"/>
        </w:rPr>
        <w:t>基金管理人、基金托管人在履行各自职责的过程中，违反</w:t>
      </w:r>
      <w:r>
        <w:rPr>
          <w:rFonts w:hint="eastAsia" w:ascii="宋体" w:hAnsi="宋体"/>
          <w:sz w:val="24"/>
          <w:szCs w:val="24"/>
        </w:rPr>
        <w:t>法律法规、基金合同或本托管协议</w:t>
      </w:r>
      <w:r>
        <w:rPr>
          <w:rFonts w:ascii="宋体" w:hAnsi="宋体"/>
          <w:sz w:val="24"/>
          <w:szCs w:val="24"/>
        </w:rPr>
        <w:t>约定，给基金财产或者基金份额持有人造成损害的，应当分别对各自的行为依法承担赔偿责任；因共同行为给基金财产或者基金份额持有人造成损害的，应当承担连带赔偿责任。</w:t>
      </w:r>
      <w:r>
        <w:rPr>
          <w:bCs/>
          <w:sz w:val="24"/>
        </w:rPr>
        <w:t>对损失的赔偿，仅限于直接损失。</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（二）当事人违约，给另一方当事人或基金财产造成损失的，应就直接损失进行赔偿；另一方当事人有权利及义务代表基金向违约方追偿。如发生下列情况，当事人可以免责：</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1、不可抗力；</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2、基金管理人和/或基金托管人按照当时有效的法律法规或中国证监会的规定作为或不作为而造成的损失等；</w:t>
      </w:r>
    </w:p>
    <w:p>
      <w:pPr>
        <w:spacing w:before="100" w:beforeAutospacing="1" w:after="100" w:afterAutospacing="1" w:line="400" w:lineRule="exact"/>
        <w:ind w:firstLine="420"/>
        <w:rPr>
          <w:rFonts w:ascii="宋体" w:hAnsi="宋体"/>
          <w:sz w:val="24"/>
          <w:szCs w:val="24"/>
        </w:rPr>
      </w:pPr>
      <w:r>
        <w:rPr>
          <w:rFonts w:ascii="宋体" w:hAnsi="宋体"/>
          <w:sz w:val="24"/>
          <w:szCs w:val="24"/>
        </w:rPr>
        <w:t>3、基金管理人由于按照基金合同规定的投资原则</w:t>
      </w:r>
      <w:r>
        <w:rPr>
          <w:rFonts w:hint="eastAsia" w:ascii="宋体" w:hAnsi="宋体"/>
          <w:sz w:val="24"/>
          <w:szCs w:val="24"/>
        </w:rPr>
        <w:t>行使或不行使其投资权而造成的损失等。</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（三）当事人违约，另一方当事人在职责范围内有义务及时采取必要的措施，尽力防止损失的扩大。</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（四）违约行为虽已发生，但本托管协议能够继续履行的，在最大限度地保护基金份额持有人利益的前提下，基金管理人和基金托管人应当继续履行本协议。</w:t>
      </w:r>
      <w:r>
        <w:rPr>
          <w:rFonts w:ascii="宋体" w:hAnsi="宋体"/>
          <w:sz w:val="24"/>
          <w:szCs w:val="24"/>
        </w:rPr>
        <w:t xml:space="preserve">     </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（五）若一方因履行本协议而被起诉，另一方应提供合理的必要支持。</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（六）为明确责任，在不影响本协议本条其他规定的普遍适用性的前提下，基金管理人和基金托管人对由于如下行为造成的损失的责任承担问题，明确如下：</w:t>
      </w:r>
    </w:p>
    <w:p>
      <w:pPr>
        <w:spacing w:before="100" w:beforeAutospacing="1" w:after="100" w:afterAutospacing="1" w:line="400" w:lineRule="exact"/>
        <w:ind w:firstLine="420"/>
        <w:rPr>
          <w:rFonts w:ascii="宋体" w:hAnsi="宋体"/>
          <w:sz w:val="24"/>
          <w:szCs w:val="24"/>
        </w:rPr>
      </w:pPr>
      <w:r>
        <w:rPr>
          <w:rFonts w:ascii="宋体" w:hAnsi="宋体"/>
          <w:sz w:val="24"/>
          <w:szCs w:val="24"/>
        </w:rPr>
        <w:t>1、由于下达违法、违规的指令所导致的责任，由基金管理人承担；</w:t>
      </w:r>
    </w:p>
    <w:p>
      <w:pPr>
        <w:spacing w:before="100" w:beforeAutospacing="1" w:after="100" w:afterAutospacing="1" w:line="400" w:lineRule="exact"/>
        <w:ind w:firstLine="420"/>
        <w:rPr>
          <w:rFonts w:ascii="宋体" w:hAnsi="宋体"/>
          <w:sz w:val="24"/>
          <w:szCs w:val="24"/>
        </w:rPr>
      </w:pPr>
      <w:r>
        <w:rPr>
          <w:rFonts w:ascii="宋体" w:hAnsi="宋体"/>
          <w:sz w:val="24"/>
          <w:szCs w:val="24"/>
        </w:rPr>
        <w:t>2、指令下达人员在授权通知载明的权限范围内下达的指令所导致的责任，由基金管理人承担，基金管理人在撤销或变更授权权限后未能及时通知基金托管人</w:t>
      </w:r>
      <w:r>
        <w:rPr>
          <w:rFonts w:hint="eastAsia" w:ascii="宋体" w:hAnsi="宋体"/>
          <w:sz w:val="24"/>
          <w:szCs w:val="24"/>
        </w:rPr>
        <w:t>的，责任仍由基金管理人承担</w:t>
      </w:r>
      <w:r>
        <w:rPr>
          <w:rFonts w:ascii="宋体" w:hAnsi="宋体"/>
          <w:sz w:val="24"/>
          <w:szCs w:val="24"/>
        </w:rPr>
        <w:t xml:space="preserve">； </w:t>
      </w:r>
    </w:p>
    <w:p>
      <w:pPr>
        <w:spacing w:before="100" w:beforeAutospacing="1" w:after="100" w:afterAutospacing="1" w:line="400" w:lineRule="exact"/>
        <w:ind w:firstLine="420"/>
        <w:rPr>
          <w:rFonts w:ascii="宋体" w:hAnsi="宋体"/>
          <w:sz w:val="24"/>
          <w:szCs w:val="24"/>
        </w:rPr>
      </w:pPr>
      <w:r>
        <w:rPr>
          <w:rFonts w:ascii="宋体" w:hAnsi="宋体"/>
          <w:sz w:val="24"/>
          <w:szCs w:val="24"/>
        </w:rPr>
        <w:t>3、基金托管人未对指令上签名和印鉴与预留签字样本和预留印鉴进行表面真实性审核，导致基金托管人执行了无效指令，</w:t>
      </w:r>
      <w:r>
        <w:rPr>
          <w:rFonts w:hint="eastAsia" w:ascii="宋体" w:hAnsi="宋体"/>
          <w:sz w:val="24"/>
          <w:szCs w:val="24"/>
        </w:rPr>
        <w:t>则基金托管人应当承担相应责任；</w:t>
      </w:r>
    </w:p>
    <w:p>
      <w:pPr>
        <w:spacing w:before="100" w:beforeAutospacing="1" w:after="100" w:afterAutospacing="1" w:line="400" w:lineRule="exact"/>
        <w:ind w:firstLine="420"/>
        <w:rPr>
          <w:rFonts w:ascii="宋体" w:hAnsi="宋体"/>
          <w:sz w:val="24"/>
          <w:szCs w:val="24"/>
        </w:rPr>
      </w:pPr>
      <w:r>
        <w:rPr>
          <w:rFonts w:ascii="宋体" w:hAnsi="宋体"/>
          <w:sz w:val="24"/>
          <w:szCs w:val="24"/>
        </w:rPr>
        <w:t>4、属于基金托管人实际有效控制下的基金财产（包括实物证券）在基金托管人保管期间的损坏、灭失，由此产生的责任应由该基金托管人承担；</w:t>
      </w:r>
    </w:p>
    <w:p>
      <w:pPr>
        <w:spacing w:before="100" w:beforeAutospacing="1" w:after="100" w:afterAutospacing="1" w:line="400" w:lineRule="exact"/>
        <w:ind w:firstLine="420"/>
        <w:rPr>
          <w:rFonts w:ascii="宋体" w:hAnsi="宋体"/>
          <w:sz w:val="24"/>
          <w:szCs w:val="24"/>
        </w:rPr>
      </w:pPr>
      <w:r>
        <w:rPr>
          <w:rFonts w:ascii="宋体" w:hAnsi="宋体"/>
          <w:sz w:val="24"/>
          <w:szCs w:val="24"/>
        </w:rPr>
        <w:t>5、基金管理人应承担对其应收取的管理费数额计算错误的责任。如果基金托管人复核后同意基金管理人的计算结果，</w:t>
      </w:r>
      <w:r>
        <w:rPr>
          <w:rFonts w:hint="eastAsia" w:ascii="宋体" w:hAnsi="宋体"/>
          <w:sz w:val="24"/>
          <w:szCs w:val="24"/>
        </w:rPr>
        <w:t>则基金托管人也应承担未正确履行复核义务的相应责任；</w:t>
      </w:r>
    </w:p>
    <w:p>
      <w:pPr>
        <w:spacing w:before="100" w:beforeAutospacing="1" w:after="100" w:afterAutospacing="1" w:line="400" w:lineRule="exact"/>
        <w:ind w:firstLine="420"/>
        <w:rPr>
          <w:rFonts w:ascii="宋体" w:hAnsi="宋体"/>
          <w:sz w:val="24"/>
          <w:szCs w:val="24"/>
        </w:rPr>
      </w:pPr>
      <w:r>
        <w:rPr>
          <w:rFonts w:ascii="宋体" w:hAnsi="宋体"/>
          <w:sz w:val="24"/>
          <w:szCs w:val="24"/>
        </w:rPr>
        <w:t>6、基金管理人应承担对基金托管人应收取的托管费数额计算错误的责任。如果基金托管人复核后同意基金管理人的计算结果，</w:t>
      </w:r>
      <w:r>
        <w:rPr>
          <w:rFonts w:hint="eastAsia" w:ascii="宋体" w:hAnsi="宋体"/>
          <w:sz w:val="24"/>
          <w:szCs w:val="24"/>
        </w:rPr>
        <w:t>则基金托管人也应承担未正确履行复核义务的相应责任；</w:t>
      </w:r>
    </w:p>
    <w:p>
      <w:pPr>
        <w:spacing w:before="100" w:beforeAutospacing="1" w:after="100" w:afterAutospacing="1" w:line="400" w:lineRule="exact"/>
        <w:ind w:firstLine="420"/>
        <w:rPr>
          <w:rFonts w:ascii="宋体" w:hAnsi="宋体"/>
          <w:sz w:val="24"/>
          <w:szCs w:val="24"/>
        </w:rPr>
      </w:pPr>
      <w:r>
        <w:rPr>
          <w:rFonts w:ascii="宋体" w:hAnsi="宋体"/>
          <w:sz w:val="24"/>
          <w:szCs w:val="24"/>
        </w:rPr>
        <w:t>7、由于基金管理人或</w:t>
      </w:r>
      <w:r>
        <w:rPr>
          <w:rFonts w:hint="eastAsia" w:ascii="宋体" w:hAnsi="宋体"/>
          <w:sz w:val="24"/>
          <w:szCs w:val="24"/>
        </w:rPr>
        <w:t>基金托管人原因导致本基金不能依据证券登记结算机构的业务规则及时清算的，由责任方承担由此给基金财产、基金份额持有人及受损害方造成的直接损失，若由于双方原因导致本基金不能依据证券登记结算机构的业务规则及时清算的，双方应按照各自的过错程度对造成的直接损失合理分担责任。</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七）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pPr>
        <w:pStyle w:val="3"/>
        <w:pageBreakBefore/>
        <w:spacing w:before="100" w:beforeAutospacing="1" w:after="100" w:afterAutospacing="1" w:line="400" w:lineRule="exact"/>
        <w:jc w:val="center"/>
        <w:rPr>
          <w:rFonts w:ascii="宋体" w:hAnsi="宋体" w:eastAsia="宋体"/>
          <w:sz w:val="24"/>
          <w:szCs w:val="24"/>
        </w:rPr>
      </w:pPr>
      <w:bookmarkStart w:id="164" w:name="_Toc179617808"/>
      <w:bookmarkStart w:id="165" w:name="_Toc328568691"/>
      <w:r>
        <w:rPr>
          <w:rFonts w:hint="eastAsia" w:ascii="宋体" w:hAnsi="宋体" w:eastAsia="宋体"/>
          <w:sz w:val="24"/>
          <w:szCs w:val="24"/>
        </w:rPr>
        <w:t>十九、争议解决方式</w:t>
      </w:r>
      <w:bookmarkEnd w:id="164"/>
      <w:bookmarkEnd w:id="165"/>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因本协议产生或与之相关的争议，双方当事人应通过协商解决，如经友好协商未能解决的，任何一方有权将争议提交中国国际经济贸易仲裁委员会，根据中国国际经济贸易仲裁委员会届时有效的仲裁规则进行仲裁，仲裁地点为北京市。仲裁裁决是终局的，对双方当事人均有约束力。</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争议处理期间，双方当事人应各自继续履行基金合同和本托管协议规定的义务，维护基金份额持有人的合法权益。</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本协议适用中华人民共和国法律并从其解释。</w:t>
      </w:r>
      <w:bookmarkStart w:id="166" w:name="_Toc179617809"/>
    </w:p>
    <w:p>
      <w:pPr>
        <w:pStyle w:val="3"/>
        <w:pageBreakBefore/>
        <w:spacing w:before="100" w:beforeAutospacing="1" w:after="100" w:afterAutospacing="1" w:line="400" w:lineRule="exact"/>
        <w:jc w:val="center"/>
        <w:rPr>
          <w:rFonts w:ascii="宋体" w:hAnsi="宋体" w:eastAsia="宋体"/>
          <w:sz w:val="24"/>
          <w:szCs w:val="24"/>
        </w:rPr>
      </w:pPr>
      <w:bookmarkStart w:id="167" w:name="_Toc328568692"/>
      <w:r>
        <w:rPr>
          <w:rFonts w:hint="eastAsia" w:ascii="宋体" w:hAnsi="宋体" w:eastAsia="宋体"/>
          <w:sz w:val="24"/>
          <w:szCs w:val="24"/>
        </w:rPr>
        <w:t>二十、托管协议的效力</w:t>
      </w:r>
      <w:bookmarkEnd w:id="166"/>
      <w:bookmarkEnd w:id="167"/>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双方对托管协议的效力约定如下：</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核准的文本为正式文本。</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（二）托管协议自双方签署之日起成立，自基金合同生效之日起生效。托管协议的有效期自其生效之日起至该基金财产清算结果报中国证监会备案并公告之日止。</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（三）托管协议自生效之日对托管协议当事人具有同等的法律约束力。</w:t>
      </w:r>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（四）本协议一式六份，协议双方各持二份，上报中国证监会和银行业监督管理机构各一份，每份具有同等法律效力。</w:t>
      </w:r>
      <w:bookmarkStart w:id="168" w:name="_Toc179617810"/>
    </w:p>
    <w:p>
      <w:pPr>
        <w:pStyle w:val="3"/>
        <w:pageBreakBefore/>
        <w:spacing w:before="100" w:beforeAutospacing="1" w:after="100" w:afterAutospacing="1" w:line="400" w:lineRule="exact"/>
        <w:jc w:val="center"/>
        <w:rPr>
          <w:rFonts w:ascii="宋体" w:hAnsi="宋体" w:eastAsia="宋体"/>
          <w:sz w:val="24"/>
          <w:szCs w:val="24"/>
        </w:rPr>
      </w:pPr>
      <w:bookmarkStart w:id="169" w:name="_Toc328568693"/>
      <w:r>
        <w:rPr>
          <w:rFonts w:hint="eastAsia" w:ascii="宋体" w:hAnsi="宋体" w:eastAsia="宋体"/>
          <w:sz w:val="24"/>
          <w:szCs w:val="24"/>
        </w:rPr>
        <w:t>二十一、其他事项</w:t>
      </w:r>
      <w:bookmarkEnd w:id="168"/>
      <w:bookmarkEnd w:id="169"/>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除本协议有明确定义外，本协议的用语定义适用基金合同的约定。本协议未尽事宜，当事人依据基金合同、有关法律法规等规定协商办理。</w:t>
      </w:r>
    </w:p>
    <w:p>
      <w:pPr>
        <w:pStyle w:val="3"/>
        <w:pageBreakBefore/>
        <w:spacing w:before="100" w:beforeAutospacing="1" w:after="100" w:afterAutospacing="1" w:line="400" w:lineRule="exact"/>
        <w:jc w:val="center"/>
        <w:rPr>
          <w:rFonts w:ascii="宋体" w:hAnsi="宋体" w:eastAsia="宋体"/>
          <w:sz w:val="24"/>
          <w:szCs w:val="24"/>
        </w:rPr>
      </w:pPr>
      <w:bookmarkStart w:id="170" w:name="_Toc328568694"/>
      <w:bookmarkStart w:id="171" w:name="_Toc179617811"/>
      <w:r>
        <w:rPr>
          <w:rFonts w:hint="eastAsia" w:ascii="宋体" w:hAnsi="宋体" w:eastAsia="宋体"/>
          <w:sz w:val="24"/>
          <w:szCs w:val="24"/>
        </w:rPr>
        <w:t>二十二、托管协议的签订</w:t>
      </w:r>
      <w:bookmarkEnd w:id="170"/>
      <w:bookmarkEnd w:id="171"/>
    </w:p>
    <w:p>
      <w:pPr>
        <w:spacing w:before="100" w:beforeAutospacing="1" w:after="100" w:afterAutospacing="1" w:line="400" w:lineRule="exact"/>
        <w:ind w:firstLine="420"/>
        <w:rPr>
          <w:rFonts w:ascii="宋体" w:hAnsi="宋体"/>
          <w:sz w:val="24"/>
          <w:szCs w:val="24"/>
        </w:rPr>
      </w:pPr>
      <w:r>
        <w:rPr>
          <w:rFonts w:hint="eastAsia" w:ascii="宋体" w:hAnsi="宋体"/>
          <w:sz w:val="24"/>
          <w:szCs w:val="24"/>
        </w:rPr>
        <w:t>本协议双方法定代表人或授权代表签章、签订地、签订日。</w:t>
      </w: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sectPr>
          <w:footerReference r:id="rId6" w:type="default"/>
          <w:pgSz w:w="11906" w:h="16838"/>
          <w:pgMar w:top="1418" w:right="1701" w:bottom="1418" w:left="1701" w:header="851" w:footer="992" w:gutter="0"/>
          <w:pgNumType w:start="1"/>
          <w:cols w:space="720" w:num="1"/>
          <w:docGrid w:type="lines" w:linePitch="312" w:charSpace="0"/>
        </w:sectPr>
      </w:pPr>
      <w:r>
        <w:rPr>
          <w:rFonts w:hint="eastAsia" w:ascii="宋体" w:hAnsi="宋体"/>
          <w:sz w:val="24"/>
          <w:szCs w:val="24"/>
        </w:rPr>
        <w:t>（以下无正文）</w:t>
      </w:r>
    </w:p>
    <w:p>
      <w:pPr>
        <w:spacing w:before="100" w:beforeAutospacing="1" w:after="100" w:afterAutospacing="1" w:line="400" w:lineRule="exact"/>
        <w:ind w:firstLine="420"/>
        <w:rPr>
          <w:rFonts w:ascii="宋体" w:hAnsi="宋体"/>
          <w:sz w:val="24"/>
          <w:szCs w:val="24"/>
        </w:rPr>
      </w:pPr>
      <w:bookmarkStart w:id="172" w:name="_Hlt89590562"/>
      <w:bookmarkEnd w:id="172"/>
      <w:r>
        <w:rPr>
          <w:rFonts w:hint="eastAsia" w:ascii="宋体" w:hAnsi="宋体"/>
          <w:sz w:val="24"/>
          <w:szCs w:val="24"/>
        </w:rPr>
        <w:t>（本页为签署页，无正文）</w:t>
      </w: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r>
        <w:rPr>
          <w:rFonts w:ascii="宋体" w:hAnsi="宋体"/>
          <w:sz w:val="24"/>
          <w:szCs w:val="24"/>
        </w:rPr>
        <w:t>基金管理人：</w:t>
      </w:r>
      <w:r>
        <w:rPr>
          <w:rFonts w:hint="eastAsia" w:ascii="宋体" w:hAnsi="宋体"/>
          <w:sz w:val="24"/>
          <w:szCs w:val="24"/>
        </w:rPr>
        <w:t>交银施罗德基金管理有限公司（盖章）</w:t>
      </w: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r>
        <w:rPr>
          <w:rFonts w:ascii="宋体" w:hAnsi="宋体"/>
          <w:sz w:val="24"/>
          <w:szCs w:val="24"/>
        </w:rPr>
        <w:t>法定代表人</w:t>
      </w:r>
      <w:r>
        <w:rPr>
          <w:rFonts w:hint="eastAsia" w:ascii="宋体" w:hAnsi="宋体"/>
          <w:sz w:val="24"/>
          <w:szCs w:val="24"/>
        </w:rPr>
        <w:t>或授权代表：</w:t>
      </w:r>
      <w:r>
        <w:rPr>
          <w:rFonts w:ascii="宋体" w:hAnsi="宋体"/>
          <w:sz w:val="24"/>
          <w:szCs w:val="24"/>
        </w:rPr>
        <w:t xml:space="preserve"> </w:t>
      </w: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r>
        <w:rPr>
          <w:rFonts w:ascii="宋体" w:hAnsi="宋体"/>
          <w:sz w:val="24"/>
          <w:szCs w:val="24"/>
        </w:rPr>
        <w:t>基金托管人:中国农业银行股份有限公司（盖章）</w:t>
      </w: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r>
        <w:rPr>
          <w:rFonts w:ascii="宋体" w:hAnsi="宋体"/>
          <w:sz w:val="24"/>
          <w:szCs w:val="24"/>
        </w:rPr>
        <w:t>法定代表人</w:t>
      </w:r>
      <w:r>
        <w:rPr>
          <w:rFonts w:hint="eastAsia" w:ascii="宋体" w:hAnsi="宋体"/>
          <w:sz w:val="24"/>
          <w:szCs w:val="24"/>
        </w:rPr>
        <w:t>或授权代表：</w:t>
      </w:r>
    </w:p>
    <w:p>
      <w:pPr>
        <w:spacing w:before="100" w:beforeAutospacing="1" w:after="100" w:afterAutospacing="1" w:line="400" w:lineRule="exact"/>
        <w:ind w:firstLine="420"/>
        <w:rPr>
          <w:rFonts w:ascii="宋体" w:hAnsi="宋体"/>
          <w:sz w:val="24"/>
          <w:szCs w:val="24"/>
        </w:rPr>
      </w:pPr>
    </w:p>
    <w:p>
      <w:pPr>
        <w:spacing w:before="100" w:beforeAutospacing="1" w:after="100" w:afterAutospacing="1" w:line="400" w:lineRule="exact"/>
        <w:ind w:firstLine="420"/>
        <w:rPr>
          <w:rFonts w:ascii="宋体" w:hAnsi="宋体"/>
          <w:sz w:val="24"/>
          <w:szCs w:val="24"/>
        </w:rPr>
      </w:pPr>
      <w:r>
        <w:rPr>
          <w:rFonts w:ascii="宋体" w:hAnsi="宋体"/>
          <w:sz w:val="24"/>
          <w:szCs w:val="24"/>
        </w:rPr>
        <w:t>签订地：</w:t>
      </w:r>
      <w:r>
        <w:rPr>
          <w:rFonts w:hint="eastAsia" w:ascii="宋体" w:hAnsi="宋体"/>
          <w:sz w:val="24"/>
          <w:szCs w:val="24"/>
        </w:rPr>
        <w:t>北京</w:t>
      </w:r>
      <w:r>
        <w:rPr>
          <w:rFonts w:ascii="宋体" w:hAnsi="宋体"/>
          <w:sz w:val="24"/>
          <w:szCs w:val="24"/>
        </w:rPr>
        <w:t>　</w:t>
      </w:r>
    </w:p>
    <w:p>
      <w:pPr>
        <w:spacing w:before="100" w:beforeAutospacing="1" w:after="100" w:afterAutospacing="1" w:line="400" w:lineRule="exact"/>
        <w:ind w:firstLine="420"/>
        <w:rPr>
          <w:rFonts w:ascii="宋体" w:hAnsi="宋体"/>
          <w:sz w:val="24"/>
          <w:szCs w:val="24"/>
        </w:rPr>
      </w:pPr>
      <w:r>
        <w:rPr>
          <w:rFonts w:ascii="宋体" w:hAnsi="宋体"/>
          <w:sz w:val="24"/>
          <w:szCs w:val="24"/>
        </w:rPr>
        <w:t>签订日：</w:t>
      </w:r>
      <w:r>
        <w:rPr>
          <w:rFonts w:hint="eastAsia" w:ascii="宋体" w:hAnsi="宋体"/>
          <w:sz w:val="24"/>
          <w:szCs w:val="24"/>
        </w:rPr>
        <w:t>二〇二   年   月   日</w:t>
      </w:r>
    </w:p>
    <w:sectPr>
      <w:headerReference r:id="rId7" w:type="default"/>
      <w:footerReference r:id="rId8" w:type="default"/>
      <w:pgSz w:w="11906" w:h="16838"/>
      <w:pgMar w:top="1418" w:right="1701" w:bottom="1418"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Align="top"/>
      <w:pBdr>
        <w:between w:val="none" w:color="auto" w:sz="0" w:space="0"/>
      </w:pBdr>
    </w:pPr>
    <w:r>
      <w:rPr>
        <w:rFonts w:hint="eastAsia"/>
      </w:rPr>
      <w:fldChar w:fldCharType="begin"/>
    </w:r>
    <w:r>
      <w:rPr>
        <w:rStyle w:val="23"/>
        <w:rFonts w:hint="eastAsia"/>
      </w:rPr>
      <w:instrText xml:space="preserve"> PAGE  </w:instrText>
    </w:r>
    <w:r>
      <w:rPr>
        <w:rFonts w:hint="eastAsia"/>
      </w:rPr>
      <w:fldChar w:fldCharType="separate"/>
    </w:r>
    <w:r>
      <w:rPr>
        <w:rStyle w:val="23"/>
      </w:rPr>
      <w:t>1</w:t>
    </w:r>
    <w:r>
      <w:rPr>
        <w:rFonts w:hint="eastAsia"/>
      </w:rPr>
      <w:fldChar w:fldCharType="end"/>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etween w:val="none" w:color="auto" w:sz="0" w:space="0"/>
      </w:pBdr>
    </w:pPr>
  </w:p>
  <w:p>
    <w:pPr>
      <w:pStyle w:val="12"/>
      <w:pBdr>
        <w:between w:val="none" w:color="auto" w:sz="0" w:space="0"/>
      </w:pBd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420"/>
      <w:jc w:val="center"/>
      <w:rPr>
        <w:rFonts w:ascii="宋体" w:hAnsi="宋体"/>
      </w:rPr>
    </w:pPr>
    <w:r>
      <w:rPr>
        <w:rFonts w:ascii="宋体" w:hAnsi="宋体"/>
      </w:rPr>
      <w:fldChar w:fldCharType="begin"/>
    </w:r>
    <w:r>
      <w:rPr>
        <w:rStyle w:val="44"/>
        <w:rFonts w:ascii="宋体" w:hAnsi="宋体"/>
      </w:rPr>
      <w:instrText xml:space="preserve"> PAGE </w:instrText>
    </w:r>
    <w:r>
      <w:rPr>
        <w:rFonts w:ascii="宋体" w:hAnsi="宋体"/>
      </w:rPr>
      <w:fldChar w:fldCharType="separate"/>
    </w:r>
    <w:r>
      <w:rPr>
        <w:rStyle w:val="44"/>
        <w:rFonts w:ascii="宋体" w:hAnsi="宋体"/>
      </w:rPr>
      <w:t>32</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420"/>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LargeGap" w:color="auto" w:sz="24" w:space="2"/>
      </w:pBdr>
      <w:tabs>
        <w:tab w:val="right" w:pos="8280"/>
      </w:tabs>
      <w:wordWrap w:val="0"/>
      <w:adjustRightInd w:val="0"/>
      <w:jc w:val="right"/>
    </w:pPr>
    <w:r>
      <w:rPr>
        <w:color w:val="000000"/>
      </w:rPr>
      <w:drawing>
        <wp:anchor distT="0" distB="0" distL="114300" distR="114300" simplePos="0" relativeHeight="251659264" behindDoc="0" locked="0" layoutInCell="1" allowOverlap="1">
          <wp:simplePos x="0" y="0"/>
          <wp:positionH relativeFrom="column">
            <wp:posOffset>-17145</wp:posOffset>
          </wp:positionH>
          <wp:positionV relativeFrom="paragraph">
            <wp:posOffset>36195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a:ln>
                    <a:noFill/>
                  </a:ln>
                </pic:spPr>
              </pic:pic>
            </a:graphicData>
          </a:graphic>
        </wp:anchor>
      </w:drawing>
    </w:r>
    <w:r>
      <w:rPr>
        <w:rFonts w:hint="eastAsia"/>
      </w:rPr>
      <w:t xml:space="preserve">                                  </w:t>
    </w:r>
  </w:p>
  <w:p>
    <w:pPr>
      <w:pStyle w:val="13"/>
      <w:pBdr>
        <w:bottom w:val="thickThinLargeGap" w:color="auto" w:sz="24" w:space="2"/>
      </w:pBdr>
      <w:tabs>
        <w:tab w:val="right" w:pos="8280"/>
      </w:tabs>
      <w:wordWrap w:val="0"/>
      <w:adjustRightInd w:val="0"/>
      <w:jc w:val="right"/>
    </w:pPr>
    <w:r>
      <w:rPr>
        <w:rFonts w:hint="eastAsia"/>
      </w:rPr>
      <w:t>交银施罗德中证海外中国互联网指数型证券投资基金（LOF）托管协议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LargeGap" w:color="auto" w:sz="24" w:space="2"/>
      </w:pBdr>
      <w:tabs>
        <w:tab w:val="right" w:pos="8280"/>
      </w:tabs>
      <w:wordWrap w:val="0"/>
      <w:adjustRightInd w:val="0"/>
      <w:jc w:val="right"/>
    </w:pPr>
    <w:r>
      <w:rPr>
        <w:rFonts w:hint="eastAsia"/>
      </w:rPr>
      <w:t>交银施罗德中证海外中国互联网指数型证券投资基金（LOF）托管协议</w:t>
    </w:r>
  </w:p>
  <w:p>
    <w:pPr>
      <w:pStyle w:val="2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98"/>
    <w:rsid w:val="00014285"/>
    <w:rsid w:val="00021ED2"/>
    <w:rsid w:val="000404FD"/>
    <w:rsid w:val="0004590E"/>
    <w:rsid w:val="000617C7"/>
    <w:rsid w:val="00064A5D"/>
    <w:rsid w:val="000F2DD8"/>
    <w:rsid w:val="001122A4"/>
    <w:rsid w:val="00141D4B"/>
    <w:rsid w:val="00156746"/>
    <w:rsid w:val="0016180D"/>
    <w:rsid w:val="00164A87"/>
    <w:rsid w:val="001A3FC2"/>
    <w:rsid w:val="001E156B"/>
    <w:rsid w:val="001E6665"/>
    <w:rsid w:val="00205AA0"/>
    <w:rsid w:val="00222140"/>
    <w:rsid w:val="00224D53"/>
    <w:rsid w:val="00226A8F"/>
    <w:rsid w:val="00232977"/>
    <w:rsid w:val="0025623C"/>
    <w:rsid w:val="002A4433"/>
    <w:rsid w:val="002A6A90"/>
    <w:rsid w:val="002B3CC4"/>
    <w:rsid w:val="002E0102"/>
    <w:rsid w:val="002E1A99"/>
    <w:rsid w:val="002E4D8A"/>
    <w:rsid w:val="0033749C"/>
    <w:rsid w:val="00366B7B"/>
    <w:rsid w:val="003849BC"/>
    <w:rsid w:val="003D3B11"/>
    <w:rsid w:val="003F250B"/>
    <w:rsid w:val="0040294A"/>
    <w:rsid w:val="00456856"/>
    <w:rsid w:val="00496EA8"/>
    <w:rsid w:val="00497DB6"/>
    <w:rsid w:val="004B7180"/>
    <w:rsid w:val="004E404E"/>
    <w:rsid w:val="004E5056"/>
    <w:rsid w:val="00515E45"/>
    <w:rsid w:val="00524B32"/>
    <w:rsid w:val="005B0067"/>
    <w:rsid w:val="005B0FE5"/>
    <w:rsid w:val="00603039"/>
    <w:rsid w:val="0061565F"/>
    <w:rsid w:val="00617E01"/>
    <w:rsid w:val="00636828"/>
    <w:rsid w:val="00691A86"/>
    <w:rsid w:val="006D0300"/>
    <w:rsid w:val="006D2644"/>
    <w:rsid w:val="007038B1"/>
    <w:rsid w:val="00707388"/>
    <w:rsid w:val="00780625"/>
    <w:rsid w:val="007B486C"/>
    <w:rsid w:val="007B50F7"/>
    <w:rsid w:val="007B7EFF"/>
    <w:rsid w:val="007D596C"/>
    <w:rsid w:val="0082375F"/>
    <w:rsid w:val="008543DC"/>
    <w:rsid w:val="0087167C"/>
    <w:rsid w:val="008968EE"/>
    <w:rsid w:val="008A43C1"/>
    <w:rsid w:val="00915395"/>
    <w:rsid w:val="009163FE"/>
    <w:rsid w:val="00964039"/>
    <w:rsid w:val="009E439A"/>
    <w:rsid w:val="00A27AE3"/>
    <w:rsid w:val="00A454DF"/>
    <w:rsid w:val="00A463B1"/>
    <w:rsid w:val="00A47BE2"/>
    <w:rsid w:val="00A56F8E"/>
    <w:rsid w:val="00A767F3"/>
    <w:rsid w:val="00A83888"/>
    <w:rsid w:val="00AA04B7"/>
    <w:rsid w:val="00AD1C06"/>
    <w:rsid w:val="00B15171"/>
    <w:rsid w:val="00B31E86"/>
    <w:rsid w:val="00B519BB"/>
    <w:rsid w:val="00B56A0E"/>
    <w:rsid w:val="00B61DBB"/>
    <w:rsid w:val="00B942F8"/>
    <w:rsid w:val="00BB7F3E"/>
    <w:rsid w:val="00BC7224"/>
    <w:rsid w:val="00C00B95"/>
    <w:rsid w:val="00C10969"/>
    <w:rsid w:val="00C23869"/>
    <w:rsid w:val="00C305B5"/>
    <w:rsid w:val="00C52D06"/>
    <w:rsid w:val="00C555F9"/>
    <w:rsid w:val="00CA5A91"/>
    <w:rsid w:val="00CE0865"/>
    <w:rsid w:val="00D6009F"/>
    <w:rsid w:val="00DD56EA"/>
    <w:rsid w:val="00DF1D8B"/>
    <w:rsid w:val="00E01305"/>
    <w:rsid w:val="00E7634F"/>
    <w:rsid w:val="00E908EA"/>
    <w:rsid w:val="00EB367C"/>
    <w:rsid w:val="00F06F98"/>
    <w:rsid w:val="00F153BB"/>
    <w:rsid w:val="00F3366C"/>
    <w:rsid w:val="00F373E9"/>
    <w:rsid w:val="00F46322"/>
    <w:rsid w:val="00F57313"/>
    <w:rsid w:val="00F61B39"/>
    <w:rsid w:val="00F67372"/>
    <w:rsid w:val="00F72803"/>
    <w:rsid w:val="10E92A4E"/>
    <w:rsid w:val="1753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qFormat="1"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4">
    <w:name w:val="正文缩进1"/>
    <w:basedOn w:val="1"/>
    <w:qFormat/>
    <w:uiPriority w:val="0"/>
    <w:pPr>
      <w:ind w:firstLine="420" w:firstLineChars="200"/>
    </w:pPr>
  </w:style>
  <w:style w:type="paragraph" w:styleId="5">
    <w:name w:val="toc 7"/>
    <w:basedOn w:val="1"/>
    <w:next w:val="1"/>
    <w:qFormat/>
    <w:uiPriority w:val="0"/>
    <w:pPr>
      <w:ind w:left="2520" w:leftChars="1200"/>
    </w:pPr>
  </w:style>
  <w:style w:type="paragraph" w:styleId="6">
    <w:name w:val="Document Map"/>
    <w:basedOn w:val="1"/>
    <w:link w:val="50"/>
    <w:semiHidden/>
    <w:unhideWhenUsed/>
    <w:qFormat/>
    <w:uiPriority w:val="99"/>
    <w:rPr>
      <w:rFonts w:ascii="宋体"/>
      <w:sz w:val="18"/>
      <w:szCs w:val="18"/>
    </w:rPr>
  </w:style>
  <w:style w:type="paragraph" w:styleId="7">
    <w:name w:val="annotation text"/>
    <w:basedOn w:val="1"/>
    <w:link w:val="49"/>
    <w:qFormat/>
    <w:uiPriority w:val="0"/>
    <w:pPr>
      <w:jc w:val="left"/>
    </w:pPr>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toc 8"/>
    <w:basedOn w:val="1"/>
    <w:next w:val="1"/>
    <w:qFormat/>
    <w:uiPriority w:val="0"/>
    <w:pPr>
      <w:ind w:left="2940" w:leftChars="1400"/>
    </w:pPr>
  </w:style>
  <w:style w:type="paragraph" w:styleId="11">
    <w:name w:val="Balloon Text"/>
    <w:basedOn w:val="1"/>
    <w:qFormat/>
    <w:uiPriority w:val="0"/>
    <w:rPr>
      <w:sz w:val="18"/>
    </w:rPr>
  </w:style>
  <w:style w:type="paragraph" w:styleId="12">
    <w:name w:val="footer"/>
    <w:basedOn w:val="1"/>
    <w:link w:val="48"/>
    <w:unhideWhenUsed/>
    <w:qFormat/>
    <w:uiPriority w:val="99"/>
    <w:pPr>
      <w:tabs>
        <w:tab w:val="center" w:pos="4153"/>
        <w:tab w:val="right" w:pos="8306"/>
      </w:tabs>
      <w:snapToGrid w:val="0"/>
      <w:jc w:val="left"/>
    </w:pPr>
    <w:rPr>
      <w:sz w:val="18"/>
      <w:szCs w:val="18"/>
    </w:rPr>
  </w:style>
  <w:style w:type="paragraph" w:styleId="13">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4"/>
    <w:basedOn w:val="1"/>
    <w:next w:val="1"/>
    <w:qFormat/>
    <w:uiPriority w:val="0"/>
    <w:pPr>
      <w:ind w:left="1260" w:leftChars="600"/>
    </w:pPr>
  </w:style>
  <w:style w:type="paragraph" w:styleId="16">
    <w:name w:val="toc 6"/>
    <w:basedOn w:val="1"/>
    <w:next w:val="1"/>
    <w:qFormat/>
    <w:uiPriority w:val="0"/>
    <w:pPr>
      <w:ind w:left="2100" w:leftChars="1000"/>
    </w:pPr>
  </w:style>
  <w:style w:type="paragraph" w:styleId="17">
    <w:name w:val="toc 2"/>
    <w:basedOn w:val="1"/>
    <w:next w:val="1"/>
    <w:qFormat/>
    <w:uiPriority w:val="0"/>
    <w:pPr>
      <w:ind w:left="420" w:leftChars="200"/>
    </w:pPr>
  </w:style>
  <w:style w:type="paragraph" w:styleId="18">
    <w:name w:val="toc 9"/>
    <w:basedOn w:val="1"/>
    <w:next w:val="1"/>
    <w:qFormat/>
    <w:uiPriority w:val="0"/>
    <w:pPr>
      <w:ind w:left="3360" w:leftChars="1600"/>
    </w:pPr>
  </w:style>
  <w:style w:type="paragraph" w:styleId="19">
    <w:name w:val="annotation subject"/>
    <w:basedOn w:val="7"/>
    <w:next w:val="7"/>
    <w:link w:val="51"/>
    <w:semiHidden/>
    <w:unhideWhenUsed/>
    <w:uiPriority w:val="99"/>
    <w:rPr>
      <w:b/>
      <w:bCs/>
    </w:rPr>
  </w:style>
  <w:style w:type="character" w:styleId="22">
    <w:name w:val="Strong"/>
    <w:qFormat/>
    <w:uiPriority w:val="0"/>
    <w:rPr>
      <w:b/>
    </w:rPr>
  </w:style>
  <w:style w:type="character" w:styleId="23">
    <w:name w:val="page number"/>
    <w:basedOn w:val="21"/>
    <w:qFormat/>
    <w:uiPriority w:val="0"/>
  </w:style>
  <w:style w:type="character" w:styleId="24">
    <w:name w:val="Hyperlink"/>
    <w:qFormat/>
    <w:uiPriority w:val="0"/>
    <w:rPr>
      <w:color w:val="0000FF"/>
      <w:u w:val="single"/>
    </w:rPr>
  </w:style>
  <w:style w:type="character" w:styleId="25">
    <w:name w:val="annotation reference"/>
    <w:qFormat/>
    <w:uiPriority w:val="0"/>
    <w:rPr>
      <w:sz w:val="21"/>
    </w:rPr>
  </w:style>
  <w:style w:type="paragraph" w:customStyle="1" w:styleId="26">
    <w:name w:val="页眉1"/>
    <w:basedOn w:val="1"/>
    <w:qFormat/>
    <w:uiPriority w:val="0"/>
    <w:pPr>
      <w:pBdr>
        <w:bottom w:val="single" w:color="auto" w:sz="6" w:space="1"/>
      </w:pBdr>
      <w:tabs>
        <w:tab w:val="center" w:pos="4153"/>
        <w:tab w:val="right" w:pos="8306"/>
      </w:tabs>
      <w:snapToGrid w:val="0"/>
      <w:jc w:val="center"/>
    </w:pPr>
    <w:rPr>
      <w:sz w:val="18"/>
    </w:rPr>
  </w:style>
  <w:style w:type="paragraph" w:customStyle="1" w:styleId="27">
    <w:name w:val="批注框文本1"/>
    <w:basedOn w:val="1"/>
    <w:qFormat/>
    <w:uiPriority w:val="0"/>
    <w:rPr>
      <w:sz w:val="18"/>
    </w:rPr>
  </w:style>
  <w:style w:type="paragraph" w:customStyle="1" w:styleId="28">
    <w:name w:val="批注主题1"/>
    <w:basedOn w:val="29"/>
    <w:next w:val="29"/>
    <w:qFormat/>
    <w:uiPriority w:val="0"/>
    <w:rPr>
      <w:b/>
    </w:rPr>
  </w:style>
  <w:style w:type="paragraph" w:customStyle="1" w:styleId="29">
    <w:name w:val="批注文字1"/>
    <w:basedOn w:val="1"/>
    <w:qFormat/>
    <w:uiPriority w:val="0"/>
    <w:pPr>
      <w:jc w:val="left"/>
    </w:pPr>
  </w:style>
  <w:style w:type="paragraph" w:customStyle="1" w:styleId="30">
    <w:name w:val="正文文本缩进 31"/>
    <w:basedOn w:val="1"/>
    <w:qFormat/>
    <w:uiPriority w:val="0"/>
    <w:pPr>
      <w:adjustRightInd w:val="0"/>
      <w:snapToGrid w:val="0"/>
      <w:ind w:firstLine="480" w:firstLineChars="200"/>
    </w:pPr>
    <w:rPr>
      <w:rFonts w:ascii="仿宋_GB2312" w:hAnsi="宋体" w:eastAsia="仿宋_GB2312"/>
      <w:color w:val="000000"/>
      <w:sz w:val="24"/>
    </w:rPr>
  </w:style>
  <w:style w:type="paragraph" w:customStyle="1" w:styleId="31">
    <w:name w:val="Char Char Char"/>
    <w:basedOn w:val="1"/>
    <w:qFormat/>
    <w:uiPriority w:val="0"/>
  </w:style>
  <w:style w:type="paragraph" w:customStyle="1" w:styleId="32">
    <w:name w:val="正文文本缩进1"/>
    <w:basedOn w:val="1"/>
    <w:qFormat/>
    <w:uiPriority w:val="0"/>
    <w:pPr>
      <w:adjustRightInd w:val="0"/>
      <w:snapToGrid w:val="0"/>
      <w:spacing w:line="560" w:lineRule="exact"/>
      <w:ind w:firstLine="480" w:firstLineChars="200"/>
    </w:pPr>
    <w:rPr>
      <w:rFonts w:eastAsia="方正仿宋简体"/>
      <w:sz w:val="24"/>
    </w:rPr>
  </w:style>
  <w:style w:type="paragraph" w:customStyle="1" w:styleId="33">
    <w:name w:val="页脚1"/>
    <w:basedOn w:val="1"/>
    <w:qFormat/>
    <w:uiPriority w:val="0"/>
    <w:pPr>
      <w:tabs>
        <w:tab w:val="center" w:pos="4153"/>
        <w:tab w:val="right" w:pos="8306"/>
      </w:tabs>
      <w:snapToGrid w:val="0"/>
      <w:jc w:val="left"/>
    </w:pPr>
    <w:rPr>
      <w:sz w:val="18"/>
    </w:rPr>
  </w:style>
  <w:style w:type="paragraph" w:customStyle="1" w:styleId="34">
    <w:name w:val="正文文本缩进 21"/>
    <w:basedOn w:val="1"/>
    <w:qFormat/>
    <w:uiPriority w:val="0"/>
    <w:pPr>
      <w:spacing w:line="360" w:lineRule="auto"/>
      <w:ind w:firstLine="525"/>
    </w:pPr>
    <w:rPr>
      <w:rFonts w:ascii="宋体" w:hAnsi="宋体"/>
      <w:sz w:val="28"/>
    </w:rPr>
  </w:style>
  <w:style w:type="paragraph" w:customStyle="1" w:styleId="35">
    <w:name w:val="默认段落字体 Para Char"/>
    <w:basedOn w:val="1"/>
    <w:qFormat/>
    <w:uiPriority w:val="0"/>
    <w:pPr>
      <w:tabs>
        <w:tab w:val="left" w:pos="360"/>
      </w:tabs>
      <w:ind w:left="360" w:hanging="360"/>
    </w:pPr>
    <w:rPr>
      <w:sz w:val="24"/>
    </w:rPr>
  </w:style>
  <w:style w:type="paragraph" w:customStyle="1" w:styleId="36">
    <w:name w:val="Char"/>
    <w:basedOn w:val="1"/>
    <w:qFormat/>
    <w:uiPriority w:val="0"/>
  </w:style>
  <w:style w:type="paragraph" w:customStyle="1" w:styleId="37">
    <w:name w:val="正文文本1"/>
    <w:basedOn w:val="1"/>
    <w:qFormat/>
    <w:uiPriority w:val="0"/>
    <w:pPr>
      <w:spacing w:line="360" w:lineRule="auto"/>
    </w:pPr>
    <w:rPr>
      <w:rFonts w:ascii="仿宋_GB2312" w:eastAsia="仿宋_GB2312"/>
      <w:color w:val="000000"/>
      <w:kern w:val="0"/>
      <w:sz w:val="24"/>
    </w:rPr>
  </w:style>
  <w:style w:type="paragraph" w:customStyle="1" w:styleId="3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9">
    <w:name w:val="文档结构图1"/>
    <w:basedOn w:val="1"/>
    <w:qFormat/>
    <w:uiPriority w:val="0"/>
    <w:pPr>
      <w:shd w:val="clear" w:color="auto" w:fill="000080"/>
    </w:pPr>
  </w:style>
  <w:style w:type="paragraph" w:customStyle="1" w:styleId="40">
    <w:name w:val="修订1"/>
    <w:qFormat/>
    <w:uiPriority w:val="0"/>
    <w:rPr>
      <w:rFonts w:ascii="Times New Roman" w:hAnsi="Times New Roman" w:eastAsia="宋体" w:cs="Times New Roman"/>
      <w:kern w:val="2"/>
      <w:sz w:val="21"/>
      <w:lang w:val="en-US" w:eastAsia="zh-CN" w:bidi="ar-SA"/>
    </w:rPr>
  </w:style>
  <w:style w:type="paragraph" w:customStyle="1" w:styleId="41">
    <w:name w:val="普通(网站)1"/>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customStyle="1" w:styleId="42">
    <w:name w:val="wz1"/>
    <w:basedOn w:val="1"/>
    <w:qFormat/>
    <w:uiPriority w:val="0"/>
    <w:pPr>
      <w:widowControl/>
      <w:spacing w:before="100" w:beforeAutospacing="1" w:after="100" w:afterAutospacing="1" w:line="245" w:lineRule="atLeast"/>
      <w:jc w:val="left"/>
    </w:pPr>
    <w:rPr>
      <w:rFonts w:ascii="Arial Unicode MS" w:hAnsi="Arial Unicode MS" w:eastAsia="Arial Unicode MS"/>
      <w:color w:val="CC0000"/>
      <w:kern w:val="0"/>
      <w:sz w:val="22"/>
    </w:rPr>
  </w:style>
  <w:style w:type="paragraph" w:customStyle="1" w:styleId="43">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44">
    <w:name w:val="页码1"/>
    <w:basedOn w:val="21"/>
    <w:qFormat/>
    <w:uiPriority w:val="0"/>
  </w:style>
  <w:style w:type="character" w:customStyle="1" w:styleId="45">
    <w:name w:val="read"/>
    <w:basedOn w:val="21"/>
    <w:qFormat/>
    <w:uiPriority w:val="0"/>
  </w:style>
  <w:style w:type="character" w:customStyle="1" w:styleId="46">
    <w:name w:val="批注引用1"/>
    <w:qFormat/>
    <w:uiPriority w:val="0"/>
    <w:rPr>
      <w:sz w:val="21"/>
    </w:rPr>
  </w:style>
  <w:style w:type="character" w:customStyle="1" w:styleId="47">
    <w:name w:val="页眉 字符"/>
    <w:link w:val="13"/>
    <w:qFormat/>
    <w:uiPriority w:val="99"/>
    <w:rPr>
      <w:kern w:val="2"/>
      <w:sz w:val="18"/>
      <w:szCs w:val="18"/>
    </w:rPr>
  </w:style>
  <w:style w:type="character" w:customStyle="1" w:styleId="48">
    <w:name w:val="页脚 字符"/>
    <w:link w:val="12"/>
    <w:qFormat/>
    <w:uiPriority w:val="99"/>
    <w:rPr>
      <w:kern w:val="2"/>
      <w:sz w:val="18"/>
      <w:szCs w:val="18"/>
    </w:rPr>
  </w:style>
  <w:style w:type="character" w:customStyle="1" w:styleId="49">
    <w:name w:val="批注文字 字符"/>
    <w:link w:val="7"/>
    <w:qFormat/>
    <w:uiPriority w:val="0"/>
    <w:rPr>
      <w:kern w:val="2"/>
      <w:sz w:val="21"/>
    </w:rPr>
  </w:style>
  <w:style w:type="character" w:customStyle="1" w:styleId="50">
    <w:name w:val="文档结构图 字符"/>
    <w:link w:val="6"/>
    <w:qFormat/>
    <w:uiPriority w:val="99"/>
    <w:rPr>
      <w:rFonts w:ascii="宋体"/>
      <w:kern w:val="2"/>
      <w:sz w:val="18"/>
      <w:szCs w:val="18"/>
    </w:rPr>
  </w:style>
  <w:style w:type="character" w:customStyle="1" w:styleId="51">
    <w:name w:val="批注主题 字符"/>
    <w:basedOn w:val="49"/>
    <w:link w:val="19"/>
    <w:qFormat/>
    <w:uiPriority w:val="99"/>
    <w:rPr>
      <w:b/>
      <w:bCs/>
      <w:kern w:val="2"/>
      <w:sz w:val="21"/>
    </w:rPr>
  </w:style>
  <w:style w:type="paragraph" w:customStyle="1" w:styleId="52">
    <w:name w:val="Revision"/>
    <w:hidden/>
    <w:semiHidden/>
    <w:qFormat/>
    <w:uiPriority w:val="99"/>
    <w:rPr>
      <w:rFonts w:ascii="Times New Roman" w:hAnsi="Times New Roman" w:eastAsia="宋体" w:cs="Times New Roman"/>
      <w:kern w:val="2"/>
      <w:sz w:val="21"/>
      <w:lang w:val="en-US" w:eastAsia="zh-CN" w:bidi="ar-SA"/>
    </w:rPr>
  </w:style>
  <w:style w:type="paragraph" w:customStyle="1" w:styleId="53">
    <w:name w:val="正文正文"/>
    <w:basedOn w:val="1"/>
    <w:qFormat/>
    <w:uiPriority w:val="0"/>
    <w:pPr>
      <w:spacing w:afterLines="25" w:line="360" w:lineRule="auto"/>
      <w:ind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46</Pages>
  <Words>3836</Words>
  <Characters>21867</Characters>
  <Lines>182</Lines>
  <Paragraphs>51</Paragraphs>
  <TotalTime>79</TotalTime>
  <ScaleCrop>false</ScaleCrop>
  <LinksUpToDate>false</LinksUpToDate>
  <CharactersWithSpaces>25652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2019-09-09T06:22:00Z</dcterms:created>
  <dc:creator>黄晓彬</dc:creator>
  <cp:lastModifiedBy>喻秋燕</cp:lastModifiedBy>
  <cp:lastPrinted>2015-01-08T06:50:00Z</cp:lastPrinted>
  <dcterms:modified xsi:type="dcterms:W3CDTF">2025-01-24T05:40:45Z</dcterms:modified>
  <dc:title>国泰中国企业境外高收益债券型证券投资基金</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28572A977F014BE597C05E7846463494</vt:lpwstr>
  </property>
</Properties>
</file>