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pict>
          <v:shape id="_x0000_i1025" o:spt="75" alt="logo1" type="#_x0000_t75" style="height:45pt;width:342pt;" filled="f" o:preferrelative="t" stroked="f" coordsize="21600,21600">
            <v:path/>
            <v:fill on="f" focussize="0,0"/>
            <v:stroke on="f" joinstyle="miter"/>
            <v:imagedata r:id="rId12" o:title="logo1"/>
            <o:lock v:ext="edit" aspectratio="t"/>
            <w10:wrap type="none"/>
            <w10:anchorlock/>
          </v:shape>
        </w:pict>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交银施罗德强化回报债券型证券投资基金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招募说明书(更新)</w:t>
      </w:r>
    </w:p>
    <w:p>
      <w:pPr>
        <w:snapToGrid w:val="0"/>
        <w:spacing w:line="360" w:lineRule="auto"/>
        <w:jc w:val="center"/>
        <w:rPr>
          <w:rFonts w:ascii="宋体" w:hAnsi="宋体"/>
          <w:b/>
          <w:sz w:val="30"/>
          <w:szCs w:val="30"/>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06"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06" w:firstLineChars="500"/>
        <w:rPr>
          <w:rFonts w:ascii="宋体" w:hAnsi="宋体"/>
          <w:b/>
          <w:w w:val="99"/>
          <w:kern w:val="0"/>
          <w:sz w:val="28"/>
          <w:szCs w:val="32"/>
        </w:rPr>
      </w:pPr>
      <w:r>
        <w:rPr>
          <w:rFonts w:ascii="宋体" w:hAnsi="宋体"/>
          <w:b/>
          <w:spacing w:val="2"/>
          <w:w w:val="99"/>
          <w:kern w:val="0"/>
          <w:sz w:val="28"/>
          <w:szCs w:val="32"/>
        </w:rPr>
        <w:t>基金托管人：中信银行股份有限公司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w:t>
      </w:r>
      <w:r>
        <w:rPr>
          <w:rFonts w:hint="eastAsia" w:ascii="Times New Roman" w:hAnsi="Times New Roman"/>
          <w:b/>
          <w:spacing w:val="2"/>
          <w:w w:val="99"/>
          <w:kern w:val="0"/>
          <w:sz w:val="28"/>
          <w:szCs w:val="32"/>
        </w:rPr>
        <w:t>五</w:t>
      </w:r>
      <w:r>
        <w:rPr>
          <w:rFonts w:ascii="Times New Roman" w:hAnsi="Times New Roman"/>
          <w:b/>
          <w:spacing w:val="2"/>
          <w:w w:val="99"/>
          <w:kern w:val="0"/>
          <w:sz w:val="28"/>
          <w:szCs w:val="32"/>
        </w:rPr>
        <w:t>年</w:t>
      </w:r>
      <w:r>
        <w:rPr>
          <w:rFonts w:hint="eastAsia" w:ascii="Times New Roman" w:hAnsi="Times New Roman"/>
          <w:b/>
          <w:spacing w:val="2"/>
          <w:w w:val="99"/>
          <w:kern w:val="0"/>
          <w:sz w:val="28"/>
          <w:szCs w:val="32"/>
        </w:rPr>
        <w:t>一</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171611411"/>
      <w:bookmarkStart w:id="1" w:name="_Toc324920538"/>
      <w:bookmarkStart w:id="2" w:name="_Toc496884613"/>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交银施罗德强化回报债券型证券投资基金（以下简称“本基金”）经2013年11月14日中国证券监督管理委员会（以下简称“中国证监会”） 证监许可【2013】1443号文准予募集注册。本基金基金合同于2014年1月28日正式生效。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科创板股票的特定风险；投资本基金特有的其他风险等等。本基金是一只债券型基金，其风险与预期收益高于货币市场基金，低于混合型基金和股票型基金，属于证券投资基金中中等风险的品种。</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本次更新招募说明书主要对调整管理费率和托管费率相关事项、基金管理人章节主要成员情况进行了相应更新，更新截止日为2025年01月24日；除非另有说明，</w:t>
      </w:r>
      <w:r>
        <w:rPr>
          <w:rFonts w:ascii="Times New Roman" w:hAnsi="Times New Roman"/>
          <w:kern w:val="0"/>
          <w:sz w:val="24"/>
        </w:rPr>
        <w:t>本招募说明书</w:t>
      </w:r>
      <w:r>
        <w:rPr>
          <w:rFonts w:hint="eastAsia" w:ascii="Times New Roman" w:hAnsi="Times New Roman"/>
          <w:kern w:val="0"/>
          <w:sz w:val="24"/>
        </w:rPr>
        <w:t>其他</w:t>
      </w:r>
      <w:r>
        <w:rPr>
          <w:rFonts w:ascii="Times New Roman" w:hAnsi="Times New Roman"/>
          <w:kern w:val="0"/>
          <w:sz w:val="24"/>
        </w:rPr>
        <w:t>所载内容截止日为2024年06月21日，有关财务数据和净值表现截止日为2024年03月31日。本招募说明书所载的财务数据未经审计。</w:t>
      </w:r>
    </w:p>
    <w:p>
      <w:pPr>
        <w:autoSpaceDE w:val="0"/>
        <w:autoSpaceDN w:val="0"/>
        <w:adjustRightInd w:val="0"/>
        <w:snapToGrid w:val="0"/>
        <w:spacing w:before="51" w:line="360" w:lineRule="auto"/>
        <w:ind w:left="120" w:right="13" w:rightChars="6" w:firstLine="480"/>
        <w:rPr>
          <w:rFonts w:ascii="宋体" w:hAnsi="宋体"/>
          <w:kern w:val="0"/>
          <w:szCs w:val="24"/>
        </w:rPr>
        <w:sectPr>
          <w:headerReference r:id="rId9"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sz w:val="24"/>
        </w:rPr>
      </w:pPr>
      <w:r>
        <w:fldChar w:fldCharType="begin"/>
      </w:r>
      <w:r>
        <w:instrText xml:space="preserve"> HYPERLINK \l "_Toc171611411"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_Toc171611411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"_Toc171611412"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_Toc171611412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"_Toc171611413"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_Toc171611413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"_Toc171611414" </w:instrText>
      </w:r>
      <w:r>
        <w:fldChar w:fldCharType="separate"/>
      </w:r>
      <w:r>
        <w:rPr>
          <w:rStyle w:val="18"/>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_Toc171611414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"_Toc171611415" </w:instrText>
      </w:r>
      <w:r>
        <w:fldChar w:fldCharType="separate"/>
      </w:r>
      <w:r>
        <w:rPr>
          <w:rStyle w:val="18"/>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_Toc171611415 \h </w:instrText>
      </w:r>
      <w:r>
        <w:rPr>
          <w:rFonts w:ascii="宋体" w:hAnsi="宋体"/>
          <w:sz w:val="24"/>
        </w:rPr>
        <w:fldChar w:fldCharType="separate"/>
      </w:r>
      <w:r>
        <w:rPr>
          <w:rFonts w:ascii="宋体" w:hAnsi="宋体"/>
          <w:sz w:val="24"/>
        </w:rPr>
        <w:t>18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"_Toc171611416" </w:instrText>
      </w:r>
      <w:r>
        <w:fldChar w:fldCharType="separate"/>
      </w:r>
      <w:r>
        <w:rPr>
          <w:rStyle w:val="18"/>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_Toc171611416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"_Toc171611417" </w:instrText>
      </w:r>
      <w:r>
        <w:fldChar w:fldCharType="separate"/>
      </w:r>
      <w:r>
        <w:rPr>
          <w:rStyle w:val="18"/>
          <w:rFonts w:hint="eastAsia" w:ascii="宋体" w:hAnsi="宋体"/>
          <w:sz w:val="24"/>
        </w:rPr>
        <w:t>六、基金的募集</w:t>
      </w:r>
      <w:r>
        <w:rPr>
          <w:rFonts w:ascii="宋体" w:hAnsi="宋体"/>
          <w:sz w:val="24"/>
        </w:rPr>
        <w:tab/>
      </w:r>
      <w:r>
        <w:rPr>
          <w:rFonts w:ascii="宋体" w:hAnsi="宋体"/>
          <w:sz w:val="24"/>
        </w:rPr>
        <w:fldChar w:fldCharType="begin"/>
      </w:r>
      <w:r>
        <w:rPr>
          <w:rFonts w:ascii="宋体" w:hAnsi="宋体"/>
          <w:sz w:val="24"/>
        </w:rPr>
        <w:instrText xml:space="preserve"> PAGEREF _Toc171611417 \h </w:instrText>
      </w:r>
      <w:r>
        <w:rPr>
          <w:rFonts w:ascii="宋体" w:hAnsi="宋体"/>
          <w:sz w:val="24"/>
        </w:rPr>
        <w:fldChar w:fldCharType="separate"/>
      </w:r>
      <w:r>
        <w:rPr>
          <w:rFonts w:ascii="宋体" w:hAnsi="宋体"/>
          <w:sz w:val="24"/>
        </w:rPr>
        <w:t>47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"_Toc171611418" </w:instrText>
      </w:r>
      <w:r>
        <w:fldChar w:fldCharType="separate"/>
      </w:r>
      <w:r>
        <w:rPr>
          <w:rStyle w:val="18"/>
          <w:rFonts w:hint="eastAsia" w:ascii="宋体" w:hAnsi="宋体"/>
          <w:sz w:val="24"/>
        </w:rPr>
        <w:t>七、基金合同的生效</w:t>
      </w:r>
      <w:r>
        <w:rPr>
          <w:rFonts w:ascii="宋体" w:hAnsi="宋体"/>
          <w:sz w:val="24"/>
        </w:rPr>
        <w:tab/>
      </w:r>
      <w:r>
        <w:rPr>
          <w:rFonts w:ascii="宋体" w:hAnsi="宋体"/>
          <w:sz w:val="24"/>
        </w:rPr>
        <w:fldChar w:fldCharType="begin"/>
      </w:r>
      <w:r>
        <w:rPr>
          <w:rFonts w:ascii="宋体" w:hAnsi="宋体"/>
          <w:sz w:val="24"/>
        </w:rPr>
        <w:instrText xml:space="preserve"> PAGEREF _Toc171611418 \h </w:instrText>
      </w:r>
      <w:r>
        <w:rPr>
          <w:rFonts w:ascii="宋体" w:hAnsi="宋体"/>
          <w:sz w:val="24"/>
        </w:rPr>
        <w:fldChar w:fldCharType="separate"/>
      </w:r>
      <w:r>
        <w:rPr>
          <w:rFonts w:ascii="宋体" w:hAnsi="宋体"/>
          <w:sz w:val="24"/>
        </w:rPr>
        <w:t>48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"_Toc171611419" </w:instrText>
      </w:r>
      <w:r>
        <w:fldChar w:fldCharType="separate"/>
      </w:r>
      <w:r>
        <w:rPr>
          <w:rStyle w:val="18"/>
          <w:rFonts w:hint="eastAsia" w:ascii="宋体" w:hAnsi="宋体"/>
          <w:sz w:val="24"/>
        </w:rPr>
        <w:t>八、基金份额的申购与赎回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_Toc171611419 \h </w:instrText>
      </w:r>
      <w:r>
        <w:rPr>
          <w:rFonts w:ascii="宋体" w:hAnsi="宋体"/>
          <w:sz w:val="24"/>
        </w:rPr>
        <w:fldChar w:fldCharType="separate"/>
      </w:r>
      <w:r>
        <w:rPr>
          <w:rFonts w:ascii="宋体" w:hAnsi="宋体"/>
          <w:sz w:val="24"/>
        </w:rPr>
        <w:t>49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"_Toc171611420" </w:instrText>
      </w:r>
      <w:r>
        <w:fldChar w:fldCharType="separate"/>
      </w:r>
      <w:r>
        <w:rPr>
          <w:rStyle w:val="18"/>
          <w:rFonts w:hint="eastAsia" w:ascii="宋体" w:hAnsi="宋体"/>
          <w:sz w:val="24"/>
        </w:rPr>
        <w:t>九、基金的转换</w:t>
      </w:r>
      <w:r>
        <w:rPr>
          <w:rFonts w:ascii="宋体" w:hAnsi="宋体"/>
          <w:sz w:val="24"/>
        </w:rPr>
        <w:tab/>
      </w:r>
      <w:r>
        <w:rPr>
          <w:rFonts w:ascii="宋体" w:hAnsi="宋体"/>
          <w:sz w:val="24"/>
        </w:rPr>
        <w:fldChar w:fldCharType="begin"/>
      </w:r>
      <w:r>
        <w:rPr>
          <w:rFonts w:ascii="宋体" w:hAnsi="宋体"/>
          <w:sz w:val="24"/>
        </w:rPr>
        <w:instrText xml:space="preserve"> PAGEREF _Toc171611420 \h </w:instrText>
      </w:r>
      <w:r>
        <w:rPr>
          <w:rFonts w:ascii="宋体" w:hAnsi="宋体"/>
          <w:sz w:val="24"/>
        </w:rPr>
        <w:fldChar w:fldCharType="separate"/>
      </w:r>
      <w:r>
        <w:rPr>
          <w:rFonts w:ascii="宋体" w:hAnsi="宋体"/>
          <w:sz w:val="24"/>
        </w:rPr>
        <w:t>64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"_Toc171611421" </w:instrText>
      </w:r>
      <w:r>
        <w:fldChar w:fldCharType="separate"/>
      </w:r>
      <w:r>
        <w:rPr>
          <w:rStyle w:val="18"/>
          <w:rFonts w:hint="eastAsia" w:ascii="宋体" w:hAnsi="宋体"/>
          <w:sz w:val="24"/>
        </w:rPr>
        <w:t>十、基金的投资</w:t>
      </w:r>
      <w:r>
        <w:rPr>
          <w:rFonts w:ascii="宋体" w:hAnsi="宋体"/>
          <w:sz w:val="24"/>
        </w:rPr>
        <w:tab/>
      </w:r>
      <w:r>
        <w:rPr>
          <w:rFonts w:ascii="宋体" w:hAnsi="宋体"/>
          <w:sz w:val="24"/>
        </w:rPr>
        <w:fldChar w:fldCharType="begin"/>
      </w:r>
      <w:r>
        <w:rPr>
          <w:rFonts w:ascii="宋体" w:hAnsi="宋体"/>
          <w:sz w:val="24"/>
        </w:rPr>
        <w:instrText xml:space="preserve"> PAGEREF _Toc171611421 \h </w:instrText>
      </w:r>
      <w:r>
        <w:rPr>
          <w:rFonts w:ascii="宋体" w:hAnsi="宋体"/>
          <w:sz w:val="24"/>
        </w:rPr>
        <w:fldChar w:fldCharType="separate"/>
      </w:r>
      <w:r>
        <w:rPr>
          <w:rFonts w:ascii="宋体" w:hAnsi="宋体"/>
          <w:sz w:val="24"/>
        </w:rPr>
        <w:t>71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"_Toc171611422" </w:instrText>
      </w:r>
      <w:r>
        <w:fldChar w:fldCharType="separate"/>
      </w:r>
      <w:r>
        <w:rPr>
          <w:rStyle w:val="18"/>
          <w:rFonts w:hint="eastAsia" w:ascii="宋体" w:hAnsi="宋体"/>
          <w:sz w:val="24"/>
        </w:rPr>
        <w:t>十一、基金的业绩</w:t>
      </w:r>
      <w:r>
        <w:rPr>
          <w:rFonts w:ascii="宋体" w:hAnsi="宋体"/>
          <w:sz w:val="24"/>
        </w:rPr>
        <w:tab/>
      </w:r>
      <w:r>
        <w:rPr>
          <w:rFonts w:ascii="宋体" w:hAnsi="宋体"/>
          <w:sz w:val="24"/>
        </w:rPr>
        <w:fldChar w:fldCharType="begin"/>
      </w:r>
      <w:r>
        <w:rPr>
          <w:rFonts w:ascii="宋体" w:hAnsi="宋体"/>
          <w:sz w:val="24"/>
        </w:rPr>
        <w:instrText xml:space="preserve"> PAGEREF _Toc171611422 \h </w:instrText>
      </w:r>
      <w:r>
        <w:rPr>
          <w:rFonts w:ascii="宋体" w:hAnsi="宋体"/>
          <w:sz w:val="24"/>
        </w:rPr>
        <w:fldChar w:fldCharType="separate"/>
      </w:r>
      <w:r>
        <w:rPr>
          <w:rFonts w:ascii="宋体" w:hAnsi="宋体"/>
          <w:sz w:val="24"/>
        </w:rPr>
        <w:t>84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"_Toc171611423" </w:instrText>
      </w:r>
      <w:r>
        <w:fldChar w:fldCharType="separate"/>
      </w:r>
      <w:r>
        <w:rPr>
          <w:rStyle w:val="18"/>
          <w:rFonts w:hint="eastAsia" w:ascii="宋体" w:hAnsi="宋体"/>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_Toc171611423 \h </w:instrText>
      </w:r>
      <w:r>
        <w:rPr>
          <w:rFonts w:ascii="宋体" w:hAnsi="宋体"/>
          <w:sz w:val="24"/>
        </w:rPr>
        <w:fldChar w:fldCharType="separate"/>
      </w:r>
      <w:r>
        <w:rPr>
          <w:rFonts w:ascii="宋体" w:hAnsi="宋体"/>
          <w:sz w:val="24"/>
        </w:rPr>
        <w:t>87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"_Toc171611424" </w:instrText>
      </w:r>
      <w:r>
        <w:fldChar w:fldCharType="separate"/>
      </w:r>
      <w:r>
        <w:rPr>
          <w:rStyle w:val="18"/>
          <w:rFonts w:hint="eastAsia" w:ascii="宋体" w:hAnsi="宋体"/>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_Toc171611424 \h </w:instrText>
      </w:r>
      <w:r>
        <w:rPr>
          <w:rFonts w:ascii="宋体" w:hAnsi="宋体"/>
          <w:sz w:val="24"/>
        </w:rPr>
        <w:fldChar w:fldCharType="separate"/>
      </w:r>
      <w:r>
        <w:rPr>
          <w:rFonts w:ascii="宋体" w:hAnsi="宋体"/>
          <w:sz w:val="24"/>
        </w:rPr>
        <w:t>88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"_Toc171611425" </w:instrText>
      </w:r>
      <w:r>
        <w:fldChar w:fldCharType="separate"/>
      </w:r>
      <w:r>
        <w:rPr>
          <w:rStyle w:val="18"/>
          <w:rFonts w:hint="eastAsia" w:ascii="宋体" w:hAnsi="宋体"/>
          <w:sz w:val="24"/>
        </w:rPr>
        <w:t>十四、基金收益与分配</w:t>
      </w:r>
      <w:r>
        <w:rPr>
          <w:rFonts w:ascii="宋体" w:hAnsi="宋体"/>
          <w:sz w:val="24"/>
        </w:rPr>
        <w:tab/>
      </w:r>
      <w:r>
        <w:rPr>
          <w:rFonts w:ascii="宋体" w:hAnsi="宋体"/>
          <w:sz w:val="24"/>
        </w:rPr>
        <w:fldChar w:fldCharType="begin"/>
      </w:r>
      <w:r>
        <w:rPr>
          <w:rFonts w:ascii="宋体" w:hAnsi="宋体"/>
          <w:sz w:val="24"/>
        </w:rPr>
        <w:instrText xml:space="preserve"> PAGEREF _Toc171611425 \h </w:instrText>
      </w:r>
      <w:r>
        <w:rPr>
          <w:rFonts w:ascii="宋体" w:hAnsi="宋体"/>
          <w:sz w:val="24"/>
        </w:rPr>
        <w:fldChar w:fldCharType="separate"/>
      </w:r>
      <w:r>
        <w:rPr>
          <w:rFonts w:ascii="宋体" w:hAnsi="宋体"/>
          <w:sz w:val="24"/>
        </w:rPr>
        <w:t>93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"_Toc171611426" </w:instrText>
      </w:r>
      <w:r>
        <w:fldChar w:fldCharType="separate"/>
      </w:r>
      <w:r>
        <w:rPr>
          <w:rStyle w:val="18"/>
          <w:rFonts w:hint="eastAsia" w:ascii="宋体" w:hAnsi="宋体"/>
          <w:sz w:val="24"/>
        </w:rPr>
        <w:t>十五、基金的费用与税收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_Toc171611426 \h </w:instrText>
      </w:r>
      <w:r>
        <w:rPr>
          <w:rFonts w:ascii="宋体" w:hAnsi="宋体"/>
          <w:sz w:val="24"/>
        </w:rPr>
        <w:fldChar w:fldCharType="separate"/>
      </w:r>
      <w:r>
        <w:rPr>
          <w:rFonts w:ascii="宋体" w:hAnsi="宋体"/>
          <w:sz w:val="24"/>
        </w:rPr>
        <w:t>95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"_Toc171611427" </w:instrText>
      </w:r>
      <w:r>
        <w:fldChar w:fldCharType="separate"/>
      </w:r>
      <w:r>
        <w:rPr>
          <w:rStyle w:val="18"/>
          <w:rFonts w:hint="eastAsia" w:ascii="宋体" w:hAnsi="宋体"/>
          <w:sz w:val="24"/>
        </w:rPr>
        <w:t>十六、基金的会计与审计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_Toc171611427 \h </w:instrText>
      </w:r>
      <w:r>
        <w:rPr>
          <w:rFonts w:ascii="宋体" w:hAnsi="宋体"/>
          <w:sz w:val="24"/>
        </w:rPr>
        <w:fldChar w:fldCharType="separate"/>
      </w:r>
      <w:r>
        <w:rPr>
          <w:rFonts w:ascii="宋体" w:hAnsi="宋体"/>
          <w:sz w:val="24"/>
        </w:rPr>
        <w:t>98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"_Toc171611428" </w:instrText>
      </w:r>
      <w:r>
        <w:fldChar w:fldCharType="separate"/>
      </w:r>
      <w:r>
        <w:rPr>
          <w:rStyle w:val="18"/>
          <w:rFonts w:hint="eastAsia" w:ascii="宋体" w:hAnsi="宋体"/>
          <w:sz w:val="24"/>
        </w:rPr>
        <w:t>十七、基金的信息披露</w:t>
      </w:r>
      <w:r>
        <w:rPr>
          <w:rFonts w:ascii="宋体" w:hAnsi="宋体"/>
          <w:sz w:val="24"/>
        </w:rPr>
        <w:tab/>
      </w:r>
      <w:r>
        <w:rPr>
          <w:rFonts w:ascii="宋体" w:hAnsi="宋体"/>
          <w:sz w:val="24"/>
        </w:rPr>
        <w:fldChar w:fldCharType="begin"/>
      </w:r>
      <w:r>
        <w:rPr>
          <w:rFonts w:ascii="宋体" w:hAnsi="宋体"/>
          <w:sz w:val="24"/>
        </w:rPr>
        <w:instrText xml:space="preserve"> PAGEREF _Toc171611428 \h </w:instrText>
      </w:r>
      <w:r>
        <w:rPr>
          <w:rFonts w:ascii="宋体" w:hAnsi="宋体"/>
          <w:sz w:val="24"/>
        </w:rPr>
        <w:fldChar w:fldCharType="separate"/>
      </w:r>
      <w:r>
        <w:rPr>
          <w:rFonts w:ascii="宋体" w:hAnsi="宋体"/>
          <w:sz w:val="24"/>
        </w:rPr>
        <w:t>99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"_Toc171611429" </w:instrText>
      </w:r>
      <w:r>
        <w:fldChar w:fldCharType="separate"/>
      </w:r>
      <w:r>
        <w:rPr>
          <w:rStyle w:val="18"/>
          <w:rFonts w:hint="eastAsia" w:ascii="宋体" w:hAnsi="宋体"/>
          <w:sz w:val="24"/>
        </w:rPr>
        <w:t>十八、侧袋机制</w:t>
      </w:r>
      <w:r>
        <w:rPr>
          <w:rFonts w:ascii="宋体" w:hAnsi="宋体"/>
          <w:sz w:val="24"/>
        </w:rPr>
        <w:tab/>
      </w:r>
      <w:r>
        <w:rPr>
          <w:rFonts w:ascii="宋体" w:hAnsi="宋体"/>
          <w:sz w:val="24"/>
        </w:rPr>
        <w:fldChar w:fldCharType="begin"/>
      </w:r>
      <w:r>
        <w:rPr>
          <w:rFonts w:ascii="宋体" w:hAnsi="宋体"/>
          <w:sz w:val="24"/>
        </w:rPr>
        <w:instrText xml:space="preserve"> PAGEREF _Toc171611429 \h </w:instrText>
      </w:r>
      <w:r>
        <w:rPr>
          <w:rFonts w:ascii="宋体" w:hAnsi="宋体"/>
          <w:sz w:val="24"/>
        </w:rPr>
        <w:fldChar w:fldCharType="separate"/>
      </w:r>
      <w:r>
        <w:rPr>
          <w:rFonts w:ascii="宋体" w:hAnsi="宋体"/>
          <w:sz w:val="24"/>
        </w:rPr>
        <w:t>105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"_Toc171611430" </w:instrText>
      </w:r>
      <w:r>
        <w:fldChar w:fldCharType="separate"/>
      </w:r>
      <w:r>
        <w:rPr>
          <w:rStyle w:val="18"/>
          <w:rFonts w:hint="eastAsia" w:ascii="宋体" w:hAnsi="宋体"/>
          <w:sz w:val="24"/>
        </w:rPr>
        <w:t>十九、风险揭示</w:t>
      </w:r>
      <w:r>
        <w:rPr>
          <w:rFonts w:ascii="宋体" w:hAnsi="宋体"/>
          <w:sz w:val="24"/>
        </w:rPr>
        <w:tab/>
      </w:r>
      <w:r>
        <w:rPr>
          <w:rFonts w:ascii="宋体" w:hAnsi="宋体"/>
          <w:sz w:val="24"/>
        </w:rPr>
        <w:fldChar w:fldCharType="begin"/>
      </w:r>
      <w:r>
        <w:rPr>
          <w:rFonts w:ascii="宋体" w:hAnsi="宋体"/>
          <w:sz w:val="24"/>
        </w:rPr>
        <w:instrText xml:space="preserve"> PAGEREF _Toc171611430 \h </w:instrText>
      </w:r>
      <w:r>
        <w:rPr>
          <w:rFonts w:ascii="宋体" w:hAnsi="宋体"/>
          <w:sz w:val="24"/>
        </w:rPr>
        <w:fldChar w:fldCharType="separate"/>
      </w:r>
      <w:r>
        <w:rPr>
          <w:rFonts w:ascii="宋体" w:hAnsi="宋体"/>
          <w:sz w:val="24"/>
        </w:rPr>
        <w:t>108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"_Toc171611431" </w:instrText>
      </w:r>
      <w:r>
        <w:fldChar w:fldCharType="separate"/>
      </w:r>
      <w:r>
        <w:rPr>
          <w:rStyle w:val="18"/>
          <w:rFonts w:hint="eastAsia" w:ascii="宋体" w:hAnsi="宋体"/>
          <w:sz w:val="24"/>
        </w:rPr>
        <w:t>二十、基金合同的变更、终止与基金财产的清算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_Toc171611431 \h </w:instrText>
      </w:r>
      <w:r>
        <w:rPr>
          <w:rFonts w:ascii="宋体" w:hAnsi="宋体"/>
          <w:sz w:val="24"/>
        </w:rPr>
        <w:fldChar w:fldCharType="separate"/>
      </w:r>
      <w:r>
        <w:rPr>
          <w:rFonts w:ascii="宋体" w:hAnsi="宋体"/>
          <w:sz w:val="24"/>
        </w:rPr>
        <w:t>115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"_Toc171611432" </w:instrText>
      </w:r>
      <w:r>
        <w:fldChar w:fldCharType="separate"/>
      </w:r>
      <w:r>
        <w:rPr>
          <w:rStyle w:val="18"/>
          <w:rFonts w:hint="eastAsia" w:ascii="宋体" w:hAnsi="宋体"/>
          <w:sz w:val="24"/>
        </w:rPr>
        <w:t>二十一、基金合同内容摘要</w:t>
      </w:r>
      <w:r>
        <w:rPr>
          <w:rFonts w:ascii="宋体" w:hAnsi="宋体"/>
          <w:sz w:val="24"/>
        </w:rPr>
        <w:tab/>
      </w:r>
      <w:r>
        <w:rPr>
          <w:rFonts w:ascii="宋体" w:hAnsi="宋体"/>
          <w:sz w:val="24"/>
        </w:rPr>
        <w:fldChar w:fldCharType="begin"/>
      </w:r>
      <w:r>
        <w:rPr>
          <w:rFonts w:ascii="宋体" w:hAnsi="宋体"/>
          <w:sz w:val="24"/>
        </w:rPr>
        <w:instrText xml:space="preserve"> PAGEREF _Toc171611432 \h </w:instrText>
      </w:r>
      <w:r>
        <w:rPr>
          <w:rFonts w:ascii="宋体" w:hAnsi="宋体"/>
          <w:sz w:val="24"/>
        </w:rPr>
        <w:fldChar w:fldCharType="separate"/>
      </w:r>
      <w:r>
        <w:rPr>
          <w:rFonts w:ascii="宋体" w:hAnsi="宋体"/>
          <w:sz w:val="24"/>
        </w:rPr>
        <w:t>117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"_Toc171611433" </w:instrText>
      </w:r>
      <w:r>
        <w:fldChar w:fldCharType="separate"/>
      </w:r>
      <w:r>
        <w:rPr>
          <w:rStyle w:val="18"/>
          <w:rFonts w:hint="eastAsia" w:ascii="宋体" w:hAnsi="宋体"/>
          <w:sz w:val="24"/>
        </w:rPr>
        <w:t>二十二、托管协议的内容摘要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_Toc171611433 \h </w:instrText>
      </w:r>
      <w:r>
        <w:rPr>
          <w:rFonts w:ascii="宋体" w:hAnsi="宋体"/>
          <w:sz w:val="24"/>
        </w:rPr>
        <w:fldChar w:fldCharType="separate"/>
      </w:r>
      <w:r>
        <w:rPr>
          <w:rFonts w:ascii="宋体" w:hAnsi="宋体"/>
          <w:sz w:val="24"/>
        </w:rPr>
        <w:t>133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"_Toc171611434" </w:instrText>
      </w:r>
      <w:r>
        <w:fldChar w:fldCharType="separate"/>
      </w:r>
      <w:r>
        <w:rPr>
          <w:rStyle w:val="18"/>
          <w:rFonts w:hint="eastAsia" w:ascii="宋体" w:hAnsi="宋体"/>
          <w:sz w:val="24"/>
        </w:rPr>
        <w:t>二十三、对基金份额持有人的服务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_Toc171611434 \h </w:instrText>
      </w:r>
      <w:r>
        <w:rPr>
          <w:rFonts w:ascii="宋体" w:hAnsi="宋体"/>
          <w:sz w:val="24"/>
        </w:rPr>
        <w:fldChar w:fldCharType="separate"/>
      </w:r>
      <w:r>
        <w:rPr>
          <w:rFonts w:ascii="宋体" w:hAnsi="宋体"/>
          <w:sz w:val="24"/>
        </w:rPr>
        <w:t>146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"_Toc171611435" </w:instrText>
      </w:r>
      <w:r>
        <w:fldChar w:fldCharType="separate"/>
      </w:r>
      <w:r>
        <w:rPr>
          <w:rStyle w:val="18"/>
          <w:rFonts w:hint="eastAsia" w:ascii="宋体" w:hAnsi="宋体"/>
          <w:sz w:val="24"/>
        </w:rPr>
        <w:t>二十四、其他应披露事项</w:t>
      </w:r>
      <w:r>
        <w:rPr>
          <w:rFonts w:ascii="宋体" w:hAnsi="宋体"/>
          <w:sz w:val="24"/>
        </w:rPr>
        <w:tab/>
      </w:r>
      <w:r>
        <w:rPr>
          <w:rFonts w:ascii="宋体" w:hAnsi="宋体"/>
          <w:sz w:val="24"/>
        </w:rPr>
        <w:fldChar w:fldCharType="begin"/>
      </w:r>
      <w:r>
        <w:rPr>
          <w:rFonts w:ascii="宋体" w:hAnsi="宋体"/>
          <w:sz w:val="24"/>
        </w:rPr>
        <w:instrText xml:space="preserve"> PAGEREF _Toc171611435 \h </w:instrText>
      </w:r>
      <w:r>
        <w:rPr>
          <w:rFonts w:ascii="宋体" w:hAnsi="宋体"/>
          <w:sz w:val="24"/>
        </w:rPr>
        <w:fldChar w:fldCharType="separate"/>
      </w:r>
      <w:r>
        <w:rPr>
          <w:rFonts w:ascii="宋体" w:hAnsi="宋体"/>
          <w:sz w:val="24"/>
        </w:rPr>
        <w:t>148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"_Toc171611436" </w:instrText>
      </w:r>
      <w:r>
        <w:fldChar w:fldCharType="separate"/>
      </w:r>
      <w:r>
        <w:rPr>
          <w:rStyle w:val="18"/>
          <w:rFonts w:hint="eastAsia" w:ascii="宋体" w:hAnsi="宋体"/>
          <w:sz w:val="24"/>
        </w:rPr>
        <w:t>二十五、招募说明书的存放及查阅方式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_Toc171611436 \h </w:instrText>
      </w:r>
      <w:r>
        <w:rPr>
          <w:rFonts w:ascii="宋体" w:hAnsi="宋体"/>
          <w:sz w:val="24"/>
        </w:rPr>
        <w:fldChar w:fldCharType="separate"/>
      </w:r>
      <w:r>
        <w:rPr>
          <w:rFonts w:ascii="宋体" w:hAnsi="宋体"/>
          <w:sz w:val="24"/>
        </w:rPr>
        <w:t>150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"_Toc171611437" </w:instrText>
      </w:r>
      <w:r>
        <w:fldChar w:fldCharType="separate"/>
      </w:r>
      <w:r>
        <w:rPr>
          <w:rStyle w:val="18"/>
          <w:rFonts w:hint="eastAsia" w:ascii="宋体" w:hAnsi="宋体"/>
          <w:sz w:val="24"/>
        </w:rPr>
        <w:t>二十六、备查文件</w:t>
      </w:r>
      <w:r>
        <w:rPr>
          <w:rFonts w:ascii="宋体" w:hAnsi="宋体"/>
          <w:sz w:val="24"/>
        </w:rPr>
        <w:tab/>
      </w:r>
      <w:r>
        <w:rPr>
          <w:rFonts w:ascii="宋体" w:hAnsi="宋体"/>
          <w:sz w:val="24"/>
        </w:rPr>
        <w:fldChar w:fldCharType="begin"/>
      </w:r>
      <w:r>
        <w:rPr>
          <w:rFonts w:ascii="宋体" w:hAnsi="宋体"/>
          <w:sz w:val="24"/>
        </w:rPr>
        <w:instrText xml:space="preserve"> PAGEREF _Toc171611437 \h </w:instrText>
      </w:r>
      <w:r>
        <w:rPr>
          <w:rFonts w:ascii="宋体" w:hAnsi="宋体"/>
          <w:sz w:val="24"/>
        </w:rPr>
        <w:fldChar w:fldCharType="separate"/>
      </w:r>
      <w:r>
        <w:rPr>
          <w:rFonts w:ascii="宋体" w:hAnsi="宋体"/>
          <w:sz w:val="24"/>
        </w:rPr>
        <w:t>151</w:t>
      </w:r>
      <w:r>
        <w:rPr>
          <w:rFonts w:ascii="宋体" w:hAnsi="宋体"/>
          <w:sz w:val="24"/>
        </w:rPr>
        <w:fldChar w:fldCharType="end"/>
      </w:r>
      <w:r>
        <w:rPr>
          <w:rFonts w:ascii="宋体" w:hAnsi="宋体"/>
          <w:sz w:val="24"/>
        </w:rPr>
        <w:fldChar w:fldCharType="end"/>
      </w:r>
    </w:p>
    <w:p>
      <w:pPr>
        <w:pStyle w:val="20"/>
        <w:snapToGrid w:val="0"/>
        <w:spacing w:after="240" w:line="360" w:lineRule="auto"/>
        <w:jc w:val="center"/>
        <w:rPr>
          <w:rFonts w:ascii="宋体" w:hAnsi="宋体"/>
          <w:color w:val="000000"/>
          <w:sz w:val="24"/>
        </w:rPr>
      </w:pPr>
      <w:r>
        <w:rPr>
          <w:rFonts w:ascii="宋体" w:hAnsi="宋体"/>
          <w:color w:val="000000"/>
          <w:position w:val="-4"/>
          <w:sz w:val="24"/>
          <w:szCs w:val="30"/>
        </w:rPr>
        <w:fldChar w:fldCharType="end"/>
      </w:r>
    </w:p>
    <w:p>
      <w:pPr>
        <w:autoSpaceDE w:val="0"/>
        <w:autoSpaceDN w:val="0"/>
        <w:adjustRightInd w:val="0"/>
        <w:snapToGrid w:val="0"/>
        <w:spacing w:line="360" w:lineRule="auto"/>
        <w:ind w:left="120" w:right="13" w:rightChars="6"/>
        <w:rPr>
          <w:rFonts w:ascii="宋体" w:hAnsi="宋体"/>
          <w:kern w:val="0"/>
          <w:szCs w:val="24"/>
        </w:rPr>
        <w:sectPr>
          <w:pgSz w:w="11920" w:h="16840"/>
          <w:pgMar w:top="1480" w:right="1680" w:bottom="280" w:left="1680" w:header="0" w:footer="1073" w:gutter="0"/>
          <w:cols w:space="720" w:num="1"/>
        </w:sectPr>
      </w:pPr>
    </w:p>
    <w:p>
      <w:pPr>
        <w:pStyle w:val="2"/>
        <w:snapToGrid w:val="0"/>
        <w:spacing w:before="240" w:beforeLines="0" w:after="240"/>
        <w:rPr>
          <w:rFonts w:ascii="宋体" w:hAnsi="宋体"/>
          <w:szCs w:val="30"/>
        </w:rPr>
      </w:pPr>
      <w:bookmarkStart w:id="3" w:name="_Toc171611412"/>
      <w:r>
        <w:rPr>
          <w:rFonts w:ascii="Times New Roman" w:hAnsi="Times New Roman"/>
          <w:sz w:val="30"/>
        </w:rPr>
        <w:t>一、绪言</w:t>
      </w:r>
      <w:bookmarkEnd w:id="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强化回报债券型证券投资基金招募说明书》（以下简称“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强化回报债券型证券投资基金基金合同》（以下简称“基金合同”）编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171611413"/>
      <w:r>
        <w:rPr>
          <w:rFonts w:ascii="Times New Roman" w:hAnsi="Times New Roman"/>
          <w:sz w:val="30"/>
        </w:rPr>
        <w:t>二、释义</w:t>
      </w:r>
      <w:bookmarkEnd w:id="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在本招募说明书中，除非文意另有所指，下列词语或简称具有如下含义：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1、基金或本基金：指交银施罗德强化回报债券型证券投资基金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2、基金管理人或本基金管理人：指交银施罗德基金管理有限公司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3、基金托管人或本基金托管人：指中信银行股份有限公司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4、基金合同、《基金合同》或本基金合同：指《交银施罗德强化回报债券型证券投资基金基金合同》及对本基金合同的任何有效修订和补充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5、托管协议：指基金管理人与基金托管人就本基金签订之《交银施罗德强化回报债券型证券投资基金托管协议》及对该托管协议的任何有效修订和补充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6、招募说明书或《招募说明书》或本招募说明书：指《交银施罗德强化回报债券型证券投资基金招募说明书》及其更新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7、基金份额发售公告：指《交银施罗德强化回报债券型证券投资基金基金份额发售公告》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8、基金产品资料概要：指《交银施罗德强化回报债券型证券投资基金基金产品资料概要》及其更新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11、《销售办法》：指中国证监会2013年3月15日颁布、同年6月1日实施的《证券投资基金销售管理办法》及颁布机关对其不时做出的修订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12、《信息披露办法》：指中国证监会2019年7月26日颁布、同年9月1日实施的《公开募集证券投资基金信息披露管理办法》及颁布机关对其不时做出的修订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13、《运作办法》：指中国证监会2004年6月29日颁布、同年7月1日实施的《证券投资基金运作管理办法》及颁布机关对其不时做出的修订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15、中国证监会：指中国证券监督管理委员会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16、银行业监督管理机构：指中国人民银行和/或中国银行业监督管理委员会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18、个人投资者：指依据有关法律法规规定可投资于证券投资基金的自然人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21、投资人或投资者：指个人投资者、机构投资者和合格境外机构投资者以及法律法规或中国证监会允许购买证券投资基金的其他投资人的合称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22、基金份额持有人：指依基金合同和招募说明书合法取得基金份额的投资人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23、基金销售业务：指基金管理人或销售机构宣传推介基金，发售基金份额，办理基金份额的申购、赎回、转换、转托管及定期定额投资等业务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24、直销机构：指交银施罗德基金管理有限公司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代销机构：指符合《销售办法》和中国证监会规定的其他条件，取得基金销售业务资格并接受基金管理人委托，代为办理基金销售业务的机构以及可通过上海证券交易所开放式基金销售系统办理基金销售业务的会员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会员单位：指具有开放式基金销售业务资格，经上海证券交易所和中国证券登记结算有限责任公司认可的、可通过上海证券交易所开放式基金销售系统办理开放式基金的认购、申购、赎回和转托管等业务的上海证券交易所会员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27、销售机构：指直销机构和代销机构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29、登记机构：指办理登记业务的机构。基金的登记机构为交银施罗德基金管理有限公司或接受交银施罗德基金管理有限公司委托代为办理登记业务的机构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30、基金账户：指登记机构为投资人开立的、记录其持有的、基金管理人所管理的基金份额余额及其变动情况的账户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31、基金交易账户：指销售机构为投资人开立的、记录投资人通过该销售机构办理认购、申购、赎回、转换及转托管等业务而引起的基金份额变动及结余情况的账户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上海证券账户：指在中国证券登记结算有限责任公司上海分公司开设的上海证券交易所人民币普通股票账户或证券投资基金账户，投资人通过上海证券交易所开放式基金销售系统办理申购、赎回等业务时需持有上海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34、基金合同生效日：指基金募集达到法律法规规定及基金合同规定的条件，基金管理人向中国证监会办理基金备案手续完毕，并获得中国证监会书面确认的日期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35、基金合同终止日：指基金合同规定的基金合同终止事由出现后，基金财产清算完毕，清算结果报中国证监会备案并予以公告的日期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36、基金募集期：指自基金份额发售之日起至发售结束之日止的期间，最长不得超过3个月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37、存续期：指基金合同生效至终止之间的不定期期限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38、工作日：指上海证券交易所、深圳证券交易所的正常交易日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39、T日：指销售机构在规定时间受理投资人申购、赎回或其他业务申请的开放日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40、T+n日：指自T日起第n个工作日(不包含T日)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41、开放日：指为投资人办理基金份额申购、赎回或其他业务的工作日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42、开放时间：指开放日基金接受申购、赎回或其他交易的时间段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业务规则》：指《中国证券登记结算有限责任公司开放式证券投资基金及证券公司集合资产管理计划份额登记及资金结算业务指南》，是规范基金管理人所管理的开放式证券投资基金登记方面的业务规则，由基金管理人和投资人共同遵守；此外，投资者通过场内认购、申购、赎回本基金还须遵守上海证券交易所及中国证券登记结算有限责任公司场内业务有关规则及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44、认购：指在基金募集期内，投资人根据基金合同和招募说明书的规定申请购买基金份额的行为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45、申购：指基金合同生效后，投资人根据基金合同和招募说明书的规定申请购买基金份额的行为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46、赎回：指基金合同生效后，基金份额持有人按基金合同和招募说明书规定的条件要求将基金份额兑换为现金的行为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47、场外：指不通过上海证券交易所的开放式基金销售系统办理基金份额认购、申购和赎回等业务的销售机构和场所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48、场内：指通过上海证券交易的开放式基金销售系统办理基金份额认购、申购和赎回等业务的销售机构和场所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49、注册登记系统：指中国证券登记结算有限责任公司开放式基金登记结算系统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50、证券登记结算系统：指中国证券登记结算有限责任公司上海分公司证券登记结算系统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51、销售服务费：指从基金资产中计提的，用于本基金市场推广、销售以及基金份额持有人服务的费用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基金份额类别：指本基金根据认购/申购费用、赎回费用、销售服务费收取方式的不同，将基金份额分为不同的类别。在投资人认购/申购时收取前端认购/申购费用、赎回时收取赎回费用的，称为A类基金份额，在投资人认购/申购时不收取认购/申购费用、赎回时收取后端认购/申购费用和赎回费用的，称为B类基金份额，在投资人认购/申购时不收取认购/申购费用、赎回时收取赎回费用，且从本类别基金资产中计提销售服务费的，称为C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53、基金转换：指基金份额持有人按照本基金合同和基金管理人届时有效公告规定的条件，申请将其持有基金管理人管理的、某一基金的基金份额转换为基金管理人管理的其他基金基金份额的行为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54、转托管：指基金份额持有人在本基金的不同销售机构之间实施的变更所持基金份额销售机构的操作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57、元：指人民币元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58、基金收益：指基金投资所得红利、股息、债券利息、买卖证券价差、银行存款利息、已实现的其他合法收入及因运用基金财产带来的成本和费用的节约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59、基金资产总值：指基金拥有的各类有价证券、银行存款本息、基金应收申购款及其他资产的价值总和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60、基金资产净值：指基金资产总值减去基金负债后的价值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61、基金份额净值：指计算日基金资产净值除以计算日基金份额总数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62、基金资产估值：指计算评估基金资产和负债的价值，以确定基金资产净值和基金份额净值的过程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63、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64、指定媒介：指中国证监会指定的用以进行信息披露的全国性报刊及指定互联网网站（包括基金管理人网站、基金托管人网站、中国证监会基金电子披露网站）等媒介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65、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66、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67、不可抗力：指本基金合同当事人不能预见、不能避免且不能克服的客观事件</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171611414"/>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（一）基金管理人概况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w:t>
      </w:r>
      <w:r>
        <w:rPr>
          <w:rFonts w:hint="eastAsia" w:ascii="宋体" w:hAnsi="宋体"/>
          <w:sz w:val="24"/>
        </w:rPr>
        <w:t>何佳妮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电话：（021）61055050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（二）主要成员情况</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1、基金管理人董事会成员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胡晓晖女士，董事，学士，现任交通银行总行监事会办公室副主任、资深专家，历任交通银行总行授信管理部副处长、处长，苏州分行副行长、高级信贷执行官，总行授信管理部副总经理。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2、基金管理人监事会成员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林凯珊女士，监事，硕士。现任施罗德投资管理（香港）有限公司中国内地及中国香港法律部主管。历任香港证券及期货事务监察委员会发牌科经理、的近律师行律师。</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3、基金管理人高级管理人员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谢卫先生，总经理。简历同上。</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4、本基金基金经理</w:t>
      </w:r>
    </w:p>
    <w:p>
      <w:pPr>
        <w:autoSpaceDE w:val="0"/>
        <w:autoSpaceDN w:val="0"/>
        <w:adjustRightInd w:val="0"/>
        <w:snapToGrid w:val="0"/>
        <w:spacing w:line="360" w:lineRule="auto"/>
        <w:ind w:firstLine="480" w:firstLineChars="200"/>
        <w:jc w:val="both"/>
        <w:rPr>
          <w:rFonts w:ascii="宋体" w:hAnsi="宋体"/>
          <w:szCs w:val="24"/>
        </w:rPr>
      </w:pPr>
      <w:r>
        <w:rPr>
          <w:rFonts w:hint="eastAsia" w:ascii="宋体" w:hAnsi="宋体"/>
          <w:sz w:val="24"/>
        </w:rPr>
        <w:t>魏玉敏女士:基金经理。厦门大学金融学硕士、学士，13年证券投资行业从业经验。2012年至2013年任招商证券固定收益研究员，2013年至2016年任国信证券固定收益高级分析师。2016年加入交银施罗德基金管理有限公司，现任混合资产投资部基金经理。曾任交银施罗德丰晟收益债券型证券投资基金(2018年08月29日至2020年10月16日)、交银施罗德裕如纯债债券型证券投资基金(2018年08月29日至2023年09月11日)、交银施罗德丰润收益债券型证券投资基金(2018年11月02日至2021年12月16日)、交银施罗德中债1-3年农发行债券指数证券投资基金(2019年01月23日至2021年12月16日)、交银施罗德鑫选回报混合型证券投资基金(2021年04月29日至2024年05月22日)、交银施罗德裕泰两年定期开放债券型证券投资基金(2019年12月10日至2025年1月7日)的基金经理。现任交银施罗德纯债债券型发起式证券投资基金(2018年08月29日至今)、交银施罗德增利债券证券投资基金(2018年08月29日至今)、交银施罗德增利增强债券型证券投资基金(2018年11月02日至今)、交银施罗德可转债债券型证券投资基金(2019年07月11日至今)、交银施罗德安心收益债券型证券投资基金(2022年01月27日至今)、交银施罗德双利债券证券投资基金(2022年08月18日至今)、交银施罗德强化回报债券型证券投资基金(2023年04月15日至今)、交银施罗德定期支付月月丰债券型证券投资基金（2024年12月27日至今）的基金经理</w:t>
      </w:r>
      <w:r>
        <w:rPr>
          <w:rFonts w:ascii="宋体" w:hAnsi="宋体"/>
          <w:sz w:val="24"/>
        </w:rPr>
        <w:t>。</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本基金历任基金经理：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赵凌琦女士(2014年01月28日至2015年08月14日)；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李德亮先生(2014年01月28日至2015年08月28日)；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孙超先生(2014年08月26日至2017年06月21日)；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于海颖女士(2017年06月10日至2019年03月14日)；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凌超先生(2018年02月13日至2020年07月22日)；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唐赟先生(2020年07月14日至2023年05月06日)。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5、投资决策委员会成员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委员：谢卫（总经理）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马俊（副总经理）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王少成（权益投资总监、基金经理）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于海颖（</w:t>
      </w:r>
      <w:r>
        <w:rPr>
          <w:rFonts w:hint="eastAsia" w:ascii="宋体" w:hAnsi="宋体"/>
          <w:sz w:val="24"/>
        </w:rPr>
        <w:t>混合资产投资总监兼多元资产管理总监、基金经理</w:t>
      </w:r>
      <w:r>
        <w:rPr>
          <w:rFonts w:ascii="宋体" w:hAnsi="宋体"/>
          <w:sz w:val="24"/>
        </w:rPr>
        <w:t>）</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王崇（权益投资副总监、权益部一级专家、基金经理）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马韬（研究总监）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上述人员之间无近亲属关系。上述各项人员信息更新截止日为</w:t>
      </w:r>
      <w:r>
        <w:rPr>
          <w:rFonts w:hint="eastAsia" w:ascii="宋体" w:hAnsi="宋体"/>
          <w:sz w:val="24"/>
        </w:rPr>
        <w:t>2025年1月24日</w:t>
      </w:r>
      <w:r>
        <w:rPr>
          <w:rFonts w:ascii="宋体" w:hAnsi="宋体"/>
          <w:sz w:val="24"/>
        </w:rPr>
        <w:t>，期后变动（如有）敬请关注基金管理人发布的相关公告。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（三）基金管理人的职责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3、对所管理的不同基金财产分别管理、分别记账，进行证券投资；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8、办理与基金财产管理业务活动有关的信息披露事项；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12、有关法律法规和中国证监会规定的其他职责。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（四）基金管理人的承诺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（1）将基金管理人固有财产或者他人财产混同于基金财产从事证券投资；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（2）不公平地对待管理的不同基金财产；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（3）利用基金财产为基金份额持有人以外的第三人牟取利益；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（4）向基金份额持有人违规承诺收益或者承担损失；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（5）依照法律法规有关规定，由中国证监会规定禁止的其他行为。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5、基金管理人承诺不从事其他法规规定禁止从事的行为。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（五）基金经理承诺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2、不利用职务之便为自己、受雇人或任何第三者谋取利益；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4、不以任何形式为其他组织或个人进行证券交易。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（六）基金管理人的内部控制制度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1、风险管理的原则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（1）全面性原则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（2）独立性原则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（3）相互制约原则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（4）定性和定量相结合原则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建立完备的风险管理指标体系，使风险管理更具客观性和操作性。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2、风险管理和内部风险控制体系结构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（1）董事会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负责制定公司的风险管理政策，对风险管理负完全的和最终的责任。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（2）监事会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（3）合规审核及风险管理委员会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（4）风险控制委员会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（5）督察长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（6）风险管理部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（7）审计部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（8）内控合规及法律事务部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（9）业务部门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3、风险管理和内部风险控制的措施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（1）建立内控体系，完善内控制度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（2）建立相互分离、相互制衡的内控机制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（3）建立、健全岗位责任制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（4）建立风险分类、识别、评估、报告、提示程序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（5）建立有效的内部监控系统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（6）使用数量化的风险管理手段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（7）提供足够的培训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171611415"/>
      <w:r>
        <w:rPr>
          <w:rFonts w:ascii="Times New Roman" w:hAnsi="Times New Roman"/>
          <w:sz w:val="30"/>
        </w:rPr>
        <w:t>四、基金托管人</w:t>
      </w:r>
      <w:bookmarkEnd w:id="6"/>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（一）基金托管人基本情况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名称：中信银行股份有限公司（简称“中信银行”）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住所：北京市朝阳区光华路10号院1号楼6-30层、32-42层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办公地址：北京市朝阳区光华路10号院1号楼6-30层、32-42层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法定代表人：方合英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成立时间：1987年4月20日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注册资本：489.35亿元人民币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批准设立文号：中华人民共和国国务院办公厅国办函[1987]14号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基金托管业务批准文号：中国证监会证监基金字[2004]125号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联系人：中信银行资产托管部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联系电话：4006800000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传真：010-85230024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网址：www.citicbank.com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本行成立于 1987 年，是中国改革开放中最早成立的新兴商业银行之一，是中国最早参与国内外金融市场融资的商业银行，并以屡创中国现代金融史上多个第一而蜚声海内外，为中国经济建设做出了积极贡献。2007 年 4 月，本行实现在上海证券交易所和香港联合交易所 A+H 股同步上市。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行依托中信集团“金融+实业”综合禀赋优势，以全面建设“四有”银行、跨入世界一流银行竞争前列为发展愿景，坚持“诚实守信、以义取利、稳健审慎、守正创新、依法合规”，以客户为中心，通过实施“五个领先”银行战略，打造有特色、差异化的中信金融服务模式，向企业客户、机构客户和同业客户提供公司银行业务、国际业务、金融市场业务、机构业务、投资银行业务、交易银行业务、托管业务等综合金融解决方案；向个人客户提供财富管理业务、私人银行业务、个人信贷业务、信用卡业务、养老金融业务、出国金融业务等多元化金融产品及服务，全方位满足企业、机构、同业及个人客户的综合金融服务需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截至2023年末，本行在国内 153 个大中城市设有 1,451 家营业网点，在境内外下设中信国际金融控股有限公司、信银（香港）投资有限公司、中信金融租赁有限公司、信银理财有限责任公司、中信百信银行股份有限公司、阿尔金银行和浙江临安中信村镇银行股份有限公司 7 家附属机构。其中，中信国际金融控股有限公司子公司中信银行（国际）在香港、澳门、纽约、洛杉矶、新加坡和中国内地设有 31 家营业网点和 2 家商务理财中心。信银（香港）投资有限公司在香港和境内设有 3 家子公司。信银理财有限责任公司为本行全资理财子公司。中信百信银行股份有限公司为本行与百度公司联合发起设立的国内首家独立法人直销银行。阿尔金银行在哈萨克斯坦设有 7 家营业网点和 1 家私人银行中心。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本行深刻把握金融工作政治性、人民性，始终在党和国家战略大局中找准金融定位、履行金融职责，坚持做国家战略的忠实践行者、实体经济的有力服务者、金融强国的积极建设者。经过 30 余年的发展，本行已成为一家总资产规模超 9 万亿元、员工人数超 6.5 万名，具有强大综合实力和品牌竞争力的金融集团。2023年，本行在英国《银行家》杂志“全球银行品牌 500 强排行榜”中排名第 20 位；本行一级资本在英国《银行家》杂志“世界 1000 家银行排名”中排名第 19 位。</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（二）主要人员情况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刘成先生，中信银行党委副书记，行长。刘先生现同时担任亚洲金融合作协会理事。刘先生曾在中央财政金融学院（现中央财经大学）任教，并长期供职于国家发展和改革委员会、国务院办公厅，2018年4月至2021年11月任中信银行监事长。刘先生具有丰富的发展改革、财政金融相关工作经验，先后就读于中央财政金融学院金融系、中国人民大学金融学院，获经济学学士、硕士和博士学位，研究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谢志斌先生，中信银行副行长，分管托管业务。谢先生现兼任中国银联股份有限公司董事。谢先生曾任中国出口信用保险公司党委委员、总经理助理（期间挂职任内蒙古自治区呼和浩特市委常委、副市长），中国光大集团股份公司纪委书记、党委委员。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（三）基金托管业务经营情况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2004 年8 月18 日，中信银行经中国证券监督管理委员会和中国银行业监督管理委员会批准，取得基金托管人资格。中信银行本着“诚实信用、勤勉尽责”的原则，切实履行托管人职责。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截至2024年第一季度末，中信银行托管367只公开募集证券投资基金，以及基金公司、证券公司资产管理产品、信托产品、企业年金、股权基金、QDII等其他托管资产，托管总规模达到14.99万亿元人民币。</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（四）基金托管人的内部控制制度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（五）基金托管人对基金管理人运作基金进行监督的方法和程序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171611416"/>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（一）基金份额销售机构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本基金直销机构为本公司直销柜台以及本公司的网上直销交易平台（网站及APP，下同）。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2、场内代销机构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具有基金销售资格的上海证券交易所场内会员单位（具体名单见上海证券交易所网站）。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3、场外代销机构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（1）名称：中国建设银行股份有限公司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法定代表人：田国立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（2）名称：杭州银行股份有限公司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住所：杭州市庆春路46号杭州银行大厦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办公地址：杭州市庆春路46号杭州银行大厦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法定代表人：陈震山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电话：（0571）85108195、85120696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传真：（0571）86475527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联系人：严峻、夏帆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网址：www.hzbank.com.cn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（3）名称：中国农业银行股份有限公司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法定代表人：周慕冰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联系电话：010-66060069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传真：010-68121816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联系人：贺倩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（4）名称：东莞农村商业银行股份有限公司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住所：东莞市东城区鸿福东路2号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办公地址：东莞市东城区鸿福东路2号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法定代表人：王耀球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电话：（0769）22866254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传真：（0769）22866282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联系人：林培珊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客户服务电话：（0769）961122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网址：www.drcbank.com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（5）名称：中信银行股份有限公司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法定代表人：朱鹤新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电话：（010）89936330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传真：（010）85230024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联系人：丰靖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（6）名称：招商银行股份有限公司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（7）名称：交通银行股份有限公司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法定代表人：任德奇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电话：（021）58781234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传真：（021）58408483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联系人：范瑞波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网址：www.bankcomm.com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（8）名称：江苏江南农村商业银行股份有限公司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住所：江苏省常州市和平中路413号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办公地址：江苏省常州市和平中路413号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法定代表人：陆向阳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电话：0519-80585939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传真：0519-89995170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联系人：蒋姣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客户服务电话：96005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网址：http://www.jnbank.com.cn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（9）名称：宁波银行股份有限公司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住所：宁波市江东区中山东路294号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法定代表人：陆华裕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电话：（021）63586210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传真：（021）63586215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联系人：胡技勋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客户服务电话：96528（上海地区962528）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网址：www.nbcb.com.cn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（10）名称：中国银河证券股份有限公司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法定代表人：陈共炎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电话：010-83574507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联系人：辛国政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网址：www.chinastock.com.cn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（11）名称：中信证券股份有限公司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住所：广东省深圳市福田区中心三路8号卓越时代广场（二期）北座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办公地址：北京市朝阳区亮马桥路48号中信证券大厦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法定代表人：张佑君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（12）名称：中国中金财富证券有限公司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办公地址：深圳市福田区益田路6003号荣超商务中心A栋第04、18层至21层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法定代表人：高涛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电话：（0755）88320851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联系人：胡芷境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客户服务电话：95532/400-600-8008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网址：www.ciccwm.com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（13）名称：中信建投证券股份有限公司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住所：北京市朝阳区安立路66号4号楼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办公地址：北京市朝阳门内大街188号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法定代表人：王常青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电话：（010）85130588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传真：（010）65182261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联系人：魏明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网址：www.csc108.com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（14）名称：兴业证券股份有限公司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住所：福州市湖东路268号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办公地址：上海市浦东新区长柳路36号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法定代表人：杨华辉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 021-38565547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联系人：乔琳雪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www.xyzq.com.cn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（15）名称：华龙证券股份有限公司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住所：兰州市城关区东岗西路638号财富中心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办公地址：兰州市城关区东岗西路638号财富中心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法定代表人：李晓安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电话：（0931）4890208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传真：（0931）4890628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联系人：李昕田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客户服务电话：4006898888、（0931）4890208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网址：www.hlzqgs.com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（16）名称：长城国瑞证券有限公司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住所：厦门市莲前西路2号莲富大厦17楼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办公地址：厦门市莲前西路2号莲富大厦17楼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电话：（0592）5161642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传真：（0592）5161640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客户服务电话：（0592）5163588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网址：www.xmzq.cn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（17）名称：长江证券股份有限公司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住所：武汉市新华路特8号长江证券大厦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办公地址：武汉市新华路特8号长江证券大厦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法定代表人：胡运钊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电话：（027）65799999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传真：（027）85481900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客户服务电话：95579或4008-888-999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网址：www.95579.com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（18）名称：西南证券股份有限公司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住所：重庆市江北区桥北苑8号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办公地址：重庆市江北区桥北苑8号西南证券大厦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法定代表人：吴坚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电话：（023）63786141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传真：（023）63786212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客户服务电话：95355、400-809-6096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网址：www.swsc.com.cn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（19）名称：信达证券股份有限公司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住所：北京市西城区闹市口大街9号院1号楼信达金融中心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办公地址：北京市西城区闹市口大街9号院1号楼信达金融中心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法定代表人：张志刚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电话：（010）63081000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传真：（010）63081344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联系人：尹旭航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网址：www.cindasc.com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（20）名称：渤海证券股份有限公司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住所：天津经济技术开发区第二大街42号写字楼101室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办公地址：天津市南开区宾水西道8号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法定代表人：安志勇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电话：（022）28451991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传真：（022）28451892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联系人：蔡霆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956066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网址：www.ewww.com.cn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（21）名称：国金证券股份有限公司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法定代表人：冉云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电话：（028）86690057，（028）86690058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传真：（028）86690126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联系人：刘婧漪 贾鹏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网址：www.gjzq.com.cn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（22）名称：长城证券有限责任公司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住所：深圳市福田区深南大道6008号特区报业大厦14、16、17层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法定代表人：黄耀华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电话：（0755）83516289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传真：（0755）83516199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联系人：匡婷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客户服务电话：（0755）33680000，400-6666-888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（23）名称：瑞银证券有限责任公司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住所：北京市西城区金融大街7号英蓝国际金融中心12层、15层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办公地址：北京市西城区金融大街7号英蓝国际金融中心12层、15层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法定代表人：程宜荪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电话：（010）58328112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传真：（010）58328740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联系人：牟冲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客户服务电话：400-887-8827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网址：www.ubssecurities.com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（24）名称：中国国际金融股份有限公司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法定代表人：毕明建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电话：（010）65051166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传真：（010）85679203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联系人：杨涵宇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（25）名称：江海证券有限公司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住所：黑龙江省哈尔滨市香坊区赣水路56号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法定代表人：孙名扬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电话：（0451）85863719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传真：（0451）82287211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客户服务电话：956007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网址：www.jhzq.com.cn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（26）名称：中泰证券股份有限公司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住所：山东省济南市市中区经七路86号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办公地址：山东省济南市市中区经七路86号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电话：（0531）68889155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传真：（0531）68889752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联系人：许曼华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网址：www.zts.com.cn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（27）名称：申万宏源西部证券有限公司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住所：新疆乌鲁木齐市建设路2号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办公地址：北京市西城区太平桥大街19号宏源证券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法定代表人：冯戎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电话：（010）88085858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传真：（010）88085195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客户服务电话：4008-000-562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网址：www.hysec.com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（28）名称：中信证券（山东）有限责任公司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住所：青岛市崂山区深圳路222号1号楼2001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办公地址：青岛市市南区东海西路28号龙翔广场东座5层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法定代表人：姜晓林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电话：0531-89606166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传真：0532-85022605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联系人：焦刚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网址：sd.citics.com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（29）名称：国都证券股份有限公司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法定代表人：王少华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客户服务电话：400-818-8118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网址：www.guodu.com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（30）名称：申万宏源证券有限公司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法定代表人：杨玉成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电话：（021）33389888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联系人：李清怡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客户服务电话：95523或4008895523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网址：www.sywg.com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（31）名称：联讯证券股份有限公司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惠州市江北东江三路55号广播电视新闻中心西面一层大堂和三、四层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办公地址：惠州市江北东江三路55号广播电视新闻中心西面一层大堂和三、四层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电话：（021）33606736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传真：（021）33606760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网址：www.lxzq.com.cn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（32）名称：华西证券股份有限公司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法定代表人：杨炯洋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电话：（028）86135991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传真：（028）86150400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联系人：周志茹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网址：www.hx168.com.cn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（33）名称：平安证券股份有限公司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住所：深圳市福田区金田路大中华国际交易广场裙楼8楼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办公地址：深圳市福田区金田路大中华国际交易广场裙楼8楼(518048)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法定代表人：杨宇翔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电话：（0755）22627802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传真：（0755）82400862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联系人：郑舒丽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（34）名称：中信证券华南股份有限公司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法定代表人：胡伏云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电话：020-88836999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传真：020-88836984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客服电话：（020）95396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网址：www.gzs.com.cn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（35）名称：光大证券股份有限公司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住所：上海市静安区新闸路1508号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办公地址：上海市静安区新闸路1508号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电话：（021）22169999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传真：（021）22169134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10108998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网址：www.ebscn.com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（36）名称：深圳市新兰德证券投资咨询有限公司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住所：深圳市福田区华强北路赛格科技园4栋10层1006#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电话：（010）58325395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传真：（010）58325282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联系人：刘宝文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客户服务电话：400-850-7771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（37）名称：上海大智慧基金销售有限公司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法定代表人：申健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电话：021-0219988-35374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传真：021-20219923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客户服务电话：021-20292031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网址：https://www.wg.com.cn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（38）名称：上海利得基金销售有限公司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法定代表人：沈继伟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电话：021-50583533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传真：021-50583633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徐鹏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客服电话：400-005-6355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网址：a.leadfund.com.cn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（39）名称：北京虹点基金销售有限公司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联系人：姜颖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客户服务电话：400-618-0707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网址：www.hongdianfund.com/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（40）名称：上海天天基金销售有限公司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住所：上海市徐汇区龙田路190号2号楼2层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办公地址：上海市徐汇区龙田路195号3C座10楼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法定代表人：其实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电话：（021）54509998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传真：（021）64385308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联系人：潘世友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客户服务电话：400-1818-188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网址：www.1234567.com.cn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（41）名称：和讯信息科技有限公司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电话：（021）20835789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传真：（021）20835879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客户服务电话：4009200022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网址：http://licaike.hexun.com/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（42）名称：上海好买基金销售有限公司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住所：上海市虹口区场中路685弄37号4号楼449室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办公地址：上海市浦东新区浦东南路1118号鄂尔多斯国际大厦903-906室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法定代表人：杨文斌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传真：（021）68596916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联系人：薛年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客户服务电话：400-700-9665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网址：www.ehowbuy.com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（43）名称：上海长量基金销售有限公司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住所：上海市浦东新区高翔路526号2幢220室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办公地址：上海市浦东新区浦东大道555号裕景国际B座16层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法定代表人：张跃伟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电话：（021）20691832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传真：（021）20691861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联系人：单丙烨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客户服务电话：400-820-2899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网址：www.erichfund.com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（44）名称：深圳众禄基金销售股份有限公司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电话：（0755）33227953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传真：（0755）33227951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联系人：汤素娅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客户服务电话：4006-788-887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网址：www.zlfund.cn，www.jjmmw.com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（45）名称：蚂蚁（杭州）基金销售有限公司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住所：浙江省杭州市余杭区五常街道文一西路969号3幢5层599室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办公地址：浙江省杭州市西湖区西溪路556号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联系人：韩爱彬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网址：www.fund123.cn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（46）名称：天相投资顾问有限公司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住所：北京市西城区金融街19号富凯大厦B座701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办公地址：北京市西城区新街口外大街28号C座5层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法定代表人：林义相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电话：（010）66045529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传真：（010）66045518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联系人：尹伶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客户服务电话：（010）66045678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网址：http://www.txsec.com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（47）名称：北京展恒基金销售股份有限公司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住所：北京市顺义区后沙峪镇安富街6号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办公地址：北京市朝阳区安苑路15-1号邮电新闻大厦2层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法定代表人：闫振杰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电话：（010）59601366-7024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传真：（010）62020355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马林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客户服务电话：400-888-6661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网址：www.myfund.com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（48）名称：上海联泰基金销售有限公司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住所：中国（上海）自由贸易试验区富特北路277号3层310室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办公地址：上海市长宁区福泉北路518号8座3楼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法定代表人：燕斌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电话：021-52822063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传真：021-52975270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联系人：凌秋艳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客户服务电话：4000-466-788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（49）名称：珠海盈米基金销售有限公司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住所：珠海市横琴新区宝华路6号105室-3491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办公地址：广州市海珠区琶洲大道东1号保利国际广场南塔12楼B1201-1203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法定代表人：肖雯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电话：（020）89629099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传真：（020）89629011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联系人：黄敏嫦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客户服务电话：（020）89629066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网址：www.yingmi.cn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（50）名称：上海基煜基金销售有限公司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上海市崇明县长兴镇路潘园公路1800号2号楼6153室（上海泰和经济发展区）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办公地址：上海市昆明路518号北美广场A1002-A1003室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电话：（021）35385521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传真：（021）55085991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联系人：蓝杰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客户服务电话：400-820-5369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网址：www.jiyufund.com.cn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（51）名称：宜信普泽（北京）基金销售有限公司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住所：北京市朝阳区建国路88号9号楼15层1809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办公地址：北京市朝阳区建国路88号SOHO现代城C座1809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法定代表人：沈伟桦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电话：010-52855713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传真：010-85894285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联系人：程刚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客户服务电话：400-6099-200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网址：www.yixinfund.com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（52）名称：浙江同花顺基金销售有限公司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住所：浙江省杭州市文二西路1号元茂大厦903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办公地址：浙江省杭州市西湖区翠柏路7号电子商务产业园2号楼 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法定代表人：凌顺平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电话：（0571）88911818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传真：（0571）86800423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客户服务电话：400-877-3772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网址：www.5ifund.com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（53）名称：诺亚正行基金销售有限公司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住所：上海市虹口区飞虹路360弄9号3724室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办公地址：上海杨浦区秦皇岛路32号C栋 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法定代表人：汪静波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电话：（021）38600735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传真：（021）38509777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联系人：方成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客户服务电话：400-821-5399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网址：www.noah-fund.com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（54）名称：中信期货有限公司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电话：010-60833754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传真：021-60819988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联系人：刘宏莹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客服电话：400-990-8826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网站：www.citicsf.com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（55）名称：上海陆金所基金销售有限公司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住所：上海市浦东新区陆家嘴环路1333号14楼09单元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办公地址：上海市浦东新区陆家嘴环路1333号14楼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法定代表人：郭坚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电话：（021）20665952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传真：（021）22066653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联系人：宁博宇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客户服务电话：4008219031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网址：www.lufunds.com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（56）名称：北京汇成基金销售有限公司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住所：北京市西城区宣武门外大街甲1号4层401-2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办公地址：北京市西城区宣武门外大街甲1号环球财讯中心D座4层401-2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法定代表人：王伟刚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电话：（010）56282140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传真：（010）62680827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客户服务电话：400-619-9059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网址：www.hcfunds.com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（57）名称：奕丰基金销售有限公司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办公地址：深圳市南山区海德三路海岸大厦A座17楼1704室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法定代表人：TEO WEE HOWE</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电话：（0755）89460500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传真：（0755）21674453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联系人：叶健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客户服务电话：400-684-0500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网址：www.ifastps.com.cn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（58）名称：北京创金启富基金销售有限公司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北京市西城区民丰胡同31号中水大厦215A</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办公地址：北京市西城区白纸坊东街2号经济日报社A综合楼712室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法定代表人：梁蓉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电话：（010）66154828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传真：（010）63583991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联系人：李婷婷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客户服务电话：400-6262-818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www.5irich.com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（59）名称：上海云湾投资管理有限公司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住所：中国（上海）自由贸易试验区新金桥路27号13号楼2层，200127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办公地址：上海市锦康路308号6号楼6层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法定代表人：戴新装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电话：（021）20538888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传真：（021）20538999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联系人：江辉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客户服务电话：400-820-1515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（60）名称：中证金牛（北京）基金销售有限公司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北京市丰台区东管头1号2号楼2-45室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北京市西城区宣武门外大街甲一号环球财讯中心A座5层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钱昊旻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电话：（010）59336533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传真：（010）59336500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孟汉霄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客户服务电话：4008-909-998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www.jnlc.com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（61）名称：北京新浪仓石基金销售有限公司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法定代表人：李昭琛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电话：（010）60619607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传真：8610-62676582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联系人：付文红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客户服务电话：（010）62675369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网址：www.xincai.com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（62）名称：京东肯特瑞基金销售有限公司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北京市海淀区西三旗建材城中路12号17号平房157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办公地址：北京市通州区亦庄经济技术开发区科创十一街18号院京东集团总部A座17层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法定代表人：王苏宁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传真：010-89189566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网址：kenterui.jd.com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（63）名称：北京雪球基金销售有限公司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住所：北京市朝阳区阜通东大街1号院6号楼2单元21层222507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办公地址：北京市朝阳区创远路 34 号院融新科技中心 C 座 17 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法定代表人：钟斐斐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电话：（010）61840688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传真：（010）84997571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联系人：侯芳芳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客户服务电话：400-1599-288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网址：https://danjuanapp.com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（64）名称：深圳市金斧子基金销售有限公司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住所：深圳市南山区粤海街道科苑路16号东方科技大厦18楼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办公地址：深圳市南山区粤海街道科苑路科兴科学园B3单元7楼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法定代表人：赖任军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电话：（0755）66892301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传真：（0755）66892399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客户服务电话：400-9500-888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网址：www.jfzinv.com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（65）名称：格上富信投资顾问有限公司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法定代表人：李悦章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电话：（010）85594745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传真：（010）65983333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客户服务电话：400-066-8586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（66）名称：上海万得基金销售有限公司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住所：中国（上海）自由贸易试验区福山路33号11楼B座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办公地址：上海市浦东新区福山路33号9楼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王廷富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电话：021-50712782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传真：021-50710161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徐亚丹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客户服务电话：400-821-0203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www.520fund.com.cn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（67）名称：万家财富基金销售（天津）有限公司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住所：天津自贸区（中心商务区）迎宾大道1988号滨海浙商大厦公寓2-2413室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办公地址：北京市西城区丰盛胡同28号太平洋保险大厦A座5层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电话：（010）59013825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传真：（010）59013828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联系人：王茜蕊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客户服务电话：010-59013895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网址：http://www.wanjiawealth.com/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（68）名称：上海挖财基金销售有限公司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住所：中国（上海）自由贸易试验区杨高南路799号5层01、02、03室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办公地址：中国（上海）自由贸易试验区杨高南路799号5层01、02、03室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胡燕亮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电话：（021）50810687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传真：（021）58300279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李娟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客户服务电话：（021）50810673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网址：www.wacaijijin.com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（69）名称：嘉实财富管理有限公司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住所：上海市浦东新区世纪大道8号上海国金中心办公楼二期53层5312-15单元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办公地址：北京市朝阳区建国路91号金地中心A座6层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赵学军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电话：（021）38789658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传真：（021）68880023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王宫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客户服务电话：400-021-8850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www.harvestwm.cn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（70）名称：南京苏宁基金销售有限公司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冯鹏鹏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www.snjijin.com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（71）名称：北京度小满基金销售有限公司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住所：北京市海淀区上地十街10号1幢1层101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北京市海淀区信息路甲9号奎科大厦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张旭阳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电话：010-61952703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传真：010-61951007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联系人：盛超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www.duxiaomanfund.com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（72）名称：上海华夏财富投资管理有限公司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住所：上海市虹口区东大名路687号1幢2楼268室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北京市西城区金融大街33号通泰大厦B座8层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毛淮平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电话：010-88066632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传真：010-63136184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张静怡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客户服务电话：400-817-5666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www.amcfortune.com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（73）名称：玄元保险代理有限公司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法定代表人：马永谙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客户服务电话：400-080-8208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网址：www.licaimofang.cn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（74）名称：阳光人寿保险股份有限公司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住所：海南省三亚市迎宾路360-1号三亚阳光金融广场16层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办公地址：北京市朝阳区朝阳门外大街乙12号院1号昆泰国际大厦12层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电话：（010）85632771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传真：（010）85632773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网址：http://fund.sinosig.com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（75）名称：大连网金基金销售有限公司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樊怀东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电话：（0411-39027810）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传真：（0411-39027835）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于秀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4000-899-100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网址：http://www.yibaijin.com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（76）名称：泛华普益基金销售有限公司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住所：成都市成华区建设路9号高地中心1101室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办公地址：成都市金牛区花照壁西顺街399号1栋1单元龙湖西宸天街B座1201号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法定代表人：于海锋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电话：028-8661-6229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联系人：隋亚方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客户服务电话：400-080-3388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网址：https://www.puyifund.com/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（77）名称：和耕传承基金销售有限公司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法定代表人：温丽燕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电话：0371-85518395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传真：0371-85518397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联系人：胡静华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客户服务电话：4000555671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网址：www.hgccpb.com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（78）名称：北京植信基金销售有限公司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住所：北京市密云区兴盛南路8号院2号楼106室-67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办公地址：北京市朝阳区惠河南路盛世龙源10号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法定代表人：王军辉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电话：010-56075718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传真：010-67767615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客户服务电话：4006-802-123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（79）名称：济安财富（北京）基金销售有限公司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住所：北京市朝阳区太阳宫中路16号院1号楼10层1005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办公地址：北京市朝阳区太阳宫中路16号院1号楼11层1105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电话：010-65309516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传真：010-65330699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联系人：宋静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客户服务电话：400-673-7010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基金管理人可根据有关法律法规的要求，选择其它符合要求的机构代理销售本基金，并及时公告。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（二）注册登记机构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名称：中国证券登记结算有限责任公司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法定代表人：于文强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电话：（010）50938782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传真：（010）50938907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联系人：赵亦清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（三）出具法律意见书的律师事务所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名称：上海市通力律师事务所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负责人：韩炯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电话：（021）31358666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传真：（021）31358600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联系人：孙睿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经办律师：黎明、孙睿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（四）审计基金财产的会计师事务所</w:t>
      </w:r>
      <w:bookmarkStart w:id="29" w:name="_GoBack"/>
      <w:bookmarkEnd w:id="29"/>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名称：安永华明会计师事务所（特殊普通合伙）</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住所：北京市东城区东长安街1号东方广场安永大楼17层</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办公地址：北京市东城区东长安街1号东方广场安永大楼17层</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执行事务合伙人：毛鞍宁</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电话：（010）58153000</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传真：（010）85188298</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联系人：蒋燕华</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经办注册会计师：蒋燕华、费泽旭</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171611417"/>
      <w:r>
        <w:rPr>
          <w:rFonts w:ascii="Times New Roman" w:hAnsi="Times New Roman"/>
          <w:sz w:val="30"/>
        </w:rPr>
        <w:t>六、基金的募集</w:t>
      </w:r>
      <w:bookmarkEnd w:id="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本基金由基金管理人依照《基金法》、《运作办法》、基金合同及其他有关规定，并经中国证监会证监许可【2013】1443号文准予募集注册。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本基金为契约型开放式债券型基金。基金存续期间为不定期。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本基金募集期间基金份额净值为人民币1.00元，按初始面值发售。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本基金自2014年1月6日至2014年1月23日进行发售。本基金设立募集期共募集255,571,553.76份基金份额，有效认购户数为1535户。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171611418"/>
      <w:r>
        <w:rPr>
          <w:rFonts w:ascii="Times New Roman" w:hAnsi="Times New Roman"/>
          <w:sz w:val="30"/>
        </w:rPr>
        <w:t>七、基金合同的生效</w:t>
      </w:r>
      <w:bookmarkEnd w:id="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根据有关规定，本基金满足基金合同生效条件，基金合同已于2014年1月28日正式生效。自基金合同生效之日起，本基金管理人正式开始管理本基金。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法律法规另有规定时，从其规定。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171611419"/>
      <w:r>
        <w:rPr>
          <w:rFonts w:ascii="Times New Roman" w:hAnsi="Times New Roman"/>
          <w:sz w:val="30"/>
        </w:rPr>
        <w:t>八、基金份额的申购与赎回</w:t>
      </w:r>
      <w:bookmarkEnd w:id="10"/>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（一）申购和赎回的场所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投资人可通过下述场所按照规定的方式进行申购或赎回：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1、本基金管理人的直销机构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本基金直销机构为基金管理人以及基金管理人的网上直销交易平台。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2、通过上海证券交易所开放式基金销售系统办理相关业务的上海证券交易所会员单位，目前场内交易只支持A类基金份额的申购。具体名单详见上海证券交易所网站。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3、不通过上海证券交易所开放式基金销售系统办理相关业务的场外代销机构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本基金的场外代销机构参见本招募说明书“五、相关服务机构”章节或拨打基金管理人客户服务电话进行咨询。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投资人可通过上述销售机构办理基金申购、赎回业务的营业场所或按上述销售机构提供的其他方式进行申购或赎回。本基金管理人可根据情况变更或增减基金场外代销机构，并在管理人网站公示。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若基金管理人或其指定的代销机构开通电话、传真或网上等交易方式，投资人可以通过上述方式进行申购与赎回。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基金投资者应当在销售机构办理基金销售业务的营业场所或按销售机构提供的其他方式办理基金份额的申购与赎回。</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（二）申购和赎回的开放日及时间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1、开放日及开放时间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2、申购的开始日及业务办理时间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本基金已于2014年2月28日起开放场外申购业务，2014年3月3日起开放场内申购业务。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3、赎回的开始日及业务办理时间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本基金已于2014年2月28日起开放场外赎回业务，2014年3月3日起开放场内赎回业务。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（三）申购与赎回的原则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1、“未知价”原则，即申购、赎回价格以申请当日收市后计算的基金份额净值为基准进行计算；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2、“金额申购、份额赎回”原则，即申购以金额申请，赎回以份额申请；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3、当日的申购与赎回申请可以在基金管理人规定的时间以内撤销，但申请经登记机构正式受理的不得撤销；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5、投资人通过上海证券交易所开放式基金销售系统办理本基金的场内申购、赎回业务时，需遵守上海证券交易所和中国证券登记结算有限责任公司的相关业务规则。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（四）申购和赎回的数额限定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1、申购金额的限制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场外申购时，场外代销机构每个账户单笔申购的最低金额为单笔1元，如果代销机构业务规则规定的最低单笔申购金额高于1元，以代销机构的规定为准。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场内申购时，每笔申购金额最低为100元人民币，同时每笔申购必须是100元的整数倍，并且单笔申购最高不超过99,999,900元。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2、赎回份额的限制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场内赎回时，赎回的最低份额为50份基金份额，同时赎回份额必须是整数份额，并且单笔赎回最多不超过99,999,999份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3、最低保留余额的限制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实施前依照《信息披露办法》的有关规定在指定媒介上刊登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（五）申购和赎回的程序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1、申购和赎回的申请方式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2、申购和赎回的款项支付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本基金合同有关条款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3、申购和赎回申请的确认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4、申购和赎回的登记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（2）投资人T日赎回基金成功后，正常情况下，登记机构在T＋1日为投资人扣除权益并办理相应的登记手续。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（六）基金的申购费和赎回费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基金份额分为A类、B类和C类基金份额。投资人申购A类基金份额在申购时支付申购费用，申购B类基金份额在赎回时才支付相应的申购费用，申购C类基金份额不支付申购费用，而是从该类别基金资产中计提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A/B类基金份额的申购费用由A/B类基金份额申购人承担，不列入基金财产，主要用于本基金的市场推广、销售、登记结算等各项费用。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投资人可以多次申购本基金，申购费用按每笔申购申请单独计算。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本基金A类基金份额的申购费率如下：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A类基金份额前端申购费率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本基金B类基金份额的申购费率如下：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B类基金份额后端申购费率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1年以内（含）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1年—3年（含）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3年—5年（含）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5年以上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上表中的“年”指的是365个自然日。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持有A/B类基金份额的投资人因红利自动再投资而产生的A/B类基金份额，不收取相应的申购费用。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本基金自2014年2月28日起，对通过基金管理人直销柜台申购A类基金份额的养老金客户实施特定申购费率。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通过基金管理人直销柜台申购本基金A类基金份额的养老金客户特定申购费率如下表：</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A类基金份额前端特定申购费率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赎回基金份额收取赎回费用，该费用随基金份额的持有时间递减。本基金基金份额的赎回费用由基金份额赎回人承担，赎回费总额的25%应归基金财产，其余用于支付登记费和其他必要的手续费。其中，对持续持有期少于7日的投资者收取不低于1.5%的赎回费并全额计入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本基金A/B类基金份额的赎回费率如下：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7日（含）—1年（含）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1年—2年（含）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2年以上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上表中的“年”指的是365个自然日。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本基金C类基金份额的赎回费率如下：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7日以上（含）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（七）申购和赎回的数额和价格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1、申购和赎回数额、余额的处理方式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的有效份额为净申购金额除以当日的基金份额净值，有效份额单位为份，场外申购份额计算结果按四舍五入方法，保留到小数点后2位，由此产生的收益或损失由基金财产承担，场内申购份额计算结果按舍去尾数的方法，保留到整数位，剩余部分折回金额返回投资人，折回金额的计算保留到小数点后2位，小数点2位以后的部分四舍五入，由此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2、申购份额的计算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净申购金额=申购总金额/（1+申购费率）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（注：对于适用固定金额申购费用的申购，净申购金额＝申购总金额－固定申购费用金额）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申购费用=申购总金额-净申购金额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（注：对于适用固定金额申购费用的申购，申购费用＝固定申购费用金额）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w:t>
      </w:r>
      <w:r>
        <w:rPr>
          <w:rFonts w:ascii="宋体" w:hAnsi="宋体"/>
          <w:kern w:val="0"/>
          <w:sz w:val="24"/>
        </w:rPr>
        <w:pict>
          <v:shape id="_x0000_i1026" o:spt="75" type="#_x0000_t75" style="height:32.25pt;width:133.5pt;" filled="f" o:preferrelative="t" stroked="f" coordsize="21600,21600">
            <v:path/>
            <v:fill on="f" focussize="0,0"/>
            <v:stroke on="f" joinstyle="miter"/>
            <v:imagedata r:id="rId13" o:title="1521256610242020828"/>
            <o:lock v:ext="edit" aspectratio="t"/>
            <w10:wrap type="none"/>
            <w10:anchorlock/>
          </v:shape>
        </w:pic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场内申购的有效份额保留到整数位，剩余部分对应申购资金返还投资者。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例一：某投资者（非养老金客户）投资100,000元申购本基金的A类基金份额，假设申购当日A/B类基金份额净值为1.0400元，申购费率为0.8%，如果该投资者是场外申购，则其可得到的申购份额为：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净申购金额=100,000/（1+0.8%）=99,206.35元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申购费用=100,000-99,206.35=793.65元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申购份额=（100,000-793.65）/1.0400=95,390.72份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如果该投资者是场内申购，则其可得到的申购份额为95,390份，其余0.72份对应金额返回给投资者。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例二：某养老金客户投资100,000元通过基金管理人的直销柜台申购本基金的A类基金份额，假设申购当日A/B类基金份额净值为1.0400元，申购费率为0.32%，则其可得到的申购份额为：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净申购金额=100,000/（1+0.32%）=99,681.02元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申购费用=100,000-99,681.02=318.98元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申购份额=（100,000-318.98）/1.0400=95,847.13份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即：该养老金客户资100,000元通过基金管理人的直销柜台申购本基金的A类基金份额，假设申购当日A/B类基金份额净值为1.0400元，则其可得到95,847.13份A类基金份额。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（2）B类基金份额的申购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w:t>
      </w:r>
      <w:r>
        <w:rPr>
          <w:rFonts w:ascii="宋体" w:hAnsi="宋体"/>
          <w:kern w:val="0"/>
          <w:sz w:val="24"/>
        </w:rPr>
        <w:pict>
          <v:shape id="_x0000_i1027" o:spt="75" type="#_x0000_t75" style="height:39.75pt;width:161.25pt;" filled="f" o:preferrelative="t" stroked="f" coordsize="21600,21600">
            <v:path/>
            <v:fill on="f" focussize="0,0"/>
            <v:stroke on="f" joinstyle="miter"/>
            <v:imagedata r:id="rId14" o:title="1521256610242020828"/>
            <o:lock v:ext="edit" aspectratio="t"/>
            <w10:wrap type="none"/>
            <w10:anchorlock/>
          </v:shape>
        </w:pic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当投资者提出赎回时，后端申购费用的计算方法为：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后端申购费用＝赎回份额×T日A/B类基金份额净值×后端申购费率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例三：某投资者投资100,000元申购本基金的B类基金份额，假设申购当日A/B类基金份额净值为1.0400元，则其可得到的申购份额为：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申购份额＝100,000/1.0400＝96,153.85份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即：投资者投资100,000元申购本基金的B类基金份额，假设申购当日A/B类基金份额净值为1.0400元，则可得到96,153.85份基金份额，但其在赎回时需根据其持有时间按对应的后端申购费率交纳后端申购费用。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（3）C类基金份额的申购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如果投资者选择申购C类基金份额，则申购份额的计算方法如下：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申购份额=申购总金额/T日C类基金份额净值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例四：某投资者投资100,000元申购本基金的C类基金份额，假设申购当日C类基金份额净值为1.0400元，则其可得到的申购份额为：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申购份额＝100,000/1.0400＝96,153.85份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3、赎回金额的计算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如果投资者赎回A类基金份额，则赎回金额的计算方法如下：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赎回费用=赎回份额×T日A/B类基金份额净值×赎回费率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赎回金额=赎回份额×T日A/B类基金份额净值-赎回费用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例五：某投资者赎回100,000份A类基金份额，对应的赎回费率为0.1%，假设赎回当日A/B类基金份额净值是1.0160元，则其可得到的赎回金额为：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赎回费用=100,000×1.0160×0.1%＝101.60元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赎回金额=100,000×1.0160-101.60＝101,498.40元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即：投资者赎回100,000份A类基金份额，假设赎回当日A/B类基金份额净值是1.0160元，则其可得到的赎回金额为101,498.40元。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（2）B类基金份额的赎回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如果投资者赎回B类基金份额，则赎回金额的计算方法如下：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赎回总额＝赎回份额×T日A/B类基金份额净值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后端（认）申购费用＝赎回份额×（认）申购日基金份额净值×后端（认）申购费率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赎回费用＝赎回总额×赎回费率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赎回金额＝赎回总额－后端（认）申购费用－赎回费用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例六：某投资者赎回100,000份B类基金份额，对应的后端申购费率是1.0%，赎回费率为0.1%，假设赎回当日A/B类基金份额净值是1.0160元，申购时的A/B类基金份额净值为1.0100元，则其可得到的赎回金额为：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赎回总额=100,000×1.0160=101,600元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后端申购费用=100,000×1.0100×1.0%=1,010.00元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赎回费用=101,600×0.1%=101.60元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赎回金额=101,600-1,010.00-101.60=100,488.40元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100,000份B类基金份额，对应的赎回费率为0.1%，假设赎回当日A/B类基金份额净值是1.0160元，投资者对应的后端申购费率是1.0%，申购时的A/B类基金份额净值为1.0100元，则其可得到的赎回金额为100,488.40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（3）C类基金份额的赎回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投资者赎回C类基金份额，赎回金额的计算方法如下：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赎回费用=赎回份额×T日C类基金份额净值×赎回费率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赎回金额=赎回份额×T日C类基金份额净值-赎回费用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例七：某投资者赎回100,000份C类基金份额，对应的赎回费率为0，假设赎回当日C类基金份额净值是1.2500 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赎回费用=100,000×1.2500×0=0 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赎回金额=100,000×1.2500-0=125,000.00 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即：投资者赎回100,000份C类基金份额，对应的赎回费率为0，假设赎回当日C类基金份额净值是1.2500元，则其可得到的赎回金额为125,000.00元。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A/B类基金份额净值＝A/B类基金份额的基金资产净值总额/发行在外的A/B类基金份额总数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C类基金份额净值＝C类基金份额的基金资产净值总额/发行在外的C类基金份额总数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B类基金份额和C类基金份额的基金份额净值的计算，保留到小数点后4位，小数点后第5位四舍五入，由此误差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（八）拒绝或暂停申购的情形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发生下列情况时，基金管理人可拒绝或暂停接受投资人的申购申请：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1、因不可抗力导致基金无法正常运作。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2、发生基金合同规定的暂停基金资产估值情况时，基金管理人可暂停接受投资人的申购申请。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3、证券交易所交易时间非正常停市，导致基金管理人无法计算当日基金资产净值。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4、基金管理人认为接受某笔或某些申购申请可能会影响或损害现有基金份额持有人利益时。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5、基金资产规模过大，使基金管理人无法找到合适的投资品种，或其他可能对基金业绩产生负面影响，从而损害现有基金份额持有人利益的情形。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6、基金管理人、基金托管人、基金销售机构或登记机构的异常情况导致基金销售系统、基金注册登记系统或基金会计系统无法正常运行。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8、基金管理人接受某笔或者某些申购申请有可能导致单一投资者持有基金份额的比例超过50%，或者变相规避50%集中度的情形时。出现上述情形时，基金管理人有权将上述申购申请全部或部分确认失败。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9、法律法规规定或中国证监会认定的其他情形。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（九）暂停赎回或延缓支付赎回款项的情形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发生下列情形时，基金管理人可暂停接受投资人的赎回申请或延缓支付赎回款项：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1、因不可抗力导致基金管理人不能支付赎回款项。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3、证券交易所交易时间非正常停市，导致基金管理人无法计算当日基金资产净值。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4、连续两个或两个以上开放日发生巨额赎回。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6、法律法规规定或中国证监会认定的其他情形。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（十）巨额赎回的情形及处理方式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1、巨额赎回的认定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2、巨额赎回的处理方式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巨额赎回业务的场内处理，按照上海证券交易所及中国证券登记结算有限责任公司的有关规定办理。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当发生上述延期赎回并延期办理时，基金管理人应当通过邮寄、传真、刊登公告或者通知代销机构代为告知等方式在3个交易日内通知基金份额持有人，说明有关处理方法，并在2日内在在指定媒介上刊登公告。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（十一）暂停申购或赎回的公告和重新开放申购或赎回的公告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1、发生上述暂停申购或赎回情况的，基金管理人应在规定期限内在指定媒介上刊登暂停公告。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2、暂停结束，基金重新开放申购或赎回时，基金管理人应依照《信息披露办法》的有关规定，不迟于重新开放日，在指定媒介上刊登基金重新开放申购或赎回公告，并公布最近一个开放日的基金份额净值。</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（十二）基金的非交易过户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（十三）基金的转托管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（十四）定期定额投资计划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2014年2月25日刊登公告自2014年2月28日起开通定期定额投资计划业务，具体开通销售机构名单和业务规则参见相关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（十五）定期定额赎回业务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2014年2月25日刊登公告自2014年2月28日起在中国农业银行股份有限公司下属各代销网点开通定期定额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（十六）基金份额的冻结和解冻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（十七）其他业务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如相关法律法规允许基金管理人办理基金份额的质押业务或其他基金业务，基金管理人可制定相应的业务规则并开展相关业务，并依照《信息披露办法》的有关规定进行公告。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（十八）实施侧袋机制期间本基金的申购与赎回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本基金实施侧袋机制的，本基金的申购和赎回安排详见本招募说明书“侧袋机制”部分的规定或相关公告。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171611420"/>
      <w:r>
        <w:rPr>
          <w:rFonts w:ascii="Times New Roman" w:hAnsi="Times New Roman"/>
          <w:sz w:val="30"/>
        </w:rPr>
        <w:t>九、基金的转换</w:t>
      </w:r>
      <w:bookmarkEnd w:id="11"/>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（二）转换业务办理时间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本基金2014年3月5日刊登公告自2014年3月10日起开放日常转换业务。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本基金转换业务具体开通销售机构名单参见相关公告。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（三）基金转换的程序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1、申请方式：书面申请或销售机构公布的其他方式。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2、基金转换申请的确认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3、基金转换的注册登记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（四）基金转换的数额限制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（五）基金转换费用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2、转出基金的赎回费用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3、前端收费模式下转出与转入基金的申购补差费用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4、后端收费模式下转出与转入基金的申购补差费用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5、网上直销的申购补差费率优惠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（六）基金转换份额的计算公式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1、前端收费模式下基金转换份额的计算公式及举例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转出确认金额=转出的基金份额×转换申请当日转出基金的基金份额净值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转出基金的赎回费=转出确认金额×对应的转出基金的赎回费率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转入确认金额=转出确认金额-转出基金的赎回费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（注：若转出基金申购费率不低于转入基金申购费率，转出与转入基金的申购补差费为零）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对于涉及固定费用的，转出与转入基金的申购补差费＝MAX（0，转出基金和转入基金申购费用之差）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其中：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转出确认金额=100,000×1.0100=101,000元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转出基金的赎回费=101,000×0.5%=505元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转入确认金额=101,000-505=100,495元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转出与转入基金的申购补差费=100,495×0/（1+0）=0元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转入基金确认份额=（100,495-0）/2.2700=44,270.93份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转出确认金额=1,000,000×1.0200=1,020,000元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转出基金的赎回费=1,020,000×0.05%=510元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转入确认金额=1,020,000-510=1,019,490元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转出与转入基金的申购补差费=1,019,490×0.5%/（1+0.5%）=5,072.09元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转入基金确认份额=（1,019,490-5,072.09）/1.0100=1,004,374.17份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转出与转入基金的申购补差费=125,000×1.5%/（1+1.5%）=1,847.29元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转入基金确认份额=（125,000-1,847.29）/2.2700=54,252.30份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转入确认金额=100,000-0=100,000元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转出与转入基金的申购补差费=100,000×0.8%/（1+0.8%）=793.65元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转入基金确认份额=（100,000-793.65+61.52）/1.2700=78,163.68份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2、后端收费模式下基金转换份额的计算公式及举例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转出确认金额=转出的基金份额×转换申请当日转出基金的基金份额净值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转出基金的赎回费=转出确认金额×对应的转出基金的赎回费率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转入确认金额=转出确认金额-转出基金的赎回费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转出与转入基金的申购补差费=转入确认金额×对应的转出与转入基金的申购补差费率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其中：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转出基金的赎回费=125,000×0.2%=250元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转入确认金额=125,000-250=124,750元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转出与转入基金的申购补差费=124,750×0=0元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转入基金确认份额=（124,750-0）/2.2700=54,955.95份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转出基金的赎回费=125,000×0.2%=250元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转入确认金额=125,000-250=124,750元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转出与转入基金的申购补差费=124,750×1.2%=1497元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转入基金确认份额=（124,750-1497）/1.00=123,253.00份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转出确认金额=100,000×0.8500=85,000元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转出基金的赎回费=85,000×0=0元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转入确认金额=85,000-0=85,000元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转出与转入基金的申购补差费=85,000×0.2%=170元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转入基金确认份额=（85,000-170）/1.0500=80,790.48份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转入确认金额=100,000-0=100,000元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转入基金确认份额=（100,000-0+61.52）/1.2700=78,788.60份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（八）暂停基金转换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171611421"/>
      <w:r>
        <w:rPr>
          <w:rFonts w:ascii="Times New Roman" w:hAnsi="Times New Roman"/>
          <w:sz w:val="30"/>
        </w:rPr>
        <w:t>十、基金的投资</w:t>
      </w:r>
      <w:bookmarkEnd w:id="12"/>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本基金在严格控制风险和保持资产流动性的前提下，重点投资于债券资产，力争实现基金资产的长期稳定增值。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比例为：本基金投资于债券的比例不低于基金资产的80%；对股票、权证等权益类资产的投资比例不高于基金资产净值的20%；现金或到期日在一年以内的政府债券的投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1、资产配置策略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2、债券投资策略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（1）久期管理策略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通过合理的久期控制实现对利率风险的有效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（2）期限结构配置策略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通过预期收益率曲线形态变化来调整投资组合的期限结构配置。根据债券收益率曲线形态、各期限段品种收益率变动、结合短期资金利率水平与变动趋势，分析预测收益率曲线的变化，测算子弹、哑铃或梯形等不同期限结构配置策略的风险收益，形成具体的期限结构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（3）债券的类属配置策略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并动态地调整不同类属债券类资产间的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（4）杠杆放大策略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（5）信用债券投资策略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①信用债券研究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②信用债券筛选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本基金从信用债券池中精选债券构建信用债券投资组合，债券筛选主要考虑以下因素：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a、信用债券信用评级的变化。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（6）资产支持证券（含资产收益计划）投资策略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（7）可转换债券投资策略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可转换债券是兼具股性和债性双重特征的投资品种。本基金对于可转换债券股性的研究将依托于公司投研团队对标的股票的研究，在此基础上量化投资部利用可转换债券定价模型，充分考虑转债发行后目标转债标的股票股价波动率可能出现的变化，对目标转债的股性进行合理定价。对于可转换债券债性的研究，本基金将引进公司信用债券信用评级指标体系，对可转换债券的发行主体及标的债券进行信用评级，并在信用评级的基础上对其进行合理定价。通过对标的转债股性与债性的合理定价，力求寻找出被市场低估的品种，构建本基金可转换债券的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3、股票投资策略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4、权证投资策略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1、组合限制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基金的投资组合应遵循以下限制：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（1）债券的投资比例不低于基金资产的80%，股票、权证等权益类资产的投资比例不高于基金资产净值的20%；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（2）保持不低于基金资产净值5%的现金或者到期日在一年以内的政府债券，其中现金不包括结算备付金、存出保证金、应收申购款等；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（3）本基金持有一家上市公司的股票，其市值不超过基金资产净值的10%；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（4）本基金管理人管理的全部基金持有一家公司发行的证券，不超过该证券的10%；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（5）本基金持有的全部权证，其市值不得超过基金资产净值的3%；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（6）本基金管理人管理的全部基金持有的同一权证，不得超过该权证的 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（7）本基金在任何交易日买入权证的总金额，不得超过上一交易日基金资产净值的0.5%；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（8）本基金投资于同一原始权益人的各类资产支持证券的比例，不得超过基金资产净值的10%；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（14）本基金进入全国银行间同业市场进行债券回购的资金余额不得超过基金资产净值的40%；本基金进入全国银行间同业市场进行债券回购的最长期限为1年，债券回购到期后不得展期；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第（2）、（12）、（16）、（17）项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基金管理人应当自基金合同生效之日起6个月内使基金的投资组合比例符合基金合同的有关约定。基金托管人对基金的投资的监督与检查自本基金合同生效之日起开始。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法律法规或监管部门取消或调整上述限制，如适用于本基金，基金管理人在履行适当程序后，则本基金投资所受限制取消或相应调整。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2、禁止行为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为维护基金份额持有人的合法权益，基金财产不得用于下列投资或者活动：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（1）承销证券；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（2）违反规定向他人贷款或者提供担保；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（3）从事承担无限责任的投资；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（4）买卖其他基金份额，但是中国证监会另有规定的除外；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（5）向其基金管理人、基金托管人出资；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（6）从事内幕交易、操纵证券交易价格及其他不正当的证券交易活动；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（7）法律法规和中国证监会规定禁止的其他活动。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如法律法规或监管部门取消上述禁止性规定，基金管理人在履行适当程序后，本基金可不受上述规定的限制。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中债综合全价指数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是一只债券型基金，其风险与预期收益高于货币市场基金，低于混合型基金和股票型基金，属于证券投资基金中中等风险的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（七）基金的融资融券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本基金可以根据有关法律法规和政策的有关规定进行融资、融券。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（八）基金管理人代表基金行使股东及债权人权利的处理原则及方法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1、基金管理人按照国家有关规定代表基金独立行使股东及债权人权利，保护基金份额持有人的利益；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2、不谋求对上市公司的控股，不参与所投资上市公司的经营管理；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3、有利于基金财产的安全与增值；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4、不通过关联交易为自身、雇员、授权代理人或任何存在利害关系的第三人牟取任何不当利益。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（九）侧袋机制的实施和投资运作安排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（十）基金投资组合报告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本基金托管人中信银行股份有限公司根据本基金合同规定，于2024年04月19日复核了本报告中的财务指标、净值表现和投资组合报告等内容，保证复核内容不存在虚假记载、误导性陈述或者重大遗漏。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本报告期为2024年01月01日起至03月31日。本报告财务资料未经审计师审计。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1、报告期末基金资产组合情况</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598,656,062.84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99.33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598,656,062.84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99.33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4,003,687.82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20,464.69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602,680,215.35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2、报告期末按行业分类的股票投资组合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 报告期末按行业分类的境内股票投资组合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 报告期末按行业分类的港股通投资股票投资组合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3、期末按公允价值占基金资产净值比例大小排序的股票投资明细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 报告期末按公允价值占基金资产净值比例大小排序的前十名股票投资明细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4、报告期末按债券品种分类的债券投资组合</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26,347,260.27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20,677,065.58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20,677,065.58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51,462,149.08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216,948,172.80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43.21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283,221,415.11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56.40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598,656,062.84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119.23</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5、报告期末按公允价值占基金资产净值比例大小排序的前五名债券投资明细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019727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23国债24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26,347,260.27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102101699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21舜通MTN003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21,161,226.23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2080263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20乌城投债01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20,945,584.70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102382604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23宣城国资MTN002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20,691,540.98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102381981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23海盐国资MTN001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20,581,693.99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6、报告期末按公允价值占基金资产净值比例大小排序的前十名资产支持证券投资明细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7、报告期末按公允价值占基金资产净值比例大小排序的前五名贵金属投资明细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8、报告期末按公允价值占基金资产净值比例大小排序的前五名权证投资明细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9、报告期末本基金投资的国债期货交易情况说明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 本期国债期货投资政策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 报告期末本基金投资的国债期货持仓和损益明细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9.3 本期国债期货投资评价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10、投资组合报告附注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 基金投资的前十名股票是否超出基金合同规定的备选股票库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基金投资的前十名股票中，没有超出基金合同规定的备选股票库之外的股票。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 其他资产构成</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19,886.86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577.83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20,464.69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10.4 报告期末持有的处于转股期的可转换债券明细</w:t>
      </w:r>
    </w:p>
    <w:tbl>
      <w:tblPr>
        <w:tblStyle w:val="14"/>
        <w:tblW w:w="5000" w:type="pct"/>
        <w:tblInd w:w="0" w:type="dxa"/>
        <w:tblLayout w:type="autofit"/>
        <w:tblCellMar>
          <w:top w:w="0" w:type="dxa"/>
          <w:left w:w="0" w:type="dxa"/>
          <w:bottom w:w="0" w:type="dxa"/>
          <w:right w:w="0" w:type="dxa"/>
        </w:tblCellMar>
      </w:tblPr>
      <w:tblGrid>
        <w:gridCol w:w="666"/>
        <w:gridCol w:w="2001"/>
        <w:gridCol w:w="2001"/>
        <w:gridCol w:w="2001"/>
        <w:gridCol w:w="2001"/>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浦发转债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14,498,797.34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山鹰转债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11,222,782.47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国投转债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10,119,110.30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9,534,390.62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华安转债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8,494,953.23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财通转债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8,130,775.70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宏川转债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6,594,874.04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6,403,933.89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牧原转债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5,967,001.58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浙22转债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5,889,864.28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本钢转债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5,826,223.76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111017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蓝天转债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5,642,143.57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127061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美锦转债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5,575,276.35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中特转债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5,524,388.36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嘉元转债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5,448,510.07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华翔转债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5,193,467.63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凤21转债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5,079,603.07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杭银转债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4,795,706.39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0.96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苏行转债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4,557,808.24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0.91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成银转债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4,503,629.93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0.90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123063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大禹转债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4,227,529.46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福莱转债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3,702,400.89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0.74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大秦转债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3,594,182.47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0.72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鸿路转债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3,259,935.29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嘉美转债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3,247,052.05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神马转债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3,210,094.17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蒙娜转债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2,984,991.78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蓝帆转债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2,963,386.88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苏租转债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2,897,074.85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大元转债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2,861,058.60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平煤转债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2,831,185.10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127092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运机转债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2,816,118.99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东材转债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2,788,649.25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博22转债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2,764,907.62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仙乐转债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2,761,337.64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宙邦转债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2,629,012.73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洪城转债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2,568,454.73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威派转债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2,523,635.80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113061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拓普转债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2,487,530.43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洋丰转债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2,443,580.11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110075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南航转债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2,331,948.51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拓斯转债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2,311,084.49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燃23转债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2,213,066.45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鹤21转债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2,138,737.56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双箭转债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2,061,842.79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132026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G三峡EB2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2,045,042.71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睿创转债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1,895,202.76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123076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强力转债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1,894,125.06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奕瑞转债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1,880,480.60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龙大转债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1,794,535.86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旺能转债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1,755,747.34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回天转债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1,676,195.38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南电转债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1,629,225.26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九强转债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1,561,134.96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通22转债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1,526,850.25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南银转债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1,525,990.43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天赐转债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1,516,918.03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113598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法兰转债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1,516,445.59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泉峰转债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1,510,592.47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123071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天能转债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1,494,828.43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绿动转债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1,490,961.83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风语转债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1,450,176.44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百洋转债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1,422,958.20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川恒转债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1,395,419.31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金诚转债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1,375,004.87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武进转债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1,363,963.29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隆22转债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1,344,374.57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123056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雪榕转债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1,276,879.65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鲁泰转债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1,236,185.87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科华转债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1,184,635.73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精测转2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1,174,135.69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上银转债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1,109,150.41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荣泰转债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1,098,530.14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朗科转债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1,085,076.71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甬金转债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1,072,011.23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永22转债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1,039,048.22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建龙转债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1,018,763.01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麒麟转债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1,016,247.13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天23转债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1,012,015.07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海能转债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1,002,791.88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111000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起帆转债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996,848.52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巨星转债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949,739.11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首华转债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923,332.00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道氏转02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895,913.46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晶科转债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894,615.17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精工转债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893,218.18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110087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天业转债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884,530.40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永安转债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867,606.58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龙净转债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775,817.06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小熊转债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771,656.85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广联转债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757,566.16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113532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海环转债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716,332.86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弘亚转债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559,232.19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广大转债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506,378.11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春23转债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414,530.28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顺博转债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297,835.45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10.5 报告期末前十名股票中存在流通受限情况的说明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10.6 投资组合报告附注的其他文字描述部分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171611422"/>
      <w:r>
        <w:rPr>
          <w:rFonts w:ascii="Times New Roman" w:hAnsi="Times New Roman"/>
          <w:sz w:val="30"/>
        </w:rPr>
        <w:t>十一、基金的业绩</w:t>
      </w:r>
      <w:bookmarkEnd w:id="1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基金业绩截止日为2024年03月31日，所载财务数据未经审计师审计。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1、基金份额净值增长率及其与同期业绩比较基准收益率的比较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（1）交银强化回报债券A/B：</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2014年度（自基金合同生效日起至2014年12月31日）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（2）交银强化回报债券C：</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5.97%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2014年度（自基金合同生效日起至2014年12月31日）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交银施罗德强化回报债券型证券投资基金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份额累计净值增长率与业绩比较基准收益率的历史走势对比图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（2014年1月28日至2024年03月31日）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1．交银强化回报债券A/B</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pict>
          <v:shape id="_x0000_i1028" o:spt="75" type="#_x0000_t75" style="height:268.5pt;width:439.5pt;" filled="f" o:preferrelative="t" stroked="f" coordsize="21600,21600">
            <v:path/>
            <v:fill on="f" focussize="0,0"/>
            <v:stroke on="f" joinstyle="miter"/>
            <v:imagedata r:id="rId15" o:title="1521256610242020828"/>
            <o:lock v:ext="edit" aspectratio="t"/>
            <w10:wrap type="none"/>
            <w10:anchorlock/>
          </v:shape>
        </w:pic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2．交银强化回报债券C</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pict>
          <v:shape id="_x0000_i1029" o:spt="75" type="#_x0000_t75" style="height:268.5pt;width:439.5pt;" filled="f" o:preferrelative="t" stroked="f" coordsize="21600,21600">
            <v:path/>
            <v:fill on="f" focussize="0,0"/>
            <v:stroke on="f" joinstyle="miter"/>
            <v:imagedata r:id="rId16" o:title="1521256610242020828"/>
            <o:lock v:ext="edit" aspectratio="t"/>
            <w10:wrap type="none"/>
            <w10:anchorlock/>
          </v:shape>
        </w:pic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171611423"/>
      <w:r>
        <w:rPr>
          <w:rFonts w:ascii="Times New Roman" w:hAnsi="Times New Roman"/>
          <w:sz w:val="30"/>
        </w:rPr>
        <w:t>十二、基金的财产</w:t>
      </w:r>
      <w:bookmarkEnd w:id="1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（一）基金资产总值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基金资产总值是指基金拥有的各类有价证券、银行存款本息、基金应收申购款及其他资产的价值总和。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（三）基金财产的账户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（四）基金财产的保管和处分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171611424"/>
      <w:r>
        <w:rPr>
          <w:rFonts w:ascii="Times New Roman" w:hAnsi="Times New Roman"/>
          <w:sz w:val="30"/>
        </w:rPr>
        <w:t>十三、基金资产的估值</w:t>
      </w:r>
      <w:bookmarkEnd w:id="15"/>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（一）估值日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（二）估值对象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基金所拥有的股票、权证、债券和银行存款本息、应收款项、其它投资等资产及负债。</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1、证券交易所上市的有价证券的估值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2、处于未上市期间的有价证券应区分如下情况处理：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（1）送股、转增股、配股和公开增发的新股，按估值日在证券交易所挂牌的同一股票的估值方法估值；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（2）首次公开发行未上市的股票、债券和权证，采用估值技术确定公允价值，在估值技术难以可靠计量公允价值的情况下，按成本估值；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4、同一债券同时在两个或两个以上市场交易的，按债券所处的市场分别估值。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6、相关法律法规以及监管部门有强制规定的，从其规定。如有新增事项，按法律法规以及监管部门最新规定估值。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（四）估值程序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基金管理人于每个工作日计算基金资产净值及基金份额净值，并按规定公告。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（五）估值错误的处理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本基金合同的当事人应按照以下约定处理：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1、估值错误类型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2、估值错误处理原则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（4）估值错误调整采用尽量恢复至假设未发生估值错误的正确情形的方式。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（5）按法律法规规定的其他原则处理估值错误。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3、估值错误处理程序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估值错误被发现后，有关的当事人应当及时进行处理，处理的程序如下：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（1）查明估值错误发生的原因，列明所有的当事人，并根据估值错误发生的原因确定估值错误的责任方；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（2）根据估值错误处理原则或当事人协商的方法对因估值错误造成的损失进行评估；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（3）根据估值错误处理原则或当事人协商的方法由估值错误的责任方进行更正和赔偿损失；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4、基金份额净值估值错误处理的方法如下：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（3）前述内容如法律法规或监管机关另有规定的，从其规定处理。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（六）暂停估值的情形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1、基金投资所涉及的证券交易市场遇法定节假日或因其他原因暂停营业时；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2、因不可抗力致使基金管理人、基金托管人无法准确评估基金资产价值时；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5、中国证监会和基金合同认定的其它情形。</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（七）基金净值的确认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1、基金管理人、基金托管人按估值方法的第5项进行估值时，所造成的误差不作为基金资产估值错误处理。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由于不可抗力原因，或由于证券交易所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（九）实施侧袋机制期间的基金资产估值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171611425"/>
      <w:r>
        <w:rPr>
          <w:rFonts w:ascii="Times New Roman" w:hAnsi="Times New Roman"/>
          <w:sz w:val="30"/>
        </w:rPr>
        <w:t>十四、基金收益与分配</w:t>
      </w:r>
      <w:bookmarkEnd w:id="16"/>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（一）基金利润的构成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（二）基金可供分配利润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基金可供分配利润指截至收益分配基准日基金未分配利润与未分配利润中已实现收益的孰低数。</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（三）基金收益分配原则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1、由于本基金A类和B类基金份额不收取销售服务费，C类基金份额收取销售服务费，各基金份额类别对应的可供分配利润将有所不同；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符合有关基金分红条件的前提下，本基金每年收益分配次数最多为12次，每份基金份额每次分配比例不得低于收益分配基准日每份基金份额可供分配利润的90%，若《基金合同》生效不满3个月可不进行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收益分配方式分两种：现金分红与红利再投资，投资者可选择现金红利或将现金红利自动转为基金份额进行再投资；若投资者不选择，本基金默认的收益分配方式是现金分红；基金份额持有人可对其持有的A类、B类以及C类基金份额分别选择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4、基金收益分配后基金份额净值不能低于面值，即基金收益分配基准日的基金份额净值减去每单位基金份额收益分配金额后不能低于面值；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5、本基金同一基金份额类别的每一基金份额享有同等分配权；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6、法律法规或监管机关另有规定的，从其规定。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（四）收益分配方案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（五）收益分配方案的确定、公告与实施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基金红利发放日距离收益分配基准日（即可供分配利润计算截止日）的时间不得超过15个工作日。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法律法规或监管机关另有规定的，从其规定。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（六）基金收益分配中发生的费用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（七）收益分配方式的修改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投资人同一日多次申报分红方式变更的，按照《业务规则》执行，最终确认的分红方式以登记机构记录为准。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（八）实施侧袋机制期间的收益分配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本基金实施侧袋机制的，侧袋账户不进行收益分配。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171611426"/>
      <w:r>
        <w:rPr>
          <w:rFonts w:ascii="Times New Roman" w:hAnsi="Times New Roman"/>
          <w:sz w:val="30"/>
        </w:rPr>
        <w:t>十五、基金的费用与税收</w:t>
      </w:r>
      <w:bookmarkEnd w:id="17"/>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（一）基金费用的种类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3、《基金合同》生效后与基金相关的信息披露费用；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4、《基金合同》生效后与基金相关的会计师费、律师费和诉讼费；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6、基金的证券交易费用；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7、基金的银行汇划费用；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8、基金的开户费用、账户维护费用；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9、本基金从C类基金份额的基金财产中计提的销售服务费；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10、按照国家有关规定和《基金合同》约定，可以在基金财产中列支的其他费用。</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（二）基金费用计提方法、计提标准和支付方式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1、与基金运作有关的费用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本基金的管理费按前一日基金资产净值的</w:t>
      </w:r>
      <w:r>
        <w:rPr>
          <w:rFonts w:hint="eastAsia" w:ascii="宋体" w:hAnsi="宋体"/>
          <w:sz w:val="24"/>
        </w:rPr>
        <w:t>0.3</w:t>
      </w:r>
      <w:r>
        <w:rPr>
          <w:rFonts w:ascii="宋体" w:hAnsi="宋体"/>
          <w:sz w:val="24"/>
        </w:rPr>
        <w:t>%年费率计提。管理费的计算方法如下：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w:t>
      </w:r>
      <w:r>
        <w:rPr>
          <w:rFonts w:hint="eastAsia" w:ascii="宋体" w:hAnsi="宋体"/>
          <w:sz w:val="24"/>
        </w:rPr>
        <w:t>0.3</w:t>
      </w:r>
      <w:r>
        <w:rPr>
          <w:rFonts w:ascii="宋体" w:hAnsi="宋体"/>
          <w:sz w:val="24"/>
        </w:rPr>
        <w:t>%÷当年天数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E为前一日的基金资产净值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本基金的托管费按前一日基金资产净值的</w:t>
      </w:r>
      <w:r>
        <w:rPr>
          <w:rFonts w:hint="eastAsia" w:ascii="宋体" w:hAnsi="宋体"/>
          <w:sz w:val="24"/>
        </w:rPr>
        <w:t>0.1</w:t>
      </w:r>
      <w:r>
        <w:rPr>
          <w:rFonts w:ascii="宋体" w:hAnsi="宋体"/>
          <w:sz w:val="24"/>
        </w:rPr>
        <w:t>%的年费率计提。托管费的计算方法如下：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w:t>
      </w:r>
      <w:r>
        <w:rPr>
          <w:rFonts w:hint="eastAsia" w:ascii="宋体" w:hAnsi="宋体"/>
          <w:sz w:val="24"/>
        </w:rPr>
        <w:t>0.1</w:t>
      </w:r>
      <w:r>
        <w:rPr>
          <w:rFonts w:ascii="宋体" w:hAnsi="宋体"/>
          <w:sz w:val="24"/>
        </w:rPr>
        <w:t>%÷当年天数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E为前一日的基金资产净值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（3）C类基金份额的销售服务费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本基金A类和B类基金份额不收取销售服务费，C类基金份额的销售服务费按前一日C类基金资产净值的0.4%年费率计提。计算方法如下：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H＝E×0.4%÷当年天数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H为C类基金份额每日应计提的销售服务费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E为C类基金份额前一日基金资产净值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销售服务费每日计提，按月支付。由基金管理人与基金托管人核对一致后，由基金托管人复核后于次月首日起第3个工作日从基金财产中一次性支付给基金管理人，由基金管理人代付给销售机构，若遇法定节假日、休息日或不可抗力致使无法按时支付的，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C类基金份额的销售服务费将专门用于本基金的推广、销售与基金份额持有人服务。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2、与基金销售有关的费用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本基金赎回费的费率水平、计算公式和收取方式详见“基金份额的申购与赎回”一章。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（3）转换费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本基金转换费的费率水平、计算公式和收取方式详见“基金的转换”一章。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3、上述“（一）基金费用的种类”中第3－8、第10项费用，根据有关法规及相应协议规定，按费用实际支出金额列入当期费用，由基金托管人从基金财产中支付。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（三）不列入基金费用的项目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下列费用不列入基金费用：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1、基金管理人和基金托管人因未履行或未完全履行义务导致的费用支出或基金财产的损失；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2、基金管理人和基金托管人处理与基金运作无关的事项发生的费用；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3、《基金合同》生效前的相关费用；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4、其他根据相关法律法规及中国证监会的有关规定不得列入基金费用的项目。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上刊登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（五）实施侧袋机制期间的基金费用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（六）基金税收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本基金运作过程中涉及的各纳税主体，其纳税义务按国家税收法律、法规执行。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171611427"/>
      <w:r>
        <w:rPr>
          <w:rFonts w:ascii="Times New Roman" w:hAnsi="Times New Roman"/>
          <w:sz w:val="30"/>
        </w:rPr>
        <w:t>十六、基金的会计与审计</w:t>
      </w:r>
      <w:bookmarkEnd w:id="1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（一）基金会计政策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1、基金管理人为本基金的基金会计责任方；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2、基金的会计年度为公历年度的1月1日至12月31日；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3、基金核算以人民币为记账本位币，以人民币元为记账单位；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4、会计制度执行国家有关会计制度；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5、本基金独立建账、独立核算；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7、基金托管人每月与基金管理人就基金的会计核算、报表编制等进行核对并以书面方式确认。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（二）基金的年度审计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2、会计师事务所更换经办注册会计师，应事先征得基金管理人同意。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171611428"/>
      <w:r>
        <w:rPr>
          <w:rFonts w:ascii="Times New Roman" w:hAnsi="Times New Roman"/>
          <w:sz w:val="30"/>
        </w:rPr>
        <w:t>十七、基金的信息披露</w:t>
      </w:r>
      <w:bookmarkEnd w:id="19"/>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w:t>
      </w:r>
      <w:r>
        <w:rPr>
          <w:rFonts w:hint="eastAsia" w:ascii="宋体" w:hAnsi="宋体"/>
          <w:kern w:val="0"/>
          <w:sz w:val="24"/>
        </w:rPr>
        <w:t>本基金的信息披露应符合《基金法》、《运作办法》、《信息披露办法》、《流动性规定》、《基金合同》及其他有关规定。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（二）信息披露义务人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（三）本基金信息披露义务人承诺公开披露的基金信息，不得有下列行为：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2、对证券投资业绩进行预测；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4、诋毁其他基金管理人、基金托管人或者基金销售机构；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5、登载任何自然人、法人和非法人组织的祝贺性、恭维性或推荐性的文字；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w:t>
      </w:r>
      <w:r>
        <w:rPr>
          <w:rFonts w:hint="eastAsia" w:ascii="宋体" w:hAnsi="宋体"/>
          <w:kern w:val="0"/>
          <w:sz w:val="24"/>
        </w:rPr>
        <w:t>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本基金公开披露的信息采用阿拉伯数字；除特别说明外，货币单位为人民币元。</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（五）公开披露的基金信息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公开披露的基金信息包括：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1、基金招募说明书、《基金合同》、基金托管协议、基金产品资料概要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基金管理人应当在收到中国证监会确认文件的次日在指定媒介上登载《基金合同》生效公告。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《基金合同》生效后，在开始办理基金份额申购或者赎回前，基金管理人应当至少每周在指定网站披露一次A/B类基金份额和C类基金份额所对应的基金份额净值和基金份额累计净值。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开始办理基金份额申购或者赎回后，基金管理人应当在不晚于每个开放日的次日，通过指定网站、基金销售机构网站或者营业网点披露开放日的A/B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基金管理人应当在不晚于半年度和年度最后一日的次日，在指定网站披露半年度和年度最后一日的A/B类基金份额和C类基金份额所对应的基金份额净值和基金份额累计净值。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合同》、招募说明书等信息披露文件上载明基金份额申购、赎回价格的计算方式及有关A类、B类、C类基金份额的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6、基金定期报告，包括基金年度报告、基金中期报告和基金季度报告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7、临时报告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（1）基金份额持有人大会的召开及决定的事项；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（2）《基金合同》终止、基金清算；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（3）转换基金运作方式、基金合并；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（4）更换基金管理人、基金托管人、基金份额登记机构，基金改聘会计师事务所；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（6）基金管理人、基金托管人的法定名称、住所发生变更；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（8）基金募集期延长或提前结束募集；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（11）涉及基金财产、基金管理业务、基金托管业务的诉讼或仲裁；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（14）基金收益分配事项；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（15）管理费、托管费、销售服务费、申购费、赎回费等费用计提标准、计提方式和费率发生变更；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（16）任一类基金份额净值计价错误达该类基金份额净值百分之零点五；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（17）本基金开始办理申购、赎回；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（18）本基金发生巨额赎回并延期办理；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（19）本基金连续发生巨额赎回并暂停接受赎回申请或延缓支付赎回款项；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（20）本基金暂停接受申购、赎回申请或重新接受申购、赎回申请；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（21）发生涉及基金申购、赎回事项调整或潜在影响投资者赎回等重大事项时；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8、澄清公告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基金份额持有人大会决定的事项，应当依法报中国证监会备案，并予以公告。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11、实施侧袋机制期间的信息披露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12、中国证监会规定的其他信息。</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（六）信息披露事务管理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（七）信息披露文件的存放与查阅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w:t>
      </w:r>
      <w:r>
        <w:rPr>
          <w:rFonts w:hint="eastAsia" w:ascii="宋体" w:hAnsi="宋体"/>
          <w:kern w:val="0"/>
          <w:sz w:val="24"/>
        </w:rPr>
        <w:t>本基金信息披露事项以法律法规规定及本章节约定的内容为准。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171611429"/>
      <w:r>
        <w:rPr>
          <w:rFonts w:ascii="Times New Roman" w:hAnsi="Times New Roman"/>
          <w:sz w:val="30"/>
        </w:rPr>
        <w:t>十八、侧袋机制</w:t>
      </w:r>
      <w:bookmarkEnd w:id="20"/>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（一）侧袋机制的实施条件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（二）实施侧袋机制期间基金份额的申购与赎回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（三）实施侧袋机制期间的基金投资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基金管理人不得在侧袋账户中进行除特定资产处置变现以外的其他投资操作。</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（四）实施侧袋机制期间的基金估值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（五）实施侧袋账户期间的基金费用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1、本基金实施侧袋机制的，管理费和托管费按主袋账户基金资产净值作为基数计提。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（六）侧袋账户中特定资产的处置变现和支付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（七）侧袋机制的信息披露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3、定期报告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171611430"/>
      <w:r>
        <w:rPr>
          <w:rFonts w:ascii="Times New Roman" w:hAnsi="Times New Roman"/>
          <w:sz w:val="30"/>
        </w:rPr>
        <w:t>十九、风险揭示</w:t>
      </w:r>
      <w:bookmarkEnd w:id="21"/>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基金份额持有人须了解并承受以下风险：</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6、债券收益率曲线变动风险。是指收益率曲线没有按预期变化导致基金投资决策出现偏差。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（二）管理风险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1、本基金的申购、赎回安排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2、投资市场、行业及资产的流动性风险评估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3、巨额赎回情形下的流动性风险管理措施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巨额赎回业务的场内处理，按照上海证券交易所及中国证券登记结算有限责任公司的有关规定办理。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4、实施备用的流动性风险管理工具的情形、程序及对投资者的潜在影响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本基金在面临大规模赎回的情况下有可能因为无法变现造成流动性风险。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（四）交易对手违约风险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（五）本基金投资策略所特有的风险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1、本基金为债券型基金，固定收益类资产的比例不低于基金资产净值的80%，因投资固定收益类资产而面临的固定收益类资产市场的系统性风险和个券风险；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3、本基金在主要投资于固定收益类资产的同时也积极关注股票、权证市场的投资机会，会因投资权益类资产而面临的权益类资产市场的系统性风险和个券风险。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4、本基金可投资创业板股票，创业板个股上市后的前五个交易日不设价格涨跌幅限制，第六个交易日开始涨跌幅限制比例为20%。</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（六）投资科创板股票的特定风险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（3）退市风险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（4）集中度风险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（5）系统性风险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（6）政策风险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1、因技术因素而产生的风险，如电脑系统不可靠产生的风险；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2、因基金业务快速发展，在制度建设、人员配备、内控制度建立等方面的不完善产生的风险；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3、因人为因素而产生的风险、如内幕交易、欺诈行为等产生的风险；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4、对主要业务人员如基金经理的依赖而可能产生的风险；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5、因业务竞争压力可能产生的风险；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6、战争、自然灾害等不可抗力可能导致基金财产的损失，影响基金收益水平，从而带来风险；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171611431"/>
      <w:r>
        <w:rPr>
          <w:rFonts w:ascii="Times New Roman" w:hAnsi="Times New Roman"/>
          <w:sz w:val="30"/>
        </w:rPr>
        <w:t>二十、基金合同的变更、终止与基金财产的清算</w:t>
      </w:r>
      <w:bookmarkEnd w:id="22"/>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2、关于《基金合同》变更的基金份额持有人大会决议自完成备案手续后方可执行，并自决议生效后依照《信息披露办法》的规定在指定媒介公告。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（二）《基金合同》的终止事由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4、相关法律法规和中国证监会规定的其他情况。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（1）《基金合同》终止情形出现时，由基金财产清算小组统一接管基金财产；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（2）对基金财产和债权债务进行清理和确认；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（3）对基金财产进行估值和变现；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（6）将清算报告报中国证监会备案并公告；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（五）基金财产清算剩余资产的分配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基金财产清算账册及有关文件由基金托管人保存15年以上。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171611432"/>
      <w:r>
        <w:rPr>
          <w:rFonts w:ascii="Times New Roman" w:hAnsi="Times New Roman"/>
          <w:sz w:val="30"/>
        </w:rPr>
        <w:t>二十一、基金合同内容摘要</w:t>
      </w:r>
      <w:bookmarkEnd w:id="23"/>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（一）基金份额持有人、基金管理人和基金托管人的权利与义务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（1）根据《基金法》、《运作办法》及其他有关规定，基金管理人的权利包括但不限于：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2）自《基金合同》生效之日起，根据法律法规和《基金合同》独立运用并管理基金财产；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3）依照《基金合同》收取基金管理费以及法律法规规定或中国证监会批准的其他费用；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4）销售基金份额；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7）在基金托管人更换时，提名新的基金托管人；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8）选择、更换基金销售机构，对基金销售机构的相关行为进行监督和处理；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9）担任或委托其他符合条件的机构担任基金登记机构办理基金登记业务并获得《基金合同》规定的费用；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10）依据《基金合同》及有关法律规定决定基金收益的分配方案；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11）在《基金合同》约定的范围内，拒绝或暂停受理申购与赎回申请；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13）在法律法规允许的前提下，为基金的利益依法为基金进行融资融券；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14）以基金管理人的名义，代表基金份额持有人的利益行使诉讼权利或者实施其他法律行为；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15）选择、更换律师事务所、会计师事务所、证券经纪商或其他为基金提供服务的外部机构；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16）在符合有关法律、法规的前提下，制定和调整有关基金认购、申购、赎回、转换和非交易过户等的业务规则；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（2）根据《基金法》、《运作办法》及其他有关规定，基金管理人的义务包括但不限于：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3）自《基金合同》生效之日起，以诚实信用、谨慎勤勉的原则管理和运用基金财产；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7）依法接受基金托管人的监督；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11）严格按照《基金法》、《基金合同》及其他有关规定，履行信息披露及报告义务；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13）按《基金合同》的约定确定基金收益分配方案，及时向基金份额持有人分配基金收益；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14）按规定受理申购与赎回申请，及时、足额支付赎回款项；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16）按规定保存基金财产管理业务活动的会计账册、报表、记录和其他相关资料15年以上；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18）组织并参加基金财产清算小组，参与基金财产的保管、清理、估价、变现和分配；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19）面临解散、依法被撤销或者被依法宣告破产时，及时报告中国证监会并通知基金托管人；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22）当基金管理人将其义务委托第三方处理时，应当对第三方处理有关基金事务的行为承担责任；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23）以基金管理人名义，代表基金份额持有人利益行使诉讼权利或实施其他法律行为；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26）建立并保存基金份额持有人名册；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27）法律法规及中国证监会规定的和《基金合同》约定的其他义务。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（1）根据《基金法》、《运作办法》及其他有关规定，基金托管人的权利包括但不限于：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1）自《基金合同》生效之日起，依法律法规和《基金合同》的规定安全保管基金财产；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2）依《基金合同》约定获得基金托管费以及法律法规规定或监管部门批准的其他费用；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4）根据相关市场规则，为基金开设证券账户、为基金办理证券交易资金清算；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5）提议召开或召集基金份额持有人大会；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6）在基金管理人更换时，提名新的基金管理人；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（2）根据《基金法》、《运作办法》及其他有关规定，基金托管人的义务包括但不限于：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1）以诚实信用、勤勉尽责的原则持有并安全保管基金财产；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5）保管由基金管理人代表基金签订的与基金有关的重大合同及有关凭证；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6）按规定开设基金财产的资金账户和证券账户，按照《基金合同》的约定，根据基金管理人的投资指令，及时办理清算、交割事宜；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8）复核、审查基金管理人计算的基金净值信息、基金份额申购、赎回价格；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9）办理与基金托管业务活动有关的信息披露事项；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11）保存基金托管业务活动的记录、账册、报表和其他相关资料15年以上；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12）建立并保存基金份额持有人名册；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13）按规定制作相关账册并与基金管理人核对；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14）依据基金管理人的指令或有关规定向基金份额持有人支付基金收益和赎回款项；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15）依据《基金法》、《基金合同》及其他有关规定，召集基金份额持有人大会或配合基金份额持有人依法召集基金份额持有人大会；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16）按照法律法规和《基金合同》的规定监督基金管理人的投资运作；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19）因违反《基金合同》导致基金财产损失时，应承担赔偿责任，其赔偿责任不因其退任而免除；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22）法律法规及中国证监会规定的和《基金合同》约定的其他义务。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同一类别每份基金份额具有同等的合法权益。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（1）根据《基金法》、《运作办法》及其他有关规定，基金份额持有人的权利包括但不限于：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1）分享基金财产收益；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2）参与分配清算后的剩余基金财产；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3）依法并按照基金合同的规定申请赎回其持有的基金份额；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4）按照规定要求召开基金份额持有人大会；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6）查阅或者复制公开披露的基金信息资料；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8）对基金管理人、基金托管人、基金销售机构损害其合法权益的行为依法提起诉讼或仲裁；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（2）根据《基金法》、《运作办法》及其他有关规定，基金份额持有人的义务包括但不限于：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1）认真阅读并遵守《基金合同》；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2）了解所投资基金产品，了解自身风险承受能力，自行承担投资风险；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3）关注基金信息披露，及时行使权利和履行义务；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4）缴纳基金认购、申购款项及法律法规和《基金合同》所规定的费用；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5）在其持有的基金份额范围内，承担基金亏损或者《基金合同》终止的有限责任；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6）不从事任何有损基金及其他《基金合同》当事人合法权益的活动；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8）返还在基金交易过程中因任何原因获得的不当得利；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9）遵守基金管理人、基金托管人、销售机构和登记机构的相关交易及业务规则；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10）提供基金管理人和监管机构依法要求提供的信息，以及不时的更新和补充，并保证其真实性；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11）法律法规及中国证监会规定的和《基金合同》约定的其他义务。</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（二）基金份额持有人大会召集、议事及表决的程序和规则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1、召开事由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（1）当出现或需要决定下列事由之一的，应当召开基金份额持有人大会：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1）终止《基金合同》；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2）更换基金管理人；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3）更换基金托管人；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4）转换基金运作方式；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5）提高基金管理人、基金托管人的报酬标准和提高销售服务费，但法律法规要求提高该等报酬标准的除外；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6）变更基金类别；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7）本基金与其他基金的合并；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8）变更基金投资目标、范围或策略；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9）变更基金份额持有人大会程序；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10）基金管理人或基金托管人要求召开基金份额持有人大会；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12）对基金当事人权利和义务产生重大影响的其他事项；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13）法律法规、《基金合同》或中国证监会规定的其他应当召开基金份额持有人大会的事项。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（2）以下情况可由基金管理人和基金托管人协商后修改，不需召开基金份额持有人大会：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1）调低基金管理费、基金托管费、销售服务费和其他应由本基金或基金份额持有人承担的费用；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2）法律法规要求增加的基金费用的收取；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3）在法律法规和《基金合同》规定的范围内调整本基金的申购费率、调低赎回费率、变更或增加收费方式；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4）因相应的法律法规发生变动而应当对《基金合同》进行修改；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6）在法律法规允许的情况下基金推出新业务或服务；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7）在法律法规和基金合同规定的范围内调整本基金份额类别的设置；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8）按照法律法规和《基金合同》规定不需召开基金份额持有人大会的以外的其他情形。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2、会议召集人及召集方式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（1）除法律法规规定或《基金合同》另有约定外，基金份额持有人大会由基金管理人召集；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（2）基金管理人未按规定召集或不能召集时，由基金托管人召集；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（6）基金份额持有人会议的召集人负责选择确定开会时间、地点、方式和权益登记日。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3、召开基金份额持有人大会的通知时间、通知内容、通知方式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1）会议召开的时间、地点和会议形式；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2）会议拟审议的事项、议事程序和表决方式；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3）有权出席基金份额持有人大会的基金份额持有人的权益登记日；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5）会务常设联系人姓名及联系电话；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6）出席会议者必须准备的文件和必须履行的手续；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7）召集人需要通知的其他事项。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4、基金份额持有人出席会议的方式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在同时符合以下条件时，通讯开会的方式视为有效：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1）会议召集人按《基金合同》约定公布会议通知后，在2个工作日内连续公布相关提示性公告；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和监管机关允许的情况下，经会议通知载明，本基金可采用网络、电话等其他非书面方式由基金份额持有人向其授权代表进行授权；本基金亦可采用网络、电话等其他非现场方式或者以非现场方式与现场方式结合的方式召开基金份额持有人大会并表决，会议程序比照现场开会和通讯方式开会的程序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5、议事内容与程序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（1）议事内容及提案权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基金份额持有人大会不得对未事先公告的议事内容进行表决。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基金份额持有人所持每份基金份额有一票表决权。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基金份额持有人大会决议分为一般决议和特别决议：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基金份额持有人大会采取记名方式进行投票表决。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2）监票人应当在基金份额持有人表决后立即进行清点并由大会主持人当场公布计票结果。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4）计票过程应由公证机关予以公证，基金管理人或基金托管人拒不出席大会的，不影响计票的效力。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8、实施侧袋机制期间基金份额持有人大会的特殊约定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（1）基金份额持有人行使提议权、召集权、提名权所需单独或合计代表相关基金份额10%以上（含10%）；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（6）一般决议须经参加大会的基金份额持有人或其代理人所持表决权的二分之一以上（含二分之一）通过；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同一主侧袋账户内的每份基金份额具有平等的表决权。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9、生效与公告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基金份额持有人大会的决议，召集人应当自通过之日起5日内报中国证监会备案。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基金份额持有人大会的决议自完成备案手续之日起生效。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法律法规或监管部门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（三）基金合同解除和终止的事由、程序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（2）关于《基金合同》变更的基金份额持有人大会决议自完成备案手续后方可执行，并自决议生效后依照《信息披露办法》的规定在指定媒介公告。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2、《基金合同》的终止事由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（4）相关法律法规和中国证监会规定的其他情况。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1）《基金合同》终止情形出现时，由基金财产清算小组统一接管基金财产；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2）对基金财产和债权债务进行清理和确认；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3）对基金财产进行估值和变现；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6）将清算报告报中国证监会备案并公告；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5、基金财产清算剩余资产的分配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基金财产清算账册及有关文件由基金托管人保存15年以上。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《基金合同》受中国法律管辖。</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（五）基金合同存放及投资者取得基金合同的方式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171611433"/>
      <w:r>
        <w:rPr>
          <w:rFonts w:ascii="Times New Roman" w:hAnsi="Times New Roman"/>
          <w:sz w:val="30"/>
        </w:rPr>
        <w:t>二十二、托管协议的内容摘要</w:t>
      </w:r>
      <w:bookmarkEnd w:id="2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（一）托管协议当事人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批准设立文号：证监基金字[2005]128号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经营范围：基金募集、基金销售、资产管理和中国证监会许可的其它业务。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名称：中信银行股份有限公司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w:t>
      </w:r>
      <w:r>
        <w:rPr>
          <w:rFonts w:hint="eastAsia" w:ascii="宋体" w:hAnsi="宋体"/>
          <w:sz w:val="24"/>
        </w:rPr>
        <w:t>北京市朝阳区光华路10号院1号楼6-30层、32-42层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方合英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成立时间：1987年4月20日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批准设立文号：国办函[1987]14号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基金托管业务批准文号：证监基金字[2004]125号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注册资本：489.35亿元人民币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w:t>
      </w:r>
      <w:r>
        <w:rPr>
          <w:rFonts w:hint="eastAsia" w:ascii="宋体" w:hAnsi="宋体"/>
          <w:sz w:val="24"/>
        </w:rPr>
        <w:t>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（二）基金托管人对基金管理人的业务监督和核查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1、基金托管人对基金管理人的投资行为行使监督权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包括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各类资产的投资比例范围为：本基金投资于债券的比例不低于基金资产的80%；对股票、权证等权益类资产的投资比例不高于基金资产净值的20%；现金或到期日在一年以内的政府债券的投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法律法规或监管机构以后允许基金投资的其他品种，基金管理人在履行适当程序后，可以将其纳入投资范围。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（2）基金托管人根据有关法律法规的规定及基金合同的约定对下述基金投融资比例进行监督：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1）本基金持有的债券的比例不低于基金资产的80%；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2）本基金投资于股票、权证等权益类资产的投资比例不高于基金资产净值的20%；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3）本基金管理人管理的全部基金持有一家公司发行的证券，不超过该证券的10%；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4）本基金持有一家上市公司的股票，其市值不超过基金资产净值的10%；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持有的全部权证，其市值不得超过基金资产净值的3％，基金管理人管理的全部基金持有同一权证的比例不超过该权证的10%。本基金在任何交易日买入权证的总金额，不得超过上一交易日基金资产净值的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6）本基金进入全国银行间同业市场进行债券回购的资金余额不得超过基金资产净值的40%；本基金进入全国银行间同业市场进行债券回购的最长期限为1年,债券回购到期后不得展期；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10）本基金保持不低于基金资产净值5％的现金或者到期日在一年以内的政府债券，其中现金不包括结算备付金、存出保证金、应收申购款等；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11）本基金资产配置比例需满足基金合同中投资范围的约定；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法律法规或监管部门取消或调整上述限制，如适用于本基金，基金管理人在履行适当程序后，则本基金投资所受限制取消或相应调整。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第8）、10）、13）、14）项外，因证券市场波动、上市公司合并、基金规模变动、股权分置改革中支付对价等基金管理人之外的因素致使基金投资比例不符合上述规定投资比例的，基金管理人应当在10个交易日内进行调整，以达到规定的投资比例限制要求。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基金管理人应当自基金合同生效之日起6个月内使基金的投资组合比例符合基金合同的有关约定。基金托管人对基金投资的监督与检查自基金合同生效之日起开始。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（3）基金托管人根据有关法律法规的规定及基金合同的约定对下述基金投资禁止行为进行监督：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根据法律法规的规定及基金合同的约定，本基金禁止从事下列行为：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1）承销证券；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2）违反规定向他人贷款或者提供担保；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3）从事承担无限责任的投资；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4）买卖其他基金份额，但是中国证监会另有规定的除外；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5）向其基金管理人、基金托管人出资；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6）从事内幕交易、操纵证券交易价格及其他不正当的证券交易活动；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7）法律法规和中国证监会规定禁止的其他活动。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如法律法规或监管部门取消上述禁止性规定，基金管理人在履行适当程序后，本基金可不受上述规定的限制。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（4）基金托管人依据有关法律法规的规定和基金合同的约定对于基金关联投资限制进行监督。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（5）基金托管人依据有关法律法规的规定和基金合同的约定对基金管理人参与银行间债券市场进行监督。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1）基金托管人依据有关法律法规的规定和基金合同的约定对于基金管理人参与银行间债券市场交易时面临的交易对手资信风险进行监督。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（6）基金托管人对基金投资流通受限证券的监督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（7）基金托管人对基金投资中期票据的监督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2）如未来有关监管部门发布的法律法规对证券投资基金投资中期票据另有规定的，从其约定。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 督促基金管理人改正。如果基金管理人违规事项未能在限期内纠正的，基金托管人应报告中国证监会。如果基金托管人未能切实履行监督职责，导致基金出现风险，基金托管人应承担连带责任。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（8）基金托管人根据有关法律法规的规定及基金合同的约定，对基金管理人选择存款银行进行监督。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本基金投资银行存款应符合如下规定：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3）基金托管人应加强对基金银行存款业务的监督与核查，严格审查、复核相关协议、账户资料、投资指令、存款证实书等有关文件，切实履行托管职责。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应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在限期内，基金托管人有权随时对通知事项进行复查，督促基金管理人改正。基金管理人对基金托管人通知的违规事项未能在限期内纠正的，基金托管人应报告中国证监会。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基金托管人发现基金管理人的投资指令违反关法律法规规定或者违反基金合同约定的，应当拒绝执行，立即通知基金管理人。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基金托管人发现基金管理人有重大违规行为，应立即报告中国证监会，同时通知基金管理人限期纠正。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（三）基金管理人对基金托管人的业务核查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基金管理人发现基金托管人有重大违规行为，应立即报告中国证监会和银行业监督管理机构，同时通知基金托管人限期纠正。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基金托管人应积极配合基金管理人的核查行为，包括但不限于：提交相关资料以供基金管理人核查托管财产的完整性和真实性，在规定时间内答复基金管理人并改正。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（四）基金财产的保管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1、基金财产保管的原则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（1）基金财产应独立于基金管理人、基金托管人的固有财产。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（2）基金托管人应安全保管基金财产。除依据法律法规规定、基金合同和本托管协议约定及基金管理人的正当指令外，不得自行运用、处分、分配基金的任何财产。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（3）基金托管人按照规定开设基金财产的资金账户和证券账户。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（6）除依据法律法规和基金合同的规定外，基金托管人不得委托第三人托管基金资产。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2、募集资金的验资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基金募集期间募集认购款项应存于基金认购专用账户，该账户由基金管理人或基金管理人委托的登记机构开立并管理。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若基金募集期限届满，未能达到基金备案条件，由基金管理人按规定办理退款事宜，基金托管人应提供充分协助。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3、基金的银行账户的开立和管理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（1）基金托管人以本基金的名义在其营业机构开立基金的银行账户，并根据基金管理人合法合规的指令办理资金收付。本基金的银行预留印鉴由基金托管人刻制、保管和使用。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（2）基金银行账户的开立和使用，限于满足开展本基金业务的需要。基金托管人和基金管理人不得假借本基金的名义开立任何其他银行账户；亦不得使用本基金的任何账户进行本基金业务以外的活动。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（3）基金银行账户的开立和管理应符合有关法律法规以及银行业监督管理机构的有关规定。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4、基金证券账户与证券交易资金账户的开设和管理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5、债券托管账户的开立和管理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（2）基金管理人和基金托管人应一起负责为本基金对外签订全国银行间国债市场回购主协议，正本由基金托管人保管，基金管理人保存副本。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6、其他账户的开设和管理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7、基金财产投资的有关实物证券、银行定期存款存单等有价凭证的保管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8、与基金财产有关的重大合同的保管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（五）基金资产净值的计算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负债后的价值。各类基金份额的基金份额净值是指每个工作日闭市后，该类基金份额的基金资产净值除以当日该类基金份额的数值。基金份额净值的计算保留到小数点后3位，小数点后第4位四舍五入，由此产生的误差计入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（六）基金份额持有人名册的保管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基金管理人和基金托管人须分别妥善保管的基金份额持有人名册，基金份额持有人名册的内容必须包括基金份额持有人的名称和持有的基金份额。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若基金管理人或基金托管人由于自身原因无法妥善保管基金份额持有人名册，应按有关法规规定各自承担相应的责任。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相关各方当事人同意，因本协议而产生的或与本协议有关的一切争议，除经友好协商可以解决的，应提交中国国际经济贸易仲裁委员会根据该会当时有效的仲裁规则进行仲裁，仲裁的地点为北京，仲裁裁决是终局性的并对相关各方均有约束力，仲裁费用、律师费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争议处理期间，相关各方当事人应恪守基金管理人和基金托管人职责，继续忠实、勤勉、尽责地履行基金合同和托管协议规定的义务，维护基金份额持有人的合法权益。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本协议受中国法律管辖。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（八）托管协议的修改与终止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1、托管协议的变更程序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本协议双方当事人经协商一致，可以对协议的内容进行变更。变更后的托管协议，其内容不得与基金合同的规定有任何冲突。本托管协议的变更报中国证监会备案后生效。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2、基金托管协议终止出现的情形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（2）基金托管人解散、依法被撤销、破产或由其他基金托管人接管基金资产；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（3）基金管理人解散、依法被撤销、破产或由其他基金管理人接管基金管理权；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（4）发生法律法规或基金合同规定的终止事项。</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171611434"/>
      <w:r>
        <w:rPr>
          <w:rFonts w:ascii="Times New Roman" w:hAnsi="Times New Roman"/>
          <w:sz w:val="30"/>
        </w:rPr>
        <w:t>二十三、对基金份额持有人的服务</w:t>
      </w:r>
      <w:bookmarkEnd w:id="2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（一）持有人交易资料的寄送服务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每次交易结束后，投资者可在T+2个工作日后到交易网点进行确认单的查询和打印，或通过交易网点提供的自助、电话、网上服务手段查询。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（二）网上直销服务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本公司暂不开展网上直销本基金B类基金份额的认/申购业务，通过转托管转入网上直销账户的本基金B类基金份额只能办理赎回业务。通过网上直销交易平台办理本基金A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（三）信息咨询、查询服务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投资人可以拨打本基金管理人客户服务电话投诉直销机构的人员和服务。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（四）基金转换业务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本基金已开通转换业务，具体实施方法请参见相关公告。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本基金已开通定期定额投资计划，具体实施方法请参见相关公告。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服务联系方式：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本基金管理人的互联网地址及电子信箱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电子信箱：services@jysld.com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投资者也可登录本基金管理人网站，直接提出有关本基金的问题和建议。</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（六）如本招募说明书存在任何您/贵机构无法理解的内容，请通过上述方式联系基金管理人。请确保投资前，您/贵机构已经全面理解了本招募说明书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171611435"/>
      <w:r>
        <w:rPr>
          <w:rFonts w:ascii="Times New Roman" w:hAnsi="Times New Roman"/>
          <w:sz w:val="30"/>
        </w:rPr>
        <w:t>二十四、其他应披露事项</w:t>
      </w:r>
      <w:bookmarkEnd w:id="2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基金合同如有未尽事宜，由基金合同当事人各方按有关法律法规协商解决。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本招募说明书更新期间基金披露的其他重要事项</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交银施罗德强化回报债券型证券投资基金(更新)招募说明书(2023年第3号)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交银施罗德强化回报债券型证券投资基金（AB类份额）基金产品资料概要更新(2023年第3号)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交银施罗德强化回报债券型证券投资基金（C类份额）基金产品资料概要更新(2023年第3号)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2023-07-14</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交银施罗德强化回报债券型证券投资基金2023年第2季度报告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交银施罗德强化回报债券型证券投资基金2023年中期报告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交银施罗德强化回报债券型证券投资基金2023年第3季度报告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交银施罗德强化回报债券型证券投资基金2023年第4季度报告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交银施罗德强化回报债券型证券投资基金2023年年度报告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交银施罗德强化回报债券型证券投资基金2024年第1季度报告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171611436"/>
      <w:r>
        <w:rPr>
          <w:rFonts w:ascii="Times New Roman" w:hAnsi="Times New Roman"/>
          <w:sz w:val="30"/>
        </w:rPr>
        <w:t>二十五、招募说明书的存放及查阅方式</w:t>
      </w:r>
      <w:bookmarkEnd w:id="2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8" w:name="_Toc171611437"/>
      <w:r>
        <w:rPr>
          <w:rFonts w:ascii="Times New Roman" w:hAnsi="Times New Roman"/>
          <w:sz w:val="30"/>
        </w:rPr>
        <w:t>二十六、备查文件</w:t>
      </w:r>
      <w:bookmarkEnd w:id="2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以下备查文件存放在基金管理人的办公场所，在办公时间可供免费查阅。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（一）中国证监会准予交银施罗德强化回报债券型证券投资基金募集注册的文件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（二）《交银施罗德强化回报债券型证券投资基金基金合同》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（三）《交银施罗德强化回报债券型证券投资基金托管协议》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（五）基金托管人业务资格批件、营业执照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（六）关于申请募集注册交银施罗德强化回报债券型证券投资基金之法律意见书</w:t>
      </w:r>
    </w:p>
    <w:sectPr>
      <w:footerReference r:id="rId10"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w:pict>
        <v:shape id="_x0000_s4099" o:spid="_x0000_s4099" o:spt="202" type="#_x0000_t202" style="position:absolute;left:0pt;margin-left:293.4pt;margin-top:782.6pt;height:11pt;width:21.6pt;mso-position-horizontal-relative:page;mso-position-vertical-relative:page;z-index:-251656192;mso-width-relative:page;mso-height-relative:page;" filled="f" stroked="f" coordsize="21600,21600" o:allowincell="f">
          <v:path/>
          <v:fill on="f" focussize="0,0"/>
          <v:stroke on="f" joinstyle="miter"/>
          <v:imagedata o:title=""/>
          <o:lock v:ext="edit"/>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3</w:t>
                </w:r>
                <w:r>
                  <w:rPr>
                    <w:rFonts w:ascii="Times New Roman" w:hAnsi="Times New Roman"/>
                    <w:kern w:val="0"/>
                    <w:sz w:val="1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w:pict>
        <v:shape id="_x0000_s4101" o:spid="_x0000_s4101" o:spt="202" type="#_x0000_t202" style="position:absolute;left:0pt;margin-left:291.25pt;margin-top:773.85pt;height:11pt;width:33.5pt;mso-position-horizontal-relative:page;mso-position-vertical-relative:page;z-index:-251656192;mso-width-relative:page;mso-height-relative:page;" filled="f" stroked="f" coordsize="21600,21600" o:allowincell="f">
          <v:path/>
          <v:fill on="f" focussize="0,0"/>
          <v:stroke on="f" joinstyle="miter"/>
          <v:imagedata o:title=""/>
          <o:lock v:ext="edit"/>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135</w:t>
                </w:r>
                <w:r>
                  <w:rPr>
                    <w:rFonts w:ascii="Times New Roman" w:hAnsi="Times New Roman"/>
                    <w:kern w:val="0"/>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图片 3" o:spid="_x0000_s4098" o:spt="75" alt="logo1" type="#_x0000_t75" style="position:absolute;left:0pt;margin-left:1.5pt;margin-top:-12pt;height:18.75pt;width:135pt;z-index:251659264;mso-width-relative:page;mso-height-relative:page;" filled="f" o:preferrelative="t" stroked="f" coordsize="21600,21600">
          <v:path/>
          <v:fill on="f" focussize="0,0"/>
          <v:stroke on="f" joinstyle="miter"/>
          <v:imagedata r:id="rId1" o:title="logo1"/>
          <o:lock v:ext="edit" aspectratio="t"/>
        </v:shape>
      </w:pict>
    </w:r>
  </w:p>
  <w:p>
    <w:pPr>
      <w:pStyle w:val="9"/>
      <w:jc w:val="right"/>
      <w:rPr>
        <w:rFonts w:ascii="宋体" w:hAnsi="宋体"/>
      </w:rPr>
    </w:pPr>
    <w:r>
      <w:rPr>
        <w:rFonts w:hint="eastAsia" w:ascii="宋体" w:hAnsi="宋体"/>
      </w:rPr>
      <w:t>交银施罗德强化回报债券型证券投资基金招募说明书更新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pict>
        <v:shape id="图片 1" o:spid="_x0000_s4097" o:spt="75" alt="logo1" type="#_x0000_t75" style="position:absolute;left:0pt;margin-left:1.5pt;margin-top:-12pt;height:18.75pt;width:135pt;z-index:251659264;mso-width-relative:page;mso-height-relative:page;" filled="f" o:preferrelative="t" stroked="f" coordsize="21600,21600">
          <v:path/>
          <v:fill on="f" focussize="0,0"/>
          <v:stroke on="f" joinstyle="miter"/>
          <v:imagedata r:id="rId1" o:title="logo1"/>
          <o:lock v:ext="edit" aspectratio="t"/>
        </v:shape>
      </w:pict>
    </w:r>
  </w:p>
  <w:p>
    <w:pPr>
      <w:pStyle w:val="9"/>
      <w:jc w:val="right"/>
      <w:rPr>
        <w:rFonts w:ascii="宋体" w:hAnsi="宋体"/>
      </w:rPr>
    </w:pPr>
    <w:r>
      <w:rPr>
        <w:rFonts w:hint="eastAsia" w:ascii="宋体" w:hAnsi="宋体"/>
      </w:rPr>
      <w:t>交银施罗德强化回报债券型证券投资基金招募说明书更新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pict>
        <v:shape id="图片 4" o:spid="_x0000_s4100" o:spt="75" alt="logo1" type="#_x0000_t75" style="position:absolute;left:0pt;margin-left:1.5pt;margin-top:-12pt;height:18.75pt;width:135pt;z-index:251659264;mso-width-relative:page;mso-height-relative:page;" filled="f" o:preferrelative="t" stroked="f" coordsize="21600,21600">
          <v:path/>
          <v:fill on="f" focussize="0,0"/>
          <v:stroke on="f" joinstyle="miter"/>
          <v:imagedata r:id="rId1" o:title="logo1"/>
          <o:lock v:ext="edit" aspectratio="t"/>
        </v:shape>
      </w:pict>
    </w:r>
  </w:p>
  <w:p>
    <w:pPr>
      <w:pStyle w:val="9"/>
      <w:jc w:val="right"/>
      <w:rPr>
        <w:rFonts w:ascii="宋体" w:hAnsi="宋体"/>
      </w:rPr>
    </w:pPr>
    <w:r>
      <w:rPr>
        <w:rFonts w:hint="eastAsia" w:ascii="宋体" w:hAnsi="宋体"/>
      </w:rPr>
      <w:t>交银施罗德强化回报债券型证券投资基金招募说明书更新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NotTrackMove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hdrShapeDefaults>
    <o:shapelayout v:ext="edit">
      <o:idmap v:ext="edit" data="3,4"/>
    </o:shapelayout>
  </w:hdrShapeDefault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0C9"/>
    <w:rsid w:val="000002A2"/>
    <w:rsid w:val="00001EEA"/>
    <w:rsid w:val="00003EC9"/>
    <w:rsid w:val="0000560A"/>
    <w:rsid w:val="0001266E"/>
    <w:rsid w:val="00026A29"/>
    <w:rsid w:val="00026D00"/>
    <w:rsid w:val="00027C73"/>
    <w:rsid w:val="00030964"/>
    <w:rsid w:val="00030A40"/>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26378"/>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AA"/>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06EED"/>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320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BFB"/>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21DD8"/>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15BB"/>
    <w:rsid w:val="00FC2EC6"/>
    <w:rsid w:val="00FC339A"/>
    <w:rsid w:val="00FC36E0"/>
    <w:rsid w:val="00FC546F"/>
    <w:rsid w:val="00FC6F5E"/>
    <w:rsid w:val="00FC711A"/>
    <w:rsid w:val="00FC7D31"/>
    <w:rsid w:val="00FD13AC"/>
    <w:rsid w:val="00FD2D28"/>
    <w:rsid w:val="00FD6BFE"/>
    <w:rsid w:val="00FE3FF3"/>
    <w:rsid w:val="00FE6D8B"/>
    <w:rsid w:val="00FF459F"/>
    <w:rsid w:val="00FF4D4F"/>
    <w:rsid w:val="154739DF"/>
    <w:rsid w:val="18551F16"/>
    <w:rsid w:val="19660320"/>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sz w:val="18"/>
      <w:szCs w:val="18"/>
    </w:rPr>
  </w:style>
  <w:style w:type="paragraph" w:styleId="6">
    <w:name w:val="annotation text"/>
    <w:basedOn w:val="1"/>
    <w:link w:val="31"/>
    <w:unhideWhenUsed/>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36"/>
    <w:unhideWhenUsed/>
    <w:qFormat/>
    <w:uiPriority w:val="99"/>
    <w:pPr>
      <w:tabs>
        <w:tab w:val="center" w:pos="4153"/>
        <w:tab w:val="right" w:pos="8306"/>
      </w:tabs>
      <w:snapToGrid w:val="0"/>
      <w:jc w:val="left"/>
    </w:pPr>
    <w:rPr>
      <w:kern w:val="0"/>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ind w:left="480" w:leftChars="200"/>
    </w:pPr>
  </w:style>
  <w:style w:type="paragraph" w:styleId="13">
    <w:name w:val="annotation subject"/>
    <w:basedOn w:val="6"/>
    <w:next w:val="6"/>
    <w:link w:val="32"/>
    <w:unhideWhenUsed/>
    <w:qFormat/>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qFormat/>
    <w:uiPriority w:val="0"/>
    <w:rPr>
      <w:rFonts w:ascii="Cambria" w:hAnsi="Cambria"/>
      <w:b/>
      <w:kern w:val="28"/>
      <w:sz w:val="24"/>
      <w:szCs w:val="32"/>
    </w:rPr>
  </w:style>
  <w:style w:type="character" w:customStyle="1" w:styleId="30">
    <w:name w:val="txtcontent11"/>
    <w:qFormat/>
    <w:uiPriority w:val="0"/>
    <w:rPr>
      <w:rFonts w:hint="default" w:ascii="ˎ̥" w:hAnsi="ˎ̥"/>
      <w:color w:val="000000"/>
      <w:sz w:val="21"/>
      <w:szCs w:val="21"/>
    </w:rPr>
  </w:style>
  <w:style w:type="character" w:customStyle="1" w:styleId="31">
    <w:name w:val="批注文字 字符"/>
    <w:link w:val="6"/>
    <w:qFormat/>
    <w:uiPriority w:val="0"/>
    <w:rPr>
      <w:kern w:val="2"/>
      <w:sz w:val="21"/>
      <w:szCs w:val="22"/>
    </w:rPr>
  </w:style>
  <w:style w:type="character" w:customStyle="1" w:styleId="32">
    <w:name w:val="批注主题 字符"/>
    <w:link w:val="13"/>
    <w:semiHidden/>
    <w:qFormat/>
    <w:uiPriority w:val="99"/>
    <w:rPr>
      <w:b/>
      <w:bCs/>
      <w:kern w:val="2"/>
      <w:sz w:val="21"/>
      <w:szCs w:val="22"/>
    </w:rPr>
  </w:style>
  <w:style w:type="character" w:customStyle="1" w:styleId="33">
    <w:name w:val="页眉 字符"/>
    <w:link w:val="9"/>
    <w:qFormat/>
    <w:uiPriority w:val="99"/>
    <w:rPr>
      <w:sz w:val="18"/>
      <w:szCs w:val="18"/>
    </w:rPr>
  </w:style>
  <w:style w:type="character" w:customStyle="1" w:styleId="34">
    <w:name w:val="副标题 字符"/>
    <w:link w:val="11"/>
    <w:qFormat/>
    <w:uiPriority w:val="0"/>
    <w:rPr>
      <w:rFonts w:ascii="Cambria" w:hAnsi="Cambria" w:cs="Times New Roman"/>
      <w:b/>
      <w:bCs/>
      <w:kern w:val="28"/>
      <w:sz w:val="32"/>
      <w:szCs w:val="32"/>
    </w:rPr>
  </w:style>
  <w:style w:type="character" w:customStyle="1" w:styleId="35">
    <w:name w:val="文档结构图 字符"/>
    <w:link w:val="5"/>
    <w:semiHidden/>
    <w:qFormat/>
    <w:uiPriority w:val="99"/>
    <w:rPr>
      <w:rFonts w:ascii="宋体"/>
      <w:kern w:val="2"/>
      <w:sz w:val="18"/>
      <w:szCs w:val="18"/>
    </w:rPr>
  </w:style>
  <w:style w:type="character" w:customStyle="1" w:styleId="36">
    <w:name w:val="页脚 字符"/>
    <w:link w:val="8"/>
    <w:qFormat/>
    <w:uiPriority w:val="99"/>
    <w:rPr>
      <w:sz w:val="18"/>
      <w:szCs w:val="18"/>
    </w:rPr>
  </w:style>
  <w:style w:type="character" w:customStyle="1" w:styleId="37">
    <w:name w:val="标题 2 字符"/>
    <w:link w:val="3"/>
    <w:semiHidden/>
    <w:qFormat/>
    <w:uiPriority w:val="9"/>
    <w:rPr>
      <w:rFonts w:ascii="Cambria" w:hAnsi="Cambria" w:eastAsia="宋体" w:cs="Times New Roman"/>
      <w:b/>
      <w:bCs/>
      <w:kern w:val="2"/>
      <w:sz w:val="32"/>
      <w:szCs w:val="32"/>
    </w:rPr>
  </w:style>
  <w:style w:type="character" w:customStyle="1" w:styleId="38">
    <w:name w:val="标题 4 字符"/>
    <w:link w:val="4"/>
    <w:semiHidden/>
    <w:qFormat/>
    <w:uiPriority w:val="9"/>
    <w:rPr>
      <w:rFonts w:ascii="Cambria" w:hAnsi="Cambria" w:eastAsia="宋体" w:cs="Times New Roman"/>
      <w:b/>
      <w:bCs/>
      <w:kern w:val="2"/>
      <w:sz w:val="28"/>
      <w:szCs w:val="28"/>
    </w:rPr>
  </w:style>
  <w:style w:type="character" w:customStyle="1" w:styleId="39">
    <w:name w:val="标题 1 字符"/>
    <w:link w:val="2"/>
    <w:qFormat/>
    <w:uiPriority w:val="9"/>
    <w:rPr>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153</Pages>
  <Words>16161</Words>
  <Characters>92118</Characters>
  <Lines>767</Lines>
  <Paragraphs>216</Paragraphs>
  <TotalTime>145</TotalTime>
  <ScaleCrop>false</ScaleCrop>
  <LinksUpToDate>false</LinksUpToDate>
  <CharactersWithSpaces>108063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2024-07-11T09:29:00Z</dcterms:created>
  <dc:creator>系统用户</dc:creator>
  <cp:lastModifiedBy>喻秋燕</cp:lastModifiedBy>
  <cp:lastPrinted>2013-02-18T03:10:00Z</cp:lastPrinted>
  <dcterms:modified xsi:type="dcterms:W3CDTF">2025-01-23T05:57:12Z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C1F51E0B511E4EDEB550B92505965C64</vt:lpwstr>
  </property>
</Properties>
</file>