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交银施罗德双轮动债券型证券投资基金（AB类份额）</w:t>
      </w:r>
    </w:p>
    <w:p w14:paraId="5A65B65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14EFBC5B"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2024-</w:t>
      </w:r>
      <w:r w:rsidR="006C598D">
        <w:rPr>
          <w:rFonts w:ascii="仿宋_GB2312" w:eastAsia="仿宋_GB2312" w:hAnsi="宋体" w:cs="宋体"/>
          <w:kern w:val="0"/>
          <w:szCs w:val="21"/>
        </w:rPr>
        <w:t>12</w:t>
      </w:r>
      <w:r w:rsidR="006A53E7" w:rsidRPr="00335FE8">
        <w:rPr>
          <w:rFonts w:ascii="仿宋_GB2312" w:eastAsia="仿宋_GB2312" w:hAnsi="宋体" w:cs="宋体" w:hint="eastAsia"/>
          <w:kern w:val="0"/>
          <w:szCs w:val="21"/>
        </w:rPr>
        <w:t>-</w:t>
      </w:r>
      <w:r w:rsidR="006C598D">
        <w:rPr>
          <w:rFonts w:ascii="仿宋_GB2312" w:eastAsia="仿宋_GB2312" w:hAnsi="宋体" w:cs="宋体"/>
          <w:kern w:val="0"/>
          <w:szCs w:val="21"/>
        </w:rPr>
        <w:t>27</w:t>
      </w:r>
    </w:p>
    <w:p w14:paraId="7D15B036" w14:textId="6FA2D8AB" w:rsidR="00264C81" w:rsidRDefault="00DC1114"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Pr="00DA7C34">
        <w:rPr>
          <w:rFonts w:ascii="Times New Roman" w:hAnsi="Times New Roman" w:cs="Times New Roman"/>
        </w:rPr>
        <w:t>2024-</w:t>
      </w:r>
      <w:r w:rsidR="006C598D">
        <w:rPr>
          <w:rFonts w:ascii="Times New Roman" w:hAnsi="Times New Roman" w:cs="Times New Roman"/>
        </w:rPr>
        <w:t>12</w:t>
      </w:r>
      <w:r w:rsidRPr="00DA7C34">
        <w:rPr>
          <w:rFonts w:ascii="Times New Roman" w:hAnsi="Times New Roman" w:cs="Times New Roman"/>
        </w:rPr>
        <w:t>-</w:t>
      </w:r>
      <w:r w:rsidR="006C598D">
        <w:rPr>
          <w:rFonts w:ascii="Times New Roman" w:hAnsi="Times New Roman" w:cs="Times New Roman"/>
        </w:rPr>
        <w:t>30</w:t>
      </w:r>
      <w:r w:rsidR="006C598D">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交银双轮动债券A/B</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519723</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中信银行股份有限公司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2013-04-18</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唐赟</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2015-08-04</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2010-07-05</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DC1114" w:rsidP="006A53E7">
            <w:pPr>
              <w:ind w:firstLine="420"/>
              <w:jc w:val="left"/>
              <w:rPr>
                <w:rFonts w:ascii="仿宋_GB2312" w:eastAsia="仿宋_GB2312"/>
                <w:szCs w:val="21"/>
              </w:rPr>
            </w:pPr>
            <w:r>
              <w:rPr>
                <w:rFonts w:ascii="仿宋_GB2312" w:eastAsia="仿宋_GB2312"/>
                <w:szCs w:val="21"/>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tc>
      </w:tr>
    </w:tbl>
    <w:p w14:paraId="5568E65E" w14:textId="4E23C725" w:rsidR="006A53E7" w:rsidRPr="00335FE8" w:rsidRDefault="00D373CC" w:rsidP="006A53E7">
      <w:pPr>
        <w:jc w:val="left"/>
        <w:rPr>
          <w:rFonts w:ascii="仿宋_GB2312" w:eastAsia="仿宋_GB2312"/>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519723（A类份额），519724（B类份额）</w:t>
      </w:r>
    </w:p>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本基金在严格控制投资风险的基础上，通过积极主动的投资管理，把握债券市场轮动带来的机会，力争实现基金资产长期稳健的增值。</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0B103E1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30个交易日内卖出。同时本基金不参与可转换债券投资(分离交易可转债除外)。</w:t>
            </w:r>
          </w:p>
          <w:p w14:paraId="092B753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633D806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基金的投资组合比例为：固定收益类资产的比例不低于基金资产净值的80%；现金或到期日在一年以内的政府债券的比例合计不低于基金资产净值的5%，其中现金不包括结算备付金、存出保证金、应收申购款等。</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主要投资策略</w:t>
            </w:r>
          </w:p>
        </w:tc>
        <w:tc>
          <w:tcPr>
            <w:tcW w:w="6525" w:type="dxa"/>
            <w:vAlign w:val="center"/>
          </w:tcPr>
          <w:p w14:paraId="4974923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w:t>
            </w:r>
            <w:r w:rsidRPr="00335FE8">
              <w:rPr>
                <w:rFonts w:ascii="仿宋_GB2312" w:eastAsia="仿宋_GB2312" w:hint="eastAsia"/>
                <w:szCs w:val="21"/>
              </w:rPr>
              <w:lastRenderedPageBreak/>
              <w:t>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p w14:paraId="181A1FC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1、大类资产配置；2、债券投资策略。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业绩比较基准</w:t>
            </w:r>
          </w:p>
        </w:tc>
        <w:tc>
          <w:tcPr>
            <w:tcW w:w="6525" w:type="dxa"/>
            <w:vAlign w:val="center"/>
          </w:tcPr>
          <w:p w14:paraId="3D42AA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中债综合全价指数</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4191F9B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属于证券投资基金中中等风险的品种，其长期平均的预期收益和预期风险高于货币市场基金，低于混合型基金和股票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详见《交银施罗德双轮动债券型证券投资基金招募说明书》第十部分“基金的投资”。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1D4218"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49.75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04E06495" w14:textId="77777777" w:rsidR="00D373CC" w:rsidRPr="00335FE8" w:rsidRDefault="001D4218" w:rsidP="00D373CC">
      <w:pPr>
        <w:jc w:val="center"/>
        <w:rPr>
          <w:rFonts w:ascii="仿宋_GB2312" w:eastAsia="仿宋_GB2312"/>
          <w:b/>
          <w:szCs w:val="21"/>
        </w:rPr>
      </w:pPr>
      <w:r>
        <w:rPr>
          <w:rFonts w:ascii="宋体" w:hAnsi="宋体"/>
          <w:kern w:val="0"/>
        </w:rPr>
        <w:pict w14:anchorId="54FA80B1">
          <v:shape id="_x0000_i1026" type="#_x0000_t75" style="width:500.25pt;height:159.75pt">
            <v:imagedata r:id="rId8" o:title="1521256610242020828"/>
          </v:shape>
        </w:pict>
      </w:r>
    </w:p>
    <w:p w14:paraId="76B31C0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5047A697"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2、本基金合同于2013年4月18日生效，合同生效当年净值增长率按实际存续期计算。</w:t>
      </w:r>
    </w:p>
    <w:p w14:paraId="67CECB8A"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0363616D" w14:textId="77777777" w:rsidR="00F811C4" w:rsidRPr="00335FE8" w:rsidRDefault="00F811C4" w:rsidP="00F811C4">
      <w:pPr>
        <w:ind w:left="420" w:firstLineChars="200" w:firstLine="420"/>
        <w:jc w:val="left"/>
        <w:rPr>
          <w:rFonts w:ascii="仿宋_GB2312" w:eastAsia="仿宋_GB2312"/>
          <w:szCs w:val="21"/>
        </w:rPr>
      </w:pP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2126"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A类份额</w:t>
            </w:r>
          </w:p>
        </w:tc>
      </w:tr>
      <w:tr w:rsidR="009C0C41" w:rsidRPr="00335FE8" w14:paraId="4E2001A6" w14:textId="77777777" w:rsidTr="009C0C41">
        <w:trPr>
          <w:jc w:val="center"/>
        </w:trPr>
        <w:tc>
          <w:tcPr>
            <w:tcW w:w="30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126" w:type="dxa"/>
            <w:vAlign w:val="center"/>
          </w:tcPr>
          <w:p w14:paraId="169D427B"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A类份额</w:t>
            </w:r>
          </w:p>
        </w:tc>
      </w:tr>
      <w:tr w:rsidR="009C0C41" w:rsidRPr="00335FE8" w14:paraId="2D293D16" w14:textId="77777777" w:rsidTr="009C0C41">
        <w:trPr>
          <w:jc w:val="center"/>
        </w:trPr>
        <w:tc>
          <w:tcPr>
            <w:tcW w:w="3000" w:type="dxa"/>
            <w:vMerge/>
            <w:vAlign w:val="center"/>
          </w:tcPr>
          <w:p w14:paraId="2A0C1EC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2E05BE0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843" w:type="dxa"/>
            <w:vAlign w:val="center"/>
          </w:tcPr>
          <w:p w14:paraId="2D58683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2126" w:type="dxa"/>
            <w:vAlign w:val="center"/>
          </w:tcPr>
          <w:p w14:paraId="33A3C780"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A类份额</w:t>
            </w:r>
          </w:p>
        </w:tc>
      </w:tr>
      <w:tr w:rsidR="009C0C41" w:rsidRPr="00335FE8" w14:paraId="4350617C" w14:textId="77777777" w:rsidTr="009C0C41">
        <w:trPr>
          <w:jc w:val="center"/>
        </w:trPr>
        <w:tc>
          <w:tcPr>
            <w:tcW w:w="3000" w:type="dxa"/>
            <w:vMerge/>
            <w:vAlign w:val="center"/>
          </w:tcPr>
          <w:p w14:paraId="221948B0"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3F065DA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843" w:type="dxa"/>
            <w:vAlign w:val="center"/>
          </w:tcPr>
          <w:p w14:paraId="7243C81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0.3%</w:t>
            </w:r>
          </w:p>
        </w:tc>
        <w:tc>
          <w:tcPr>
            <w:tcW w:w="2126" w:type="dxa"/>
            <w:vAlign w:val="center"/>
          </w:tcPr>
          <w:p w14:paraId="2D5F7D2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A类份额</w:t>
            </w:r>
          </w:p>
        </w:tc>
      </w:tr>
      <w:tr w:rsidR="009C0C41" w:rsidRPr="00335FE8" w14:paraId="4DDABB66" w14:textId="77777777" w:rsidTr="009C0C41">
        <w:trPr>
          <w:jc w:val="center"/>
        </w:trPr>
        <w:tc>
          <w:tcPr>
            <w:tcW w:w="3000" w:type="dxa"/>
            <w:vMerge/>
            <w:vAlign w:val="center"/>
          </w:tcPr>
          <w:p w14:paraId="7DB8AD9B"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30E9122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843" w:type="dxa"/>
            <w:vAlign w:val="center"/>
          </w:tcPr>
          <w:p w14:paraId="786A9CA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126" w:type="dxa"/>
            <w:vAlign w:val="center"/>
          </w:tcPr>
          <w:p w14:paraId="2D090392"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int="eastAsia"/>
                <w:szCs w:val="21"/>
              </w:rPr>
              <w:t>A类份额</w:t>
            </w:r>
          </w:p>
        </w:tc>
      </w:tr>
      <w:tr w:rsidR="009C0C41" w:rsidRPr="00335FE8" w14:paraId="13291674" w14:textId="77777777" w:rsidTr="009C0C41">
        <w:trPr>
          <w:jc w:val="center"/>
        </w:trPr>
        <w:tc>
          <w:tcPr>
            <w:tcW w:w="2930" w:type="dxa"/>
            <w:vMerge w:val="restart"/>
            <w:vAlign w:val="center"/>
          </w:tcPr>
          <w:p w14:paraId="5B541D35"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申购费（后收费）</w:t>
            </w:r>
          </w:p>
        </w:tc>
        <w:tc>
          <w:tcPr>
            <w:tcW w:w="2409" w:type="dxa"/>
          </w:tcPr>
          <w:p w14:paraId="44F15C5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N≤1年</w:t>
            </w:r>
          </w:p>
        </w:tc>
        <w:tc>
          <w:tcPr>
            <w:tcW w:w="1843" w:type="dxa"/>
            <w:vAlign w:val="center"/>
          </w:tcPr>
          <w:p w14:paraId="7A70202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w:t>
            </w:r>
          </w:p>
        </w:tc>
        <w:tc>
          <w:tcPr>
            <w:tcW w:w="1843" w:type="dxa"/>
            <w:vAlign w:val="center"/>
          </w:tcPr>
          <w:p w14:paraId="3A8ECBB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B类份额</w:t>
            </w:r>
          </w:p>
        </w:tc>
      </w:tr>
      <w:tr w:rsidR="009C0C41" w:rsidRPr="00335FE8" w14:paraId="4D6DE82F" w14:textId="77777777" w:rsidTr="009C0C41">
        <w:trPr>
          <w:jc w:val="center"/>
        </w:trPr>
        <w:tc>
          <w:tcPr>
            <w:tcW w:w="2930" w:type="dxa"/>
            <w:vMerge/>
            <w:vAlign w:val="center"/>
          </w:tcPr>
          <w:p w14:paraId="2A4F08C1"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350F98D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1年＜N≤3年</w:t>
            </w:r>
          </w:p>
        </w:tc>
        <w:tc>
          <w:tcPr>
            <w:tcW w:w="1843" w:type="dxa"/>
            <w:vAlign w:val="center"/>
          </w:tcPr>
          <w:p w14:paraId="32669FC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1843" w:type="dxa"/>
            <w:vAlign w:val="center"/>
          </w:tcPr>
          <w:p w14:paraId="260CA04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B类份额</w:t>
            </w:r>
          </w:p>
        </w:tc>
      </w:tr>
      <w:tr w:rsidR="009C0C41" w:rsidRPr="00335FE8" w14:paraId="372EC7C3" w14:textId="77777777" w:rsidTr="009C0C41">
        <w:trPr>
          <w:jc w:val="center"/>
        </w:trPr>
        <w:tc>
          <w:tcPr>
            <w:tcW w:w="2930" w:type="dxa"/>
            <w:vMerge/>
            <w:vAlign w:val="center"/>
          </w:tcPr>
          <w:p w14:paraId="0C7140D9"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6FD17C4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3年＜N≤5年</w:t>
            </w:r>
          </w:p>
        </w:tc>
        <w:tc>
          <w:tcPr>
            <w:tcW w:w="1843" w:type="dxa"/>
            <w:vAlign w:val="center"/>
          </w:tcPr>
          <w:p w14:paraId="5299998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0.4%</w:t>
            </w:r>
          </w:p>
        </w:tc>
        <w:tc>
          <w:tcPr>
            <w:tcW w:w="1843" w:type="dxa"/>
            <w:vAlign w:val="center"/>
          </w:tcPr>
          <w:p w14:paraId="69A3422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B类份额</w:t>
            </w:r>
          </w:p>
        </w:tc>
      </w:tr>
      <w:tr w:rsidR="009C0C41" w:rsidRPr="00335FE8" w14:paraId="6911698C" w14:textId="77777777" w:rsidTr="009C0C41">
        <w:trPr>
          <w:jc w:val="center"/>
        </w:trPr>
        <w:tc>
          <w:tcPr>
            <w:tcW w:w="2930" w:type="dxa"/>
            <w:vMerge/>
            <w:vAlign w:val="center"/>
          </w:tcPr>
          <w:p w14:paraId="18B250A5"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0BCC846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5年＜N</w:t>
            </w:r>
          </w:p>
        </w:tc>
        <w:tc>
          <w:tcPr>
            <w:tcW w:w="1843" w:type="dxa"/>
            <w:vAlign w:val="center"/>
          </w:tcPr>
          <w:p w14:paraId="3FFF978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4B647CB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B类份额</w:t>
            </w:r>
          </w:p>
        </w:tc>
      </w:tr>
      <w:tr w:rsidR="009C0C41" w:rsidRPr="00335FE8" w14:paraId="4C6A67EA" w14:textId="77777777" w:rsidTr="009C0C41">
        <w:trPr>
          <w:jc w:val="center"/>
        </w:trPr>
        <w:tc>
          <w:tcPr>
            <w:tcW w:w="2930" w:type="dxa"/>
            <w:vMerge w:val="restart"/>
            <w:vAlign w:val="center"/>
          </w:tcPr>
          <w:p w14:paraId="5C0AFD5E"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2CA6F35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1BD3061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099C4E09" w14:textId="77777777" w:rsidR="009C0C41" w:rsidRPr="00335FE8" w:rsidRDefault="009C0C41" w:rsidP="00D373CC">
            <w:pPr>
              <w:rPr>
                <w:rFonts w:ascii="仿宋_GB2312" w:eastAsia="仿宋_GB2312"/>
                <w:szCs w:val="21"/>
              </w:rPr>
            </w:pPr>
          </w:p>
        </w:tc>
      </w:tr>
      <w:tr w:rsidR="009C0C41" w:rsidRPr="00335FE8" w14:paraId="5CBFB7E0" w14:textId="77777777" w:rsidTr="009C0C41">
        <w:trPr>
          <w:jc w:val="center"/>
        </w:trPr>
        <w:tc>
          <w:tcPr>
            <w:tcW w:w="2930" w:type="dxa"/>
            <w:vMerge/>
            <w:vAlign w:val="center"/>
          </w:tcPr>
          <w:p w14:paraId="29216223"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00BEA24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7天≤N＜366天</w:t>
            </w:r>
          </w:p>
        </w:tc>
        <w:tc>
          <w:tcPr>
            <w:tcW w:w="1843" w:type="dxa"/>
            <w:vAlign w:val="center"/>
          </w:tcPr>
          <w:p w14:paraId="2C64FF53"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1843" w:type="dxa"/>
            <w:vAlign w:val="center"/>
          </w:tcPr>
          <w:p w14:paraId="39A3D218" w14:textId="77777777" w:rsidR="009C0C41" w:rsidRPr="00335FE8" w:rsidRDefault="009C0C41" w:rsidP="00D373CC">
            <w:pPr>
              <w:rPr>
                <w:rFonts w:ascii="仿宋_GB2312" w:eastAsia="仿宋_GB2312"/>
                <w:szCs w:val="21"/>
              </w:rPr>
            </w:pPr>
          </w:p>
        </w:tc>
      </w:tr>
      <w:tr w:rsidR="009C0C41" w:rsidRPr="00335FE8" w14:paraId="57E19F6C" w14:textId="77777777" w:rsidTr="009C0C41">
        <w:trPr>
          <w:jc w:val="center"/>
        </w:trPr>
        <w:tc>
          <w:tcPr>
            <w:tcW w:w="2930" w:type="dxa"/>
            <w:vMerge/>
            <w:vAlign w:val="center"/>
          </w:tcPr>
          <w:p w14:paraId="41FDE3BE"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4416C1E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366天≤N＜731天</w:t>
            </w:r>
          </w:p>
        </w:tc>
        <w:tc>
          <w:tcPr>
            <w:tcW w:w="1843" w:type="dxa"/>
            <w:vAlign w:val="center"/>
          </w:tcPr>
          <w:p w14:paraId="381A42A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0.05%</w:t>
            </w:r>
          </w:p>
        </w:tc>
        <w:tc>
          <w:tcPr>
            <w:tcW w:w="1843" w:type="dxa"/>
            <w:vAlign w:val="center"/>
          </w:tcPr>
          <w:p w14:paraId="627C5BFB" w14:textId="77777777" w:rsidR="009C0C41" w:rsidRPr="00335FE8" w:rsidRDefault="009C0C41" w:rsidP="00D373CC">
            <w:pPr>
              <w:rPr>
                <w:rFonts w:ascii="仿宋_GB2312" w:eastAsia="仿宋_GB2312"/>
                <w:szCs w:val="21"/>
              </w:rPr>
            </w:pPr>
          </w:p>
        </w:tc>
      </w:tr>
      <w:tr w:rsidR="009C0C41" w:rsidRPr="00335FE8" w14:paraId="5512E9B6" w14:textId="77777777" w:rsidTr="009C0C41">
        <w:trPr>
          <w:jc w:val="center"/>
        </w:trPr>
        <w:tc>
          <w:tcPr>
            <w:tcW w:w="2930" w:type="dxa"/>
            <w:vMerge/>
            <w:vAlign w:val="center"/>
          </w:tcPr>
          <w:p w14:paraId="05ADDA04"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79916E8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731天≤N</w:t>
            </w:r>
          </w:p>
        </w:tc>
        <w:tc>
          <w:tcPr>
            <w:tcW w:w="1843" w:type="dxa"/>
            <w:vAlign w:val="center"/>
          </w:tcPr>
          <w:p w14:paraId="5B49BE7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371C55C3" w14:textId="77777777" w:rsidR="009C0C41" w:rsidRPr="00335FE8" w:rsidRDefault="009C0C41" w:rsidP="00D373CC">
            <w:pPr>
              <w:rPr>
                <w:rFonts w:ascii="仿宋_GB2312" w:eastAsia="仿宋_GB2312"/>
                <w:szCs w:val="21"/>
              </w:rPr>
            </w:pPr>
          </w:p>
        </w:tc>
      </w:tr>
    </w:tbl>
    <w:p w14:paraId="519CDD15"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09DA5309"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555F10C1" w:rsidR="00D373CC" w:rsidRPr="00335FE8" w:rsidRDefault="00D373CC">
            <w:pPr>
              <w:rPr>
                <w:rFonts w:ascii="仿宋_GB2312" w:eastAsia="仿宋_GB2312"/>
                <w:szCs w:val="21"/>
              </w:rPr>
            </w:pPr>
            <w:r w:rsidRPr="00335FE8">
              <w:rPr>
                <w:rFonts w:ascii="仿宋_GB2312" w:eastAsia="仿宋_GB2312" w:hint="eastAsia"/>
                <w:szCs w:val="21"/>
              </w:rPr>
              <w:t>0.</w:t>
            </w:r>
            <w:r w:rsidR="006C598D">
              <w:rPr>
                <w:rFonts w:ascii="仿宋_GB2312" w:eastAsia="仿宋_GB2312"/>
                <w:szCs w:val="21"/>
              </w:rPr>
              <w:t>3</w:t>
            </w:r>
            <w:r w:rsidR="006C598D" w:rsidRPr="00335FE8">
              <w:rPr>
                <w:rFonts w:ascii="仿宋_GB2312" w:eastAsia="仿宋_GB2312" w:hint="eastAsia"/>
                <w:szCs w:val="21"/>
              </w:rPr>
              <w:t>0</w:t>
            </w:r>
            <w:r w:rsidRPr="00335FE8">
              <w:rPr>
                <w:rFonts w:ascii="仿宋_GB2312" w:eastAsia="仿宋_GB2312" w:hint="eastAsia"/>
                <w:szCs w:val="21"/>
              </w:rPr>
              <w:t>%</w:t>
            </w:r>
          </w:p>
        </w:tc>
        <w:tc>
          <w:tcPr>
            <w:tcW w:w="3078" w:type="dxa"/>
          </w:tcPr>
          <w:p w14:paraId="17B04309"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3B12A709" w:rsidR="00D373CC" w:rsidRPr="00335FE8" w:rsidRDefault="00D373CC">
            <w:pPr>
              <w:rPr>
                <w:rFonts w:ascii="仿宋_GB2312" w:eastAsia="仿宋_GB2312"/>
                <w:szCs w:val="21"/>
              </w:rPr>
            </w:pPr>
            <w:r w:rsidRPr="00335FE8">
              <w:rPr>
                <w:rFonts w:ascii="仿宋_GB2312" w:eastAsia="仿宋_GB2312" w:hint="eastAsia"/>
                <w:szCs w:val="21"/>
              </w:rPr>
              <w:t>0.</w:t>
            </w:r>
            <w:r w:rsidR="006C598D">
              <w:rPr>
                <w:rFonts w:ascii="仿宋_GB2312" w:eastAsia="仿宋_GB2312"/>
                <w:szCs w:val="21"/>
              </w:rPr>
              <w:t>1</w:t>
            </w:r>
            <w:r w:rsidR="006C598D" w:rsidRPr="00335FE8">
              <w:rPr>
                <w:rFonts w:ascii="仿宋_GB2312" w:eastAsia="仿宋_GB2312" w:hint="eastAsia"/>
                <w:szCs w:val="21"/>
              </w:rPr>
              <w:t>0</w:t>
            </w:r>
            <w:r w:rsidRPr="00335FE8">
              <w:rPr>
                <w:rFonts w:ascii="仿宋_GB2312" w:eastAsia="仿宋_GB2312" w:hint="eastAsia"/>
                <w:szCs w:val="21"/>
              </w:rPr>
              <w:t>%</w:t>
            </w:r>
          </w:p>
        </w:tc>
        <w:tc>
          <w:tcPr>
            <w:tcW w:w="3078" w:type="dxa"/>
          </w:tcPr>
          <w:p w14:paraId="60085DA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3BFE928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50D76568" w14:textId="77777777" w:rsidTr="009F4EAE">
        <w:trPr>
          <w:jc w:val="center"/>
        </w:trPr>
        <w:tc>
          <w:tcPr>
            <w:tcW w:w="2547" w:type="dxa"/>
          </w:tcPr>
          <w:p w14:paraId="30485FB2"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638C05E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70000.00</w:t>
            </w:r>
          </w:p>
        </w:tc>
        <w:tc>
          <w:tcPr>
            <w:tcW w:w="3078" w:type="dxa"/>
          </w:tcPr>
          <w:p w14:paraId="0DCB71B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545C9E4D" w14:textId="77777777" w:rsidTr="009F4EAE">
        <w:trPr>
          <w:jc w:val="center"/>
        </w:trPr>
        <w:tc>
          <w:tcPr>
            <w:tcW w:w="2547" w:type="dxa"/>
          </w:tcPr>
          <w:p w14:paraId="725A2962"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07F2964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007CF20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508B8DFF" w14:textId="77777777" w:rsidTr="009F4EAE">
        <w:trPr>
          <w:jc w:val="center"/>
        </w:trPr>
        <w:tc>
          <w:tcPr>
            <w:tcW w:w="2547" w:type="dxa"/>
          </w:tcPr>
          <w:p w14:paraId="0031C193"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0FDBDBE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0090DD6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7C97AA4E" w14:textId="77777777" w:rsidTr="009F4EAE">
        <w:trPr>
          <w:jc w:val="center"/>
        </w:trPr>
        <w:tc>
          <w:tcPr>
            <w:tcW w:w="3078" w:type="dxa"/>
          </w:tcPr>
          <w:p w14:paraId="14D355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0A765E5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7A0DC050"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616D6C3E"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3DDE74BE"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1089FC92" w14:textId="77777777" w:rsidTr="009F4EAE">
        <w:trPr>
          <w:jc w:val="center"/>
        </w:trPr>
        <w:tc>
          <w:tcPr>
            <w:tcW w:w="3078" w:type="dxa"/>
          </w:tcPr>
          <w:p w14:paraId="1A317E48" w14:textId="77777777" w:rsidR="00F811C4" w:rsidRPr="009F4EAE" w:rsidRDefault="00F811C4" w:rsidP="00D373CC">
            <w:pPr>
              <w:rPr>
                <w:rFonts w:ascii="仿宋_GB2312" w:eastAsia="仿宋_GB2312"/>
                <w:b/>
                <w:szCs w:val="21"/>
              </w:rPr>
            </w:pPr>
          </w:p>
        </w:tc>
        <w:tc>
          <w:tcPr>
            <w:tcW w:w="5342" w:type="dxa"/>
          </w:tcPr>
          <w:p w14:paraId="77C66127"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57332B57" w14:textId="77777777" w:rsidTr="009F4EAE">
        <w:trPr>
          <w:jc w:val="center"/>
        </w:trPr>
        <w:tc>
          <w:tcPr>
            <w:tcW w:w="3078" w:type="dxa"/>
          </w:tcPr>
          <w:p w14:paraId="18AB39FE" w14:textId="77777777" w:rsidR="00D373CC" w:rsidRPr="00335FE8" w:rsidRDefault="00D373CC" w:rsidP="00D373CC">
            <w:pPr>
              <w:rPr>
                <w:rFonts w:ascii="仿宋_GB2312" w:eastAsia="仿宋_GB2312"/>
                <w:b/>
                <w:szCs w:val="21"/>
              </w:rPr>
            </w:pPr>
          </w:p>
        </w:tc>
        <w:tc>
          <w:tcPr>
            <w:tcW w:w="3080" w:type="dxa"/>
            <w:vAlign w:val="center"/>
          </w:tcPr>
          <w:p w14:paraId="7BDC8DA7" w14:textId="559EE5D3" w:rsidR="00D373CC" w:rsidRPr="00335FE8" w:rsidRDefault="00D373CC">
            <w:pPr>
              <w:rPr>
                <w:rFonts w:ascii="仿宋_GB2312" w:eastAsia="仿宋_GB2312"/>
                <w:szCs w:val="21"/>
              </w:rPr>
            </w:pPr>
            <w:r w:rsidRPr="00335FE8">
              <w:rPr>
                <w:rFonts w:ascii="仿宋_GB2312" w:eastAsia="仿宋_GB2312" w:hint="eastAsia"/>
                <w:szCs w:val="21"/>
              </w:rPr>
              <w:t>0.</w:t>
            </w:r>
            <w:r w:rsidR="006C598D">
              <w:rPr>
                <w:rFonts w:ascii="仿宋_GB2312" w:eastAsia="仿宋_GB2312"/>
                <w:szCs w:val="21"/>
              </w:rPr>
              <w:t>4</w:t>
            </w:r>
            <w:r w:rsidR="006C598D" w:rsidRPr="00335FE8">
              <w:rPr>
                <w:rFonts w:ascii="仿宋_GB2312" w:eastAsia="仿宋_GB2312" w:hint="eastAsia"/>
                <w:szCs w:val="21"/>
              </w:rPr>
              <w:t>1</w:t>
            </w:r>
            <w:r w:rsidRPr="00335FE8">
              <w:rPr>
                <w:rFonts w:ascii="仿宋_GB2312" w:eastAsia="仿宋_GB2312" w:hint="eastAsia"/>
                <w:szCs w:val="21"/>
              </w:rPr>
              <w:t>%</w:t>
            </w:r>
          </w:p>
        </w:tc>
      </w:tr>
    </w:tbl>
    <w:p w14:paraId="61128331"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基金管理费率、托管费率、销售服务费率（若有）为基金现行费率，其他运作费用以最近一次基金年报披露的相关数据为基准测算。</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1E3FDFC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投资有风险，投资者购买基金时应认真阅读本基金的《招募说明书》等销售文件。</w:t>
      </w:r>
    </w:p>
    <w:p w14:paraId="1379454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2E63F9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4C75157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（1）政策风险、（2）经济周期风险、（3）利率风险、（4）信用风险、（5）购买力风险、（6）债券收益率曲线变动风险、（7）再投资风险、（8）经营风险</w:t>
      </w:r>
    </w:p>
    <w:p w14:paraId="42C50D9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1CA7E6E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7052CFF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3401F81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5、投资本基金特有的风险</w:t>
      </w:r>
    </w:p>
    <w:p w14:paraId="4A97B32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（1）本基金为债券型基金，固定收益类资产的比例不低于基金资产净值的80%，因投资固定收益类资产而面临的固定收益类资产市场的系统性风险和个券风险；</w:t>
      </w:r>
    </w:p>
    <w:p w14:paraId="38C15B8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CE11AE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12D1764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08B3F09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7A21A66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77FA67B4" w14:textId="77777777" w:rsidR="00F811C4" w:rsidRPr="00C90E3A" w:rsidRDefault="00F811C4" w:rsidP="00F811C4">
      <w:pPr>
        <w:ind w:firstLine="420"/>
        <w:jc w:val="left"/>
        <w:rPr>
          <w:rFonts w:ascii="仿宋_GB2312" w:eastAsia="仿宋_GB2312"/>
          <w:b/>
          <w:szCs w:val="21"/>
        </w:rPr>
      </w:pPr>
      <w:r w:rsidRPr="00C90E3A">
        <w:rPr>
          <w:rFonts w:ascii="仿宋_GB2312" w:eastAsia="仿宋_GB2312" w:hint="eastAsia"/>
          <w:b/>
          <w:szCs w:val="21"/>
        </w:rPr>
        <w:t>▲▲因基金合同而产生的或与基金合同有关的一切争议，如经友好协商未能解决的，任何一方均有权将争议提交中国国际经济贸易仲裁委员会，按其届</w:t>
      </w:r>
      <w:bookmarkStart w:id="0" w:name="_GoBack"/>
      <w:bookmarkEnd w:id="0"/>
      <w:r w:rsidRPr="00C90E3A">
        <w:rPr>
          <w:rFonts w:ascii="仿宋_GB2312" w:eastAsia="仿宋_GB2312" w:hint="eastAsia"/>
          <w:b/>
          <w:szCs w:val="21"/>
        </w:rPr>
        <w:t>时有效的仲裁规则进行仲裁。仲裁地点为北京市。</w:t>
      </w:r>
    </w:p>
    <w:p w14:paraId="5C6968F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35379DB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1AB883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●《交银施罗德双轮动债券型证券投资基金基金合同》、</w:t>
      </w:r>
    </w:p>
    <w:p w14:paraId="1C95B26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《交银施罗德双轮动债券型证券投资基金托管协议》、</w:t>
      </w:r>
    </w:p>
    <w:p w14:paraId="35E9B5A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《交银施罗德双轮动债券型证券投资基金招募说明书》</w:t>
      </w:r>
    </w:p>
    <w:p w14:paraId="61EB26F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1542439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A27053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35FFEC4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3617CC0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49FA6AB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97D5B" w14:textId="77777777" w:rsidR="001D4218" w:rsidRDefault="001D4218" w:rsidP="00880454">
      <w:r>
        <w:separator/>
      </w:r>
    </w:p>
  </w:endnote>
  <w:endnote w:type="continuationSeparator" w:id="0">
    <w:p w14:paraId="27594188" w14:textId="77777777" w:rsidR="001D4218" w:rsidRDefault="001D4218"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2BC6F" w14:textId="77777777" w:rsidR="001D4218" w:rsidRDefault="001D4218" w:rsidP="00880454">
      <w:r>
        <w:separator/>
      </w:r>
    </w:p>
  </w:footnote>
  <w:footnote w:type="continuationSeparator" w:id="0">
    <w:p w14:paraId="74545505" w14:textId="77777777" w:rsidR="001D4218" w:rsidRDefault="001D4218"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9752C"/>
    <w:rsid w:val="001D4218"/>
    <w:rsid w:val="001E402A"/>
    <w:rsid w:val="00287210"/>
    <w:rsid w:val="002F5DBC"/>
    <w:rsid w:val="00335FE8"/>
    <w:rsid w:val="003E751E"/>
    <w:rsid w:val="00401C56"/>
    <w:rsid w:val="00447692"/>
    <w:rsid w:val="004A275D"/>
    <w:rsid w:val="006240B9"/>
    <w:rsid w:val="006A53E7"/>
    <w:rsid w:val="006C598D"/>
    <w:rsid w:val="007A64C5"/>
    <w:rsid w:val="00846EFA"/>
    <w:rsid w:val="00880454"/>
    <w:rsid w:val="008979E0"/>
    <w:rsid w:val="008A6FA6"/>
    <w:rsid w:val="00902522"/>
    <w:rsid w:val="0090269C"/>
    <w:rsid w:val="00921919"/>
    <w:rsid w:val="00922474"/>
    <w:rsid w:val="009728DC"/>
    <w:rsid w:val="009C0C41"/>
    <w:rsid w:val="009F4EAE"/>
    <w:rsid w:val="00AB59CB"/>
    <w:rsid w:val="00AF7A1E"/>
    <w:rsid w:val="00C0525C"/>
    <w:rsid w:val="00C90E3A"/>
    <w:rsid w:val="00CD7637"/>
    <w:rsid w:val="00D04A15"/>
    <w:rsid w:val="00D373CC"/>
    <w:rsid w:val="00DB319C"/>
    <w:rsid w:val="00DC1114"/>
    <w:rsid w:val="00E37AC3"/>
    <w:rsid w:val="00E51B6D"/>
    <w:rsid w:val="00F75715"/>
    <w:rsid w:val="00F811C4"/>
    <w:rsid w:val="00F870E1"/>
    <w:rsid w:val="00FB6061"/>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2024-12-27T03:16:00Z</dcterms:created>
  <dcterms:modified xsi:type="dcterms:W3CDTF">2024-12-27T03:16:00Z</dcterms:modified>
</cp:coreProperties>
</file>